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39BFD55" w14:textId="77777777" w:rsidR="00566532" w:rsidRDefault="00566532" w:rsidP="00D515BA">
      <w:pPr>
        <w:jc w:val="center"/>
        <w:rPr>
          <w:rFonts w:ascii="Times New Roman" w:hAnsi="Times New Roman" w:cs="Times New Roman"/>
          <w:sz w:val="44"/>
          <w:szCs w:val="44"/>
        </w:rPr>
      </w:pPr>
    </w:p>
    <w:p w14:paraId="54A83E88" w14:textId="33EE6CE6" w:rsidR="00BE656D" w:rsidRDefault="00D515BA" w:rsidP="00D515BA">
      <w:pPr>
        <w:jc w:val="center"/>
        <w:rPr>
          <w:rFonts w:ascii="Times New Roman" w:hAnsi="Times New Roman" w:cs="Times New Roman"/>
          <w:sz w:val="44"/>
          <w:szCs w:val="44"/>
        </w:rPr>
      </w:pPr>
      <w:r w:rsidRPr="00D515BA">
        <w:rPr>
          <w:rFonts w:ascii="Times New Roman" w:hAnsi="Times New Roman" w:cs="Times New Roman"/>
          <w:sz w:val="44"/>
          <w:szCs w:val="44"/>
        </w:rPr>
        <w:t xml:space="preserve">An analysis of how gender and revenge are interlinked and portrayed in </w:t>
      </w:r>
      <w:r w:rsidRPr="00D515BA">
        <w:rPr>
          <w:rFonts w:ascii="Times New Roman" w:hAnsi="Times New Roman" w:cs="Times New Roman"/>
          <w:i/>
          <w:iCs/>
          <w:sz w:val="44"/>
          <w:szCs w:val="44"/>
        </w:rPr>
        <w:t>Beowulf</w:t>
      </w:r>
      <w:r w:rsidRPr="00D515BA">
        <w:rPr>
          <w:rFonts w:ascii="Times New Roman" w:hAnsi="Times New Roman" w:cs="Times New Roman"/>
          <w:sz w:val="44"/>
          <w:szCs w:val="44"/>
        </w:rPr>
        <w:t xml:space="preserve"> and how this </w:t>
      </w:r>
      <w:r w:rsidR="009C5098">
        <w:rPr>
          <w:rFonts w:ascii="Times New Roman" w:hAnsi="Times New Roman" w:cs="Times New Roman"/>
          <w:sz w:val="44"/>
          <w:szCs w:val="44"/>
        </w:rPr>
        <w:t>might</w:t>
      </w:r>
      <w:r w:rsidRPr="00D515BA">
        <w:rPr>
          <w:rFonts w:ascii="Times New Roman" w:hAnsi="Times New Roman" w:cs="Times New Roman"/>
          <w:sz w:val="44"/>
          <w:szCs w:val="44"/>
        </w:rPr>
        <w:t xml:space="preserve"> </w:t>
      </w:r>
      <w:r w:rsidR="003C767D">
        <w:rPr>
          <w:rFonts w:ascii="Times New Roman" w:hAnsi="Times New Roman" w:cs="Times New Roman"/>
          <w:sz w:val="44"/>
          <w:szCs w:val="44"/>
        </w:rPr>
        <w:t>correlate with</w:t>
      </w:r>
      <w:r w:rsidRPr="00D515BA">
        <w:rPr>
          <w:rFonts w:ascii="Times New Roman" w:hAnsi="Times New Roman" w:cs="Times New Roman"/>
          <w:sz w:val="44"/>
          <w:szCs w:val="44"/>
        </w:rPr>
        <w:t xml:space="preserve"> </w:t>
      </w:r>
      <w:r w:rsidR="009C5098" w:rsidRPr="00D515BA">
        <w:rPr>
          <w:rFonts w:ascii="Times New Roman" w:hAnsi="Times New Roman" w:cs="Times New Roman"/>
          <w:sz w:val="44"/>
          <w:szCs w:val="44"/>
        </w:rPr>
        <w:t xml:space="preserve">reality in </w:t>
      </w:r>
      <w:r w:rsidRPr="00D515BA">
        <w:rPr>
          <w:rFonts w:ascii="Times New Roman" w:hAnsi="Times New Roman" w:cs="Times New Roman"/>
          <w:sz w:val="44"/>
          <w:szCs w:val="44"/>
        </w:rPr>
        <w:t>Anglo-Saxon Britain</w:t>
      </w:r>
      <w:r>
        <w:rPr>
          <w:rFonts w:ascii="Times New Roman" w:hAnsi="Times New Roman" w:cs="Times New Roman"/>
          <w:sz w:val="44"/>
          <w:szCs w:val="44"/>
        </w:rPr>
        <w:t>.</w:t>
      </w:r>
    </w:p>
    <w:p w14:paraId="1237B8DA" w14:textId="77777777" w:rsidR="00D515BA" w:rsidRPr="00D515BA" w:rsidRDefault="00D515BA" w:rsidP="00D515BA">
      <w:pPr>
        <w:jc w:val="center"/>
        <w:rPr>
          <w:sz w:val="44"/>
          <w:szCs w:val="44"/>
        </w:rPr>
      </w:pPr>
    </w:p>
    <w:p w14:paraId="5573D4F3" w14:textId="77777777" w:rsidR="00491978" w:rsidRDefault="00491978" w:rsidP="00491978">
      <w:pPr>
        <w:jc w:val="center"/>
      </w:pPr>
      <w:r>
        <w:t>An English Literature dissertation submitted to the</w:t>
      </w:r>
    </w:p>
    <w:p w14:paraId="57BD5D8B" w14:textId="77777777" w:rsidR="00491978" w:rsidRDefault="00491978" w:rsidP="00491978">
      <w:pPr>
        <w:jc w:val="center"/>
      </w:pPr>
      <w:r>
        <w:t xml:space="preserve">University of Wales Trinity Saint David </w:t>
      </w:r>
    </w:p>
    <w:p w14:paraId="16BA9396" w14:textId="254B0763" w:rsidR="00491978" w:rsidRDefault="00491978" w:rsidP="00491978">
      <w:pPr>
        <w:jc w:val="center"/>
      </w:pPr>
    </w:p>
    <w:p w14:paraId="0298209B" w14:textId="77777777" w:rsidR="005B0342" w:rsidRDefault="005B0342" w:rsidP="00491978">
      <w:pPr>
        <w:jc w:val="center"/>
      </w:pPr>
    </w:p>
    <w:p w14:paraId="0EBC9F29" w14:textId="77777777" w:rsidR="00491978" w:rsidRDefault="00491978" w:rsidP="00491978">
      <w:pPr>
        <w:jc w:val="center"/>
      </w:pPr>
      <w:r>
        <w:t>To fulfil the requirements for the degree of</w:t>
      </w:r>
    </w:p>
    <w:p w14:paraId="412CD084" w14:textId="55664916" w:rsidR="00965634" w:rsidRDefault="00491978" w:rsidP="00F71F40">
      <w:pPr>
        <w:jc w:val="center"/>
      </w:pPr>
      <w:r>
        <w:t>BA English Literature, Ancient History and Educatio</w:t>
      </w:r>
      <w:r w:rsidR="00F71F40">
        <w:t>n Studies</w:t>
      </w:r>
    </w:p>
    <w:p w14:paraId="5A5E55C3" w14:textId="77777777" w:rsidR="00566532" w:rsidRDefault="00566532" w:rsidP="00617913">
      <w:pPr>
        <w:spacing w:after="160" w:line="259" w:lineRule="auto"/>
      </w:pPr>
    </w:p>
    <w:p w14:paraId="3F068830" w14:textId="77777777" w:rsidR="00566532" w:rsidRDefault="00566532" w:rsidP="00617913">
      <w:pPr>
        <w:spacing w:after="160" w:line="259" w:lineRule="auto"/>
      </w:pPr>
    </w:p>
    <w:p w14:paraId="5219F4D4" w14:textId="77777777" w:rsidR="0014741A" w:rsidRDefault="0014741A" w:rsidP="000741BF">
      <w:pPr>
        <w:spacing w:after="160" w:line="259" w:lineRule="auto"/>
      </w:pPr>
    </w:p>
    <w:p w14:paraId="45C5F872" w14:textId="77777777" w:rsidR="0014741A" w:rsidRDefault="0014741A" w:rsidP="000741BF">
      <w:pPr>
        <w:spacing w:after="160" w:line="259" w:lineRule="auto"/>
      </w:pPr>
    </w:p>
    <w:p w14:paraId="5F0C3961" w14:textId="77777777" w:rsidR="0014741A" w:rsidRDefault="0014741A" w:rsidP="000741BF">
      <w:pPr>
        <w:spacing w:after="160" w:line="259" w:lineRule="auto"/>
      </w:pPr>
    </w:p>
    <w:p w14:paraId="645465F8" w14:textId="74B458AE" w:rsidR="00390C46" w:rsidRDefault="0014741A" w:rsidP="00390C46">
      <w:pPr>
        <w:spacing w:after="160" w:line="259" w:lineRule="auto"/>
      </w:pPr>
      <w:r>
        <w:t>Supervised by Dr. William Marx (Univer</w:t>
      </w:r>
      <w:r w:rsidR="00390C46">
        <w:t>sity of Wales Trinity St. David)</w:t>
      </w:r>
    </w:p>
    <w:p w14:paraId="14D8CC77" w14:textId="77777777" w:rsidR="00390C46" w:rsidRDefault="00390C46" w:rsidP="002F104C">
      <w:pPr>
        <w:spacing w:after="160"/>
        <w:jc w:val="center"/>
      </w:pPr>
    </w:p>
    <w:p w14:paraId="208BEF2A" w14:textId="5F41FC60" w:rsidR="00390C46" w:rsidRDefault="00390C46" w:rsidP="002F104C">
      <w:pPr>
        <w:spacing w:after="160"/>
        <w:jc w:val="center"/>
      </w:pPr>
      <w:r>
        <w:t>This Dissertation would not be possible without the extensive advice and guidance from Dr. William Marx and for that I thank him dearly, as well as</w:t>
      </w:r>
      <w:r w:rsidR="002F104C">
        <w:t xml:space="preserve"> my sons,</w:t>
      </w:r>
      <w:r>
        <w:t xml:space="preserve"> Phoenix and Alexios</w:t>
      </w:r>
      <w:r w:rsidR="002F104C">
        <w:t>,</w:t>
      </w:r>
      <w:r>
        <w:t xml:space="preserve"> for putting up with my panic over finishing this well amidst the coronavirus pandemic.</w:t>
      </w:r>
      <w:r w:rsidR="00214E58">
        <w:t xml:space="preserve"> I also wish to give thanks to everyone who helped me proof read, most importantly Cai Locke and my sisters.</w:t>
      </w:r>
    </w:p>
    <w:p w14:paraId="3362D841" w14:textId="77777777" w:rsidR="00390C46" w:rsidRDefault="00390C46" w:rsidP="000741BF">
      <w:pPr>
        <w:spacing w:after="160" w:line="259" w:lineRule="auto"/>
      </w:pPr>
    </w:p>
    <w:sdt>
      <w:sdtPr>
        <w:rPr>
          <w:rFonts w:asciiTheme="minorHAnsi" w:eastAsiaTheme="minorHAnsi" w:hAnsiTheme="minorHAnsi" w:cstheme="minorBidi"/>
          <w:color w:val="auto"/>
          <w:sz w:val="22"/>
          <w:szCs w:val="22"/>
          <w:lang w:val="en-GB"/>
        </w:rPr>
        <w:id w:val="-696698154"/>
        <w:docPartObj>
          <w:docPartGallery w:val="Table of Contents"/>
          <w:docPartUnique/>
        </w:docPartObj>
      </w:sdtPr>
      <w:sdtEndPr>
        <w:rPr>
          <w:b/>
          <w:bCs/>
          <w:noProof/>
        </w:rPr>
      </w:sdtEndPr>
      <w:sdtContent>
        <w:p w14:paraId="22110726" w14:textId="2BAEC80A" w:rsidR="00390C46" w:rsidRDefault="00390C46">
          <w:pPr>
            <w:pStyle w:val="TOCHeading"/>
          </w:pPr>
          <w:r>
            <w:t>Contents</w:t>
          </w:r>
        </w:p>
        <w:p w14:paraId="34D07C82" w14:textId="1AF68B16" w:rsidR="00356DDF" w:rsidRDefault="00390C46" w:rsidP="00356DDF">
          <w:pPr>
            <w:pStyle w:val="TOC1"/>
            <w:tabs>
              <w:tab w:val="right" w:leader="dot" w:pos="9016"/>
            </w:tabs>
            <w:spacing w:line="480" w:lineRule="auto"/>
            <w:rPr>
              <w:rFonts w:cstheme="minorBidi"/>
              <w:noProof/>
              <w:lang w:val="en-GB" w:eastAsia="en-GB"/>
            </w:rPr>
          </w:pPr>
          <w:r>
            <w:fldChar w:fldCharType="begin"/>
          </w:r>
          <w:r>
            <w:instrText xml:space="preserve"> TOC \o "1-3" \h \z \u </w:instrText>
          </w:r>
          <w:r>
            <w:fldChar w:fldCharType="separate"/>
          </w:r>
          <w:hyperlink w:anchor="_Toc40131056" w:history="1">
            <w:r w:rsidR="00356DDF" w:rsidRPr="00823E07">
              <w:rPr>
                <w:rStyle w:val="Hyperlink"/>
                <w:b/>
                <w:noProof/>
              </w:rPr>
              <w:t>Introduction</w:t>
            </w:r>
            <w:r w:rsidR="00356DDF">
              <w:rPr>
                <w:noProof/>
                <w:webHidden/>
              </w:rPr>
              <w:tab/>
            </w:r>
            <w:r w:rsidR="00356DDF">
              <w:rPr>
                <w:noProof/>
                <w:webHidden/>
              </w:rPr>
              <w:fldChar w:fldCharType="begin"/>
            </w:r>
            <w:r w:rsidR="00356DDF">
              <w:rPr>
                <w:noProof/>
                <w:webHidden/>
              </w:rPr>
              <w:instrText xml:space="preserve"> PAGEREF _Toc40131056 \h </w:instrText>
            </w:r>
            <w:r w:rsidR="00356DDF">
              <w:rPr>
                <w:noProof/>
                <w:webHidden/>
              </w:rPr>
            </w:r>
            <w:r w:rsidR="00356DDF">
              <w:rPr>
                <w:noProof/>
                <w:webHidden/>
              </w:rPr>
              <w:fldChar w:fldCharType="separate"/>
            </w:r>
            <w:r w:rsidR="00356DDF">
              <w:rPr>
                <w:noProof/>
                <w:webHidden/>
              </w:rPr>
              <w:t>3</w:t>
            </w:r>
            <w:r w:rsidR="00356DDF">
              <w:rPr>
                <w:noProof/>
                <w:webHidden/>
              </w:rPr>
              <w:fldChar w:fldCharType="end"/>
            </w:r>
          </w:hyperlink>
        </w:p>
        <w:p w14:paraId="3D454C03" w14:textId="7CA0BB63" w:rsidR="00356DDF" w:rsidRDefault="00A858B9" w:rsidP="00356DDF">
          <w:pPr>
            <w:pStyle w:val="TOC1"/>
            <w:tabs>
              <w:tab w:val="right" w:leader="dot" w:pos="9016"/>
            </w:tabs>
            <w:spacing w:line="480" w:lineRule="auto"/>
            <w:rPr>
              <w:rFonts w:cstheme="minorBidi"/>
              <w:noProof/>
              <w:lang w:val="en-GB" w:eastAsia="en-GB"/>
            </w:rPr>
          </w:pPr>
          <w:hyperlink w:anchor="_Toc40131057" w:history="1">
            <w:r w:rsidR="00356DDF" w:rsidRPr="00823E07">
              <w:rPr>
                <w:rStyle w:val="Hyperlink"/>
                <w:b/>
                <w:noProof/>
              </w:rPr>
              <w:t xml:space="preserve">The Role of Gender around the time of </w:t>
            </w:r>
            <w:r w:rsidR="00356DDF" w:rsidRPr="00823E07">
              <w:rPr>
                <w:rStyle w:val="Hyperlink"/>
                <w:b/>
                <w:i/>
                <w:noProof/>
              </w:rPr>
              <w:t>Beowulf</w:t>
            </w:r>
            <w:r w:rsidR="00356DDF" w:rsidRPr="00823E07">
              <w:rPr>
                <w:rStyle w:val="Hyperlink"/>
                <w:b/>
                <w:noProof/>
              </w:rPr>
              <w:t xml:space="preserve"> in History and Literature</w:t>
            </w:r>
            <w:r w:rsidR="00356DDF">
              <w:rPr>
                <w:noProof/>
                <w:webHidden/>
              </w:rPr>
              <w:tab/>
            </w:r>
            <w:r w:rsidR="00356DDF">
              <w:rPr>
                <w:noProof/>
                <w:webHidden/>
              </w:rPr>
              <w:fldChar w:fldCharType="begin"/>
            </w:r>
            <w:r w:rsidR="00356DDF">
              <w:rPr>
                <w:noProof/>
                <w:webHidden/>
              </w:rPr>
              <w:instrText xml:space="preserve"> PAGEREF _Toc40131057 \h </w:instrText>
            </w:r>
            <w:r w:rsidR="00356DDF">
              <w:rPr>
                <w:noProof/>
                <w:webHidden/>
              </w:rPr>
            </w:r>
            <w:r w:rsidR="00356DDF">
              <w:rPr>
                <w:noProof/>
                <w:webHidden/>
              </w:rPr>
              <w:fldChar w:fldCharType="separate"/>
            </w:r>
            <w:r w:rsidR="00356DDF">
              <w:rPr>
                <w:noProof/>
                <w:webHidden/>
              </w:rPr>
              <w:t>8</w:t>
            </w:r>
            <w:r w:rsidR="00356DDF">
              <w:rPr>
                <w:noProof/>
                <w:webHidden/>
              </w:rPr>
              <w:fldChar w:fldCharType="end"/>
            </w:r>
          </w:hyperlink>
        </w:p>
        <w:p w14:paraId="2681DF31" w14:textId="0B1142DE" w:rsidR="00356DDF" w:rsidRDefault="00A858B9" w:rsidP="00356DDF">
          <w:pPr>
            <w:pStyle w:val="TOC1"/>
            <w:tabs>
              <w:tab w:val="right" w:leader="dot" w:pos="9016"/>
            </w:tabs>
            <w:spacing w:line="480" w:lineRule="auto"/>
            <w:rPr>
              <w:rFonts w:cstheme="minorBidi"/>
              <w:noProof/>
              <w:lang w:val="en-GB" w:eastAsia="en-GB"/>
            </w:rPr>
          </w:pPr>
          <w:hyperlink w:anchor="_Toc40131058" w:history="1">
            <w:r w:rsidR="00356DDF" w:rsidRPr="00823E07">
              <w:rPr>
                <w:rStyle w:val="Hyperlink"/>
                <w:b/>
                <w:noProof/>
              </w:rPr>
              <w:t xml:space="preserve">Grief, Revenge and Feud in Literature and History world around the time of </w:t>
            </w:r>
            <w:r w:rsidR="00356DDF" w:rsidRPr="00823E07">
              <w:rPr>
                <w:rStyle w:val="Hyperlink"/>
                <w:b/>
                <w:i/>
                <w:noProof/>
              </w:rPr>
              <w:t>Beowulf</w:t>
            </w:r>
            <w:r w:rsidR="00356DDF">
              <w:rPr>
                <w:noProof/>
                <w:webHidden/>
              </w:rPr>
              <w:tab/>
            </w:r>
            <w:r w:rsidR="00356DDF">
              <w:rPr>
                <w:noProof/>
                <w:webHidden/>
              </w:rPr>
              <w:fldChar w:fldCharType="begin"/>
            </w:r>
            <w:r w:rsidR="00356DDF">
              <w:rPr>
                <w:noProof/>
                <w:webHidden/>
              </w:rPr>
              <w:instrText xml:space="preserve"> PAGEREF _Toc40131058 \h </w:instrText>
            </w:r>
            <w:r w:rsidR="00356DDF">
              <w:rPr>
                <w:noProof/>
                <w:webHidden/>
              </w:rPr>
            </w:r>
            <w:r w:rsidR="00356DDF">
              <w:rPr>
                <w:noProof/>
                <w:webHidden/>
              </w:rPr>
              <w:fldChar w:fldCharType="separate"/>
            </w:r>
            <w:r w:rsidR="00356DDF">
              <w:rPr>
                <w:noProof/>
                <w:webHidden/>
              </w:rPr>
              <w:t>21</w:t>
            </w:r>
            <w:r w:rsidR="00356DDF">
              <w:rPr>
                <w:noProof/>
                <w:webHidden/>
              </w:rPr>
              <w:fldChar w:fldCharType="end"/>
            </w:r>
          </w:hyperlink>
        </w:p>
        <w:p w14:paraId="5F5C14F2" w14:textId="73A11038" w:rsidR="00356DDF" w:rsidRDefault="00A858B9" w:rsidP="00356DDF">
          <w:pPr>
            <w:pStyle w:val="TOC1"/>
            <w:tabs>
              <w:tab w:val="right" w:leader="dot" w:pos="9016"/>
            </w:tabs>
            <w:spacing w:line="480" w:lineRule="auto"/>
            <w:rPr>
              <w:rFonts w:cstheme="minorBidi"/>
              <w:noProof/>
              <w:lang w:val="en-GB" w:eastAsia="en-GB"/>
            </w:rPr>
          </w:pPr>
          <w:hyperlink w:anchor="_Toc40131059" w:history="1">
            <w:r w:rsidR="00356DDF" w:rsidRPr="00823E07">
              <w:rPr>
                <w:rStyle w:val="Hyperlink"/>
                <w:b/>
                <w:noProof/>
              </w:rPr>
              <w:t>Fixing and Preventing Issues with Peace Weaving and Fostering ties</w:t>
            </w:r>
            <w:r w:rsidR="00356DDF">
              <w:rPr>
                <w:noProof/>
                <w:webHidden/>
              </w:rPr>
              <w:tab/>
            </w:r>
            <w:r w:rsidR="00356DDF">
              <w:rPr>
                <w:noProof/>
                <w:webHidden/>
              </w:rPr>
              <w:fldChar w:fldCharType="begin"/>
            </w:r>
            <w:r w:rsidR="00356DDF">
              <w:rPr>
                <w:noProof/>
                <w:webHidden/>
              </w:rPr>
              <w:instrText xml:space="preserve"> PAGEREF _Toc40131059 \h </w:instrText>
            </w:r>
            <w:r w:rsidR="00356DDF">
              <w:rPr>
                <w:noProof/>
                <w:webHidden/>
              </w:rPr>
            </w:r>
            <w:r w:rsidR="00356DDF">
              <w:rPr>
                <w:noProof/>
                <w:webHidden/>
              </w:rPr>
              <w:fldChar w:fldCharType="separate"/>
            </w:r>
            <w:r w:rsidR="00356DDF">
              <w:rPr>
                <w:noProof/>
                <w:webHidden/>
              </w:rPr>
              <w:t>32</w:t>
            </w:r>
            <w:r w:rsidR="00356DDF">
              <w:rPr>
                <w:noProof/>
                <w:webHidden/>
              </w:rPr>
              <w:fldChar w:fldCharType="end"/>
            </w:r>
          </w:hyperlink>
        </w:p>
        <w:p w14:paraId="6A9C5FF4" w14:textId="2018D478" w:rsidR="00356DDF" w:rsidRDefault="00A858B9" w:rsidP="00356DDF">
          <w:pPr>
            <w:pStyle w:val="TOC1"/>
            <w:tabs>
              <w:tab w:val="right" w:leader="dot" w:pos="9016"/>
            </w:tabs>
            <w:spacing w:line="480" w:lineRule="auto"/>
            <w:rPr>
              <w:rFonts w:cstheme="minorBidi"/>
              <w:noProof/>
              <w:lang w:val="en-GB" w:eastAsia="en-GB"/>
            </w:rPr>
          </w:pPr>
          <w:hyperlink w:anchor="_Toc40131060" w:history="1">
            <w:r w:rsidR="00356DDF" w:rsidRPr="00823E07">
              <w:rPr>
                <w:rStyle w:val="Hyperlink"/>
                <w:b/>
                <w:noProof/>
              </w:rPr>
              <w:t>Conclusion</w:t>
            </w:r>
            <w:r w:rsidR="00356DDF">
              <w:rPr>
                <w:noProof/>
                <w:webHidden/>
              </w:rPr>
              <w:tab/>
            </w:r>
            <w:r w:rsidR="00356DDF">
              <w:rPr>
                <w:noProof/>
                <w:webHidden/>
              </w:rPr>
              <w:fldChar w:fldCharType="begin"/>
            </w:r>
            <w:r w:rsidR="00356DDF">
              <w:rPr>
                <w:noProof/>
                <w:webHidden/>
              </w:rPr>
              <w:instrText xml:space="preserve"> PAGEREF _Toc40131060 \h </w:instrText>
            </w:r>
            <w:r w:rsidR="00356DDF">
              <w:rPr>
                <w:noProof/>
                <w:webHidden/>
              </w:rPr>
            </w:r>
            <w:r w:rsidR="00356DDF">
              <w:rPr>
                <w:noProof/>
                <w:webHidden/>
              </w:rPr>
              <w:fldChar w:fldCharType="separate"/>
            </w:r>
            <w:r w:rsidR="00356DDF">
              <w:rPr>
                <w:noProof/>
                <w:webHidden/>
              </w:rPr>
              <w:t>38</w:t>
            </w:r>
            <w:r w:rsidR="00356DDF">
              <w:rPr>
                <w:noProof/>
                <w:webHidden/>
              </w:rPr>
              <w:fldChar w:fldCharType="end"/>
            </w:r>
          </w:hyperlink>
        </w:p>
        <w:p w14:paraId="0C19FDE4" w14:textId="03BCBC89" w:rsidR="00356DDF" w:rsidRDefault="00A858B9" w:rsidP="00356DDF">
          <w:pPr>
            <w:pStyle w:val="TOC1"/>
            <w:tabs>
              <w:tab w:val="right" w:leader="dot" w:pos="9016"/>
            </w:tabs>
            <w:spacing w:line="480" w:lineRule="auto"/>
            <w:rPr>
              <w:rFonts w:cstheme="minorBidi"/>
              <w:noProof/>
              <w:lang w:val="en-GB" w:eastAsia="en-GB"/>
            </w:rPr>
          </w:pPr>
          <w:hyperlink w:anchor="_Toc40131061" w:history="1">
            <w:r w:rsidR="00356DDF" w:rsidRPr="00823E07">
              <w:rPr>
                <w:rStyle w:val="Hyperlink"/>
                <w:noProof/>
              </w:rPr>
              <w:t>Works Cited</w:t>
            </w:r>
            <w:r w:rsidR="00356DDF">
              <w:rPr>
                <w:noProof/>
                <w:webHidden/>
              </w:rPr>
              <w:tab/>
            </w:r>
            <w:r w:rsidR="00356DDF">
              <w:rPr>
                <w:noProof/>
                <w:webHidden/>
              </w:rPr>
              <w:fldChar w:fldCharType="begin"/>
            </w:r>
            <w:r w:rsidR="00356DDF">
              <w:rPr>
                <w:noProof/>
                <w:webHidden/>
              </w:rPr>
              <w:instrText xml:space="preserve"> PAGEREF _Toc40131061 \h </w:instrText>
            </w:r>
            <w:r w:rsidR="00356DDF">
              <w:rPr>
                <w:noProof/>
                <w:webHidden/>
              </w:rPr>
            </w:r>
            <w:r w:rsidR="00356DDF">
              <w:rPr>
                <w:noProof/>
                <w:webHidden/>
              </w:rPr>
              <w:fldChar w:fldCharType="separate"/>
            </w:r>
            <w:r w:rsidR="00356DDF">
              <w:rPr>
                <w:noProof/>
                <w:webHidden/>
              </w:rPr>
              <w:t>42</w:t>
            </w:r>
            <w:r w:rsidR="00356DDF">
              <w:rPr>
                <w:noProof/>
                <w:webHidden/>
              </w:rPr>
              <w:fldChar w:fldCharType="end"/>
            </w:r>
          </w:hyperlink>
        </w:p>
        <w:p w14:paraId="024C003F" w14:textId="5C2DDD08" w:rsidR="00390C46" w:rsidRDefault="00390C46" w:rsidP="00056D95">
          <w:r>
            <w:rPr>
              <w:b/>
              <w:bCs/>
              <w:noProof/>
            </w:rPr>
            <w:fldChar w:fldCharType="end"/>
          </w:r>
        </w:p>
      </w:sdtContent>
    </w:sdt>
    <w:p w14:paraId="6BF8BD53" w14:textId="77777777" w:rsidR="000C2511" w:rsidRDefault="000C2511" w:rsidP="000741BF">
      <w:pPr>
        <w:spacing w:after="160" w:line="259" w:lineRule="auto"/>
      </w:pPr>
    </w:p>
    <w:p w14:paraId="40840666" w14:textId="77777777" w:rsidR="000C2511" w:rsidRDefault="000C2511" w:rsidP="000741BF">
      <w:pPr>
        <w:spacing w:after="160" w:line="259" w:lineRule="auto"/>
      </w:pPr>
    </w:p>
    <w:p w14:paraId="23F64A9A" w14:textId="77777777" w:rsidR="000C2511" w:rsidRDefault="000C2511" w:rsidP="000741BF">
      <w:pPr>
        <w:spacing w:after="160" w:line="259" w:lineRule="auto"/>
      </w:pPr>
    </w:p>
    <w:p w14:paraId="3A98BDBA" w14:textId="77777777" w:rsidR="000C2511" w:rsidRDefault="000C2511" w:rsidP="000741BF">
      <w:pPr>
        <w:spacing w:after="160" w:line="259" w:lineRule="auto"/>
      </w:pPr>
    </w:p>
    <w:p w14:paraId="18E62928" w14:textId="16F58CD8" w:rsidR="000C2511" w:rsidRPr="000741BF" w:rsidRDefault="00056D95" w:rsidP="00056D95">
      <w:r>
        <w:br w:type="page"/>
      </w:r>
    </w:p>
    <w:p w14:paraId="24BD57F5" w14:textId="3E152B01" w:rsidR="0014741A" w:rsidRPr="00390C46" w:rsidRDefault="0014741A" w:rsidP="00390C46">
      <w:pPr>
        <w:pStyle w:val="Heading1"/>
        <w:rPr>
          <w:b/>
          <w:color w:val="auto"/>
          <w:sz w:val="26"/>
          <w:szCs w:val="26"/>
        </w:rPr>
      </w:pPr>
      <w:bookmarkStart w:id="0" w:name="_Toc40131056"/>
      <w:r w:rsidRPr="00390C46">
        <w:rPr>
          <w:b/>
          <w:color w:val="auto"/>
          <w:sz w:val="26"/>
          <w:szCs w:val="26"/>
        </w:rPr>
        <w:lastRenderedPageBreak/>
        <w:t>Introduction</w:t>
      </w:r>
      <w:bookmarkEnd w:id="0"/>
    </w:p>
    <w:p w14:paraId="4C757873" w14:textId="239D3998" w:rsidR="00820ACB" w:rsidRDefault="00EB7166" w:rsidP="00B45613">
      <w:pPr>
        <w:rPr>
          <w:rFonts w:ascii="Source Sans Pro" w:hAnsi="Source Sans Pro" w:cstheme="majorHAnsi"/>
          <w:sz w:val="24"/>
          <w:szCs w:val="24"/>
        </w:rPr>
      </w:pPr>
      <w:r w:rsidRPr="001D1A69">
        <w:rPr>
          <w:rFonts w:ascii="Source Sans Pro" w:hAnsi="Source Sans Pro" w:cstheme="majorHAnsi"/>
          <w:i/>
          <w:iCs/>
          <w:sz w:val="24"/>
          <w:szCs w:val="24"/>
        </w:rPr>
        <w:t>Beowulf</w:t>
      </w:r>
      <w:r w:rsidRPr="001D1A69">
        <w:rPr>
          <w:rFonts w:ascii="Source Sans Pro" w:hAnsi="Source Sans Pro" w:cstheme="majorHAnsi"/>
          <w:sz w:val="24"/>
          <w:szCs w:val="24"/>
        </w:rPr>
        <w:t xml:space="preserve"> is an action fuelled poem based in 5</w:t>
      </w:r>
      <w:r w:rsidRPr="001D1A69">
        <w:rPr>
          <w:rFonts w:ascii="Source Sans Pro" w:hAnsi="Source Sans Pro" w:cstheme="majorHAnsi"/>
          <w:sz w:val="24"/>
          <w:szCs w:val="24"/>
          <w:vertAlign w:val="superscript"/>
        </w:rPr>
        <w:t>th</w:t>
      </w:r>
      <w:r w:rsidRPr="001D1A69">
        <w:rPr>
          <w:rFonts w:ascii="Source Sans Pro" w:hAnsi="Source Sans Pro" w:cstheme="majorHAnsi"/>
          <w:sz w:val="24"/>
          <w:szCs w:val="24"/>
        </w:rPr>
        <w:t xml:space="preserve"> or 6</w:t>
      </w:r>
      <w:r w:rsidRPr="001D1A69">
        <w:rPr>
          <w:rFonts w:ascii="Source Sans Pro" w:hAnsi="Source Sans Pro" w:cstheme="majorHAnsi"/>
          <w:sz w:val="24"/>
          <w:szCs w:val="24"/>
          <w:vertAlign w:val="superscript"/>
        </w:rPr>
        <w:t>th</w:t>
      </w:r>
      <w:r w:rsidRPr="001D1A69">
        <w:rPr>
          <w:rFonts w:ascii="Source Sans Pro" w:hAnsi="Source Sans Pro" w:cstheme="majorHAnsi"/>
          <w:sz w:val="24"/>
          <w:szCs w:val="24"/>
        </w:rPr>
        <w:t xml:space="preserve"> century Scandinavia</w:t>
      </w:r>
      <w:r w:rsidR="008A4079">
        <w:rPr>
          <w:rFonts w:ascii="Source Sans Pro" w:hAnsi="Source Sans Pro" w:cstheme="majorHAnsi"/>
          <w:sz w:val="24"/>
          <w:szCs w:val="24"/>
        </w:rPr>
        <w:t xml:space="preserve"> </w:t>
      </w:r>
      <w:r w:rsidRPr="001D1A69">
        <w:rPr>
          <w:rFonts w:ascii="Source Sans Pro" w:hAnsi="Source Sans Pro" w:cstheme="majorHAnsi"/>
          <w:sz w:val="24"/>
          <w:szCs w:val="24"/>
        </w:rPr>
        <w:t>filled with battles against otherworldly monsters and tales of heritage, masculinity and peace-weaving.</w:t>
      </w:r>
      <w:r w:rsidR="008A4079" w:rsidRPr="008A4079">
        <w:rPr>
          <w:rStyle w:val="FootnoteReference"/>
          <w:rFonts w:ascii="Source Sans Pro" w:hAnsi="Source Sans Pro" w:cstheme="majorHAnsi"/>
          <w:sz w:val="24"/>
          <w:szCs w:val="24"/>
        </w:rPr>
        <w:t xml:space="preserve"> </w:t>
      </w:r>
      <w:r w:rsidR="008A4079" w:rsidRPr="001D1A69">
        <w:rPr>
          <w:rStyle w:val="FootnoteReference"/>
          <w:rFonts w:ascii="Source Sans Pro" w:hAnsi="Source Sans Pro" w:cstheme="majorHAnsi"/>
          <w:sz w:val="24"/>
          <w:szCs w:val="24"/>
        </w:rPr>
        <w:footnoteReference w:id="1"/>
      </w:r>
      <w:r w:rsidR="008A4079" w:rsidRPr="001D1A69">
        <w:rPr>
          <w:rFonts w:ascii="Source Sans Pro" w:hAnsi="Source Sans Pro" w:cstheme="majorHAnsi"/>
          <w:sz w:val="24"/>
          <w:szCs w:val="24"/>
        </w:rPr>
        <w:t xml:space="preserve">  </w:t>
      </w:r>
      <w:r>
        <w:rPr>
          <w:rFonts w:ascii="Source Sans Pro" w:hAnsi="Source Sans Pro" w:cstheme="majorHAnsi"/>
          <w:sz w:val="24"/>
          <w:szCs w:val="24"/>
        </w:rPr>
        <w:t>It</w:t>
      </w:r>
      <w:r w:rsidR="00600385" w:rsidRPr="001D1A69">
        <w:rPr>
          <w:rFonts w:ascii="Source Sans Pro" w:hAnsi="Source Sans Pro" w:cstheme="majorHAnsi"/>
          <w:sz w:val="24"/>
          <w:szCs w:val="24"/>
        </w:rPr>
        <w:t xml:space="preserve"> is an </w:t>
      </w:r>
      <w:r w:rsidR="00013E9A" w:rsidRPr="001D1A69">
        <w:rPr>
          <w:rFonts w:ascii="Source Sans Pro" w:hAnsi="Source Sans Pro" w:cstheme="majorHAnsi"/>
          <w:sz w:val="24"/>
          <w:szCs w:val="24"/>
        </w:rPr>
        <w:t>epic</w:t>
      </w:r>
      <w:r w:rsidR="00600385" w:rsidRPr="001D1A69">
        <w:rPr>
          <w:rFonts w:ascii="Source Sans Pro" w:hAnsi="Source Sans Pro" w:cstheme="majorHAnsi"/>
          <w:sz w:val="24"/>
          <w:szCs w:val="24"/>
        </w:rPr>
        <w:t xml:space="preserve"> poem</w:t>
      </w:r>
      <w:r w:rsidR="00D27F0B">
        <w:rPr>
          <w:rFonts w:ascii="Source Sans Pro" w:hAnsi="Source Sans Pro" w:cstheme="majorHAnsi"/>
          <w:sz w:val="24"/>
          <w:szCs w:val="24"/>
        </w:rPr>
        <w:t xml:space="preserve"> with a surviving manuscript</w:t>
      </w:r>
      <w:r w:rsidR="00600385" w:rsidRPr="001D1A69">
        <w:rPr>
          <w:rFonts w:ascii="Source Sans Pro" w:hAnsi="Source Sans Pro" w:cstheme="majorHAnsi"/>
          <w:sz w:val="24"/>
          <w:szCs w:val="24"/>
        </w:rPr>
        <w:t xml:space="preserve"> written by </w:t>
      </w:r>
      <w:r w:rsidR="00EA6853">
        <w:rPr>
          <w:rFonts w:ascii="Source Sans Pro" w:hAnsi="Source Sans Pro" w:cstheme="majorHAnsi"/>
          <w:sz w:val="24"/>
          <w:szCs w:val="24"/>
        </w:rPr>
        <w:t xml:space="preserve">an </w:t>
      </w:r>
      <w:r w:rsidR="00D62E3C" w:rsidRPr="001D1A69">
        <w:rPr>
          <w:rFonts w:ascii="Source Sans Pro" w:hAnsi="Source Sans Pro" w:cstheme="majorHAnsi"/>
          <w:sz w:val="24"/>
          <w:szCs w:val="24"/>
        </w:rPr>
        <w:t>un</w:t>
      </w:r>
      <w:r w:rsidR="00EA6853">
        <w:rPr>
          <w:rFonts w:ascii="Source Sans Pro" w:hAnsi="Source Sans Pro" w:cstheme="majorHAnsi"/>
          <w:sz w:val="24"/>
          <w:szCs w:val="24"/>
        </w:rPr>
        <w:t>known</w:t>
      </w:r>
      <w:r w:rsidR="00600385" w:rsidRPr="001D1A69">
        <w:rPr>
          <w:rFonts w:ascii="Source Sans Pro" w:hAnsi="Source Sans Pro" w:cstheme="majorHAnsi"/>
          <w:sz w:val="24"/>
          <w:szCs w:val="24"/>
        </w:rPr>
        <w:t xml:space="preserve"> author</w:t>
      </w:r>
      <w:r w:rsidR="00D476CE">
        <w:rPr>
          <w:rFonts w:ascii="Source Sans Pro" w:hAnsi="Source Sans Pro" w:cstheme="majorHAnsi"/>
          <w:sz w:val="24"/>
          <w:szCs w:val="24"/>
        </w:rPr>
        <w:t>(</w:t>
      </w:r>
      <w:r w:rsidR="00683F83" w:rsidRPr="001D1A69">
        <w:rPr>
          <w:rFonts w:ascii="Source Sans Pro" w:hAnsi="Source Sans Pro" w:cstheme="majorHAnsi"/>
          <w:sz w:val="24"/>
          <w:szCs w:val="24"/>
        </w:rPr>
        <w:t>s</w:t>
      </w:r>
      <w:r w:rsidR="00D476CE">
        <w:rPr>
          <w:rFonts w:ascii="Source Sans Pro" w:hAnsi="Source Sans Pro" w:cstheme="majorHAnsi"/>
          <w:sz w:val="24"/>
          <w:szCs w:val="24"/>
        </w:rPr>
        <w:t>)</w:t>
      </w:r>
      <w:r w:rsidR="00D54BFA" w:rsidRPr="001D1A69">
        <w:rPr>
          <w:rFonts w:ascii="Source Sans Pro" w:hAnsi="Source Sans Pro" w:cstheme="majorHAnsi"/>
          <w:sz w:val="24"/>
          <w:szCs w:val="24"/>
        </w:rPr>
        <w:t>,</w:t>
      </w:r>
      <w:r w:rsidR="00013E9A" w:rsidRPr="001D1A69">
        <w:rPr>
          <w:rStyle w:val="FootnoteReference"/>
          <w:rFonts w:ascii="Source Sans Pro" w:hAnsi="Source Sans Pro" w:cstheme="majorHAnsi"/>
          <w:sz w:val="24"/>
          <w:szCs w:val="24"/>
        </w:rPr>
        <w:footnoteReference w:id="2"/>
      </w:r>
      <w:r w:rsidR="00013E9A" w:rsidRPr="001D1A69">
        <w:rPr>
          <w:rFonts w:ascii="Source Sans Pro" w:hAnsi="Source Sans Pro" w:cstheme="majorHAnsi"/>
          <w:sz w:val="24"/>
          <w:szCs w:val="24"/>
        </w:rPr>
        <w:t xml:space="preserve"> </w:t>
      </w:r>
      <w:r w:rsidR="00600385" w:rsidRPr="001D1A69">
        <w:rPr>
          <w:rFonts w:ascii="Source Sans Pro" w:hAnsi="Source Sans Pro" w:cstheme="majorHAnsi"/>
          <w:sz w:val="24"/>
          <w:szCs w:val="24"/>
        </w:rPr>
        <w:t>between the 8</w:t>
      </w:r>
      <w:r w:rsidR="00600385" w:rsidRPr="001D1A69">
        <w:rPr>
          <w:rFonts w:ascii="Source Sans Pro" w:hAnsi="Source Sans Pro" w:cstheme="majorHAnsi"/>
          <w:sz w:val="24"/>
          <w:szCs w:val="24"/>
          <w:vertAlign w:val="superscript"/>
        </w:rPr>
        <w:t>th</w:t>
      </w:r>
      <w:r w:rsidR="00600385" w:rsidRPr="001D1A69">
        <w:rPr>
          <w:rFonts w:ascii="Source Sans Pro" w:hAnsi="Source Sans Pro" w:cstheme="majorHAnsi"/>
          <w:sz w:val="24"/>
          <w:szCs w:val="24"/>
        </w:rPr>
        <w:t xml:space="preserve"> and 11</w:t>
      </w:r>
      <w:r w:rsidR="00600385" w:rsidRPr="001D1A69">
        <w:rPr>
          <w:rFonts w:ascii="Source Sans Pro" w:hAnsi="Source Sans Pro" w:cstheme="majorHAnsi"/>
          <w:sz w:val="24"/>
          <w:szCs w:val="24"/>
          <w:vertAlign w:val="superscript"/>
        </w:rPr>
        <w:t>th</w:t>
      </w:r>
      <w:r w:rsidR="00600385" w:rsidRPr="001D1A69">
        <w:rPr>
          <w:rFonts w:ascii="Source Sans Pro" w:hAnsi="Source Sans Pro" w:cstheme="majorHAnsi"/>
          <w:sz w:val="24"/>
          <w:szCs w:val="24"/>
        </w:rPr>
        <w:t xml:space="preserve"> century AD in Britain</w:t>
      </w:r>
      <w:r w:rsidR="00D27F0B">
        <w:rPr>
          <w:rFonts w:ascii="Source Sans Pro" w:hAnsi="Source Sans Pro" w:cstheme="majorHAnsi"/>
          <w:sz w:val="24"/>
          <w:szCs w:val="24"/>
        </w:rPr>
        <w:t>,</w:t>
      </w:r>
      <w:r w:rsidR="005E0EF6" w:rsidRPr="001D1A69">
        <w:rPr>
          <w:rStyle w:val="FootnoteReference"/>
          <w:rFonts w:ascii="Source Sans Pro" w:hAnsi="Source Sans Pro" w:cstheme="majorHAnsi"/>
          <w:sz w:val="24"/>
          <w:szCs w:val="24"/>
        </w:rPr>
        <w:footnoteReference w:id="3"/>
      </w:r>
      <w:r w:rsidR="00820ACB">
        <w:rPr>
          <w:rFonts w:ascii="Source Sans Pro" w:hAnsi="Source Sans Pro" w:cstheme="majorHAnsi"/>
          <w:sz w:val="24"/>
          <w:szCs w:val="24"/>
        </w:rPr>
        <w:t xml:space="preserve"> </w:t>
      </w:r>
      <w:r w:rsidR="00D27F0B">
        <w:rPr>
          <w:rFonts w:ascii="Source Sans Pro" w:hAnsi="Source Sans Pro" w:cstheme="majorHAnsi"/>
          <w:sz w:val="24"/>
          <w:szCs w:val="24"/>
        </w:rPr>
        <w:t>though</w:t>
      </w:r>
      <w:r w:rsidR="00D27F0B" w:rsidRPr="001D1A69">
        <w:rPr>
          <w:rFonts w:ascii="Source Sans Pro" w:hAnsi="Source Sans Pro" w:cstheme="majorHAnsi"/>
          <w:sz w:val="24"/>
          <w:szCs w:val="24"/>
        </w:rPr>
        <w:t xml:space="preserve"> </w:t>
      </w:r>
      <w:r w:rsidR="00D27F0B">
        <w:rPr>
          <w:rFonts w:ascii="Source Sans Pro" w:hAnsi="Source Sans Pro" w:cstheme="majorHAnsi"/>
          <w:sz w:val="24"/>
          <w:szCs w:val="24"/>
        </w:rPr>
        <w:t xml:space="preserve">it is </w:t>
      </w:r>
      <w:r w:rsidR="00D27F0B" w:rsidRPr="001D1A69">
        <w:rPr>
          <w:rFonts w:ascii="Source Sans Pro" w:hAnsi="Source Sans Pro" w:cstheme="majorHAnsi"/>
          <w:sz w:val="24"/>
          <w:szCs w:val="24"/>
        </w:rPr>
        <w:t>likely that there was another earlier written</w:t>
      </w:r>
      <w:r w:rsidR="00D27F0B">
        <w:rPr>
          <w:rFonts w:ascii="Source Sans Pro" w:hAnsi="Source Sans Pro" w:cstheme="majorHAnsi"/>
          <w:sz w:val="24"/>
          <w:szCs w:val="24"/>
        </w:rPr>
        <w:t xml:space="preserve"> or oral</w:t>
      </w:r>
      <w:r w:rsidR="00D27F0B" w:rsidRPr="001D1A69">
        <w:rPr>
          <w:rFonts w:ascii="Source Sans Pro" w:hAnsi="Source Sans Pro" w:cstheme="majorHAnsi"/>
          <w:sz w:val="24"/>
          <w:szCs w:val="24"/>
        </w:rPr>
        <w:t xml:space="preserve"> version in circulation prior to the surviving manuscript.</w:t>
      </w:r>
      <w:r w:rsidR="00D27F0B" w:rsidRPr="001D1A69">
        <w:rPr>
          <w:rStyle w:val="FootnoteReference"/>
          <w:rFonts w:ascii="Source Sans Pro" w:hAnsi="Source Sans Pro" w:cstheme="majorHAnsi"/>
          <w:sz w:val="24"/>
          <w:szCs w:val="24"/>
        </w:rPr>
        <w:footnoteReference w:id="4"/>
      </w:r>
      <w:r w:rsidR="00E86106">
        <w:rPr>
          <w:rFonts w:ascii="Source Sans Pro" w:hAnsi="Source Sans Pro" w:cstheme="majorHAnsi"/>
          <w:sz w:val="24"/>
          <w:szCs w:val="24"/>
        </w:rPr>
        <w:t xml:space="preserve"> The poem is kept and is bound with several other medieval texts, many of which focus on monsters.</w:t>
      </w:r>
      <w:r w:rsidR="00E86106">
        <w:rPr>
          <w:rStyle w:val="FootnoteReference"/>
          <w:rFonts w:ascii="Source Sans Pro" w:hAnsi="Source Sans Pro" w:cstheme="majorHAnsi"/>
          <w:sz w:val="24"/>
          <w:szCs w:val="24"/>
        </w:rPr>
        <w:footnoteReference w:id="5"/>
      </w:r>
      <w:r w:rsidR="00B752A7">
        <w:rPr>
          <w:rFonts w:ascii="Source Sans Pro" w:hAnsi="Source Sans Pro" w:cstheme="majorHAnsi"/>
          <w:sz w:val="24"/>
          <w:szCs w:val="24"/>
        </w:rPr>
        <w:t xml:space="preserve"> </w:t>
      </w:r>
      <w:r w:rsidR="00D27F0B" w:rsidRPr="001D1A69">
        <w:rPr>
          <w:rFonts w:ascii="Source Sans Pro" w:hAnsi="Source Sans Pro" w:cstheme="majorHAnsi"/>
          <w:sz w:val="24"/>
          <w:szCs w:val="24"/>
        </w:rPr>
        <w:t xml:space="preserve"> </w:t>
      </w:r>
      <w:r w:rsidR="00820ACB">
        <w:rPr>
          <w:rFonts w:ascii="Source Sans Pro" w:hAnsi="Source Sans Pro" w:cstheme="majorHAnsi"/>
          <w:sz w:val="24"/>
          <w:szCs w:val="24"/>
        </w:rPr>
        <w:t>C</w:t>
      </w:r>
      <w:r w:rsidR="00820ACB" w:rsidRPr="001D1A69">
        <w:rPr>
          <w:rFonts w:ascii="Source Sans Pro" w:hAnsi="Source Sans Pro" w:cstheme="majorHAnsi"/>
          <w:sz w:val="24"/>
          <w:szCs w:val="24"/>
        </w:rPr>
        <w:t>oncealed within the</w:t>
      </w:r>
      <w:r>
        <w:rPr>
          <w:rFonts w:ascii="Source Sans Pro" w:hAnsi="Source Sans Pro" w:cstheme="majorHAnsi"/>
          <w:sz w:val="24"/>
          <w:szCs w:val="24"/>
        </w:rPr>
        <w:t xml:space="preserve"> seemingly innocent</w:t>
      </w:r>
      <w:r w:rsidR="00820ACB" w:rsidRPr="001D1A69">
        <w:rPr>
          <w:rFonts w:ascii="Source Sans Pro" w:hAnsi="Source Sans Pro" w:cstheme="majorHAnsi"/>
          <w:sz w:val="24"/>
          <w:szCs w:val="24"/>
        </w:rPr>
        <w:t xml:space="preserve"> pages is a netherworld of a precarious nature, one which can create discord</w:t>
      </w:r>
      <w:r w:rsidR="007A3BE0">
        <w:rPr>
          <w:rFonts w:ascii="Source Sans Pro" w:hAnsi="Source Sans Pro" w:cstheme="majorHAnsi"/>
          <w:sz w:val="24"/>
          <w:szCs w:val="24"/>
        </w:rPr>
        <w:t xml:space="preserve"> between modern scholars and readers</w:t>
      </w:r>
      <w:r w:rsidR="00820ACB" w:rsidRPr="001D1A69">
        <w:rPr>
          <w:rFonts w:ascii="Source Sans Pro" w:hAnsi="Source Sans Pro" w:cstheme="majorHAnsi"/>
          <w:sz w:val="24"/>
          <w:szCs w:val="24"/>
        </w:rPr>
        <w:t xml:space="preserve"> as ‘even the simplest and most straightforward statements can provoke a battle royal among scholars.’</w:t>
      </w:r>
      <w:r w:rsidR="00820ACB" w:rsidRPr="001D1A69">
        <w:rPr>
          <w:rStyle w:val="FootnoteReference"/>
          <w:rFonts w:ascii="Source Sans Pro" w:hAnsi="Source Sans Pro" w:cstheme="majorHAnsi"/>
          <w:sz w:val="24"/>
          <w:szCs w:val="24"/>
        </w:rPr>
        <w:footnoteReference w:id="6"/>
      </w:r>
      <w:r w:rsidR="00820ACB" w:rsidRPr="001D1A69">
        <w:rPr>
          <w:rFonts w:ascii="Source Sans Pro" w:hAnsi="Source Sans Pro" w:cstheme="majorHAnsi"/>
          <w:sz w:val="24"/>
          <w:szCs w:val="24"/>
        </w:rPr>
        <w:t xml:space="preserve"> As the origins, context, author and timeframe are unknown, there </w:t>
      </w:r>
      <w:r w:rsidR="004671E5">
        <w:rPr>
          <w:rFonts w:ascii="Source Sans Pro" w:hAnsi="Source Sans Pro" w:cstheme="majorHAnsi"/>
          <w:sz w:val="24"/>
          <w:szCs w:val="24"/>
        </w:rPr>
        <w:t xml:space="preserve">is </w:t>
      </w:r>
      <w:r w:rsidR="00820ACB">
        <w:rPr>
          <w:rFonts w:ascii="Source Sans Pro" w:hAnsi="Source Sans Pro" w:cstheme="majorHAnsi"/>
          <w:sz w:val="24"/>
          <w:szCs w:val="24"/>
        </w:rPr>
        <w:t xml:space="preserve">uncertainty around </w:t>
      </w:r>
      <w:r w:rsidR="00820ACB" w:rsidRPr="001D1A69">
        <w:rPr>
          <w:rFonts w:ascii="Source Sans Pro" w:hAnsi="Source Sans Pro" w:cstheme="majorHAnsi"/>
          <w:sz w:val="24"/>
          <w:szCs w:val="24"/>
        </w:rPr>
        <w:t>the poem</w:t>
      </w:r>
      <w:r w:rsidR="00820ACB">
        <w:rPr>
          <w:rFonts w:ascii="Source Sans Pro" w:hAnsi="Source Sans Pro" w:cstheme="majorHAnsi"/>
          <w:sz w:val="24"/>
          <w:szCs w:val="24"/>
        </w:rPr>
        <w:t xml:space="preserve"> which leads to issues in placing it</w:t>
      </w:r>
      <w:r w:rsidR="00820ACB" w:rsidRPr="001D1A69">
        <w:rPr>
          <w:rFonts w:ascii="Source Sans Pro" w:hAnsi="Source Sans Pro" w:cstheme="majorHAnsi"/>
          <w:sz w:val="24"/>
          <w:szCs w:val="24"/>
        </w:rPr>
        <w:t xml:space="preserve"> into a definitive literary, linguistic or socio-historic culture</w:t>
      </w:r>
      <w:r w:rsidR="007A3BE0">
        <w:rPr>
          <w:rFonts w:ascii="Source Sans Pro" w:hAnsi="Source Sans Pro" w:cstheme="majorHAnsi"/>
          <w:sz w:val="24"/>
          <w:szCs w:val="24"/>
        </w:rPr>
        <w:t xml:space="preserve"> and context</w:t>
      </w:r>
      <w:r w:rsidR="00820ACB" w:rsidRPr="001D1A69">
        <w:rPr>
          <w:rFonts w:ascii="Source Sans Pro" w:hAnsi="Source Sans Pro" w:cstheme="majorHAnsi"/>
          <w:sz w:val="24"/>
          <w:szCs w:val="24"/>
        </w:rPr>
        <w:t xml:space="preserve">, causing conflicting ideas on how to interpret </w:t>
      </w:r>
      <w:r w:rsidR="00D27F0B">
        <w:rPr>
          <w:rFonts w:ascii="Source Sans Pro" w:hAnsi="Source Sans Pro" w:cstheme="majorHAnsi"/>
          <w:sz w:val="24"/>
          <w:szCs w:val="24"/>
        </w:rPr>
        <w:t>the text</w:t>
      </w:r>
      <w:r w:rsidR="00820ACB" w:rsidRPr="001D1A69">
        <w:rPr>
          <w:rFonts w:ascii="Source Sans Pro" w:hAnsi="Source Sans Pro" w:cstheme="majorHAnsi"/>
          <w:sz w:val="24"/>
          <w:szCs w:val="24"/>
        </w:rPr>
        <w:t>.</w:t>
      </w:r>
      <w:r w:rsidR="00820ACB" w:rsidRPr="001D1A69">
        <w:rPr>
          <w:rStyle w:val="FootnoteReference"/>
          <w:rFonts w:ascii="Source Sans Pro" w:hAnsi="Source Sans Pro" w:cstheme="majorHAnsi"/>
          <w:sz w:val="24"/>
          <w:szCs w:val="24"/>
        </w:rPr>
        <w:footnoteReference w:id="7"/>
      </w:r>
      <w:r w:rsidR="00820ACB" w:rsidRPr="001D1A69">
        <w:rPr>
          <w:rFonts w:ascii="Source Sans Pro" w:hAnsi="Source Sans Pro" w:cstheme="majorHAnsi"/>
          <w:sz w:val="24"/>
          <w:szCs w:val="24"/>
        </w:rPr>
        <w:t xml:space="preserve"> </w:t>
      </w:r>
      <w:r w:rsidR="00DE3C4A">
        <w:rPr>
          <w:rFonts w:ascii="Source Sans Pro" w:hAnsi="Source Sans Pro" w:cstheme="majorHAnsi"/>
          <w:sz w:val="24"/>
          <w:szCs w:val="24"/>
        </w:rPr>
        <w:t>In the light of palaeographic evidence</w:t>
      </w:r>
      <w:r w:rsidR="007A3BE0">
        <w:rPr>
          <w:rFonts w:ascii="Source Sans Pro" w:hAnsi="Source Sans Pro" w:cstheme="majorHAnsi"/>
          <w:sz w:val="24"/>
          <w:szCs w:val="24"/>
        </w:rPr>
        <w:t xml:space="preserve"> discussed</w:t>
      </w:r>
      <w:r w:rsidR="005E0EF6" w:rsidRPr="001D1A69">
        <w:rPr>
          <w:rFonts w:ascii="Source Sans Pro" w:hAnsi="Source Sans Pro" w:cstheme="majorHAnsi"/>
          <w:sz w:val="24"/>
          <w:szCs w:val="24"/>
        </w:rPr>
        <w:t xml:space="preserve"> by</w:t>
      </w:r>
      <w:r w:rsidR="00D201CD" w:rsidRPr="001D1A69">
        <w:rPr>
          <w:rFonts w:ascii="Source Sans Pro" w:hAnsi="Source Sans Pro" w:cstheme="majorHAnsi"/>
          <w:sz w:val="24"/>
          <w:szCs w:val="24"/>
        </w:rPr>
        <w:t xml:space="preserve"> Nile</w:t>
      </w:r>
      <w:r w:rsidR="0091428B" w:rsidRPr="001D1A69">
        <w:rPr>
          <w:rFonts w:ascii="Source Sans Pro" w:hAnsi="Source Sans Pro" w:cstheme="majorHAnsi"/>
          <w:sz w:val="24"/>
          <w:szCs w:val="24"/>
        </w:rPr>
        <w:t>, it seems</w:t>
      </w:r>
      <w:r w:rsidR="005E0EF6" w:rsidRPr="001D1A69">
        <w:rPr>
          <w:rFonts w:ascii="Source Sans Pro" w:hAnsi="Source Sans Pro" w:cstheme="majorHAnsi"/>
          <w:sz w:val="24"/>
          <w:szCs w:val="24"/>
        </w:rPr>
        <w:t xml:space="preserve"> reasonable</w:t>
      </w:r>
      <w:r w:rsidR="0091428B" w:rsidRPr="001D1A69">
        <w:rPr>
          <w:rFonts w:ascii="Source Sans Pro" w:hAnsi="Source Sans Pro" w:cstheme="majorHAnsi"/>
          <w:sz w:val="24"/>
          <w:szCs w:val="24"/>
        </w:rPr>
        <w:t xml:space="preserve"> to date</w:t>
      </w:r>
      <w:r w:rsidR="00E87583" w:rsidRPr="001D1A69">
        <w:rPr>
          <w:rFonts w:ascii="Source Sans Pro" w:hAnsi="Source Sans Pro" w:cstheme="majorHAnsi"/>
          <w:sz w:val="24"/>
          <w:szCs w:val="24"/>
        </w:rPr>
        <w:t xml:space="preserve"> </w:t>
      </w:r>
      <w:r w:rsidR="00683214">
        <w:rPr>
          <w:rFonts w:ascii="Source Sans Pro" w:hAnsi="Source Sans Pro" w:cstheme="majorHAnsi"/>
          <w:sz w:val="24"/>
          <w:szCs w:val="24"/>
        </w:rPr>
        <w:t>the manuscript</w:t>
      </w:r>
      <w:r w:rsidR="00372160" w:rsidRPr="001D1A69">
        <w:rPr>
          <w:rFonts w:ascii="Source Sans Pro" w:hAnsi="Source Sans Pro" w:cstheme="majorHAnsi"/>
          <w:sz w:val="24"/>
          <w:szCs w:val="24"/>
        </w:rPr>
        <w:t xml:space="preserve"> </w:t>
      </w:r>
      <w:r w:rsidR="005E0EF6" w:rsidRPr="001D1A69">
        <w:rPr>
          <w:rFonts w:ascii="Source Sans Pro" w:hAnsi="Source Sans Pro" w:cstheme="majorHAnsi"/>
          <w:sz w:val="24"/>
          <w:szCs w:val="24"/>
        </w:rPr>
        <w:t>to</w:t>
      </w:r>
      <w:r w:rsidR="0091428B" w:rsidRPr="001D1A69">
        <w:rPr>
          <w:rFonts w:ascii="Source Sans Pro" w:hAnsi="Source Sans Pro" w:cstheme="majorHAnsi"/>
          <w:sz w:val="24"/>
          <w:szCs w:val="24"/>
        </w:rPr>
        <w:t xml:space="preserve"> the latter half of the timeframe</w:t>
      </w:r>
      <w:r w:rsidR="00820ACB">
        <w:rPr>
          <w:rFonts w:ascii="Source Sans Pro" w:hAnsi="Source Sans Pro" w:cstheme="majorHAnsi"/>
          <w:sz w:val="24"/>
          <w:szCs w:val="24"/>
        </w:rPr>
        <w:t>.</w:t>
      </w:r>
      <w:r w:rsidR="00D201CD" w:rsidRPr="001D1A69">
        <w:rPr>
          <w:rStyle w:val="FootnoteReference"/>
          <w:rFonts w:ascii="Source Sans Pro" w:hAnsi="Source Sans Pro" w:cstheme="majorHAnsi"/>
          <w:sz w:val="24"/>
          <w:szCs w:val="24"/>
        </w:rPr>
        <w:footnoteReference w:id="8"/>
      </w:r>
      <w:r w:rsidR="00820ACB">
        <w:rPr>
          <w:rFonts w:ascii="Source Sans Pro" w:hAnsi="Source Sans Pro" w:cstheme="majorHAnsi"/>
          <w:sz w:val="24"/>
          <w:szCs w:val="24"/>
        </w:rPr>
        <w:t xml:space="preserve"> However, t</w:t>
      </w:r>
      <w:r w:rsidR="00EA6853">
        <w:rPr>
          <w:rFonts w:ascii="Source Sans Pro" w:hAnsi="Source Sans Pro" w:cstheme="majorHAnsi"/>
          <w:sz w:val="24"/>
          <w:szCs w:val="24"/>
        </w:rPr>
        <w:t>his</w:t>
      </w:r>
      <w:r w:rsidR="00820ACB">
        <w:rPr>
          <w:rFonts w:ascii="Source Sans Pro" w:hAnsi="Source Sans Pro" w:cstheme="majorHAnsi"/>
          <w:sz w:val="24"/>
          <w:szCs w:val="24"/>
        </w:rPr>
        <w:t xml:space="preserve"> time</w:t>
      </w:r>
      <w:r w:rsidR="00EA6853">
        <w:rPr>
          <w:rFonts w:ascii="Source Sans Pro" w:hAnsi="Source Sans Pro" w:cstheme="majorHAnsi"/>
          <w:sz w:val="24"/>
          <w:szCs w:val="24"/>
        </w:rPr>
        <w:t xml:space="preserve"> is a point of contention with some </w:t>
      </w:r>
      <w:r w:rsidR="00EA6853">
        <w:rPr>
          <w:rFonts w:ascii="Source Sans Pro" w:hAnsi="Source Sans Pro" w:cstheme="majorHAnsi"/>
          <w:sz w:val="24"/>
          <w:szCs w:val="24"/>
        </w:rPr>
        <w:lastRenderedPageBreak/>
        <w:t xml:space="preserve">scholars, who state that </w:t>
      </w:r>
      <w:r w:rsidR="00820ACB">
        <w:rPr>
          <w:rFonts w:ascii="Source Sans Pro" w:hAnsi="Source Sans Pro" w:cstheme="majorHAnsi"/>
          <w:sz w:val="24"/>
          <w:szCs w:val="24"/>
        </w:rPr>
        <w:t>it does not fit in with the West-Saxon ideas or the way they wrote their texts, which often had propagandic undertones.</w:t>
      </w:r>
      <w:r w:rsidR="00820ACB">
        <w:rPr>
          <w:rStyle w:val="FootnoteReference"/>
          <w:rFonts w:ascii="Source Sans Pro" w:hAnsi="Source Sans Pro" w:cstheme="majorHAnsi"/>
          <w:sz w:val="24"/>
          <w:szCs w:val="24"/>
        </w:rPr>
        <w:footnoteReference w:id="9"/>
      </w:r>
      <w:r w:rsidR="008D0456" w:rsidRPr="001D1A69">
        <w:rPr>
          <w:rFonts w:ascii="Source Sans Pro" w:hAnsi="Source Sans Pro" w:cstheme="majorHAnsi"/>
          <w:sz w:val="24"/>
          <w:szCs w:val="24"/>
        </w:rPr>
        <w:t xml:space="preserve"> </w:t>
      </w:r>
      <w:r w:rsidR="00820ACB">
        <w:rPr>
          <w:rFonts w:ascii="Source Sans Pro" w:hAnsi="Source Sans Pro" w:cstheme="majorHAnsi"/>
          <w:sz w:val="24"/>
          <w:szCs w:val="24"/>
        </w:rPr>
        <w:t>This particular argument</w:t>
      </w:r>
      <w:r>
        <w:rPr>
          <w:rFonts w:ascii="Source Sans Pro" w:hAnsi="Source Sans Pro" w:cstheme="majorHAnsi"/>
          <w:sz w:val="24"/>
          <w:szCs w:val="24"/>
        </w:rPr>
        <w:t xml:space="preserve"> however</w:t>
      </w:r>
      <w:r w:rsidR="00820ACB">
        <w:rPr>
          <w:rFonts w:ascii="Source Sans Pro" w:hAnsi="Source Sans Pro" w:cstheme="majorHAnsi"/>
          <w:sz w:val="24"/>
          <w:szCs w:val="24"/>
        </w:rPr>
        <w:t xml:space="preserve">, set forth by Dr. Neidorf, seems to </w:t>
      </w:r>
      <w:r w:rsidR="007A3BE0">
        <w:rPr>
          <w:rFonts w:ascii="Source Sans Pro" w:hAnsi="Source Sans Pro" w:cstheme="majorHAnsi"/>
          <w:sz w:val="24"/>
          <w:szCs w:val="24"/>
        </w:rPr>
        <w:t>ignore</w:t>
      </w:r>
      <w:r w:rsidR="0095016D">
        <w:rPr>
          <w:rFonts w:ascii="Source Sans Pro" w:hAnsi="Source Sans Pro" w:cstheme="majorHAnsi"/>
          <w:sz w:val="24"/>
          <w:szCs w:val="24"/>
        </w:rPr>
        <w:t xml:space="preserve"> the fact</w:t>
      </w:r>
      <w:r w:rsidR="00820ACB">
        <w:rPr>
          <w:rFonts w:ascii="Source Sans Pro" w:hAnsi="Source Sans Pro" w:cstheme="majorHAnsi"/>
          <w:sz w:val="24"/>
          <w:szCs w:val="24"/>
        </w:rPr>
        <w:t xml:space="preserve"> that Northumbria and Mercia were two independent kingdoms in the time of Alfred and his predecessors</w:t>
      </w:r>
      <w:r>
        <w:rPr>
          <w:rFonts w:ascii="Source Sans Pro" w:hAnsi="Source Sans Pro" w:cstheme="majorHAnsi"/>
          <w:sz w:val="24"/>
          <w:szCs w:val="24"/>
        </w:rPr>
        <w:t>,</w:t>
      </w:r>
      <w:r w:rsidR="00334289">
        <w:rPr>
          <w:rStyle w:val="FootnoteReference"/>
          <w:rFonts w:ascii="Source Sans Pro" w:hAnsi="Source Sans Pro" w:cstheme="majorHAnsi"/>
          <w:sz w:val="24"/>
          <w:szCs w:val="24"/>
        </w:rPr>
        <w:footnoteReference w:id="10"/>
      </w:r>
      <w:r w:rsidR="00A2428F">
        <w:rPr>
          <w:rFonts w:ascii="Source Sans Pro" w:hAnsi="Source Sans Pro" w:cstheme="majorHAnsi"/>
          <w:sz w:val="24"/>
          <w:szCs w:val="24"/>
        </w:rPr>
        <w:t xml:space="preserve"> </w:t>
      </w:r>
      <w:r>
        <w:rPr>
          <w:rFonts w:ascii="Source Sans Pro" w:hAnsi="Source Sans Pro" w:cstheme="majorHAnsi"/>
          <w:sz w:val="24"/>
          <w:szCs w:val="24"/>
        </w:rPr>
        <w:t xml:space="preserve">and therefore a text written in a geographically independent area would not </w:t>
      </w:r>
      <w:r w:rsidR="00260490">
        <w:rPr>
          <w:rFonts w:ascii="Source Sans Pro" w:hAnsi="Source Sans Pro" w:cstheme="majorHAnsi"/>
          <w:sz w:val="24"/>
          <w:szCs w:val="24"/>
        </w:rPr>
        <w:t xml:space="preserve">necessarily </w:t>
      </w:r>
      <w:r>
        <w:rPr>
          <w:rFonts w:ascii="Source Sans Pro" w:hAnsi="Source Sans Pro" w:cstheme="majorHAnsi"/>
          <w:sz w:val="24"/>
          <w:szCs w:val="24"/>
        </w:rPr>
        <w:t>follow typical West-Saxon ideals</w:t>
      </w:r>
      <w:r w:rsidR="0095016D">
        <w:rPr>
          <w:rFonts w:ascii="Source Sans Pro" w:hAnsi="Source Sans Pro" w:cstheme="majorHAnsi"/>
          <w:sz w:val="24"/>
          <w:szCs w:val="24"/>
        </w:rPr>
        <w:t xml:space="preserve"> or trends</w:t>
      </w:r>
      <w:r w:rsidR="00820ACB">
        <w:rPr>
          <w:rFonts w:ascii="Source Sans Pro" w:hAnsi="Source Sans Pro" w:cstheme="majorHAnsi"/>
          <w:sz w:val="24"/>
          <w:szCs w:val="24"/>
        </w:rPr>
        <w:t>.</w:t>
      </w:r>
      <w:r w:rsidR="00334289">
        <w:rPr>
          <w:rStyle w:val="FootnoteReference"/>
          <w:rFonts w:ascii="Source Sans Pro" w:hAnsi="Source Sans Pro" w:cstheme="majorHAnsi"/>
          <w:sz w:val="24"/>
          <w:szCs w:val="24"/>
        </w:rPr>
        <w:footnoteReference w:id="11"/>
      </w:r>
    </w:p>
    <w:p w14:paraId="5D98BD89" w14:textId="11AC647D" w:rsidR="007C2D32" w:rsidRPr="001D1A69" w:rsidRDefault="00EB7166" w:rsidP="007C2D32">
      <w:pPr>
        <w:rPr>
          <w:rFonts w:ascii="Source Sans Pro" w:hAnsi="Source Sans Pro" w:cstheme="majorHAnsi"/>
          <w:sz w:val="24"/>
          <w:szCs w:val="24"/>
        </w:rPr>
      </w:pPr>
      <w:r>
        <w:rPr>
          <w:rFonts w:ascii="Source Sans Pro" w:hAnsi="Source Sans Pro" w:cstheme="majorHAnsi"/>
          <w:sz w:val="24"/>
          <w:szCs w:val="24"/>
        </w:rPr>
        <w:t>I</w:t>
      </w:r>
      <w:r w:rsidR="00372160" w:rsidRPr="001D1A69">
        <w:rPr>
          <w:rFonts w:ascii="Source Sans Pro" w:hAnsi="Source Sans Pro" w:cstheme="majorHAnsi"/>
          <w:sz w:val="24"/>
          <w:szCs w:val="24"/>
        </w:rPr>
        <w:t>t is</w:t>
      </w:r>
      <w:r w:rsidR="005A6185" w:rsidRPr="001D1A69">
        <w:rPr>
          <w:rFonts w:ascii="Source Sans Pro" w:hAnsi="Source Sans Pro" w:cstheme="majorHAnsi"/>
          <w:sz w:val="24"/>
          <w:szCs w:val="24"/>
        </w:rPr>
        <w:t xml:space="preserve"> important for litera</w:t>
      </w:r>
      <w:r w:rsidR="00D54BFA" w:rsidRPr="001D1A69">
        <w:rPr>
          <w:rFonts w:ascii="Source Sans Pro" w:hAnsi="Source Sans Pro" w:cstheme="majorHAnsi"/>
          <w:sz w:val="24"/>
          <w:szCs w:val="24"/>
        </w:rPr>
        <w:t>ry scholars</w:t>
      </w:r>
      <w:r w:rsidR="005A6185" w:rsidRPr="001D1A69">
        <w:rPr>
          <w:rFonts w:ascii="Source Sans Pro" w:hAnsi="Source Sans Pro" w:cstheme="majorHAnsi"/>
          <w:sz w:val="24"/>
          <w:szCs w:val="24"/>
        </w:rPr>
        <w:t xml:space="preserve"> to explore</w:t>
      </w:r>
      <w:r w:rsidR="00960529" w:rsidRPr="001D1A69">
        <w:rPr>
          <w:rFonts w:ascii="Source Sans Pro" w:hAnsi="Source Sans Pro" w:cstheme="majorHAnsi"/>
          <w:sz w:val="24"/>
          <w:szCs w:val="24"/>
        </w:rPr>
        <w:t xml:space="preserve"> </w:t>
      </w:r>
      <w:r w:rsidR="005A6185" w:rsidRPr="001D1A69">
        <w:rPr>
          <w:rFonts w:ascii="Source Sans Pro" w:hAnsi="Source Sans Pro" w:cstheme="majorHAnsi"/>
          <w:sz w:val="24"/>
          <w:szCs w:val="24"/>
        </w:rPr>
        <w:t xml:space="preserve">themes which are pertinent to unravelling </w:t>
      </w:r>
      <w:r w:rsidR="00013E9A" w:rsidRPr="001D1A69">
        <w:rPr>
          <w:rFonts w:ascii="Source Sans Pro" w:hAnsi="Source Sans Pro" w:cstheme="majorHAnsi"/>
          <w:i/>
          <w:iCs/>
          <w:sz w:val="24"/>
          <w:szCs w:val="24"/>
        </w:rPr>
        <w:t>Beowulf</w:t>
      </w:r>
      <w:r w:rsidR="00372160" w:rsidRPr="001D1A69">
        <w:rPr>
          <w:rFonts w:ascii="Source Sans Pro" w:hAnsi="Source Sans Pro" w:cstheme="majorHAnsi"/>
          <w:sz w:val="24"/>
          <w:szCs w:val="24"/>
        </w:rPr>
        <w:t xml:space="preserve"> </w:t>
      </w:r>
      <w:r w:rsidR="005A6185" w:rsidRPr="001D1A69">
        <w:rPr>
          <w:rFonts w:ascii="Source Sans Pro" w:hAnsi="Source Sans Pro" w:cstheme="majorHAnsi"/>
          <w:sz w:val="24"/>
          <w:szCs w:val="24"/>
        </w:rPr>
        <w:t xml:space="preserve">in order to </w:t>
      </w:r>
      <w:r w:rsidR="00372160" w:rsidRPr="001D1A69">
        <w:rPr>
          <w:rFonts w:ascii="Source Sans Pro" w:hAnsi="Source Sans Pro" w:cstheme="majorHAnsi"/>
          <w:sz w:val="24"/>
          <w:szCs w:val="24"/>
        </w:rPr>
        <w:t>try to</w:t>
      </w:r>
      <w:r w:rsidR="005A6185" w:rsidRPr="001D1A69">
        <w:rPr>
          <w:rFonts w:ascii="Source Sans Pro" w:hAnsi="Source Sans Pro" w:cstheme="majorHAnsi"/>
          <w:sz w:val="24"/>
          <w:szCs w:val="24"/>
        </w:rPr>
        <w:t xml:space="preserve"> elucidate it</w:t>
      </w:r>
      <w:r w:rsidR="004660F8" w:rsidRPr="001D1A69">
        <w:rPr>
          <w:rFonts w:ascii="Source Sans Pro" w:hAnsi="Source Sans Pro" w:cstheme="majorHAnsi"/>
          <w:sz w:val="24"/>
          <w:szCs w:val="24"/>
        </w:rPr>
        <w:t>s</w:t>
      </w:r>
      <w:r w:rsidR="005A6185" w:rsidRPr="001D1A69">
        <w:rPr>
          <w:rFonts w:ascii="Source Sans Pro" w:hAnsi="Source Sans Pro" w:cstheme="majorHAnsi"/>
          <w:sz w:val="24"/>
          <w:szCs w:val="24"/>
        </w:rPr>
        <w:t xml:space="preserve"> </w:t>
      </w:r>
      <w:r w:rsidR="0016733F">
        <w:rPr>
          <w:rFonts w:ascii="Source Sans Pro" w:hAnsi="Source Sans Pro" w:cstheme="majorHAnsi"/>
          <w:sz w:val="24"/>
          <w:szCs w:val="24"/>
        </w:rPr>
        <w:t>meaning</w:t>
      </w:r>
      <w:r w:rsidR="007A3BE0">
        <w:rPr>
          <w:rFonts w:ascii="Source Sans Pro" w:hAnsi="Source Sans Pro" w:cstheme="majorHAnsi"/>
          <w:sz w:val="24"/>
          <w:szCs w:val="24"/>
        </w:rPr>
        <w:t xml:space="preserve"> and purpose</w:t>
      </w:r>
      <w:r w:rsidR="005A6185" w:rsidRPr="001D1A69">
        <w:rPr>
          <w:rFonts w:ascii="Source Sans Pro" w:hAnsi="Source Sans Pro" w:cstheme="majorHAnsi"/>
          <w:sz w:val="24"/>
          <w:szCs w:val="24"/>
        </w:rPr>
        <w:t>.</w:t>
      </w:r>
      <w:r w:rsidR="004671E5">
        <w:rPr>
          <w:rFonts w:ascii="Source Sans Pro" w:hAnsi="Source Sans Pro" w:cstheme="majorHAnsi"/>
          <w:sz w:val="24"/>
          <w:szCs w:val="24"/>
        </w:rPr>
        <w:t xml:space="preserve"> Whilst reading J. R. R. Tolkien’s lecture </w:t>
      </w:r>
      <w:r w:rsidR="004671E5" w:rsidRPr="005D2C8D">
        <w:rPr>
          <w:rFonts w:ascii="Source Sans Pro" w:hAnsi="Source Sans Pro" w:cstheme="majorHAnsi"/>
          <w:sz w:val="24"/>
          <w:szCs w:val="24"/>
        </w:rPr>
        <w:t xml:space="preserve">it became </w:t>
      </w:r>
      <w:r w:rsidR="004671E5" w:rsidRPr="005D2C8D">
        <w:rPr>
          <w:rFonts w:ascii="Source Sans Pro" w:hAnsi="Source Sans Pro" w:cstheme="minorHAnsi"/>
          <w:sz w:val="24"/>
          <w:szCs w:val="24"/>
        </w:rPr>
        <w:t xml:space="preserve">apparent that most analysis of </w:t>
      </w:r>
      <w:r w:rsidR="004671E5" w:rsidRPr="005D2C8D">
        <w:rPr>
          <w:rFonts w:ascii="Source Sans Pro" w:hAnsi="Source Sans Pro" w:cstheme="minorHAnsi"/>
          <w:i/>
          <w:iCs/>
          <w:sz w:val="24"/>
          <w:szCs w:val="24"/>
        </w:rPr>
        <w:t>Beowulf</w:t>
      </w:r>
      <w:r w:rsidR="004671E5" w:rsidRPr="005D2C8D">
        <w:rPr>
          <w:rFonts w:ascii="Source Sans Pro" w:hAnsi="Source Sans Pro" w:cstheme="minorHAnsi"/>
          <w:sz w:val="24"/>
          <w:szCs w:val="24"/>
        </w:rPr>
        <w:t xml:space="preserve"> were either historical or literary, something which throughout this research projec</w:t>
      </w:r>
      <w:r w:rsidR="004671E5">
        <w:rPr>
          <w:rFonts w:ascii="Source Sans Pro" w:hAnsi="Source Sans Pro" w:cstheme="minorHAnsi"/>
          <w:sz w:val="24"/>
          <w:szCs w:val="24"/>
        </w:rPr>
        <w:t>t became more of interest as it still, over eighty years on, rings true.</w:t>
      </w:r>
      <w:r w:rsidR="004671E5">
        <w:rPr>
          <w:rStyle w:val="FootnoteReference"/>
          <w:rFonts w:ascii="Source Sans Pro" w:hAnsi="Source Sans Pro" w:cstheme="minorHAnsi"/>
          <w:sz w:val="24"/>
          <w:szCs w:val="24"/>
        </w:rPr>
        <w:footnoteReference w:id="12"/>
      </w:r>
      <w:r w:rsidR="004671E5">
        <w:rPr>
          <w:rFonts w:ascii="Source Sans Pro" w:hAnsi="Source Sans Pro" w:cstheme="minorHAnsi"/>
          <w:sz w:val="24"/>
          <w:szCs w:val="24"/>
        </w:rPr>
        <w:t xml:space="preserve"> This made it clear that a stance on whether </w:t>
      </w:r>
      <w:r w:rsidR="004671E5" w:rsidRPr="005D2C8D">
        <w:rPr>
          <w:rFonts w:ascii="Source Sans Pro" w:hAnsi="Source Sans Pro" w:cstheme="minorHAnsi"/>
          <w:i/>
          <w:iCs/>
          <w:sz w:val="24"/>
          <w:szCs w:val="24"/>
        </w:rPr>
        <w:t>Beowulf</w:t>
      </w:r>
      <w:r w:rsidR="004671E5">
        <w:rPr>
          <w:rFonts w:ascii="Source Sans Pro" w:hAnsi="Source Sans Pro" w:cstheme="minorHAnsi"/>
          <w:sz w:val="24"/>
          <w:szCs w:val="24"/>
        </w:rPr>
        <w:t xml:space="preserve"> is primarily a literary or historical text needed to be reached; and the conclusion after much research was that it was a literary work that had historical undertones but should always first and foremost be considered as a work of literature. </w:t>
      </w:r>
      <w:r w:rsidR="003B3AFB" w:rsidRPr="001D1A69">
        <w:rPr>
          <w:rFonts w:ascii="Source Sans Pro" w:hAnsi="Source Sans Pro" w:cstheme="majorHAnsi"/>
          <w:sz w:val="24"/>
          <w:szCs w:val="24"/>
        </w:rPr>
        <w:t>T</w:t>
      </w:r>
      <w:r w:rsidR="005A6185" w:rsidRPr="001D1A69">
        <w:rPr>
          <w:rFonts w:ascii="Source Sans Pro" w:hAnsi="Source Sans Pro" w:cstheme="majorHAnsi"/>
          <w:sz w:val="24"/>
          <w:szCs w:val="24"/>
        </w:rPr>
        <w:t xml:space="preserve">his </w:t>
      </w:r>
      <w:r w:rsidR="006363AF" w:rsidRPr="001D1A69">
        <w:rPr>
          <w:rFonts w:ascii="Source Sans Pro" w:hAnsi="Source Sans Pro" w:cstheme="majorHAnsi"/>
          <w:sz w:val="24"/>
          <w:szCs w:val="24"/>
        </w:rPr>
        <w:t>study</w:t>
      </w:r>
      <w:r w:rsidR="005A6185" w:rsidRPr="001D1A69">
        <w:rPr>
          <w:rFonts w:ascii="Source Sans Pro" w:hAnsi="Source Sans Pro" w:cstheme="majorHAnsi"/>
          <w:sz w:val="24"/>
          <w:szCs w:val="24"/>
        </w:rPr>
        <w:t xml:space="preserve"> aim</w:t>
      </w:r>
      <w:r w:rsidR="0042098C" w:rsidRPr="001D1A69">
        <w:rPr>
          <w:rFonts w:ascii="Source Sans Pro" w:hAnsi="Source Sans Pro" w:cstheme="majorHAnsi"/>
          <w:sz w:val="24"/>
          <w:szCs w:val="24"/>
        </w:rPr>
        <w:t>s</w:t>
      </w:r>
      <w:r w:rsidR="005A6185" w:rsidRPr="001D1A69">
        <w:rPr>
          <w:rFonts w:ascii="Source Sans Pro" w:hAnsi="Source Sans Pro" w:cstheme="majorHAnsi"/>
          <w:sz w:val="24"/>
          <w:szCs w:val="24"/>
        </w:rPr>
        <w:t xml:space="preserve"> to do</w:t>
      </w:r>
      <w:r w:rsidR="003B3AFB" w:rsidRPr="001D1A69">
        <w:rPr>
          <w:rFonts w:ascii="Source Sans Pro" w:hAnsi="Source Sans Pro" w:cstheme="majorHAnsi"/>
          <w:sz w:val="24"/>
          <w:szCs w:val="24"/>
        </w:rPr>
        <w:t xml:space="preserve"> </w:t>
      </w:r>
      <w:r w:rsidR="00795077" w:rsidRPr="001D1A69">
        <w:rPr>
          <w:rFonts w:ascii="Source Sans Pro" w:hAnsi="Source Sans Pro" w:cstheme="majorHAnsi"/>
          <w:sz w:val="24"/>
          <w:szCs w:val="24"/>
        </w:rPr>
        <w:t>this</w:t>
      </w:r>
      <w:r w:rsidR="005A6185" w:rsidRPr="001D1A69">
        <w:rPr>
          <w:rFonts w:ascii="Source Sans Pro" w:hAnsi="Source Sans Pro" w:cstheme="majorHAnsi"/>
          <w:sz w:val="24"/>
          <w:szCs w:val="24"/>
        </w:rPr>
        <w:t xml:space="preserve"> by </w:t>
      </w:r>
      <w:r w:rsidR="00013E9A" w:rsidRPr="001D1A69">
        <w:rPr>
          <w:rFonts w:ascii="Source Sans Pro" w:hAnsi="Source Sans Pro" w:cstheme="majorHAnsi"/>
          <w:sz w:val="24"/>
          <w:szCs w:val="24"/>
        </w:rPr>
        <w:t>analysing</w:t>
      </w:r>
      <w:r w:rsidR="003B3AFB" w:rsidRPr="001D1A69">
        <w:rPr>
          <w:rFonts w:ascii="Source Sans Pro" w:hAnsi="Source Sans Pro" w:cstheme="majorHAnsi"/>
          <w:sz w:val="24"/>
          <w:szCs w:val="24"/>
        </w:rPr>
        <w:t xml:space="preserve"> </w:t>
      </w:r>
      <w:r w:rsidR="00D515BA" w:rsidRPr="001D1A69">
        <w:rPr>
          <w:rFonts w:ascii="Source Sans Pro" w:hAnsi="Source Sans Pro" w:cstheme="majorHAnsi"/>
          <w:sz w:val="24"/>
          <w:szCs w:val="24"/>
        </w:rPr>
        <w:t>revenge</w:t>
      </w:r>
      <w:r w:rsidR="005A6185" w:rsidRPr="001D1A69">
        <w:rPr>
          <w:rFonts w:ascii="Source Sans Pro" w:hAnsi="Source Sans Pro" w:cstheme="majorHAnsi"/>
          <w:sz w:val="24"/>
          <w:szCs w:val="24"/>
        </w:rPr>
        <w:t xml:space="preserve"> issue</w:t>
      </w:r>
      <w:r w:rsidR="003B3AFB" w:rsidRPr="001D1A69">
        <w:rPr>
          <w:rFonts w:ascii="Source Sans Pro" w:hAnsi="Source Sans Pro" w:cstheme="majorHAnsi"/>
          <w:sz w:val="24"/>
          <w:szCs w:val="24"/>
        </w:rPr>
        <w:t>s</w:t>
      </w:r>
      <w:r w:rsidR="00AE1307" w:rsidRPr="001D1A69">
        <w:rPr>
          <w:rFonts w:ascii="Source Sans Pro" w:hAnsi="Source Sans Pro" w:cstheme="majorHAnsi"/>
          <w:sz w:val="24"/>
          <w:szCs w:val="24"/>
        </w:rPr>
        <w:t>, with a primary focus on the stories of women within the poem</w:t>
      </w:r>
      <w:r w:rsidR="00D54BFA" w:rsidRPr="001D1A69">
        <w:rPr>
          <w:rFonts w:ascii="Source Sans Pro" w:hAnsi="Source Sans Pro" w:cstheme="majorHAnsi"/>
          <w:sz w:val="24"/>
          <w:szCs w:val="24"/>
        </w:rPr>
        <w:t>,</w:t>
      </w:r>
      <w:r w:rsidR="00AE1307" w:rsidRPr="001D1A69">
        <w:rPr>
          <w:rFonts w:ascii="Source Sans Pro" w:hAnsi="Source Sans Pro" w:cstheme="majorHAnsi"/>
          <w:sz w:val="24"/>
          <w:szCs w:val="24"/>
        </w:rPr>
        <w:t xml:space="preserve"> as these offer an understanding of the experiences both gender</w:t>
      </w:r>
      <w:r w:rsidR="00350BDC" w:rsidRPr="001D1A69">
        <w:rPr>
          <w:rFonts w:ascii="Source Sans Pro" w:hAnsi="Source Sans Pro" w:cstheme="majorHAnsi"/>
          <w:sz w:val="24"/>
          <w:szCs w:val="24"/>
        </w:rPr>
        <w:t>s</w:t>
      </w:r>
      <w:r w:rsidR="005A6185" w:rsidRPr="001D1A69">
        <w:rPr>
          <w:rFonts w:ascii="Source Sans Pro" w:hAnsi="Source Sans Pro" w:cstheme="majorHAnsi"/>
          <w:sz w:val="24"/>
          <w:szCs w:val="24"/>
        </w:rPr>
        <w:t>.</w:t>
      </w:r>
      <w:r w:rsidR="00491411">
        <w:rPr>
          <w:rFonts w:ascii="Source Sans Pro" w:hAnsi="Source Sans Pro" w:cstheme="majorHAnsi"/>
          <w:sz w:val="24"/>
          <w:szCs w:val="24"/>
        </w:rPr>
        <w:t xml:space="preserve"> It must also be noted that the monsters will not be of primary focus in this essay as they tend to </w:t>
      </w:r>
      <w:r w:rsidR="00491411">
        <w:rPr>
          <w:rFonts w:ascii="Source Sans Pro" w:hAnsi="Source Sans Pro" w:cstheme="majorHAnsi"/>
          <w:sz w:val="24"/>
          <w:szCs w:val="24"/>
        </w:rPr>
        <w:lastRenderedPageBreak/>
        <w:t>represent a different side to not only gender</w:t>
      </w:r>
      <w:r w:rsidR="00723395">
        <w:rPr>
          <w:rFonts w:ascii="Source Sans Pro" w:hAnsi="Source Sans Pro" w:cstheme="majorHAnsi"/>
          <w:sz w:val="24"/>
          <w:szCs w:val="24"/>
        </w:rPr>
        <w:t xml:space="preserve"> and the story</w:t>
      </w:r>
      <w:r w:rsidR="00491411">
        <w:rPr>
          <w:rFonts w:ascii="Source Sans Pro" w:hAnsi="Source Sans Pro" w:cstheme="majorHAnsi"/>
          <w:sz w:val="24"/>
          <w:szCs w:val="24"/>
        </w:rPr>
        <w:t xml:space="preserve"> but often religious discourse also.</w:t>
      </w:r>
      <w:r w:rsidR="00491411">
        <w:rPr>
          <w:rStyle w:val="FootnoteReference"/>
          <w:rFonts w:ascii="Source Sans Pro" w:hAnsi="Source Sans Pro" w:cstheme="majorHAnsi"/>
          <w:sz w:val="24"/>
          <w:szCs w:val="24"/>
        </w:rPr>
        <w:footnoteReference w:id="13"/>
      </w:r>
      <w:r w:rsidR="002743A5" w:rsidRPr="001D1A69">
        <w:rPr>
          <w:rFonts w:ascii="Source Sans Pro" w:hAnsi="Source Sans Pro" w:cstheme="majorHAnsi"/>
          <w:sz w:val="24"/>
          <w:szCs w:val="24"/>
        </w:rPr>
        <w:t xml:space="preserve"> </w:t>
      </w:r>
      <w:r w:rsidR="00A05419" w:rsidRPr="001D1A69">
        <w:rPr>
          <w:rFonts w:ascii="Source Sans Pro" w:hAnsi="Source Sans Pro" w:cstheme="majorHAnsi"/>
          <w:sz w:val="24"/>
          <w:szCs w:val="24"/>
        </w:rPr>
        <w:t xml:space="preserve">Gender roles and norms in this epic world sit quite beyond the reach of the modern reader, who </w:t>
      </w:r>
      <w:r w:rsidR="00683214">
        <w:rPr>
          <w:rFonts w:ascii="Source Sans Pro" w:hAnsi="Source Sans Pro" w:cstheme="majorHAnsi"/>
          <w:sz w:val="24"/>
          <w:szCs w:val="24"/>
        </w:rPr>
        <w:t>cannot</w:t>
      </w:r>
      <w:r w:rsidR="007A3BE0">
        <w:rPr>
          <w:rFonts w:ascii="Source Sans Pro" w:hAnsi="Source Sans Pro" w:cstheme="majorHAnsi"/>
          <w:sz w:val="24"/>
          <w:szCs w:val="24"/>
        </w:rPr>
        <w:t xml:space="preserve"> quite grasp</w:t>
      </w:r>
      <w:r w:rsidR="00A05419" w:rsidRPr="001D1A69">
        <w:rPr>
          <w:rFonts w:ascii="Source Sans Pro" w:hAnsi="Source Sans Pro" w:cstheme="majorHAnsi"/>
          <w:sz w:val="24"/>
          <w:szCs w:val="24"/>
        </w:rPr>
        <w:t xml:space="preserve"> the strands of meaning or intention given to their presence, especially when gender inversion is introduced into the mix through characters such as M</w:t>
      </w:r>
      <w:r w:rsidR="00A05419" w:rsidRPr="001D1A69">
        <w:rPr>
          <w:rFonts w:ascii="Source Sans Pro" w:hAnsi="Source Sans Pro" w:cstheme="majorHAnsi"/>
          <w:color w:val="222222"/>
          <w:sz w:val="24"/>
          <w:szCs w:val="24"/>
          <w:shd w:val="clear" w:color="auto" w:fill="FFFFFF"/>
        </w:rPr>
        <w:t>ó</w:t>
      </w:r>
      <w:r w:rsidR="00A05419" w:rsidRPr="001D1A69">
        <w:rPr>
          <w:rFonts w:ascii="Source Sans Pro" w:hAnsi="Source Sans Pro" w:cstheme="majorHAnsi"/>
          <w:sz w:val="24"/>
          <w:szCs w:val="24"/>
        </w:rPr>
        <w:t>d</w:t>
      </w:r>
      <w:r w:rsidR="00A05419" w:rsidRPr="001D1A69">
        <w:rPr>
          <w:rFonts w:ascii="Source Sans Pro" w:hAnsi="Source Sans Pro" w:cstheme="majorHAnsi"/>
          <w:sz w:val="24"/>
          <w:szCs w:val="24"/>
          <w:shd w:val="clear" w:color="auto" w:fill="FFFFFF"/>
        </w:rPr>
        <w:t>þryðo</w:t>
      </w:r>
      <w:r w:rsidR="004671E5">
        <w:rPr>
          <w:rFonts w:ascii="Source Sans Pro" w:hAnsi="Source Sans Pro" w:cstheme="majorHAnsi"/>
          <w:sz w:val="24"/>
          <w:szCs w:val="24"/>
          <w:shd w:val="clear" w:color="auto" w:fill="FFFFFF"/>
        </w:rPr>
        <w:t>.</w:t>
      </w:r>
      <w:r w:rsidR="004671E5">
        <w:rPr>
          <w:rStyle w:val="FootnoteReference"/>
          <w:rFonts w:ascii="Source Sans Pro" w:hAnsi="Source Sans Pro" w:cstheme="majorHAnsi"/>
          <w:sz w:val="24"/>
          <w:szCs w:val="24"/>
          <w:shd w:val="clear" w:color="auto" w:fill="FFFFFF"/>
        </w:rPr>
        <w:footnoteReference w:id="14"/>
      </w:r>
      <w:r w:rsidR="004671E5">
        <w:rPr>
          <w:rFonts w:ascii="Source Sans Pro" w:hAnsi="Source Sans Pro" w:cstheme="majorHAnsi"/>
          <w:sz w:val="24"/>
          <w:szCs w:val="24"/>
          <w:shd w:val="clear" w:color="auto" w:fill="FFFFFF"/>
        </w:rPr>
        <w:t xml:space="preserve"> </w:t>
      </w:r>
      <w:r w:rsidR="0045632A">
        <w:rPr>
          <w:rFonts w:ascii="Source Sans Pro" w:hAnsi="Source Sans Pro" w:cstheme="majorHAnsi"/>
          <w:sz w:val="24"/>
          <w:szCs w:val="24"/>
        </w:rPr>
        <w:t xml:space="preserve">Though the study of gender norms in </w:t>
      </w:r>
      <w:r w:rsidR="0045632A">
        <w:rPr>
          <w:rFonts w:ascii="Source Sans Pro" w:hAnsi="Source Sans Pro" w:cstheme="majorHAnsi"/>
          <w:i/>
          <w:iCs/>
          <w:sz w:val="24"/>
          <w:szCs w:val="24"/>
        </w:rPr>
        <w:t xml:space="preserve">Beowulf </w:t>
      </w:r>
      <w:r w:rsidR="0045632A">
        <w:rPr>
          <w:rFonts w:ascii="Source Sans Pro" w:hAnsi="Source Sans Pro" w:cstheme="majorHAnsi"/>
          <w:sz w:val="24"/>
          <w:szCs w:val="24"/>
        </w:rPr>
        <w:t xml:space="preserve">and other Anglo-Saxon texts has started being explored more in recent years, most readings </w:t>
      </w:r>
      <w:r w:rsidR="004671E5">
        <w:rPr>
          <w:rFonts w:ascii="Source Sans Pro" w:hAnsi="Source Sans Pro" w:cstheme="majorHAnsi"/>
          <w:sz w:val="24"/>
          <w:szCs w:val="24"/>
        </w:rPr>
        <w:t>focused on</w:t>
      </w:r>
      <w:r w:rsidR="0045632A">
        <w:rPr>
          <w:rFonts w:ascii="Source Sans Pro" w:hAnsi="Source Sans Pro" w:cstheme="majorHAnsi"/>
          <w:sz w:val="24"/>
          <w:szCs w:val="24"/>
        </w:rPr>
        <w:t xml:space="preserve"> gender tend to only focus on one or the other.</w:t>
      </w:r>
      <w:r w:rsidR="0045632A">
        <w:rPr>
          <w:rStyle w:val="FootnoteReference"/>
          <w:rFonts w:ascii="Source Sans Pro" w:hAnsi="Source Sans Pro" w:cstheme="majorHAnsi"/>
          <w:sz w:val="24"/>
          <w:szCs w:val="24"/>
        </w:rPr>
        <w:footnoteReference w:id="15"/>
      </w:r>
      <w:r w:rsidR="0045632A">
        <w:rPr>
          <w:rFonts w:ascii="Source Sans Pro" w:hAnsi="Source Sans Pro" w:cstheme="majorHAnsi"/>
          <w:sz w:val="24"/>
          <w:szCs w:val="24"/>
        </w:rPr>
        <w:t xml:space="preserve"> All of the texts which </w:t>
      </w:r>
      <w:r w:rsidR="0045632A">
        <w:rPr>
          <w:rFonts w:ascii="Source Sans Pro" w:hAnsi="Source Sans Pro" w:cstheme="majorHAnsi"/>
          <w:i/>
          <w:iCs/>
          <w:sz w:val="24"/>
          <w:szCs w:val="24"/>
        </w:rPr>
        <w:t>do</w:t>
      </w:r>
      <w:r w:rsidR="0045632A">
        <w:rPr>
          <w:rFonts w:ascii="Source Sans Pro" w:hAnsi="Source Sans Pro" w:cstheme="majorHAnsi"/>
          <w:sz w:val="24"/>
          <w:szCs w:val="24"/>
        </w:rPr>
        <w:t xml:space="preserve"> focus on a single gender,</w:t>
      </w:r>
      <w:r w:rsidR="007A3BE0">
        <w:rPr>
          <w:rFonts w:ascii="Source Sans Pro" w:hAnsi="Source Sans Pro" w:cstheme="majorHAnsi"/>
          <w:sz w:val="24"/>
          <w:szCs w:val="24"/>
        </w:rPr>
        <w:t xml:space="preserve"> </w:t>
      </w:r>
      <w:r w:rsidR="007A3BE0">
        <w:rPr>
          <w:rFonts w:ascii="Source Sans Pro" w:hAnsi="Source Sans Pro" w:cstheme="majorHAnsi"/>
          <w:sz w:val="24"/>
          <w:szCs w:val="24"/>
        </w:rPr>
        <w:lastRenderedPageBreak/>
        <w:t xml:space="preserve">although extremely helpful as contributors to an understanding of gender in </w:t>
      </w:r>
      <w:r w:rsidR="007A3BE0">
        <w:rPr>
          <w:rFonts w:ascii="Source Sans Pro" w:hAnsi="Source Sans Pro" w:cstheme="majorHAnsi"/>
          <w:i/>
          <w:sz w:val="24"/>
          <w:szCs w:val="24"/>
        </w:rPr>
        <w:t>Beowulf</w:t>
      </w:r>
      <w:r w:rsidR="007A3BE0">
        <w:rPr>
          <w:rFonts w:ascii="Source Sans Pro" w:hAnsi="Source Sans Pro" w:cstheme="majorHAnsi"/>
          <w:sz w:val="24"/>
          <w:szCs w:val="24"/>
        </w:rPr>
        <w:t>,</w:t>
      </w:r>
      <w:r w:rsidR="0045632A">
        <w:rPr>
          <w:rFonts w:ascii="Source Sans Pro" w:hAnsi="Source Sans Pro" w:cstheme="majorHAnsi"/>
          <w:sz w:val="24"/>
          <w:szCs w:val="24"/>
        </w:rPr>
        <w:t xml:space="preserve"> often seem to ignore the other gender completely and this leaves the reader with a feeling of the analysis as being incomplete, </w:t>
      </w:r>
      <w:r w:rsidR="004671E5">
        <w:rPr>
          <w:rFonts w:ascii="Source Sans Pro" w:hAnsi="Source Sans Pro" w:cstheme="majorHAnsi"/>
          <w:sz w:val="24"/>
          <w:szCs w:val="24"/>
        </w:rPr>
        <w:t>something this research aims to avoid</w:t>
      </w:r>
      <w:r w:rsidR="0045632A">
        <w:rPr>
          <w:rFonts w:ascii="Source Sans Pro" w:hAnsi="Source Sans Pro" w:cstheme="majorHAnsi"/>
          <w:sz w:val="24"/>
          <w:szCs w:val="24"/>
        </w:rPr>
        <w:t xml:space="preserve">. </w:t>
      </w:r>
      <w:r w:rsidR="002743A5" w:rsidRPr="001D1A69">
        <w:rPr>
          <w:rFonts w:ascii="Source Sans Pro" w:hAnsi="Source Sans Pro" w:cstheme="majorHAnsi"/>
          <w:sz w:val="24"/>
          <w:szCs w:val="24"/>
        </w:rPr>
        <w:t>This thesis will be conducted using a post-structuralist feminis</w:t>
      </w:r>
      <w:r w:rsidR="00617913" w:rsidRPr="001D1A69">
        <w:rPr>
          <w:rFonts w:ascii="Source Sans Pro" w:hAnsi="Source Sans Pro" w:cstheme="majorHAnsi"/>
          <w:sz w:val="24"/>
          <w:szCs w:val="24"/>
        </w:rPr>
        <w:t>t</w:t>
      </w:r>
      <w:r w:rsidR="002743A5" w:rsidRPr="001D1A69">
        <w:rPr>
          <w:rFonts w:ascii="Source Sans Pro" w:hAnsi="Source Sans Pro" w:cstheme="majorHAnsi"/>
          <w:sz w:val="24"/>
          <w:szCs w:val="24"/>
        </w:rPr>
        <w:t xml:space="preserve"> approach</w:t>
      </w:r>
      <w:r w:rsidR="0016733F">
        <w:rPr>
          <w:rFonts w:ascii="Source Sans Pro" w:hAnsi="Source Sans Pro" w:cstheme="majorHAnsi"/>
          <w:sz w:val="24"/>
          <w:szCs w:val="24"/>
        </w:rPr>
        <w:t>.</w:t>
      </w:r>
      <w:r w:rsidR="0016733F" w:rsidRPr="0016733F">
        <w:rPr>
          <w:rStyle w:val="FootnoteReference"/>
          <w:rFonts w:ascii="Source Sans Pro" w:hAnsi="Source Sans Pro" w:cstheme="majorHAnsi"/>
          <w:sz w:val="24"/>
          <w:szCs w:val="24"/>
        </w:rPr>
        <w:t xml:space="preserve"> </w:t>
      </w:r>
      <w:r w:rsidR="0016733F" w:rsidRPr="001D1A69">
        <w:rPr>
          <w:rStyle w:val="FootnoteReference"/>
          <w:rFonts w:ascii="Source Sans Pro" w:hAnsi="Source Sans Pro" w:cstheme="majorHAnsi"/>
          <w:sz w:val="24"/>
          <w:szCs w:val="24"/>
        </w:rPr>
        <w:footnoteReference w:id="16"/>
      </w:r>
      <w:r w:rsidR="0016733F" w:rsidRPr="001D1A69">
        <w:rPr>
          <w:rFonts w:ascii="Source Sans Pro" w:hAnsi="Source Sans Pro" w:cstheme="majorHAnsi"/>
          <w:sz w:val="24"/>
          <w:szCs w:val="24"/>
        </w:rPr>
        <w:t xml:space="preserve"> </w:t>
      </w:r>
      <w:r w:rsidR="0016733F">
        <w:rPr>
          <w:rFonts w:ascii="Source Sans Pro" w:hAnsi="Source Sans Pro" w:cstheme="majorHAnsi"/>
          <w:sz w:val="24"/>
          <w:szCs w:val="24"/>
        </w:rPr>
        <w:t>This</w:t>
      </w:r>
      <w:r w:rsidR="002743A5" w:rsidRPr="001D1A69">
        <w:rPr>
          <w:rFonts w:ascii="Source Sans Pro" w:hAnsi="Source Sans Pro" w:cstheme="majorHAnsi"/>
          <w:sz w:val="24"/>
          <w:szCs w:val="24"/>
        </w:rPr>
        <w:t xml:space="preserve"> seemed the most relevant theoretical approach to use due to the binary oppositions of </w:t>
      </w:r>
      <w:r w:rsidR="009E6E57" w:rsidRPr="001D1A69">
        <w:rPr>
          <w:rFonts w:ascii="Source Sans Pro" w:hAnsi="Source Sans Pro" w:cstheme="majorHAnsi"/>
          <w:sz w:val="24"/>
          <w:szCs w:val="24"/>
        </w:rPr>
        <w:t>structuralism</w:t>
      </w:r>
      <w:r w:rsidR="002743A5" w:rsidRPr="001D1A69">
        <w:rPr>
          <w:rFonts w:ascii="Source Sans Pro" w:hAnsi="Source Sans Pro" w:cstheme="majorHAnsi"/>
          <w:sz w:val="24"/>
          <w:szCs w:val="24"/>
        </w:rPr>
        <w:t xml:space="preserve"> and how </w:t>
      </w:r>
      <w:r w:rsidR="00750996" w:rsidRPr="001D1A69">
        <w:rPr>
          <w:rFonts w:ascii="Source Sans Pro" w:hAnsi="Source Sans Pro" w:cstheme="majorHAnsi"/>
          <w:sz w:val="24"/>
          <w:szCs w:val="24"/>
        </w:rPr>
        <w:t>feminism</w:t>
      </w:r>
      <w:r w:rsidR="002743A5" w:rsidRPr="001D1A69">
        <w:rPr>
          <w:rFonts w:ascii="Source Sans Pro" w:hAnsi="Source Sans Pro" w:cstheme="majorHAnsi"/>
          <w:sz w:val="24"/>
          <w:szCs w:val="24"/>
        </w:rPr>
        <w:t xml:space="preserve"> classifies individuals and their experiences by </w:t>
      </w:r>
      <w:r w:rsidR="009E6E57" w:rsidRPr="001D1A69">
        <w:rPr>
          <w:rFonts w:ascii="Source Sans Pro" w:hAnsi="Source Sans Pro" w:cstheme="majorHAnsi"/>
          <w:sz w:val="24"/>
          <w:szCs w:val="24"/>
        </w:rPr>
        <w:t>gender</w:t>
      </w:r>
      <w:r w:rsidR="00350BDC" w:rsidRPr="001D1A69">
        <w:rPr>
          <w:rFonts w:ascii="Source Sans Pro" w:hAnsi="Source Sans Pro" w:cstheme="majorHAnsi"/>
          <w:sz w:val="24"/>
          <w:szCs w:val="24"/>
        </w:rPr>
        <w:t>.</w:t>
      </w:r>
      <w:r w:rsidR="002743A5" w:rsidRPr="001D1A69">
        <w:rPr>
          <w:rFonts w:ascii="Source Sans Pro" w:hAnsi="Source Sans Pro" w:cstheme="majorHAnsi"/>
          <w:sz w:val="24"/>
          <w:szCs w:val="24"/>
        </w:rPr>
        <w:t xml:space="preserve"> </w:t>
      </w:r>
    </w:p>
    <w:p w14:paraId="5A74809A" w14:textId="71E3A58F" w:rsidR="00846E19" w:rsidRPr="001D1A69" w:rsidRDefault="00AA01A4" w:rsidP="00B45613">
      <w:pPr>
        <w:rPr>
          <w:rFonts w:ascii="Source Sans Pro" w:hAnsi="Source Sans Pro" w:cstheme="majorHAnsi"/>
          <w:sz w:val="24"/>
          <w:szCs w:val="24"/>
        </w:rPr>
      </w:pPr>
      <w:r w:rsidRPr="001D1A69">
        <w:rPr>
          <w:rFonts w:ascii="Source Sans Pro" w:hAnsi="Source Sans Pro" w:cstheme="majorHAnsi"/>
          <w:sz w:val="24"/>
          <w:szCs w:val="24"/>
        </w:rPr>
        <w:t xml:space="preserve">A primary issue with studying </w:t>
      </w:r>
      <w:r w:rsidRPr="001D1A69">
        <w:rPr>
          <w:rFonts w:ascii="Source Sans Pro" w:hAnsi="Source Sans Pro" w:cstheme="majorHAnsi"/>
          <w:i/>
          <w:iCs/>
          <w:sz w:val="24"/>
          <w:szCs w:val="24"/>
        </w:rPr>
        <w:t xml:space="preserve">Beowulf </w:t>
      </w:r>
      <w:r w:rsidRPr="001D1A69">
        <w:rPr>
          <w:rFonts w:ascii="Source Sans Pro" w:hAnsi="Source Sans Pro" w:cstheme="majorHAnsi"/>
          <w:sz w:val="24"/>
          <w:szCs w:val="24"/>
        </w:rPr>
        <w:t xml:space="preserve">in modern English is that editors and translators alike take liberty to adjust the text in </w:t>
      </w:r>
      <w:r w:rsidR="00610F36" w:rsidRPr="001D1A69">
        <w:rPr>
          <w:rFonts w:ascii="Source Sans Pro" w:hAnsi="Source Sans Pro" w:cstheme="majorHAnsi"/>
          <w:sz w:val="24"/>
          <w:szCs w:val="24"/>
        </w:rPr>
        <w:t>order to make</w:t>
      </w:r>
      <w:r w:rsidRPr="001D1A69">
        <w:rPr>
          <w:rFonts w:ascii="Source Sans Pro" w:hAnsi="Source Sans Pro" w:cstheme="majorHAnsi"/>
          <w:sz w:val="24"/>
          <w:szCs w:val="24"/>
        </w:rPr>
        <w:t xml:space="preserve"> </w:t>
      </w:r>
      <w:r w:rsidR="0016733F">
        <w:rPr>
          <w:rFonts w:ascii="Source Sans Pro" w:hAnsi="Source Sans Pro" w:cstheme="majorHAnsi"/>
          <w:sz w:val="24"/>
          <w:szCs w:val="24"/>
        </w:rPr>
        <w:t>sense</w:t>
      </w:r>
      <w:r w:rsidRPr="001D1A69">
        <w:rPr>
          <w:rFonts w:ascii="Source Sans Pro" w:hAnsi="Source Sans Pro" w:cstheme="majorHAnsi"/>
          <w:sz w:val="24"/>
          <w:szCs w:val="24"/>
        </w:rPr>
        <w:t xml:space="preserve"> to the modern reader. This, though making the reading of </w:t>
      </w:r>
      <w:r w:rsidRPr="001D1A69">
        <w:rPr>
          <w:rFonts w:ascii="Source Sans Pro" w:hAnsi="Source Sans Pro" w:cstheme="majorHAnsi"/>
          <w:i/>
          <w:iCs/>
          <w:sz w:val="24"/>
          <w:szCs w:val="24"/>
        </w:rPr>
        <w:t>Beowulf</w:t>
      </w:r>
      <w:r w:rsidRPr="001D1A69">
        <w:rPr>
          <w:rFonts w:ascii="Source Sans Pro" w:hAnsi="Source Sans Pro" w:cstheme="majorHAnsi"/>
          <w:sz w:val="24"/>
          <w:szCs w:val="24"/>
        </w:rPr>
        <w:t xml:space="preserve"> more accessible, introduces many amendments to the traditional manuscript, making </w:t>
      </w:r>
      <w:r w:rsidR="00610F36" w:rsidRPr="001D1A69">
        <w:rPr>
          <w:rFonts w:ascii="Source Sans Pro" w:hAnsi="Source Sans Pro" w:cstheme="majorHAnsi"/>
          <w:sz w:val="24"/>
          <w:szCs w:val="24"/>
        </w:rPr>
        <w:t>‘</w:t>
      </w:r>
      <w:r w:rsidRPr="001D1A69">
        <w:rPr>
          <w:rFonts w:ascii="Source Sans Pro" w:hAnsi="Source Sans Pro" w:cstheme="majorHAnsi"/>
          <w:sz w:val="24"/>
          <w:szCs w:val="24"/>
        </w:rPr>
        <w:t>editions in this respect differ more from the MS than do most modern editions of classical texts</w:t>
      </w:r>
      <w:r w:rsidR="0016733F">
        <w:rPr>
          <w:rFonts w:ascii="Source Sans Pro" w:hAnsi="Source Sans Pro" w:cstheme="majorHAnsi"/>
          <w:sz w:val="24"/>
          <w:szCs w:val="24"/>
        </w:rPr>
        <w:t>.</w:t>
      </w:r>
      <w:r w:rsidRPr="001D1A69">
        <w:rPr>
          <w:rFonts w:ascii="Source Sans Pro" w:hAnsi="Source Sans Pro" w:cstheme="majorHAnsi"/>
          <w:sz w:val="24"/>
          <w:szCs w:val="24"/>
        </w:rPr>
        <w:t>’</w:t>
      </w:r>
      <w:r w:rsidRPr="001D1A69">
        <w:rPr>
          <w:rStyle w:val="FootnoteReference"/>
          <w:rFonts w:ascii="Source Sans Pro" w:hAnsi="Source Sans Pro" w:cstheme="majorHAnsi"/>
          <w:sz w:val="24"/>
          <w:szCs w:val="24"/>
        </w:rPr>
        <w:footnoteReference w:id="17"/>
      </w:r>
      <w:r w:rsidRPr="001D1A69">
        <w:rPr>
          <w:rFonts w:ascii="Source Sans Pro" w:hAnsi="Source Sans Pro" w:cstheme="majorHAnsi"/>
          <w:sz w:val="24"/>
          <w:szCs w:val="24"/>
        </w:rPr>
        <w:t xml:space="preserve"> This issue</w:t>
      </w:r>
      <w:r w:rsidR="00793057" w:rsidRPr="001D1A69">
        <w:rPr>
          <w:rFonts w:ascii="Source Sans Pro" w:hAnsi="Source Sans Pro" w:cstheme="majorHAnsi"/>
          <w:sz w:val="24"/>
          <w:szCs w:val="24"/>
        </w:rPr>
        <w:t xml:space="preserve"> seems to</w:t>
      </w:r>
      <w:r w:rsidRPr="001D1A69">
        <w:rPr>
          <w:rFonts w:ascii="Source Sans Pro" w:hAnsi="Source Sans Pro" w:cstheme="majorHAnsi"/>
          <w:sz w:val="24"/>
          <w:szCs w:val="24"/>
        </w:rPr>
        <w:t xml:space="preserve"> apply</w:t>
      </w:r>
      <w:r w:rsidR="00793057" w:rsidRPr="001D1A69">
        <w:rPr>
          <w:rFonts w:ascii="Source Sans Pro" w:hAnsi="Source Sans Pro" w:cstheme="majorHAnsi"/>
          <w:sz w:val="24"/>
          <w:szCs w:val="24"/>
        </w:rPr>
        <w:t xml:space="preserve"> more so</w:t>
      </w:r>
      <w:r w:rsidRPr="001D1A69">
        <w:rPr>
          <w:rFonts w:ascii="Source Sans Pro" w:hAnsi="Source Sans Pro" w:cstheme="majorHAnsi"/>
          <w:sz w:val="24"/>
          <w:szCs w:val="24"/>
        </w:rPr>
        <w:t xml:space="preserve"> to </w:t>
      </w:r>
      <w:r w:rsidR="0054770E" w:rsidRPr="001D1A69">
        <w:rPr>
          <w:rFonts w:ascii="Source Sans Pro" w:hAnsi="Source Sans Pro" w:cstheme="majorHAnsi"/>
          <w:sz w:val="24"/>
          <w:szCs w:val="24"/>
        </w:rPr>
        <w:t>contemporary English</w:t>
      </w:r>
      <w:r w:rsidRPr="001D1A69">
        <w:rPr>
          <w:rFonts w:ascii="Source Sans Pro" w:hAnsi="Source Sans Pro" w:cstheme="majorHAnsi"/>
          <w:sz w:val="24"/>
          <w:szCs w:val="24"/>
        </w:rPr>
        <w:t xml:space="preserve"> translations however, </w:t>
      </w:r>
      <w:r w:rsidR="00793057" w:rsidRPr="001D1A69">
        <w:rPr>
          <w:rFonts w:ascii="Source Sans Pro" w:hAnsi="Source Sans Pro" w:cstheme="majorHAnsi"/>
          <w:sz w:val="24"/>
          <w:szCs w:val="24"/>
        </w:rPr>
        <w:t>and not</w:t>
      </w:r>
      <w:r w:rsidRPr="001D1A69">
        <w:rPr>
          <w:rFonts w:ascii="Source Sans Pro" w:hAnsi="Source Sans Pro" w:cstheme="majorHAnsi"/>
          <w:sz w:val="24"/>
          <w:szCs w:val="24"/>
        </w:rPr>
        <w:t xml:space="preserve"> </w:t>
      </w:r>
      <w:r w:rsidR="001042FB" w:rsidRPr="001D1A69">
        <w:rPr>
          <w:rFonts w:ascii="Source Sans Pro" w:hAnsi="Source Sans Pro" w:cstheme="majorHAnsi"/>
          <w:sz w:val="24"/>
          <w:szCs w:val="24"/>
        </w:rPr>
        <w:t xml:space="preserve">as much </w:t>
      </w:r>
      <w:r w:rsidRPr="001D1A69">
        <w:rPr>
          <w:rFonts w:ascii="Source Sans Pro" w:hAnsi="Source Sans Pro" w:cstheme="majorHAnsi"/>
          <w:sz w:val="24"/>
          <w:szCs w:val="24"/>
        </w:rPr>
        <w:t>to those written in Anglo-Saxon</w:t>
      </w:r>
      <w:r w:rsidR="009D183A">
        <w:rPr>
          <w:rFonts w:ascii="Source Sans Pro" w:hAnsi="Source Sans Pro" w:cstheme="majorHAnsi"/>
          <w:sz w:val="24"/>
          <w:szCs w:val="24"/>
        </w:rPr>
        <w:t xml:space="preserve"> English</w:t>
      </w:r>
      <w:r w:rsidR="00DA4387" w:rsidRPr="001D1A69">
        <w:rPr>
          <w:rFonts w:ascii="Source Sans Pro" w:hAnsi="Source Sans Pro" w:cstheme="majorHAnsi"/>
          <w:sz w:val="24"/>
          <w:szCs w:val="24"/>
        </w:rPr>
        <w:t xml:space="preserve">, where it seems that the only difference is </w:t>
      </w:r>
      <w:r w:rsidR="0016733F">
        <w:rPr>
          <w:rFonts w:ascii="Source Sans Pro" w:hAnsi="Source Sans Pro" w:cstheme="majorHAnsi"/>
          <w:sz w:val="24"/>
          <w:szCs w:val="24"/>
        </w:rPr>
        <w:t>punctuation and line</w:t>
      </w:r>
      <w:r w:rsidR="00DA4387" w:rsidRPr="001D1A69">
        <w:rPr>
          <w:rFonts w:ascii="Source Sans Pro" w:hAnsi="Source Sans Pro" w:cstheme="majorHAnsi"/>
          <w:sz w:val="24"/>
          <w:szCs w:val="24"/>
        </w:rPr>
        <w:t xml:space="preserve"> divi</w:t>
      </w:r>
      <w:r w:rsidR="007A3BE0">
        <w:rPr>
          <w:rFonts w:ascii="Source Sans Pro" w:hAnsi="Source Sans Pro" w:cstheme="majorHAnsi"/>
          <w:sz w:val="24"/>
          <w:szCs w:val="24"/>
        </w:rPr>
        <w:t>sion,</w:t>
      </w:r>
      <w:r w:rsidR="00DA4387" w:rsidRPr="001D1A69">
        <w:rPr>
          <w:rFonts w:ascii="Source Sans Pro" w:hAnsi="Source Sans Pro" w:cstheme="majorHAnsi"/>
          <w:sz w:val="24"/>
          <w:szCs w:val="24"/>
        </w:rPr>
        <w:t xml:space="preserve"> and not </w:t>
      </w:r>
      <w:r w:rsidR="00491411">
        <w:rPr>
          <w:rFonts w:ascii="Source Sans Pro" w:hAnsi="Source Sans Pro" w:cstheme="majorHAnsi"/>
          <w:sz w:val="24"/>
          <w:szCs w:val="24"/>
        </w:rPr>
        <w:t>often</w:t>
      </w:r>
      <w:r w:rsidR="00DA4387" w:rsidRPr="001D1A69">
        <w:rPr>
          <w:rFonts w:ascii="Source Sans Pro" w:hAnsi="Source Sans Pro" w:cstheme="majorHAnsi"/>
          <w:sz w:val="24"/>
          <w:szCs w:val="24"/>
        </w:rPr>
        <w:t xml:space="preserve"> the words themselves</w:t>
      </w:r>
      <w:r w:rsidRPr="001D1A69">
        <w:rPr>
          <w:rFonts w:ascii="Source Sans Pro" w:hAnsi="Source Sans Pro" w:cstheme="majorHAnsi"/>
          <w:sz w:val="24"/>
          <w:szCs w:val="24"/>
        </w:rPr>
        <w:t>.</w:t>
      </w:r>
      <w:r w:rsidRPr="001D1A69">
        <w:rPr>
          <w:rStyle w:val="FootnoteReference"/>
          <w:rFonts w:ascii="Source Sans Pro" w:hAnsi="Source Sans Pro" w:cstheme="majorHAnsi"/>
          <w:sz w:val="24"/>
          <w:szCs w:val="24"/>
        </w:rPr>
        <w:footnoteReference w:id="18"/>
      </w:r>
      <w:r w:rsidRPr="001D1A69">
        <w:rPr>
          <w:rFonts w:ascii="Source Sans Pro" w:hAnsi="Source Sans Pro" w:cstheme="majorHAnsi"/>
          <w:sz w:val="24"/>
          <w:szCs w:val="24"/>
        </w:rPr>
        <w:t xml:space="preserve"> It seems appropriate due to these variations that </w:t>
      </w:r>
      <w:r w:rsidRPr="001D1A69">
        <w:rPr>
          <w:rFonts w:ascii="Source Sans Pro" w:hAnsi="Source Sans Pro" w:cstheme="majorHAnsi"/>
          <w:sz w:val="24"/>
          <w:szCs w:val="24"/>
        </w:rPr>
        <w:lastRenderedPageBreak/>
        <w:t>one primary t</w:t>
      </w:r>
      <w:r w:rsidR="00404E49" w:rsidRPr="001D1A69">
        <w:rPr>
          <w:rFonts w:ascii="Source Sans Pro" w:hAnsi="Source Sans Pro" w:cstheme="majorHAnsi"/>
          <w:sz w:val="24"/>
          <w:szCs w:val="24"/>
        </w:rPr>
        <w:t>ranslation</w:t>
      </w:r>
      <w:r w:rsidRPr="001D1A69">
        <w:rPr>
          <w:rFonts w:ascii="Source Sans Pro" w:hAnsi="Source Sans Pro" w:cstheme="majorHAnsi"/>
          <w:sz w:val="24"/>
          <w:szCs w:val="24"/>
        </w:rPr>
        <w:t xml:space="preserve"> be </w:t>
      </w:r>
      <w:r w:rsidR="00D54BFA" w:rsidRPr="001D1A69">
        <w:rPr>
          <w:rFonts w:ascii="Source Sans Pro" w:hAnsi="Source Sans Pro" w:cstheme="majorHAnsi"/>
          <w:sz w:val="24"/>
          <w:szCs w:val="24"/>
        </w:rPr>
        <w:t>identified</w:t>
      </w:r>
      <w:r w:rsidR="00AA1AD2" w:rsidRPr="001D1A69">
        <w:rPr>
          <w:rFonts w:ascii="Source Sans Pro" w:hAnsi="Source Sans Pro" w:cstheme="majorHAnsi"/>
          <w:sz w:val="24"/>
          <w:szCs w:val="24"/>
        </w:rPr>
        <w:t xml:space="preserve"> for textual reference</w:t>
      </w:r>
      <w:r w:rsidR="0016733F">
        <w:rPr>
          <w:rFonts w:ascii="Source Sans Pro" w:hAnsi="Source Sans Pro" w:cstheme="majorHAnsi"/>
          <w:sz w:val="24"/>
          <w:szCs w:val="24"/>
        </w:rPr>
        <w:t>s</w:t>
      </w:r>
      <w:r w:rsidR="00AA1AD2" w:rsidRPr="001D1A69">
        <w:rPr>
          <w:rFonts w:ascii="Source Sans Pro" w:hAnsi="Source Sans Pro" w:cstheme="majorHAnsi"/>
          <w:sz w:val="24"/>
          <w:szCs w:val="24"/>
        </w:rPr>
        <w:t xml:space="preserve"> to the poem</w:t>
      </w:r>
      <w:r w:rsidRPr="001D1A69">
        <w:rPr>
          <w:rFonts w:ascii="Source Sans Pro" w:hAnsi="Source Sans Pro" w:cstheme="majorHAnsi"/>
          <w:sz w:val="24"/>
          <w:szCs w:val="24"/>
        </w:rPr>
        <w:t>,</w:t>
      </w:r>
      <w:r w:rsidR="00404E49" w:rsidRPr="001D1A69">
        <w:rPr>
          <w:rFonts w:ascii="Source Sans Pro" w:hAnsi="Source Sans Pro" w:cstheme="majorHAnsi"/>
          <w:sz w:val="24"/>
          <w:szCs w:val="24"/>
        </w:rPr>
        <w:t xml:space="preserve"> namely Michael Swanton</w:t>
      </w:r>
      <w:r w:rsidR="007A3BE0">
        <w:rPr>
          <w:rFonts w:ascii="Source Sans Pro" w:hAnsi="Source Sans Pro" w:cstheme="majorHAnsi"/>
          <w:sz w:val="24"/>
          <w:szCs w:val="24"/>
        </w:rPr>
        <w:t>’</w:t>
      </w:r>
      <w:r w:rsidR="000D015D">
        <w:rPr>
          <w:rFonts w:ascii="Source Sans Pro" w:hAnsi="Source Sans Pro" w:cstheme="majorHAnsi"/>
          <w:sz w:val="24"/>
          <w:szCs w:val="24"/>
        </w:rPr>
        <w:t>s version</w:t>
      </w:r>
      <w:r w:rsidR="00404E49" w:rsidRPr="001D1A69">
        <w:rPr>
          <w:rFonts w:ascii="Source Sans Pro" w:hAnsi="Source Sans Pro" w:cstheme="majorHAnsi"/>
          <w:sz w:val="24"/>
          <w:szCs w:val="24"/>
        </w:rPr>
        <w:t>.</w:t>
      </w:r>
      <w:r w:rsidR="007E5542" w:rsidRPr="001D1A69">
        <w:rPr>
          <w:rStyle w:val="FootnoteReference"/>
          <w:rFonts w:ascii="Source Sans Pro" w:hAnsi="Source Sans Pro" w:cstheme="majorHAnsi"/>
          <w:sz w:val="24"/>
          <w:szCs w:val="24"/>
        </w:rPr>
        <w:footnoteReference w:id="19"/>
      </w:r>
      <w:r w:rsidRPr="001D1A69">
        <w:rPr>
          <w:rFonts w:ascii="Source Sans Pro" w:hAnsi="Source Sans Pro" w:cstheme="majorHAnsi"/>
          <w:sz w:val="24"/>
          <w:szCs w:val="24"/>
        </w:rPr>
        <w:t xml:space="preserve"> This is with the intention to avoid any confusion with regards to translation issues, as these </w:t>
      </w:r>
      <w:r w:rsidR="00A83427" w:rsidRPr="001D1A69">
        <w:rPr>
          <w:rFonts w:ascii="Source Sans Pro" w:hAnsi="Source Sans Pro" w:cstheme="majorHAnsi"/>
          <w:sz w:val="24"/>
          <w:szCs w:val="24"/>
        </w:rPr>
        <w:t xml:space="preserve">cannot be addressed here </w:t>
      </w:r>
      <w:r w:rsidR="007C2D32" w:rsidRPr="001D1A69">
        <w:rPr>
          <w:rFonts w:ascii="Source Sans Pro" w:hAnsi="Source Sans Pro" w:cstheme="majorHAnsi"/>
          <w:sz w:val="24"/>
          <w:szCs w:val="24"/>
        </w:rPr>
        <w:t>whilst doing them justice</w:t>
      </w:r>
      <w:r w:rsidR="00A83427" w:rsidRPr="001D1A69">
        <w:rPr>
          <w:rFonts w:ascii="Source Sans Pro" w:hAnsi="Source Sans Pro" w:cstheme="majorHAnsi"/>
          <w:sz w:val="24"/>
          <w:szCs w:val="24"/>
        </w:rPr>
        <w:t xml:space="preserve"> due to their complexity</w:t>
      </w:r>
      <w:r w:rsidR="000D015D">
        <w:rPr>
          <w:rFonts w:ascii="Source Sans Pro" w:hAnsi="Source Sans Pro" w:cstheme="majorHAnsi"/>
          <w:sz w:val="24"/>
          <w:szCs w:val="24"/>
        </w:rPr>
        <w:t xml:space="preserve"> </w:t>
      </w:r>
      <w:r w:rsidR="00B9313A">
        <w:rPr>
          <w:rFonts w:ascii="Source Sans Pro" w:hAnsi="Source Sans Pro" w:cstheme="majorHAnsi"/>
          <w:sz w:val="24"/>
          <w:szCs w:val="24"/>
        </w:rPr>
        <w:t>and</w:t>
      </w:r>
      <w:r w:rsidR="000D015D">
        <w:rPr>
          <w:rFonts w:ascii="Source Sans Pro" w:hAnsi="Source Sans Pro" w:cstheme="majorHAnsi"/>
          <w:sz w:val="24"/>
          <w:szCs w:val="24"/>
        </w:rPr>
        <w:t xml:space="preserve"> importance</w:t>
      </w:r>
      <w:r w:rsidR="00121E0D">
        <w:rPr>
          <w:rFonts w:ascii="Source Sans Pro" w:hAnsi="Source Sans Pro" w:cstheme="majorHAnsi"/>
          <w:sz w:val="24"/>
          <w:szCs w:val="24"/>
        </w:rPr>
        <w:t>.</w:t>
      </w:r>
    </w:p>
    <w:p w14:paraId="1DA5EE6E" w14:textId="5AB8692B" w:rsidR="00776D95" w:rsidRDefault="007C2D32" w:rsidP="00B45613">
      <w:pPr>
        <w:rPr>
          <w:rFonts w:ascii="Source Sans Pro" w:hAnsi="Source Sans Pro" w:cstheme="majorHAnsi"/>
          <w:sz w:val="24"/>
          <w:szCs w:val="24"/>
        </w:rPr>
      </w:pPr>
      <w:r w:rsidRPr="001D1A69">
        <w:rPr>
          <w:rFonts w:ascii="Source Sans Pro" w:hAnsi="Source Sans Pro" w:cstheme="majorHAnsi"/>
          <w:sz w:val="24"/>
          <w:szCs w:val="24"/>
        </w:rPr>
        <w:t xml:space="preserve">To undertake this research efficaciously, a review of primary issues regarding gender in </w:t>
      </w:r>
      <w:r w:rsidRPr="001D1A69">
        <w:rPr>
          <w:rFonts w:ascii="Source Sans Pro" w:hAnsi="Source Sans Pro" w:cstheme="majorHAnsi"/>
          <w:i/>
          <w:iCs/>
          <w:sz w:val="24"/>
          <w:szCs w:val="24"/>
        </w:rPr>
        <w:t>Beowulf</w:t>
      </w:r>
      <w:r w:rsidRPr="001D1A69">
        <w:rPr>
          <w:rFonts w:ascii="Source Sans Pro" w:hAnsi="Source Sans Pro" w:cstheme="majorHAnsi"/>
          <w:sz w:val="24"/>
          <w:szCs w:val="24"/>
        </w:rPr>
        <w:t xml:space="preserve"> as well as </w:t>
      </w:r>
      <w:r w:rsidR="0016733F">
        <w:rPr>
          <w:rFonts w:ascii="Source Sans Pro" w:hAnsi="Source Sans Pro" w:cstheme="majorHAnsi"/>
          <w:sz w:val="24"/>
          <w:szCs w:val="24"/>
        </w:rPr>
        <w:t>within its historical</w:t>
      </w:r>
      <w:r w:rsidR="007A3BE0">
        <w:rPr>
          <w:rFonts w:ascii="Source Sans Pro" w:hAnsi="Source Sans Pro" w:cstheme="majorHAnsi"/>
          <w:sz w:val="24"/>
          <w:szCs w:val="24"/>
        </w:rPr>
        <w:t xml:space="preserve"> context</w:t>
      </w:r>
      <w:r w:rsidRPr="001D1A69">
        <w:rPr>
          <w:rFonts w:ascii="Source Sans Pro" w:hAnsi="Source Sans Pro" w:cstheme="majorHAnsi"/>
          <w:sz w:val="24"/>
          <w:szCs w:val="24"/>
        </w:rPr>
        <w:t xml:space="preserve"> will be undertaken in order to try to decipher</w:t>
      </w:r>
      <w:r w:rsidR="007A3BE0">
        <w:rPr>
          <w:rFonts w:ascii="Source Sans Pro" w:hAnsi="Source Sans Pro" w:cstheme="majorHAnsi"/>
          <w:sz w:val="24"/>
          <w:szCs w:val="24"/>
        </w:rPr>
        <w:t xml:space="preserve"> the dynamic</w:t>
      </w:r>
      <w:r w:rsidR="00DE376B">
        <w:rPr>
          <w:rFonts w:ascii="Source Sans Pro" w:hAnsi="Source Sans Pro" w:cstheme="majorHAnsi"/>
          <w:sz w:val="24"/>
          <w:szCs w:val="24"/>
        </w:rPr>
        <w:t xml:space="preserve"> of</w:t>
      </w:r>
      <w:r w:rsidR="007A3BE0">
        <w:rPr>
          <w:rFonts w:ascii="Source Sans Pro" w:hAnsi="Source Sans Pro" w:cstheme="majorHAnsi"/>
          <w:sz w:val="24"/>
          <w:szCs w:val="24"/>
        </w:rPr>
        <w:t xml:space="preserve"> the</w:t>
      </w:r>
      <w:r w:rsidRPr="001D1A69">
        <w:rPr>
          <w:rFonts w:ascii="Source Sans Pro" w:hAnsi="Source Sans Pro" w:cstheme="majorHAnsi"/>
          <w:sz w:val="24"/>
          <w:szCs w:val="24"/>
        </w:rPr>
        <w:t xml:space="preserve"> revenge culture</w:t>
      </w:r>
      <w:r w:rsidR="007A3BE0">
        <w:rPr>
          <w:rFonts w:ascii="Source Sans Pro" w:hAnsi="Source Sans Pro" w:cstheme="majorHAnsi"/>
          <w:sz w:val="24"/>
          <w:szCs w:val="24"/>
        </w:rPr>
        <w:t xml:space="preserve"> alive</w:t>
      </w:r>
      <w:r w:rsidRPr="001D1A69">
        <w:rPr>
          <w:rFonts w:ascii="Source Sans Pro" w:hAnsi="Source Sans Pro" w:cstheme="majorHAnsi"/>
          <w:sz w:val="24"/>
          <w:szCs w:val="24"/>
        </w:rPr>
        <w:t xml:space="preserve"> </w:t>
      </w:r>
      <w:r w:rsidR="007A3BE0">
        <w:rPr>
          <w:rFonts w:ascii="Source Sans Pro" w:hAnsi="Source Sans Pro" w:cstheme="majorHAnsi"/>
          <w:sz w:val="24"/>
          <w:szCs w:val="24"/>
        </w:rPr>
        <w:t>with</w:t>
      </w:r>
      <w:r w:rsidRPr="001D1A69">
        <w:rPr>
          <w:rFonts w:ascii="Source Sans Pro" w:hAnsi="Source Sans Pro" w:cstheme="majorHAnsi"/>
          <w:sz w:val="24"/>
          <w:szCs w:val="24"/>
        </w:rPr>
        <w:t>in the poem.</w:t>
      </w:r>
      <w:r w:rsidR="00DE376B">
        <w:rPr>
          <w:rFonts w:ascii="Source Sans Pro" w:hAnsi="Source Sans Pro" w:cstheme="majorHAnsi"/>
          <w:sz w:val="24"/>
          <w:szCs w:val="24"/>
        </w:rPr>
        <w:t xml:space="preserve"> </w:t>
      </w:r>
      <w:r w:rsidRPr="001D1A69">
        <w:rPr>
          <w:rFonts w:ascii="Source Sans Pro" w:hAnsi="Source Sans Pro" w:cstheme="majorHAnsi"/>
          <w:sz w:val="24"/>
          <w:szCs w:val="24"/>
        </w:rPr>
        <w:t xml:space="preserve">An attempt to then combine these findings with a knowledge of Anglo-Saxon society will </w:t>
      </w:r>
      <w:r w:rsidR="007B5FD6">
        <w:rPr>
          <w:rFonts w:ascii="Source Sans Pro" w:hAnsi="Source Sans Pro" w:cstheme="majorHAnsi"/>
          <w:sz w:val="24"/>
          <w:szCs w:val="24"/>
        </w:rPr>
        <w:t xml:space="preserve">hopefully </w:t>
      </w:r>
      <w:r w:rsidRPr="001D1A69">
        <w:rPr>
          <w:rFonts w:ascii="Source Sans Pro" w:hAnsi="Source Sans Pro" w:cstheme="majorHAnsi"/>
          <w:sz w:val="24"/>
          <w:szCs w:val="24"/>
        </w:rPr>
        <w:t xml:space="preserve">bring both historical and literary evidence together to answer the question the title poses. Throughout, it will be </w:t>
      </w:r>
      <w:r w:rsidR="00E82C4C">
        <w:rPr>
          <w:rFonts w:ascii="Source Sans Pro" w:hAnsi="Source Sans Pro" w:cstheme="majorHAnsi"/>
          <w:sz w:val="24"/>
          <w:szCs w:val="24"/>
        </w:rPr>
        <w:t>assumed</w:t>
      </w:r>
      <w:r w:rsidRPr="001D1A69">
        <w:rPr>
          <w:rFonts w:ascii="Source Sans Pro" w:hAnsi="Source Sans Pro" w:cstheme="majorHAnsi"/>
          <w:sz w:val="24"/>
          <w:szCs w:val="24"/>
        </w:rPr>
        <w:t xml:space="preserve"> that the revenge culture seen in </w:t>
      </w:r>
      <w:r w:rsidRPr="001D1A69">
        <w:rPr>
          <w:rFonts w:ascii="Source Sans Pro" w:hAnsi="Source Sans Pro" w:cstheme="majorHAnsi"/>
          <w:i/>
          <w:iCs/>
          <w:sz w:val="24"/>
          <w:szCs w:val="24"/>
        </w:rPr>
        <w:t xml:space="preserve">Beowulf </w:t>
      </w:r>
      <w:r w:rsidRPr="001D1A69">
        <w:rPr>
          <w:rFonts w:ascii="Source Sans Pro" w:hAnsi="Source Sans Pro" w:cstheme="majorHAnsi"/>
          <w:sz w:val="24"/>
          <w:szCs w:val="24"/>
        </w:rPr>
        <w:t>reflec</w:t>
      </w:r>
      <w:r w:rsidR="007A3BE0">
        <w:rPr>
          <w:rFonts w:ascii="Source Sans Pro" w:hAnsi="Source Sans Pro" w:cstheme="majorHAnsi"/>
          <w:sz w:val="24"/>
          <w:szCs w:val="24"/>
        </w:rPr>
        <w:t>ted some societal norms prevalent</w:t>
      </w:r>
      <w:r w:rsidRPr="001D1A69">
        <w:rPr>
          <w:rFonts w:ascii="Source Sans Pro" w:hAnsi="Source Sans Pro" w:cstheme="majorHAnsi"/>
          <w:sz w:val="24"/>
          <w:szCs w:val="24"/>
        </w:rPr>
        <w:t xml:space="preserve"> in law and literature during the Anglo-Saxon era.</w:t>
      </w:r>
      <w:r w:rsidR="00683214">
        <w:rPr>
          <w:rFonts w:ascii="Source Sans Pro" w:hAnsi="Source Sans Pro" w:cstheme="majorHAnsi"/>
          <w:sz w:val="24"/>
          <w:szCs w:val="24"/>
        </w:rPr>
        <w:t xml:space="preserve"> It should be noted that the intention of the </w:t>
      </w:r>
      <w:r w:rsidR="00683214">
        <w:rPr>
          <w:rFonts w:ascii="Source Sans Pro" w:hAnsi="Source Sans Pro" w:cstheme="majorHAnsi"/>
          <w:i/>
          <w:iCs/>
          <w:sz w:val="24"/>
          <w:szCs w:val="24"/>
        </w:rPr>
        <w:t>Beowulf</w:t>
      </w:r>
      <w:r w:rsidR="00683214">
        <w:rPr>
          <w:rFonts w:ascii="Source Sans Pro" w:hAnsi="Source Sans Pro" w:cstheme="majorHAnsi"/>
          <w:sz w:val="24"/>
          <w:szCs w:val="24"/>
        </w:rPr>
        <w:t xml:space="preserve"> poet himself may have been trying to oppose these norms too, and therefore this possibility will also need to be mentioned here.</w:t>
      </w:r>
    </w:p>
    <w:p w14:paraId="28B191AF" w14:textId="3F2E9D0D" w:rsidR="00776D95" w:rsidRDefault="00776D95" w:rsidP="00B45613">
      <w:pPr>
        <w:rPr>
          <w:rFonts w:ascii="Source Sans Pro" w:hAnsi="Source Sans Pro" w:cstheme="majorHAnsi"/>
          <w:sz w:val="24"/>
          <w:szCs w:val="24"/>
        </w:rPr>
      </w:pPr>
    </w:p>
    <w:p w14:paraId="07A3C1D0" w14:textId="56CD8C4A" w:rsidR="007124B8" w:rsidRDefault="007124B8" w:rsidP="00B45613">
      <w:pPr>
        <w:rPr>
          <w:rFonts w:ascii="Source Sans Pro" w:hAnsi="Source Sans Pro" w:cstheme="majorHAnsi"/>
          <w:sz w:val="24"/>
          <w:szCs w:val="24"/>
        </w:rPr>
      </w:pPr>
    </w:p>
    <w:p w14:paraId="124713AA" w14:textId="77777777" w:rsidR="008B3ED7" w:rsidRPr="005D2C8D" w:rsidRDefault="008B3ED7" w:rsidP="00B45613"/>
    <w:p w14:paraId="6E7B75BF" w14:textId="29815D2F" w:rsidR="007265C3" w:rsidRPr="00390C46" w:rsidRDefault="0073554B" w:rsidP="00390C46">
      <w:pPr>
        <w:pStyle w:val="Heading1"/>
        <w:rPr>
          <w:b/>
          <w:color w:val="auto"/>
          <w:sz w:val="26"/>
          <w:szCs w:val="26"/>
          <w:u w:val="single"/>
        </w:rPr>
      </w:pPr>
      <w:bookmarkStart w:id="1" w:name="_Toc40131057"/>
      <w:r w:rsidRPr="00390C46">
        <w:rPr>
          <w:b/>
          <w:color w:val="auto"/>
          <w:sz w:val="26"/>
          <w:szCs w:val="26"/>
          <w:u w:val="single"/>
        </w:rPr>
        <w:lastRenderedPageBreak/>
        <w:t>The Role of Gender</w:t>
      </w:r>
      <w:r w:rsidR="00771BCB" w:rsidRPr="00390C46">
        <w:rPr>
          <w:b/>
          <w:color w:val="auto"/>
          <w:sz w:val="26"/>
          <w:szCs w:val="26"/>
          <w:u w:val="single"/>
        </w:rPr>
        <w:t xml:space="preserve"> </w:t>
      </w:r>
      <w:r w:rsidR="004E755F" w:rsidRPr="00390C46">
        <w:rPr>
          <w:b/>
          <w:color w:val="auto"/>
          <w:sz w:val="26"/>
          <w:szCs w:val="26"/>
          <w:u w:val="single"/>
        </w:rPr>
        <w:t xml:space="preserve">around the time of </w:t>
      </w:r>
      <w:r w:rsidR="004E755F" w:rsidRPr="00390C46">
        <w:rPr>
          <w:b/>
          <w:i/>
          <w:color w:val="auto"/>
          <w:sz w:val="26"/>
          <w:szCs w:val="26"/>
          <w:u w:val="single"/>
        </w:rPr>
        <w:t>Beowulf</w:t>
      </w:r>
      <w:r w:rsidR="004E755F" w:rsidRPr="00390C46">
        <w:rPr>
          <w:b/>
          <w:color w:val="auto"/>
          <w:sz w:val="26"/>
          <w:szCs w:val="26"/>
          <w:u w:val="single"/>
        </w:rPr>
        <w:t xml:space="preserve"> in History and Literature</w:t>
      </w:r>
      <w:bookmarkEnd w:id="1"/>
    </w:p>
    <w:p w14:paraId="4C95EDF9" w14:textId="410EB1E9" w:rsidR="00C872D3" w:rsidRPr="00723618" w:rsidRDefault="00C7602B" w:rsidP="007C2D32">
      <w:pPr>
        <w:rPr>
          <w:rFonts w:ascii="Source Sans Pro" w:hAnsi="Source Sans Pro" w:cstheme="majorHAnsi"/>
          <w:sz w:val="24"/>
          <w:szCs w:val="24"/>
        </w:rPr>
      </w:pPr>
      <w:r w:rsidRPr="001D1A69">
        <w:rPr>
          <w:rFonts w:ascii="Source Sans Pro" w:hAnsi="Source Sans Pro" w:cstheme="majorHAnsi"/>
          <w:sz w:val="24"/>
          <w:szCs w:val="24"/>
        </w:rPr>
        <w:t>Studies on the medieval perspective o</w:t>
      </w:r>
      <w:r w:rsidR="00436054" w:rsidRPr="001D1A69">
        <w:rPr>
          <w:rFonts w:ascii="Source Sans Pro" w:hAnsi="Source Sans Pro" w:cstheme="majorHAnsi"/>
          <w:sz w:val="24"/>
          <w:szCs w:val="24"/>
        </w:rPr>
        <w:t>f</w:t>
      </w:r>
      <w:r w:rsidRPr="001D1A69">
        <w:rPr>
          <w:rFonts w:ascii="Source Sans Pro" w:hAnsi="Source Sans Pro" w:cstheme="majorHAnsi"/>
          <w:sz w:val="24"/>
          <w:szCs w:val="24"/>
        </w:rPr>
        <w:t xml:space="preserve"> </w:t>
      </w:r>
      <w:r w:rsidR="0034447C" w:rsidRPr="001D1A69">
        <w:rPr>
          <w:rFonts w:ascii="Source Sans Pro" w:hAnsi="Source Sans Pro" w:cstheme="majorHAnsi"/>
          <w:sz w:val="24"/>
          <w:szCs w:val="24"/>
        </w:rPr>
        <w:t>gender</w:t>
      </w:r>
      <w:r w:rsidRPr="001D1A69">
        <w:rPr>
          <w:rFonts w:ascii="Source Sans Pro" w:hAnsi="Source Sans Pro" w:cstheme="majorHAnsi"/>
          <w:sz w:val="24"/>
          <w:szCs w:val="24"/>
        </w:rPr>
        <w:t xml:space="preserve"> have</w:t>
      </w:r>
      <w:r w:rsidR="00491411">
        <w:rPr>
          <w:rFonts w:ascii="Source Sans Pro" w:hAnsi="Source Sans Pro" w:cstheme="majorHAnsi"/>
          <w:sz w:val="24"/>
          <w:szCs w:val="24"/>
        </w:rPr>
        <w:t xml:space="preserve"> recently</w:t>
      </w:r>
      <w:r w:rsidR="00974279" w:rsidRPr="001D1A69">
        <w:rPr>
          <w:rFonts w:ascii="Source Sans Pro" w:hAnsi="Source Sans Pro" w:cstheme="majorHAnsi"/>
          <w:sz w:val="24"/>
          <w:szCs w:val="24"/>
        </w:rPr>
        <w:t xml:space="preserve"> </w:t>
      </w:r>
      <w:r w:rsidR="00C4141A" w:rsidRPr="001D1A69">
        <w:rPr>
          <w:rFonts w:ascii="Source Sans Pro" w:hAnsi="Source Sans Pro" w:cstheme="majorHAnsi"/>
          <w:sz w:val="24"/>
          <w:szCs w:val="24"/>
        </w:rPr>
        <w:t xml:space="preserve">started to be explored </w:t>
      </w:r>
      <w:r w:rsidR="00665736" w:rsidRPr="001D1A69">
        <w:rPr>
          <w:rFonts w:ascii="Source Sans Pro" w:hAnsi="Source Sans Pro" w:cstheme="majorHAnsi"/>
          <w:sz w:val="24"/>
          <w:szCs w:val="24"/>
        </w:rPr>
        <w:t>by historians</w:t>
      </w:r>
      <w:r w:rsidR="00C4141A" w:rsidRPr="001D1A69">
        <w:rPr>
          <w:rFonts w:ascii="Source Sans Pro" w:hAnsi="Source Sans Pro" w:cstheme="majorHAnsi"/>
          <w:sz w:val="24"/>
          <w:szCs w:val="24"/>
        </w:rPr>
        <w:t xml:space="preserve"> and</w:t>
      </w:r>
      <w:r w:rsidR="00E0597D" w:rsidRPr="001D1A69">
        <w:rPr>
          <w:rFonts w:ascii="Source Sans Pro" w:hAnsi="Source Sans Pro" w:cstheme="majorHAnsi"/>
          <w:sz w:val="24"/>
          <w:szCs w:val="24"/>
        </w:rPr>
        <w:t xml:space="preserve"> </w:t>
      </w:r>
      <w:r w:rsidR="00C4141A" w:rsidRPr="001D1A69">
        <w:rPr>
          <w:rFonts w:ascii="Source Sans Pro" w:hAnsi="Source Sans Pro" w:cstheme="majorHAnsi"/>
          <w:sz w:val="24"/>
          <w:szCs w:val="24"/>
        </w:rPr>
        <w:t>literary scholars alike</w:t>
      </w:r>
      <w:r w:rsidRPr="001D1A69">
        <w:rPr>
          <w:rFonts w:ascii="Source Sans Pro" w:hAnsi="Source Sans Pro" w:cstheme="majorHAnsi"/>
          <w:sz w:val="24"/>
          <w:szCs w:val="24"/>
        </w:rPr>
        <w:t xml:space="preserve"> </w:t>
      </w:r>
      <w:r w:rsidR="00DA4E2B" w:rsidRPr="001D1A69">
        <w:rPr>
          <w:rFonts w:ascii="Source Sans Pro" w:hAnsi="Source Sans Pro" w:cstheme="majorHAnsi"/>
          <w:sz w:val="24"/>
          <w:szCs w:val="24"/>
        </w:rPr>
        <w:t xml:space="preserve">relatively recently </w:t>
      </w:r>
      <w:r w:rsidRPr="001D1A69">
        <w:rPr>
          <w:rFonts w:ascii="Source Sans Pro" w:hAnsi="Source Sans Pro" w:cstheme="majorHAnsi"/>
          <w:sz w:val="24"/>
          <w:szCs w:val="24"/>
        </w:rPr>
        <w:t>and it</w:t>
      </w:r>
      <w:r w:rsidR="00491411">
        <w:rPr>
          <w:rFonts w:ascii="Source Sans Pro" w:hAnsi="Source Sans Pro" w:cstheme="majorHAnsi"/>
          <w:sz w:val="24"/>
          <w:szCs w:val="24"/>
        </w:rPr>
        <w:t xml:space="preserve"> often</w:t>
      </w:r>
      <w:r w:rsidRPr="001D1A69">
        <w:rPr>
          <w:rFonts w:ascii="Source Sans Pro" w:hAnsi="Source Sans Pro" w:cstheme="majorHAnsi"/>
          <w:sz w:val="24"/>
          <w:szCs w:val="24"/>
        </w:rPr>
        <w:t xml:space="preserve"> </w:t>
      </w:r>
      <w:r w:rsidR="00C4141A" w:rsidRPr="001D1A69">
        <w:rPr>
          <w:rFonts w:ascii="Source Sans Pro" w:hAnsi="Source Sans Pro" w:cstheme="majorHAnsi"/>
          <w:sz w:val="24"/>
          <w:szCs w:val="24"/>
        </w:rPr>
        <w:t>seems</w:t>
      </w:r>
      <w:r w:rsidRPr="001D1A69">
        <w:rPr>
          <w:rFonts w:ascii="Source Sans Pro" w:hAnsi="Source Sans Pro" w:cstheme="majorHAnsi"/>
          <w:sz w:val="24"/>
          <w:szCs w:val="24"/>
        </w:rPr>
        <w:t xml:space="preserve"> apparent, as Neal puts it, that in medieval society</w:t>
      </w:r>
      <w:r w:rsidR="00C3688D" w:rsidRPr="001D1A69">
        <w:rPr>
          <w:rFonts w:ascii="Source Sans Pro" w:hAnsi="Source Sans Pro" w:cstheme="majorHAnsi"/>
          <w:sz w:val="24"/>
          <w:szCs w:val="24"/>
        </w:rPr>
        <w:t xml:space="preserve"> ‘the feminine’</w:t>
      </w:r>
      <w:r w:rsidRPr="001D1A69">
        <w:rPr>
          <w:rFonts w:ascii="Source Sans Pro" w:hAnsi="Source Sans Pro" w:cstheme="majorHAnsi"/>
          <w:sz w:val="24"/>
          <w:szCs w:val="24"/>
        </w:rPr>
        <w:t xml:space="preserve"> </w:t>
      </w:r>
      <w:r w:rsidR="003622B7" w:rsidRPr="001D1A69">
        <w:rPr>
          <w:rFonts w:ascii="Source Sans Pro" w:hAnsi="Source Sans Pro" w:cstheme="majorHAnsi"/>
          <w:sz w:val="24"/>
          <w:szCs w:val="24"/>
        </w:rPr>
        <w:t>was</w:t>
      </w:r>
      <w:r w:rsidRPr="001D1A69">
        <w:rPr>
          <w:rFonts w:ascii="Source Sans Pro" w:hAnsi="Source Sans Pro" w:cstheme="majorHAnsi"/>
          <w:sz w:val="24"/>
          <w:szCs w:val="24"/>
        </w:rPr>
        <w:t xml:space="preserve"> seen </w:t>
      </w:r>
      <w:r w:rsidR="00350BDC" w:rsidRPr="001D1A69">
        <w:rPr>
          <w:rFonts w:ascii="Source Sans Pro" w:hAnsi="Source Sans Pro" w:cstheme="majorHAnsi"/>
          <w:sz w:val="24"/>
          <w:szCs w:val="24"/>
        </w:rPr>
        <w:t>‘</w:t>
      </w:r>
      <w:r w:rsidRPr="001D1A69">
        <w:rPr>
          <w:rFonts w:ascii="Source Sans Pro" w:hAnsi="Source Sans Pro" w:cstheme="majorHAnsi"/>
          <w:sz w:val="24"/>
          <w:szCs w:val="24"/>
        </w:rPr>
        <w:t>in terms of lack, insufficiency and subordination</w:t>
      </w:r>
      <w:r w:rsidR="00350BDC" w:rsidRPr="001D1A69">
        <w:rPr>
          <w:rFonts w:ascii="Source Sans Pro" w:hAnsi="Source Sans Pro" w:cstheme="majorHAnsi"/>
          <w:sz w:val="24"/>
          <w:szCs w:val="24"/>
        </w:rPr>
        <w:t>,’</w:t>
      </w:r>
      <w:r w:rsidRPr="001D1A69">
        <w:rPr>
          <w:rStyle w:val="FootnoteReference"/>
          <w:rFonts w:ascii="Source Sans Pro" w:hAnsi="Source Sans Pro" w:cstheme="majorHAnsi"/>
          <w:sz w:val="24"/>
          <w:szCs w:val="24"/>
        </w:rPr>
        <w:footnoteReference w:id="20"/>
      </w:r>
      <w:r w:rsidR="0034447C" w:rsidRPr="001D1A69">
        <w:rPr>
          <w:rFonts w:ascii="Source Sans Pro" w:hAnsi="Source Sans Pro" w:cstheme="majorHAnsi"/>
          <w:sz w:val="24"/>
          <w:szCs w:val="24"/>
        </w:rPr>
        <w:t xml:space="preserve"> whereas the male was seen as the ideal</w:t>
      </w:r>
      <w:r w:rsidR="007D0092" w:rsidRPr="001D1A69">
        <w:rPr>
          <w:rFonts w:ascii="Source Sans Pro" w:hAnsi="Source Sans Pro" w:cstheme="majorHAnsi"/>
          <w:sz w:val="24"/>
          <w:szCs w:val="24"/>
        </w:rPr>
        <w:t xml:space="preserve"> state of</w:t>
      </w:r>
      <w:r w:rsidR="0034447C" w:rsidRPr="001D1A69">
        <w:rPr>
          <w:rFonts w:ascii="Source Sans Pro" w:hAnsi="Source Sans Pro" w:cstheme="majorHAnsi"/>
          <w:sz w:val="24"/>
          <w:szCs w:val="24"/>
        </w:rPr>
        <w:t xml:space="preserve"> being.</w:t>
      </w:r>
      <w:r w:rsidR="007D0092" w:rsidRPr="001D1A69">
        <w:rPr>
          <w:rFonts w:ascii="Source Sans Pro" w:hAnsi="Source Sans Pro" w:cstheme="majorHAnsi"/>
          <w:sz w:val="24"/>
          <w:szCs w:val="24"/>
        </w:rPr>
        <w:t xml:space="preserve"> </w:t>
      </w:r>
      <w:r w:rsidR="00C4141A" w:rsidRPr="001D1A69">
        <w:rPr>
          <w:rFonts w:ascii="Source Sans Pro" w:hAnsi="Source Sans Pro" w:cstheme="majorHAnsi"/>
          <w:sz w:val="24"/>
          <w:szCs w:val="24"/>
        </w:rPr>
        <w:t>This view</w:t>
      </w:r>
      <w:r w:rsidR="00CF668A" w:rsidRPr="001D1A69">
        <w:rPr>
          <w:rFonts w:ascii="Source Sans Pro" w:hAnsi="Source Sans Pro" w:cstheme="majorHAnsi"/>
          <w:sz w:val="24"/>
          <w:szCs w:val="24"/>
        </w:rPr>
        <w:t xml:space="preserve"> made medieval societies venerate the masculine ideal, which may </w:t>
      </w:r>
      <w:r w:rsidR="004C794D" w:rsidRPr="001D1A69">
        <w:rPr>
          <w:rFonts w:ascii="Source Sans Pro" w:hAnsi="Source Sans Pro" w:cstheme="majorHAnsi"/>
          <w:sz w:val="24"/>
          <w:szCs w:val="24"/>
        </w:rPr>
        <w:t>explain</w:t>
      </w:r>
      <w:r w:rsidR="00CF668A" w:rsidRPr="001D1A69">
        <w:rPr>
          <w:rFonts w:ascii="Source Sans Pro" w:hAnsi="Source Sans Pro" w:cstheme="majorHAnsi"/>
          <w:sz w:val="24"/>
          <w:szCs w:val="24"/>
        </w:rPr>
        <w:t xml:space="preserve"> why there was a preference for heroic literature a</w:t>
      </w:r>
      <w:r w:rsidR="00DA4387" w:rsidRPr="001D1A69">
        <w:rPr>
          <w:rFonts w:ascii="Source Sans Pro" w:hAnsi="Source Sans Pro" w:cstheme="majorHAnsi"/>
          <w:sz w:val="24"/>
          <w:szCs w:val="24"/>
        </w:rPr>
        <w:t>t all</w:t>
      </w:r>
      <w:r w:rsidR="0050772D">
        <w:rPr>
          <w:rFonts w:ascii="Source Sans Pro" w:hAnsi="Source Sans Pro" w:cstheme="majorHAnsi"/>
          <w:sz w:val="24"/>
          <w:szCs w:val="24"/>
        </w:rPr>
        <w:t>, especially one where the male is the protagonist</w:t>
      </w:r>
      <w:r w:rsidR="00C4141A" w:rsidRPr="001D1A69">
        <w:rPr>
          <w:rFonts w:ascii="Source Sans Pro" w:hAnsi="Source Sans Pro" w:cstheme="majorHAnsi"/>
          <w:sz w:val="24"/>
          <w:szCs w:val="24"/>
        </w:rPr>
        <w:t>.</w:t>
      </w:r>
      <w:r w:rsidR="00236F91" w:rsidRPr="001D1A69">
        <w:rPr>
          <w:rFonts w:ascii="Source Sans Pro" w:hAnsi="Source Sans Pro" w:cstheme="majorHAnsi"/>
          <w:sz w:val="24"/>
          <w:szCs w:val="24"/>
        </w:rPr>
        <w:t xml:space="preserve"> </w:t>
      </w:r>
      <w:r w:rsidR="006C3C4C">
        <w:rPr>
          <w:rFonts w:ascii="Source Sans Pro" w:hAnsi="Source Sans Pro" w:cstheme="majorHAnsi"/>
          <w:sz w:val="24"/>
          <w:szCs w:val="24"/>
        </w:rPr>
        <w:t xml:space="preserve">However, whilst reading </w:t>
      </w:r>
      <w:r w:rsidR="00E01931">
        <w:rPr>
          <w:rFonts w:ascii="Source Sans Pro" w:hAnsi="Source Sans Pro" w:cstheme="majorHAnsi"/>
          <w:sz w:val="24"/>
          <w:szCs w:val="24"/>
        </w:rPr>
        <w:t>Anglo-Saxon</w:t>
      </w:r>
      <w:r w:rsidR="006C3C4C">
        <w:rPr>
          <w:rFonts w:ascii="Source Sans Pro" w:hAnsi="Source Sans Pro" w:cstheme="majorHAnsi"/>
          <w:sz w:val="24"/>
          <w:szCs w:val="24"/>
        </w:rPr>
        <w:t xml:space="preserve"> texts, this</w:t>
      </w:r>
      <w:r w:rsidR="00D76CC0">
        <w:rPr>
          <w:rFonts w:ascii="Source Sans Pro" w:hAnsi="Source Sans Pro" w:cstheme="majorHAnsi"/>
          <w:sz w:val="24"/>
          <w:szCs w:val="24"/>
        </w:rPr>
        <w:t xml:space="preserve"> simplistic </w:t>
      </w:r>
      <w:r w:rsidR="00A13C19">
        <w:rPr>
          <w:rFonts w:ascii="Source Sans Pro" w:hAnsi="Source Sans Pro" w:cstheme="majorHAnsi"/>
          <w:sz w:val="24"/>
          <w:szCs w:val="24"/>
        </w:rPr>
        <w:t>explanation</w:t>
      </w:r>
      <w:r w:rsidR="00D76CC0">
        <w:rPr>
          <w:rFonts w:ascii="Source Sans Pro" w:hAnsi="Source Sans Pro" w:cstheme="majorHAnsi"/>
          <w:sz w:val="24"/>
          <w:szCs w:val="24"/>
        </w:rPr>
        <w:t xml:space="preserve"> o</w:t>
      </w:r>
      <w:r w:rsidR="00A13C19">
        <w:rPr>
          <w:rFonts w:ascii="Source Sans Pro" w:hAnsi="Source Sans Pro" w:cstheme="majorHAnsi"/>
          <w:sz w:val="24"/>
          <w:szCs w:val="24"/>
        </w:rPr>
        <w:t>f</w:t>
      </w:r>
      <w:r w:rsidR="00D76CC0">
        <w:rPr>
          <w:rFonts w:ascii="Source Sans Pro" w:hAnsi="Source Sans Pro" w:cstheme="majorHAnsi"/>
          <w:sz w:val="24"/>
          <w:szCs w:val="24"/>
        </w:rPr>
        <w:t xml:space="preserve"> the matter</w:t>
      </w:r>
      <w:r w:rsidR="006C3C4C">
        <w:rPr>
          <w:rFonts w:ascii="Source Sans Pro" w:hAnsi="Source Sans Pro" w:cstheme="majorHAnsi"/>
          <w:sz w:val="24"/>
          <w:szCs w:val="24"/>
        </w:rPr>
        <w:t xml:space="preserve"> does not always prove true</w:t>
      </w:r>
      <w:r w:rsidR="00D76CC0">
        <w:rPr>
          <w:rFonts w:ascii="Source Sans Pro" w:hAnsi="Source Sans Pro" w:cstheme="majorHAnsi"/>
          <w:sz w:val="24"/>
          <w:szCs w:val="24"/>
        </w:rPr>
        <w:t>, and it seems that opinions on gender as well as gender roles are more complicated</w:t>
      </w:r>
      <w:r w:rsidR="0050772D">
        <w:rPr>
          <w:rFonts w:ascii="Source Sans Pro" w:hAnsi="Source Sans Pro" w:cstheme="majorHAnsi"/>
          <w:sz w:val="24"/>
          <w:szCs w:val="24"/>
        </w:rPr>
        <w:t xml:space="preserve"> within Anglo-Saxon society and literature</w:t>
      </w:r>
      <w:r w:rsidR="00D76CC0">
        <w:rPr>
          <w:rFonts w:ascii="Source Sans Pro" w:hAnsi="Source Sans Pro" w:cstheme="majorHAnsi"/>
          <w:sz w:val="24"/>
          <w:szCs w:val="24"/>
        </w:rPr>
        <w:t xml:space="preserve"> than </w:t>
      </w:r>
      <w:r w:rsidR="00491411">
        <w:rPr>
          <w:rFonts w:ascii="Source Sans Pro" w:hAnsi="Source Sans Pro" w:cstheme="majorHAnsi"/>
          <w:sz w:val="24"/>
          <w:szCs w:val="24"/>
        </w:rPr>
        <w:t>can be interpreted</w:t>
      </w:r>
      <w:r w:rsidR="00D76CC0">
        <w:rPr>
          <w:rFonts w:ascii="Source Sans Pro" w:hAnsi="Source Sans Pro" w:cstheme="majorHAnsi"/>
          <w:sz w:val="24"/>
          <w:szCs w:val="24"/>
        </w:rPr>
        <w:t xml:space="preserve"> at first glance.</w:t>
      </w:r>
      <w:r w:rsidR="00723618">
        <w:rPr>
          <w:rFonts w:ascii="Source Sans Pro" w:hAnsi="Source Sans Pro" w:cstheme="majorHAnsi"/>
          <w:sz w:val="24"/>
          <w:szCs w:val="24"/>
        </w:rPr>
        <w:t xml:space="preserve"> </w:t>
      </w:r>
      <w:r w:rsidR="00063FE0">
        <w:rPr>
          <w:rFonts w:ascii="Source Sans Pro" w:hAnsi="Source Sans Pro" w:cstheme="majorHAnsi"/>
          <w:sz w:val="24"/>
          <w:szCs w:val="24"/>
        </w:rPr>
        <w:t>An example of this could be</w:t>
      </w:r>
      <w:r w:rsidR="00C872D3">
        <w:rPr>
          <w:rFonts w:ascii="Source Sans Pro" w:hAnsi="Source Sans Pro" w:cstheme="majorHAnsi"/>
          <w:sz w:val="24"/>
          <w:szCs w:val="24"/>
        </w:rPr>
        <w:t xml:space="preserve"> seen in the fact</w:t>
      </w:r>
      <w:r w:rsidR="00063FE0">
        <w:rPr>
          <w:rFonts w:ascii="Source Sans Pro" w:hAnsi="Source Sans Pro" w:cstheme="majorHAnsi"/>
          <w:sz w:val="24"/>
          <w:szCs w:val="24"/>
        </w:rPr>
        <w:t xml:space="preserve"> that</w:t>
      </w:r>
      <w:r w:rsidR="00723618">
        <w:rPr>
          <w:rFonts w:ascii="Source Sans Pro" w:hAnsi="Source Sans Pro" w:cstheme="majorHAnsi"/>
          <w:sz w:val="24"/>
          <w:szCs w:val="24"/>
        </w:rPr>
        <w:t xml:space="preserve"> in early English legal documents it is made clear that the word ‘man’ or ‘</w:t>
      </w:r>
      <w:r w:rsidR="00723618">
        <w:rPr>
          <w:rFonts w:ascii="Source Sans Pro" w:hAnsi="Source Sans Pro" w:cstheme="majorHAnsi"/>
          <w:i/>
          <w:iCs/>
          <w:sz w:val="24"/>
          <w:szCs w:val="24"/>
        </w:rPr>
        <w:t>mann</w:t>
      </w:r>
      <w:r w:rsidR="00723618">
        <w:rPr>
          <w:rFonts w:ascii="Source Sans Pro" w:hAnsi="Source Sans Pro" w:cstheme="majorHAnsi"/>
          <w:sz w:val="24"/>
          <w:szCs w:val="24"/>
        </w:rPr>
        <w:t>’ applie</w:t>
      </w:r>
      <w:r w:rsidR="00063FE0">
        <w:rPr>
          <w:rFonts w:ascii="Source Sans Pro" w:hAnsi="Source Sans Pro" w:cstheme="majorHAnsi"/>
          <w:sz w:val="24"/>
          <w:szCs w:val="24"/>
        </w:rPr>
        <w:t>d</w:t>
      </w:r>
      <w:r w:rsidR="00723618">
        <w:rPr>
          <w:rFonts w:ascii="Source Sans Pro" w:hAnsi="Source Sans Pro" w:cstheme="majorHAnsi"/>
          <w:sz w:val="24"/>
          <w:szCs w:val="24"/>
        </w:rPr>
        <w:t xml:space="preserve"> to both male and females</w:t>
      </w:r>
      <w:r w:rsidR="00C478B9">
        <w:rPr>
          <w:rFonts w:ascii="Source Sans Pro" w:hAnsi="Source Sans Pro" w:cstheme="majorHAnsi"/>
          <w:sz w:val="24"/>
          <w:szCs w:val="24"/>
        </w:rPr>
        <w:t>, as the word applied to humans in general</w:t>
      </w:r>
      <w:r w:rsidR="00EB38B9">
        <w:rPr>
          <w:rFonts w:ascii="Source Sans Pro" w:hAnsi="Source Sans Pro" w:cstheme="majorHAnsi"/>
          <w:sz w:val="24"/>
          <w:szCs w:val="24"/>
        </w:rPr>
        <w:t>.</w:t>
      </w:r>
      <w:r w:rsidR="00723618">
        <w:rPr>
          <w:rStyle w:val="FootnoteReference"/>
          <w:rFonts w:ascii="Source Sans Pro" w:hAnsi="Source Sans Pro" w:cstheme="majorHAnsi"/>
          <w:sz w:val="24"/>
          <w:szCs w:val="24"/>
        </w:rPr>
        <w:footnoteReference w:id="21"/>
      </w:r>
      <w:r w:rsidR="00C872D3">
        <w:rPr>
          <w:rFonts w:ascii="Source Sans Pro" w:hAnsi="Source Sans Pro" w:cstheme="majorHAnsi"/>
          <w:sz w:val="24"/>
          <w:szCs w:val="24"/>
        </w:rPr>
        <w:t xml:space="preserve"> This can not only sometimes confuse the reading of certain documents, in particular legal ones, but also implies that the need for such gendered differentiation is not as strong as it would often seem.</w:t>
      </w:r>
    </w:p>
    <w:p w14:paraId="6B0161D4" w14:textId="7F0521C7" w:rsidR="00E50CD6" w:rsidRDefault="0050772D" w:rsidP="007C2D32">
      <w:pPr>
        <w:rPr>
          <w:rFonts w:ascii="Source Sans Pro" w:hAnsi="Source Sans Pro" w:cstheme="majorHAnsi"/>
          <w:sz w:val="24"/>
          <w:szCs w:val="24"/>
        </w:rPr>
      </w:pPr>
      <w:r>
        <w:rPr>
          <w:rFonts w:ascii="Source Sans Pro" w:hAnsi="Source Sans Pro" w:cstheme="majorHAnsi"/>
          <w:sz w:val="24"/>
          <w:szCs w:val="24"/>
        </w:rPr>
        <w:t>B</w:t>
      </w:r>
      <w:r w:rsidR="00C75394">
        <w:rPr>
          <w:rFonts w:ascii="Source Sans Pro" w:hAnsi="Source Sans Pro" w:cstheme="majorHAnsi"/>
          <w:sz w:val="24"/>
          <w:szCs w:val="24"/>
        </w:rPr>
        <w:t xml:space="preserve">ound </w:t>
      </w:r>
      <w:r>
        <w:rPr>
          <w:rFonts w:ascii="Source Sans Pro" w:hAnsi="Source Sans Pro" w:cstheme="majorHAnsi"/>
          <w:sz w:val="24"/>
          <w:szCs w:val="24"/>
        </w:rPr>
        <w:t>alongside</w:t>
      </w:r>
      <w:r w:rsidR="00C75394">
        <w:rPr>
          <w:rFonts w:ascii="Source Sans Pro" w:hAnsi="Source Sans Pro" w:cstheme="majorHAnsi"/>
          <w:sz w:val="24"/>
          <w:szCs w:val="24"/>
        </w:rPr>
        <w:t xml:space="preserve"> </w:t>
      </w:r>
      <w:r w:rsidR="00C75394">
        <w:rPr>
          <w:rFonts w:ascii="Source Sans Pro" w:hAnsi="Source Sans Pro" w:cstheme="majorHAnsi"/>
          <w:i/>
          <w:iCs/>
          <w:sz w:val="24"/>
          <w:szCs w:val="24"/>
        </w:rPr>
        <w:t>Beowulf</w:t>
      </w:r>
      <w:r>
        <w:rPr>
          <w:rFonts w:ascii="Source Sans Pro" w:hAnsi="Source Sans Pro" w:cstheme="majorHAnsi"/>
          <w:sz w:val="24"/>
          <w:szCs w:val="24"/>
        </w:rPr>
        <w:t xml:space="preserve"> </w:t>
      </w:r>
      <w:r w:rsidR="00D95EEE">
        <w:rPr>
          <w:rFonts w:ascii="Source Sans Pro" w:hAnsi="Source Sans Pro" w:cstheme="majorHAnsi"/>
          <w:sz w:val="24"/>
          <w:szCs w:val="24"/>
        </w:rPr>
        <w:t xml:space="preserve">within the </w:t>
      </w:r>
      <w:r w:rsidR="00D213AF">
        <w:rPr>
          <w:rFonts w:ascii="Source Sans Pro" w:hAnsi="Source Sans Pro" w:cstheme="majorHAnsi"/>
          <w:sz w:val="24"/>
          <w:szCs w:val="24"/>
        </w:rPr>
        <w:t xml:space="preserve">Southwick Codex </w:t>
      </w:r>
      <w:r>
        <w:rPr>
          <w:rFonts w:ascii="Source Sans Pro" w:hAnsi="Source Sans Pro" w:cstheme="majorHAnsi"/>
          <w:sz w:val="24"/>
          <w:szCs w:val="24"/>
        </w:rPr>
        <w:t>is</w:t>
      </w:r>
      <w:r w:rsidR="00C75394">
        <w:rPr>
          <w:rFonts w:ascii="Source Sans Pro" w:hAnsi="Source Sans Pro" w:cstheme="majorHAnsi"/>
          <w:sz w:val="24"/>
          <w:szCs w:val="24"/>
        </w:rPr>
        <w:t xml:space="preserve"> the poem </w:t>
      </w:r>
      <w:r w:rsidR="00C75394">
        <w:rPr>
          <w:rFonts w:ascii="Source Sans Pro" w:hAnsi="Source Sans Pro" w:cstheme="majorHAnsi"/>
          <w:i/>
          <w:iCs/>
          <w:sz w:val="24"/>
          <w:szCs w:val="24"/>
        </w:rPr>
        <w:t>Judith</w:t>
      </w:r>
      <w:r>
        <w:rPr>
          <w:rFonts w:ascii="Source Sans Pro" w:hAnsi="Source Sans Pro" w:cstheme="majorHAnsi"/>
          <w:sz w:val="24"/>
          <w:szCs w:val="24"/>
        </w:rPr>
        <w:t>,</w:t>
      </w:r>
      <w:r w:rsidR="00D213AF">
        <w:rPr>
          <w:rStyle w:val="FootnoteReference"/>
          <w:rFonts w:ascii="Source Sans Pro" w:hAnsi="Source Sans Pro" w:cstheme="majorHAnsi"/>
          <w:sz w:val="24"/>
          <w:szCs w:val="24"/>
        </w:rPr>
        <w:footnoteReference w:id="22"/>
      </w:r>
      <w:r>
        <w:rPr>
          <w:rFonts w:ascii="Source Sans Pro" w:hAnsi="Source Sans Pro" w:cstheme="majorHAnsi"/>
          <w:sz w:val="24"/>
          <w:szCs w:val="24"/>
        </w:rPr>
        <w:t xml:space="preserve"> which</w:t>
      </w:r>
      <w:r w:rsidR="00C75394">
        <w:rPr>
          <w:rFonts w:ascii="Source Sans Pro" w:hAnsi="Source Sans Pro" w:cstheme="majorHAnsi"/>
          <w:i/>
          <w:iCs/>
          <w:sz w:val="24"/>
          <w:szCs w:val="24"/>
        </w:rPr>
        <w:t xml:space="preserve"> </w:t>
      </w:r>
      <w:r w:rsidR="00C75394">
        <w:rPr>
          <w:rFonts w:ascii="Source Sans Pro" w:hAnsi="Source Sans Pro" w:cstheme="majorHAnsi"/>
          <w:sz w:val="24"/>
          <w:szCs w:val="24"/>
        </w:rPr>
        <w:t xml:space="preserve">has perplexed scholars </w:t>
      </w:r>
      <w:r w:rsidR="000F0C82">
        <w:rPr>
          <w:rFonts w:ascii="Source Sans Pro" w:hAnsi="Source Sans Pro" w:cstheme="majorHAnsi"/>
          <w:sz w:val="24"/>
          <w:szCs w:val="24"/>
        </w:rPr>
        <w:t>in regard to</w:t>
      </w:r>
      <w:r>
        <w:rPr>
          <w:rFonts w:ascii="Source Sans Pro" w:hAnsi="Source Sans Pro" w:cstheme="majorHAnsi"/>
          <w:sz w:val="24"/>
          <w:szCs w:val="24"/>
        </w:rPr>
        <w:t xml:space="preserve"> what it means for</w:t>
      </w:r>
      <w:r w:rsidR="00C75394">
        <w:rPr>
          <w:rFonts w:ascii="Source Sans Pro" w:hAnsi="Source Sans Pro" w:cstheme="majorHAnsi"/>
          <w:sz w:val="24"/>
          <w:szCs w:val="24"/>
        </w:rPr>
        <w:t xml:space="preserve"> gender roles in Anglo-Saxon times</w:t>
      </w:r>
      <w:r w:rsidR="001B10DA">
        <w:rPr>
          <w:rFonts w:ascii="Source Sans Pro" w:hAnsi="Source Sans Pro" w:cstheme="majorHAnsi"/>
          <w:sz w:val="24"/>
          <w:szCs w:val="24"/>
        </w:rPr>
        <w:t>, mostly because it shows a woman as the heroic protagonist</w:t>
      </w:r>
      <w:r w:rsidR="00AE4EAB">
        <w:rPr>
          <w:rFonts w:ascii="Source Sans Pro" w:hAnsi="Source Sans Pro" w:cstheme="majorHAnsi"/>
          <w:sz w:val="24"/>
          <w:szCs w:val="24"/>
        </w:rPr>
        <w:t>. Even on this though scholars are torn,</w:t>
      </w:r>
      <w:r w:rsidR="00B752A7">
        <w:rPr>
          <w:rFonts w:ascii="Source Sans Pro" w:hAnsi="Source Sans Pro" w:cstheme="majorHAnsi"/>
          <w:sz w:val="24"/>
          <w:szCs w:val="24"/>
        </w:rPr>
        <w:t xml:space="preserve"> some say</w:t>
      </w:r>
      <w:r w:rsidR="00AE4EAB">
        <w:rPr>
          <w:rFonts w:ascii="Source Sans Pro" w:hAnsi="Source Sans Pro" w:cstheme="majorHAnsi"/>
          <w:sz w:val="24"/>
          <w:szCs w:val="24"/>
        </w:rPr>
        <w:t>ing</w:t>
      </w:r>
      <w:r w:rsidR="00B752A7">
        <w:rPr>
          <w:rFonts w:ascii="Source Sans Pro" w:hAnsi="Source Sans Pro" w:cstheme="majorHAnsi"/>
          <w:sz w:val="24"/>
          <w:szCs w:val="24"/>
        </w:rPr>
        <w:t xml:space="preserve"> that she is ‘a hero like Beo</w:t>
      </w:r>
      <w:r w:rsidR="00473035">
        <w:rPr>
          <w:rFonts w:ascii="Source Sans Pro" w:hAnsi="Source Sans Pro" w:cstheme="majorHAnsi"/>
          <w:sz w:val="24"/>
          <w:szCs w:val="24"/>
        </w:rPr>
        <w:t>w</w:t>
      </w:r>
      <w:r w:rsidR="00B752A7">
        <w:rPr>
          <w:rFonts w:ascii="Source Sans Pro" w:hAnsi="Source Sans Pro" w:cstheme="majorHAnsi"/>
          <w:sz w:val="24"/>
          <w:szCs w:val="24"/>
        </w:rPr>
        <w:t>ulf</w:t>
      </w:r>
      <w:r w:rsidR="001B716A">
        <w:rPr>
          <w:rFonts w:ascii="Source Sans Pro" w:hAnsi="Source Sans Pro" w:cstheme="majorHAnsi"/>
          <w:sz w:val="24"/>
          <w:szCs w:val="24"/>
        </w:rPr>
        <w:t>,</w:t>
      </w:r>
      <w:r w:rsidR="00B752A7">
        <w:rPr>
          <w:rFonts w:ascii="Source Sans Pro" w:hAnsi="Source Sans Pro" w:cstheme="majorHAnsi"/>
          <w:sz w:val="24"/>
          <w:szCs w:val="24"/>
        </w:rPr>
        <w:t>’</w:t>
      </w:r>
      <w:r w:rsidR="001B10DA">
        <w:rPr>
          <w:rStyle w:val="FootnoteReference"/>
          <w:rFonts w:ascii="Source Sans Pro" w:hAnsi="Source Sans Pro" w:cstheme="majorHAnsi"/>
          <w:sz w:val="24"/>
          <w:szCs w:val="24"/>
        </w:rPr>
        <w:footnoteReference w:id="23"/>
      </w:r>
      <w:r w:rsidR="00AE4EAB">
        <w:rPr>
          <w:rFonts w:ascii="Source Sans Pro" w:hAnsi="Source Sans Pro" w:cstheme="majorHAnsi"/>
          <w:sz w:val="24"/>
          <w:szCs w:val="24"/>
        </w:rPr>
        <w:t xml:space="preserve"> and others that she is ‘not a fully </w:t>
      </w:r>
      <w:r w:rsidR="00AE4EAB">
        <w:rPr>
          <w:rFonts w:ascii="Source Sans Pro" w:hAnsi="Source Sans Pro" w:cstheme="majorHAnsi"/>
          <w:sz w:val="24"/>
          <w:szCs w:val="24"/>
        </w:rPr>
        <w:lastRenderedPageBreak/>
        <w:t>heroic figure</w:t>
      </w:r>
      <w:r w:rsidR="007552A7">
        <w:rPr>
          <w:rFonts w:ascii="Source Sans Pro" w:hAnsi="Source Sans Pro" w:cstheme="majorHAnsi"/>
          <w:sz w:val="24"/>
          <w:szCs w:val="24"/>
        </w:rPr>
        <w:t>,</w:t>
      </w:r>
      <w:r w:rsidR="00AE4EAB">
        <w:rPr>
          <w:rFonts w:ascii="Source Sans Pro" w:hAnsi="Source Sans Pro" w:cstheme="majorHAnsi"/>
          <w:sz w:val="24"/>
          <w:szCs w:val="24"/>
        </w:rPr>
        <w:t>’</w:t>
      </w:r>
      <w:r w:rsidR="00AE4EAB">
        <w:rPr>
          <w:rStyle w:val="FootnoteReference"/>
          <w:rFonts w:ascii="Source Sans Pro" w:hAnsi="Source Sans Pro" w:cstheme="majorHAnsi"/>
          <w:sz w:val="24"/>
          <w:szCs w:val="24"/>
        </w:rPr>
        <w:footnoteReference w:id="24"/>
      </w:r>
      <w:r w:rsidR="007552A7">
        <w:rPr>
          <w:rFonts w:ascii="Source Sans Pro" w:hAnsi="Source Sans Pro" w:cstheme="majorHAnsi"/>
          <w:sz w:val="24"/>
          <w:szCs w:val="24"/>
        </w:rPr>
        <w:t xml:space="preserve"> but regardless of this, it seems strange that a woman would be revered if she was seen as insufficient and subordinate. On the contrary, </w:t>
      </w:r>
      <w:r w:rsidR="007552A7">
        <w:rPr>
          <w:rFonts w:ascii="Source Sans Pro" w:hAnsi="Source Sans Pro" w:cstheme="majorHAnsi"/>
          <w:i/>
          <w:sz w:val="24"/>
          <w:szCs w:val="24"/>
        </w:rPr>
        <w:t xml:space="preserve">Judith </w:t>
      </w:r>
      <w:r w:rsidR="007552A7">
        <w:rPr>
          <w:rFonts w:ascii="Source Sans Pro" w:hAnsi="Source Sans Pro" w:cstheme="majorHAnsi"/>
          <w:sz w:val="24"/>
          <w:szCs w:val="24"/>
        </w:rPr>
        <w:t xml:space="preserve">is seen defying the orders given to her and taking her own initiative to implement the death of </w:t>
      </w:r>
      <w:r w:rsidR="002C2A87">
        <w:rPr>
          <w:rFonts w:ascii="Source Sans Pro" w:hAnsi="Source Sans Pro" w:cstheme="majorHAnsi"/>
          <w:sz w:val="24"/>
          <w:szCs w:val="24"/>
        </w:rPr>
        <w:t>Holofernes.</w:t>
      </w:r>
      <w:r w:rsidR="009F7FCF">
        <w:rPr>
          <w:rFonts w:ascii="Source Sans Pro" w:hAnsi="Source Sans Pro" w:cstheme="majorHAnsi"/>
          <w:i/>
          <w:iCs/>
          <w:sz w:val="24"/>
          <w:szCs w:val="24"/>
        </w:rPr>
        <w:t xml:space="preserve"> </w:t>
      </w:r>
      <w:r w:rsidR="00081868">
        <w:rPr>
          <w:rFonts w:ascii="Source Sans Pro" w:hAnsi="Source Sans Pro" w:cstheme="majorHAnsi"/>
          <w:i/>
          <w:iCs/>
          <w:sz w:val="24"/>
          <w:szCs w:val="24"/>
        </w:rPr>
        <w:t>Judith</w:t>
      </w:r>
      <w:r w:rsidR="00B3447D">
        <w:rPr>
          <w:rFonts w:ascii="Source Sans Pro" w:hAnsi="Source Sans Pro" w:cstheme="majorHAnsi"/>
          <w:sz w:val="24"/>
          <w:szCs w:val="24"/>
        </w:rPr>
        <w:t xml:space="preserve">, like </w:t>
      </w:r>
      <w:r w:rsidR="00B3447D">
        <w:rPr>
          <w:rFonts w:ascii="Source Sans Pro" w:hAnsi="Source Sans Pro" w:cstheme="majorHAnsi"/>
          <w:i/>
          <w:iCs/>
          <w:sz w:val="24"/>
          <w:szCs w:val="24"/>
        </w:rPr>
        <w:t>Beowulf</w:t>
      </w:r>
      <w:r w:rsidR="00B3447D">
        <w:rPr>
          <w:rFonts w:ascii="Source Sans Pro" w:hAnsi="Source Sans Pro" w:cstheme="majorHAnsi"/>
          <w:sz w:val="24"/>
          <w:szCs w:val="24"/>
        </w:rPr>
        <w:t>, uses themes of gender and masculinising women to slot them into roles which would typically belong to a male, such as Grendel</w:t>
      </w:r>
      <w:r w:rsidR="00E279D0">
        <w:rPr>
          <w:rFonts w:ascii="Source Sans Pro" w:hAnsi="Source Sans Pro" w:cstheme="majorHAnsi"/>
          <w:sz w:val="24"/>
          <w:szCs w:val="24"/>
        </w:rPr>
        <w:t>’</w:t>
      </w:r>
      <w:r w:rsidR="00B3447D">
        <w:rPr>
          <w:rFonts w:ascii="Source Sans Pro" w:hAnsi="Source Sans Pro" w:cstheme="majorHAnsi"/>
          <w:sz w:val="24"/>
          <w:szCs w:val="24"/>
        </w:rPr>
        <w:t>s mother</w:t>
      </w:r>
      <w:r w:rsidR="00D95EEE">
        <w:rPr>
          <w:rFonts w:ascii="Source Sans Pro" w:hAnsi="Source Sans Pro" w:cstheme="majorHAnsi"/>
          <w:sz w:val="24"/>
          <w:szCs w:val="24"/>
        </w:rPr>
        <w:t>, Judith</w:t>
      </w:r>
      <w:r w:rsidR="00D95EEE" w:rsidRPr="001D1A69">
        <w:rPr>
          <w:rFonts w:ascii="Source Sans Pro" w:hAnsi="Source Sans Pro" w:cstheme="majorHAnsi"/>
          <w:sz w:val="24"/>
          <w:szCs w:val="24"/>
        </w:rPr>
        <w:t xml:space="preserve"> </w:t>
      </w:r>
      <w:r w:rsidR="00D95EEE">
        <w:rPr>
          <w:rFonts w:ascii="Source Sans Pro" w:hAnsi="Source Sans Pro" w:cstheme="majorHAnsi"/>
          <w:sz w:val="24"/>
          <w:szCs w:val="24"/>
        </w:rPr>
        <w:t>and</w:t>
      </w:r>
      <w:r w:rsidR="00D95EEE" w:rsidRPr="001D1A69">
        <w:rPr>
          <w:rFonts w:ascii="Source Sans Pro" w:hAnsi="Source Sans Pro" w:cstheme="majorHAnsi"/>
          <w:sz w:val="24"/>
          <w:szCs w:val="24"/>
        </w:rPr>
        <w:t xml:space="preserve"> M</w:t>
      </w:r>
      <w:r w:rsidR="00D95EEE" w:rsidRPr="001D1A69">
        <w:rPr>
          <w:rFonts w:ascii="Source Sans Pro" w:hAnsi="Source Sans Pro" w:cstheme="majorHAnsi"/>
          <w:color w:val="222222"/>
          <w:sz w:val="24"/>
          <w:szCs w:val="24"/>
          <w:shd w:val="clear" w:color="auto" w:fill="FFFFFF"/>
        </w:rPr>
        <w:t>ó</w:t>
      </w:r>
      <w:r w:rsidR="00D95EEE" w:rsidRPr="001D1A69">
        <w:rPr>
          <w:rFonts w:ascii="Source Sans Pro" w:hAnsi="Source Sans Pro" w:cstheme="majorHAnsi"/>
          <w:sz w:val="24"/>
          <w:szCs w:val="24"/>
        </w:rPr>
        <w:t>d</w:t>
      </w:r>
      <w:r w:rsidR="00D95EEE" w:rsidRPr="001D1A69">
        <w:rPr>
          <w:rFonts w:ascii="Source Sans Pro" w:hAnsi="Source Sans Pro" w:cstheme="majorHAnsi"/>
          <w:sz w:val="24"/>
          <w:szCs w:val="24"/>
          <w:shd w:val="clear" w:color="auto" w:fill="FFFFFF"/>
        </w:rPr>
        <w:t>þryðo</w:t>
      </w:r>
      <w:r w:rsidR="00B3447D">
        <w:rPr>
          <w:rFonts w:ascii="Source Sans Pro" w:hAnsi="Source Sans Pro" w:cstheme="majorHAnsi"/>
          <w:sz w:val="24"/>
          <w:szCs w:val="24"/>
        </w:rPr>
        <w:t>.</w:t>
      </w:r>
      <w:r w:rsidR="00B3447D">
        <w:rPr>
          <w:rStyle w:val="FootnoteReference"/>
          <w:rFonts w:ascii="Source Sans Pro" w:hAnsi="Source Sans Pro" w:cstheme="majorHAnsi"/>
          <w:sz w:val="24"/>
          <w:szCs w:val="24"/>
        </w:rPr>
        <w:footnoteReference w:id="25"/>
      </w:r>
      <w:r w:rsidR="00FD4E00">
        <w:rPr>
          <w:rFonts w:ascii="Source Sans Pro" w:hAnsi="Source Sans Pro" w:cstheme="majorHAnsi"/>
          <w:sz w:val="24"/>
          <w:szCs w:val="24"/>
        </w:rPr>
        <w:t xml:space="preserve"> To try to account for the abnormality of this, </w:t>
      </w:r>
      <w:r w:rsidR="00E279D0">
        <w:rPr>
          <w:rFonts w:ascii="Source Sans Pro" w:hAnsi="Source Sans Pro" w:cstheme="majorHAnsi"/>
          <w:sz w:val="24"/>
          <w:szCs w:val="24"/>
        </w:rPr>
        <w:t xml:space="preserve">it has been argued that </w:t>
      </w:r>
      <w:r w:rsidR="00FD4E00" w:rsidRPr="007552A7">
        <w:rPr>
          <w:rFonts w:ascii="Source Sans Pro" w:hAnsi="Source Sans Pro" w:cstheme="majorHAnsi"/>
          <w:sz w:val="24"/>
          <w:szCs w:val="24"/>
        </w:rPr>
        <w:t>Judith</w:t>
      </w:r>
      <w:r w:rsidR="00E279D0">
        <w:rPr>
          <w:rFonts w:ascii="Source Sans Pro" w:hAnsi="Source Sans Pro" w:cstheme="majorHAnsi"/>
          <w:sz w:val="24"/>
          <w:szCs w:val="24"/>
        </w:rPr>
        <w:t xml:space="preserve"> does not follow</w:t>
      </w:r>
      <w:r w:rsidR="00FD4E00">
        <w:rPr>
          <w:rFonts w:ascii="Source Sans Pro" w:hAnsi="Source Sans Pro" w:cstheme="majorHAnsi"/>
          <w:sz w:val="24"/>
          <w:szCs w:val="24"/>
        </w:rPr>
        <w:t xml:space="preserve"> cultural or literary norms for females </w:t>
      </w:r>
      <w:r w:rsidR="00FD4E00">
        <w:rPr>
          <w:rFonts w:ascii="Source Sans Pro" w:hAnsi="Source Sans Pro" w:cstheme="majorHAnsi"/>
          <w:i/>
          <w:sz w:val="24"/>
          <w:szCs w:val="24"/>
        </w:rPr>
        <w:t>or</w:t>
      </w:r>
      <w:r w:rsidR="00FD4E00">
        <w:rPr>
          <w:rFonts w:ascii="Source Sans Pro" w:hAnsi="Source Sans Pro" w:cstheme="majorHAnsi"/>
          <w:sz w:val="24"/>
          <w:szCs w:val="24"/>
        </w:rPr>
        <w:t xml:space="preserve"> males, and is</w:t>
      </w:r>
      <w:r w:rsidR="00E279D0">
        <w:rPr>
          <w:rFonts w:ascii="Source Sans Pro" w:hAnsi="Source Sans Pro" w:cstheme="majorHAnsi"/>
          <w:sz w:val="24"/>
          <w:szCs w:val="24"/>
        </w:rPr>
        <w:t xml:space="preserve"> something altogether different. This argument is designed to</w:t>
      </w:r>
      <w:r w:rsidR="00FD4E00">
        <w:rPr>
          <w:rFonts w:ascii="Source Sans Pro" w:hAnsi="Source Sans Pro" w:cstheme="majorHAnsi"/>
          <w:sz w:val="24"/>
          <w:szCs w:val="24"/>
        </w:rPr>
        <w:t xml:space="preserve"> fi</w:t>
      </w:r>
      <w:r w:rsidR="00E279D0">
        <w:rPr>
          <w:rFonts w:ascii="Source Sans Pro" w:hAnsi="Source Sans Pro" w:cstheme="majorHAnsi"/>
          <w:sz w:val="24"/>
          <w:szCs w:val="24"/>
        </w:rPr>
        <w:t>t a woman into a masculine role</w:t>
      </w:r>
      <w:r w:rsidR="00FD4E00">
        <w:rPr>
          <w:rFonts w:ascii="Source Sans Pro" w:hAnsi="Source Sans Pro" w:cstheme="majorHAnsi"/>
          <w:sz w:val="24"/>
          <w:szCs w:val="24"/>
        </w:rPr>
        <w:t xml:space="preserve"> which obviously creates a whole other psychosexual area which could be of interest to the way in which sexuality and gender is studied in literature.</w:t>
      </w:r>
      <w:r w:rsidR="00FD4E00">
        <w:rPr>
          <w:rStyle w:val="FootnoteReference"/>
          <w:rFonts w:ascii="Source Sans Pro" w:hAnsi="Source Sans Pro" w:cstheme="majorHAnsi"/>
          <w:sz w:val="24"/>
          <w:szCs w:val="24"/>
        </w:rPr>
        <w:footnoteReference w:id="26"/>
      </w:r>
      <w:r w:rsidR="00FD4E00">
        <w:rPr>
          <w:rFonts w:ascii="Source Sans Pro" w:hAnsi="Source Sans Pro" w:cstheme="majorHAnsi"/>
          <w:sz w:val="24"/>
          <w:szCs w:val="24"/>
        </w:rPr>
        <w:t xml:space="preserve"> </w:t>
      </w:r>
      <w:r w:rsidR="00FD4E00" w:rsidRPr="007552A7">
        <w:rPr>
          <w:rFonts w:ascii="Source Sans Pro" w:hAnsi="Source Sans Pro" w:cstheme="majorHAnsi"/>
          <w:sz w:val="24"/>
          <w:szCs w:val="24"/>
        </w:rPr>
        <w:t>Michael</w:t>
      </w:r>
      <w:r w:rsidR="00FD4E00">
        <w:rPr>
          <w:rFonts w:ascii="Source Sans Pro" w:hAnsi="Source Sans Pro" w:cstheme="majorHAnsi"/>
          <w:sz w:val="24"/>
          <w:szCs w:val="24"/>
        </w:rPr>
        <w:t xml:space="preserve"> Swanton believes </w:t>
      </w:r>
      <w:r w:rsidR="00FD4E00">
        <w:rPr>
          <w:rFonts w:ascii="Source Sans Pro" w:hAnsi="Source Sans Pro" w:cstheme="majorHAnsi"/>
          <w:i/>
          <w:iCs/>
          <w:sz w:val="24"/>
          <w:szCs w:val="24"/>
        </w:rPr>
        <w:t xml:space="preserve">Judith </w:t>
      </w:r>
      <w:r w:rsidR="00FD4E00">
        <w:rPr>
          <w:rFonts w:ascii="Source Sans Pro" w:hAnsi="Source Sans Pro" w:cstheme="majorHAnsi"/>
          <w:sz w:val="24"/>
          <w:szCs w:val="24"/>
        </w:rPr>
        <w:t xml:space="preserve">to be written by the same author who may have </w:t>
      </w:r>
      <w:r w:rsidR="00E279D0">
        <w:rPr>
          <w:rFonts w:ascii="Source Sans Pro" w:hAnsi="Source Sans Pro" w:cstheme="majorHAnsi"/>
          <w:sz w:val="24"/>
          <w:szCs w:val="24"/>
        </w:rPr>
        <w:t>written</w:t>
      </w:r>
      <w:r w:rsidR="00FD4E00">
        <w:rPr>
          <w:rFonts w:ascii="Source Sans Pro" w:hAnsi="Source Sans Pro" w:cstheme="majorHAnsi"/>
          <w:sz w:val="24"/>
          <w:szCs w:val="24"/>
        </w:rPr>
        <w:t xml:space="preserve"> the second half of </w:t>
      </w:r>
      <w:r w:rsidR="00FD4E00">
        <w:rPr>
          <w:rFonts w:ascii="Source Sans Pro" w:hAnsi="Source Sans Pro" w:cstheme="majorHAnsi"/>
          <w:i/>
          <w:iCs/>
          <w:sz w:val="24"/>
          <w:szCs w:val="24"/>
        </w:rPr>
        <w:t>Beowulf</w:t>
      </w:r>
      <w:r w:rsidR="00FD4E00">
        <w:rPr>
          <w:rFonts w:ascii="Source Sans Pro" w:hAnsi="Source Sans Pro" w:cstheme="majorHAnsi"/>
          <w:sz w:val="24"/>
          <w:szCs w:val="24"/>
        </w:rPr>
        <w:t>,</w:t>
      </w:r>
      <w:r w:rsidR="00FD4E00">
        <w:rPr>
          <w:rStyle w:val="FootnoteReference"/>
          <w:rFonts w:ascii="Source Sans Pro" w:hAnsi="Source Sans Pro" w:cstheme="majorHAnsi"/>
          <w:sz w:val="24"/>
          <w:szCs w:val="24"/>
        </w:rPr>
        <w:footnoteReference w:id="27"/>
      </w:r>
      <w:r w:rsidR="00FD4E00">
        <w:rPr>
          <w:rFonts w:ascii="Source Sans Pro" w:hAnsi="Source Sans Pro" w:cstheme="majorHAnsi"/>
          <w:sz w:val="24"/>
          <w:szCs w:val="24"/>
        </w:rPr>
        <w:t xml:space="preserve"> but this is by no means a consensus amongst all scholars,</w:t>
      </w:r>
      <w:r w:rsidR="00FD4E00">
        <w:rPr>
          <w:rStyle w:val="FootnoteReference"/>
          <w:rFonts w:ascii="Source Sans Pro" w:hAnsi="Source Sans Pro" w:cstheme="majorHAnsi"/>
          <w:sz w:val="24"/>
          <w:szCs w:val="24"/>
        </w:rPr>
        <w:footnoteReference w:id="28"/>
      </w:r>
      <w:r w:rsidR="00E50CD6">
        <w:rPr>
          <w:rFonts w:ascii="Source Sans Pro" w:hAnsi="Source Sans Pro" w:cstheme="majorHAnsi"/>
          <w:sz w:val="24"/>
          <w:szCs w:val="24"/>
        </w:rPr>
        <w:t xml:space="preserve"> though if this were</w:t>
      </w:r>
      <w:r w:rsidR="00FD4E00">
        <w:rPr>
          <w:rFonts w:ascii="Source Sans Pro" w:hAnsi="Source Sans Pro" w:cstheme="majorHAnsi"/>
          <w:sz w:val="24"/>
          <w:szCs w:val="24"/>
        </w:rPr>
        <w:t xml:space="preserve"> true it would make for an interesting correlation between the two</w:t>
      </w:r>
      <w:r w:rsidR="00E50CD6">
        <w:rPr>
          <w:rFonts w:ascii="Source Sans Pro" w:hAnsi="Source Sans Pro" w:cstheme="majorHAnsi"/>
          <w:sz w:val="24"/>
          <w:szCs w:val="24"/>
        </w:rPr>
        <w:t xml:space="preserve"> texts. </w:t>
      </w:r>
    </w:p>
    <w:p w14:paraId="39A835D9" w14:textId="2A08E02D" w:rsidR="00F30CA6" w:rsidRDefault="00E50CD6" w:rsidP="007C2D32">
      <w:pPr>
        <w:rPr>
          <w:rFonts w:ascii="Source Sans Pro" w:hAnsi="Source Sans Pro" w:cstheme="majorHAnsi"/>
          <w:sz w:val="24"/>
          <w:szCs w:val="24"/>
        </w:rPr>
      </w:pPr>
      <w:r>
        <w:rPr>
          <w:rFonts w:ascii="Source Sans Pro" w:hAnsi="Source Sans Pro" w:cstheme="majorHAnsi"/>
          <w:sz w:val="24"/>
          <w:szCs w:val="24"/>
        </w:rPr>
        <w:t>It is of interest</w:t>
      </w:r>
      <w:r w:rsidR="00FD4E00">
        <w:rPr>
          <w:rFonts w:ascii="Source Sans Pro" w:hAnsi="Source Sans Pro" w:cstheme="majorHAnsi"/>
          <w:sz w:val="24"/>
          <w:szCs w:val="24"/>
        </w:rPr>
        <w:t xml:space="preserve"> that </w:t>
      </w:r>
      <w:r>
        <w:rPr>
          <w:rFonts w:ascii="Source Sans Pro" w:hAnsi="Source Sans Pro" w:cstheme="majorHAnsi"/>
          <w:sz w:val="24"/>
          <w:szCs w:val="24"/>
        </w:rPr>
        <w:t>w</w:t>
      </w:r>
      <w:r w:rsidR="009704C1">
        <w:rPr>
          <w:rFonts w:ascii="Source Sans Pro" w:hAnsi="Source Sans Pro" w:cstheme="majorHAnsi"/>
          <w:sz w:val="24"/>
          <w:szCs w:val="24"/>
        </w:rPr>
        <w:t>hen Beowulf eventually comes to power, it is through links with his mother</w:t>
      </w:r>
      <w:r w:rsidR="00314B92">
        <w:rPr>
          <w:rFonts w:ascii="Source Sans Pro" w:hAnsi="Source Sans Pro" w:cstheme="majorHAnsi"/>
          <w:sz w:val="24"/>
          <w:szCs w:val="24"/>
        </w:rPr>
        <w:t xml:space="preserve"> (Hrethel</w:t>
      </w:r>
      <w:r w:rsidR="001C4DFA">
        <w:rPr>
          <w:rFonts w:ascii="Source Sans Pro" w:hAnsi="Source Sans Pro" w:cstheme="majorHAnsi"/>
          <w:sz w:val="24"/>
          <w:szCs w:val="24"/>
        </w:rPr>
        <w:t>’</w:t>
      </w:r>
      <w:r w:rsidR="00314B92">
        <w:rPr>
          <w:rFonts w:ascii="Source Sans Pro" w:hAnsi="Source Sans Pro" w:cstheme="majorHAnsi"/>
          <w:sz w:val="24"/>
          <w:szCs w:val="24"/>
        </w:rPr>
        <w:t>s daughter)</w:t>
      </w:r>
      <w:r w:rsidR="009704C1">
        <w:rPr>
          <w:rFonts w:ascii="Source Sans Pro" w:hAnsi="Source Sans Pro" w:cstheme="majorHAnsi"/>
          <w:sz w:val="24"/>
          <w:szCs w:val="24"/>
        </w:rPr>
        <w:t xml:space="preserve">, and not through </w:t>
      </w:r>
      <w:r w:rsidR="009704C1" w:rsidRPr="009704C1">
        <w:rPr>
          <w:rFonts w:ascii="Source Sans Pro" w:hAnsi="Source Sans Pro" w:cstheme="majorHAnsi"/>
          <w:sz w:val="24"/>
          <w:szCs w:val="24"/>
        </w:rPr>
        <w:t>Ecgtheow</w:t>
      </w:r>
      <w:r w:rsidR="00C872D3">
        <w:rPr>
          <w:rFonts w:ascii="Source Sans Pro" w:hAnsi="Source Sans Pro" w:cstheme="majorHAnsi"/>
          <w:sz w:val="24"/>
          <w:szCs w:val="24"/>
        </w:rPr>
        <w:t>, his father</w:t>
      </w:r>
      <w:r w:rsidR="009704C1">
        <w:rPr>
          <w:rFonts w:ascii="Source Sans Pro" w:hAnsi="Source Sans Pro" w:cstheme="majorHAnsi"/>
          <w:sz w:val="24"/>
          <w:szCs w:val="24"/>
        </w:rPr>
        <w:t>. Nor was Beowulf initially</w:t>
      </w:r>
      <w:r w:rsidR="00FD4E00">
        <w:rPr>
          <w:rFonts w:ascii="Source Sans Pro" w:hAnsi="Source Sans Pro" w:cstheme="majorHAnsi"/>
          <w:sz w:val="24"/>
          <w:szCs w:val="24"/>
        </w:rPr>
        <w:t xml:space="preserve"> offered the kingship to the Geatish kingdom b</w:t>
      </w:r>
      <w:r w:rsidR="00314B92">
        <w:rPr>
          <w:rFonts w:ascii="Source Sans Pro" w:hAnsi="Source Sans Pro" w:cstheme="majorHAnsi"/>
          <w:sz w:val="24"/>
          <w:szCs w:val="24"/>
        </w:rPr>
        <w:t>y</w:t>
      </w:r>
      <w:r w:rsidR="002624BB">
        <w:rPr>
          <w:rFonts w:ascii="Source Sans Pro" w:hAnsi="Source Sans Pro" w:cstheme="majorHAnsi"/>
          <w:sz w:val="24"/>
          <w:szCs w:val="24"/>
        </w:rPr>
        <w:t xml:space="preserve"> a</w:t>
      </w:r>
      <w:r w:rsidR="00314B92">
        <w:rPr>
          <w:rFonts w:ascii="Source Sans Pro" w:hAnsi="Source Sans Pro" w:cstheme="majorHAnsi"/>
          <w:sz w:val="24"/>
          <w:szCs w:val="24"/>
        </w:rPr>
        <w:t xml:space="preserve"> male</w:t>
      </w:r>
      <w:r w:rsidR="0025291C">
        <w:rPr>
          <w:rFonts w:ascii="Source Sans Pro" w:hAnsi="Source Sans Pro" w:cstheme="majorHAnsi"/>
          <w:sz w:val="24"/>
          <w:szCs w:val="24"/>
        </w:rPr>
        <w:t>, but by Hygd,</w:t>
      </w:r>
      <w:r w:rsidR="0025291C">
        <w:rPr>
          <w:rStyle w:val="FootnoteReference"/>
          <w:rFonts w:ascii="Source Sans Pro" w:hAnsi="Source Sans Pro" w:cstheme="majorHAnsi"/>
          <w:sz w:val="24"/>
          <w:szCs w:val="24"/>
        </w:rPr>
        <w:footnoteReference w:id="29"/>
      </w:r>
      <w:r w:rsidR="0025291C">
        <w:rPr>
          <w:rFonts w:ascii="Source Sans Pro" w:hAnsi="Source Sans Pro" w:cstheme="majorHAnsi"/>
          <w:sz w:val="24"/>
          <w:szCs w:val="24"/>
        </w:rPr>
        <w:t xml:space="preserve"> whom ‘did not trust that her son knew how to hold the throne</w:t>
      </w:r>
      <w:r w:rsidR="00D767C0">
        <w:rPr>
          <w:rFonts w:ascii="Source Sans Pro" w:hAnsi="Source Sans Pro" w:cstheme="majorHAnsi"/>
          <w:sz w:val="24"/>
          <w:szCs w:val="24"/>
        </w:rPr>
        <w:t xml:space="preserve"> of his homeland.’</w:t>
      </w:r>
      <w:r w:rsidR="00D767C0">
        <w:rPr>
          <w:rStyle w:val="FootnoteReference"/>
          <w:rFonts w:ascii="Source Sans Pro" w:hAnsi="Source Sans Pro" w:cstheme="majorHAnsi"/>
          <w:sz w:val="24"/>
          <w:szCs w:val="24"/>
        </w:rPr>
        <w:footnoteReference w:id="30"/>
      </w:r>
      <w:r w:rsidR="00FD4E00">
        <w:rPr>
          <w:rFonts w:ascii="Source Sans Pro" w:hAnsi="Source Sans Pro" w:cstheme="majorHAnsi"/>
          <w:sz w:val="24"/>
          <w:szCs w:val="24"/>
        </w:rPr>
        <w:t xml:space="preserve"> </w:t>
      </w:r>
      <w:r w:rsidR="00FE0AFC">
        <w:rPr>
          <w:rFonts w:ascii="Source Sans Pro" w:hAnsi="Source Sans Pro" w:cstheme="majorHAnsi"/>
          <w:sz w:val="24"/>
          <w:szCs w:val="24"/>
        </w:rPr>
        <w:t xml:space="preserve">This </w:t>
      </w:r>
      <w:r w:rsidR="00FD4E00">
        <w:rPr>
          <w:rFonts w:ascii="Source Sans Pro" w:hAnsi="Source Sans Pro" w:cstheme="majorHAnsi"/>
          <w:sz w:val="24"/>
          <w:szCs w:val="24"/>
        </w:rPr>
        <w:t xml:space="preserve">signifies the </w:t>
      </w:r>
      <w:r w:rsidR="00FD4E00">
        <w:rPr>
          <w:rFonts w:ascii="Source Sans Pro" w:hAnsi="Source Sans Pro" w:cstheme="majorHAnsi"/>
          <w:sz w:val="24"/>
          <w:szCs w:val="24"/>
        </w:rPr>
        <w:lastRenderedPageBreak/>
        <w:t>importance and status the young queen held amongst the Geats</w:t>
      </w:r>
      <w:r>
        <w:rPr>
          <w:rFonts w:ascii="Source Sans Pro" w:hAnsi="Source Sans Pro" w:cstheme="majorHAnsi"/>
          <w:sz w:val="24"/>
          <w:szCs w:val="24"/>
        </w:rPr>
        <w:t xml:space="preserve"> that she could make that choice and put him above the heir-apparent</w:t>
      </w:r>
      <w:r w:rsidR="00FE0AFC">
        <w:rPr>
          <w:rFonts w:ascii="Source Sans Pro" w:hAnsi="Source Sans Pro" w:cstheme="majorHAnsi"/>
          <w:sz w:val="24"/>
          <w:szCs w:val="24"/>
        </w:rPr>
        <w:t xml:space="preserve"> as well as the fact that the throne was to be earned and not always simply through inheritance</w:t>
      </w:r>
      <w:r w:rsidR="00FD4E00">
        <w:rPr>
          <w:rFonts w:ascii="Source Sans Pro" w:hAnsi="Source Sans Pro" w:cstheme="majorHAnsi"/>
          <w:sz w:val="24"/>
          <w:szCs w:val="24"/>
        </w:rPr>
        <w:t>.</w:t>
      </w:r>
      <w:r w:rsidR="00FD4E00">
        <w:rPr>
          <w:rStyle w:val="FootnoteReference"/>
          <w:rFonts w:ascii="Source Sans Pro" w:hAnsi="Source Sans Pro" w:cstheme="majorHAnsi"/>
          <w:sz w:val="24"/>
          <w:szCs w:val="24"/>
        </w:rPr>
        <w:footnoteReference w:id="31"/>
      </w:r>
      <w:r w:rsidR="00D821CA">
        <w:rPr>
          <w:rFonts w:ascii="Source Sans Pro" w:hAnsi="Source Sans Pro" w:cstheme="majorHAnsi"/>
          <w:sz w:val="24"/>
          <w:szCs w:val="24"/>
        </w:rPr>
        <w:t xml:space="preserve"> </w:t>
      </w:r>
      <w:r w:rsidR="00F30CA6">
        <w:rPr>
          <w:rFonts w:ascii="Source Sans Pro" w:hAnsi="Source Sans Pro" w:cstheme="majorHAnsi"/>
          <w:sz w:val="24"/>
          <w:szCs w:val="24"/>
        </w:rPr>
        <w:t>Beowulf declines Hygd</w:t>
      </w:r>
      <w:r w:rsidR="001C4DFA">
        <w:rPr>
          <w:rFonts w:ascii="Source Sans Pro" w:hAnsi="Source Sans Pro" w:cstheme="majorHAnsi"/>
          <w:sz w:val="24"/>
          <w:szCs w:val="24"/>
        </w:rPr>
        <w:t>’</w:t>
      </w:r>
      <w:r w:rsidR="00F30CA6">
        <w:rPr>
          <w:rFonts w:ascii="Source Sans Pro" w:hAnsi="Source Sans Pro" w:cstheme="majorHAnsi"/>
          <w:sz w:val="24"/>
          <w:szCs w:val="24"/>
        </w:rPr>
        <w:t>s offer because she was placing preference on him over Heardred, which shows his respect for kinship ties to his cousin.</w:t>
      </w:r>
      <w:r w:rsidR="00F30CA6">
        <w:rPr>
          <w:rStyle w:val="FootnoteReference"/>
          <w:rFonts w:ascii="Source Sans Pro" w:hAnsi="Source Sans Pro" w:cstheme="majorHAnsi"/>
          <w:sz w:val="24"/>
          <w:szCs w:val="24"/>
        </w:rPr>
        <w:footnoteReference w:id="32"/>
      </w:r>
      <w:r w:rsidR="00F30CA6">
        <w:rPr>
          <w:rFonts w:ascii="Source Sans Pro" w:hAnsi="Source Sans Pro" w:cstheme="majorHAnsi"/>
          <w:sz w:val="24"/>
          <w:szCs w:val="24"/>
        </w:rPr>
        <w:t xml:space="preserve"> But the fact that she had the power to offer him</w:t>
      </w:r>
      <w:r>
        <w:rPr>
          <w:rFonts w:ascii="Source Sans Pro" w:hAnsi="Source Sans Pro" w:cstheme="majorHAnsi"/>
          <w:sz w:val="24"/>
          <w:szCs w:val="24"/>
        </w:rPr>
        <w:t xml:space="preserve"> the</w:t>
      </w:r>
      <w:r w:rsidR="00F30CA6">
        <w:rPr>
          <w:rFonts w:ascii="Source Sans Pro" w:hAnsi="Source Sans Pro" w:cstheme="majorHAnsi"/>
          <w:sz w:val="24"/>
          <w:szCs w:val="24"/>
        </w:rPr>
        <w:t xml:space="preserve"> kin</w:t>
      </w:r>
      <w:r>
        <w:rPr>
          <w:rFonts w:ascii="Source Sans Pro" w:hAnsi="Source Sans Pro" w:cstheme="majorHAnsi"/>
          <w:sz w:val="24"/>
          <w:szCs w:val="24"/>
        </w:rPr>
        <w:t>gship</w:t>
      </w:r>
      <w:r w:rsidR="00F30CA6">
        <w:rPr>
          <w:rFonts w:ascii="Source Sans Pro" w:hAnsi="Source Sans Pro" w:cstheme="majorHAnsi"/>
          <w:sz w:val="24"/>
          <w:szCs w:val="24"/>
        </w:rPr>
        <w:t xml:space="preserve"> goes against the gender norms which are described by many scholars</w:t>
      </w:r>
      <w:r>
        <w:rPr>
          <w:rFonts w:ascii="Source Sans Pro" w:hAnsi="Source Sans Pro" w:cstheme="majorHAnsi"/>
          <w:sz w:val="24"/>
          <w:szCs w:val="24"/>
        </w:rPr>
        <w:t xml:space="preserve"> in regards to medieval times</w:t>
      </w:r>
      <w:r w:rsidR="00F30CA6">
        <w:rPr>
          <w:rFonts w:ascii="Source Sans Pro" w:hAnsi="Source Sans Pro" w:cstheme="majorHAnsi"/>
          <w:sz w:val="24"/>
          <w:szCs w:val="24"/>
        </w:rPr>
        <w:t xml:space="preserve">. </w:t>
      </w:r>
    </w:p>
    <w:p w14:paraId="5F204630" w14:textId="67AC9256" w:rsidR="00F0628B" w:rsidRDefault="00D821CA" w:rsidP="007C2D32">
      <w:pPr>
        <w:rPr>
          <w:rFonts w:ascii="Source Sans Pro" w:hAnsi="Source Sans Pro"/>
          <w:sz w:val="24"/>
          <w:szCs w:val="24"/>
        </w:rPr>
      </w:pPr>
      <w:r>
        <w:rPr>
          <w:rFonts w:ascii="Source Sans Pro" w:hAnsi="Source Sans Pro" w:cstheme="majorHAnsi"/>
          <w:sz w:val="24"/>
          <w:szCs w:val="24"/>
        </w:rPr>
        <w:t xml:space="preserve">Hygd herself does not get an extensive introduction on her role as hostess as </w:t>
      </w:r>
      <w:r w:rsidRPr="00FC6187">
        <w:rPr>
          <w:rFonts w:ascii="Source Sans Pro" w:hAnsi="Source Sans Pro"/>
          <w:sz w:val="24"/>
          <w:szCs w:val="24"/>
        </w:rPr>
        <w:t>Wealhþeow</w:t>
      </w:r>
      <w:r w:rsidR="00314B92">
        <w:rPr>
          <w:rFonts w:ascii="Source Sans Pro" w:hAnsi="Source Sans Pro"/>
          <w:sz w:val="24"/>
          <w:szCs w:val="24"/>
        </w:rPr>
        <w:t xml:space="preserve"> </w:t>
      </w:r>
      <w:r w:rsidR="000068C4">
        <w:rPr>
          <w:rFonts w:ascii="Source Sans Pro" w:hAnsi="Source Sans Pro"/>
          <w:sz w:val="24"/>
          <w:szCs w:val="24"/>
        </w:rPr>
        <w:t>does;</w:t>
      </w:r>
      <w:r>
        <w:rPr>
          <w:rFonts w:ascii="Source Sans Pro" w:hAnsi="Source Sans Pro"/>
          <w:sz w:val="24"/>
          <w:szCs w:val="24"/>
        </w:rPr>
        <w:t xml:space="preserve"> </w:t>
      </w:r>
      <w:r>
        <w:rPr>
          <w:rFonts w:ascii="Source Sans Pro" w:hAnsi="Source Sans Pro" w:cstheme="majorHAnsi"/>
          <w:sz w:val="24"/>
          <w:szCs w:val="24"/>
        </w:rPr>
        <w:t>this is probably because the significance of her cup-bearing responsibilities w</w:t>
      </w:r>
      <w:r w:rsidR="00C934E0">
        <w:rPr>
          <w:rFonts w:ascii="Source Sans Pro" w:hAnsi="Source Sans Pro" w:cstheme="majorHAnsi"/>
          <w:sz w:val="24"/>
          <w:szCs w:val="24"/>
        </w:rPr>
        <w:t>as</w:t>
      </w:r>
      <w:r>
        <w:rPr>
          <w:rFonts w:ascii="Source Sans Pro" w:hAnsi="Source Sans Pro" w:cstheme="majorHAnsi"/>
          <w:sz w:val="24"/>
          <w:szCs w:val="24"/>
        </w:rPr>
        <w:t xml:space="preserve"> not of as much importance. </w:t>
      </w:r>
      <w:r w:rsidRPr="00FC6187">
        <w:rPr>
          <w:rFonts w:ascii="Source Sans Pro" w:hAnsi="Source Sans Pro"/>
          <w:sz w:val="24"/>
          <w:szCs w:val="24"/>
        </w:rPr>
        <w:t>Wealhþeow</w:t>
      </w:r>
      <w:r>
        <w:rPr>
          <w:rFonts w:ascii="Source Sans Pro" w:hAnsi="Source Sans Pro"/>
          <w:sz w:val="24"/>
          <w:szCs w:val="24"/>
        </w:rPr>
        <w:t xml:space="preserve"> had to reassert the power </w:t>
      </w:r>
      <w:r w:rsidR="00314B92">
        <w:rPr>
          <w:rFonts w:ascii="Source Sans Pro" w:hAnsi="Source Sans Pro"/>
          <w:sz w:val="24"/>
          <w:szCs w:val="24"/>
        </w:rPr>
        <w:t>dynamic</w:t>
      </w:r>
      <w:r>
        <w:rPr>
          <w:rFonts w:ascii="Source Sans Pro" w:hAnsi="Source Sans Pro"/>
          <w:sz w:val="24"/>
          <w:szCs w:val="24"/>
        </w:rPr>
        <w:t xml:space="preserve"> within the </w:t>
      </w:r>
      <w:r w:rsidR="0073190F">
        <w:rPr>
          <w:rFonts w:ascii="Source Sans Pro" w:hAnsi="Source Sans Pro"/>
          <w:sz w:val="24"/>
          <w:szCs w:val="24"/>
        </w:rPr>
        <w:t>hall and</w:t>
      </w:r>
      <w:r>
        <w:rPr>
          <w:rFonts w:ascii="Source Sans Pro" w:hAnsi="Source Sans Pro"/>
          <w:sz w:val="24"/>
          <w:szCs w:val="24"/>
        </w:rPr>
        <w:t xml:space="preserve"> ensure that her husband Hrothgar was still seen as the</w:t>
      </w:r>
      <w:r w:rsidR="00C872D3">
        <w:rPr>
          <w:rFonts w:ascii="Source Sans Pro" w:hAnsi="Source Sans Pro"/>
          <w:sz w:val="24"/>
          <w:szCs w:val="24"/>
        </w:rPr>
        <w:t xml:space="preserve"> primary</w:t>
      </w:r>
      <w:r>
        <w:rPr>
          <w:rFonts w:ascii="Source Sans Pro" w:hAnsi="Source Sans Pro"/>
          <w:sz w:val="24"/>
          <w:szCs w:val="24"/>
        </w:rPr>
        <w:t xml:space="preserve"> ruler</w:t>
      </w:r>
      <w:r w:rsidR="0036768A">
        <w:rPr>
          <w:rFonts w:ascii="Source Sans Pro" w:hAnsi="Source Sans Pro"/>
          <w:sz w:val="24"/>
          <w:szCs w:val="24"/>
        </w:rPr>
        <w:t xml:space="preserve"> because he wa</w:t>
      </w:r>
      <w:r w:rsidR="0049726D">
        <w:rPr>
          <w:rFonts w:ascii="Source Sans Pro" w:hAnsi="Source Sans Pro"/>
          <w:sz w:val="24"/>
          <w:szCs w:val="24"/>
        </w:rPr>
        <w:t>s incapable of defending Heorot and therefore was unsuccessful in his role as the protector of his own hall</w:t>
      </w:r>
      <w:r>
        <w:rPr>
          <w:rFonts w:ascii="Source Sans Pro" w:hAnsi="Source Sans Pro"/>
          <w:sz w:val="24"/>
          <w:szCs w:val="24"/>
        </w:rPr>
        <w:t>.</w:t>
      </w:r>
      <w:r>
        <w:rPr>
          <w:rStyle w:val="FootnoteReference"/>
          <w:rFonts w:ascii="Source Sans Pro" w:hAnsi="Source Sans Pro"/>
          <w:sz w:val="24"/>
          <w:szCs w:val="24"/>
        </w:rPr>
        <w:footnoteReference w:id="33"/>
      </w:r>
      <w:r w:rsidR="0036768A">
        <w:rPr>
          <w:rFonts w:ascii="Source Sans Pro" w:hAnsi="Source Sans Pro"/>
          <w:sz w:val="24"/>
          <w:szCs w:val="24"/>
        </w:rPr>
        <w:t xml:space="preserve"> Hygd does not need to do this, </w:t>
      </w:r>
      <w:r w:rsidR="00D57C2B">
        <w:rPr>
          <w:rFonts w:ascii="Source Sans Pro" w:hAnsi="Source Sans Pro"/>
          <w:sz w:val="24"/>
          <w:szCs w:val="24"/>
        </w:rPr>
        <w:t xml:space="preserve">as </w:t>
      </w:r>
      <w:r w:rsidR="0036768A">
        <w:rPr>
          <w:rFonts w:ascii="Source Sans Pro" w:hAnsi="Source Sans Pro"/>
          <w:sz w:val="24"/>
          <w:szCs w:val="24"/>
        </w:rPr>
        <w:t>it is known</w:t>
      </w:r>
      <w:r w:rsidR="00F0628B">
        <w:rPr>
          <w:rFonts w:ascii="Source Sans Pro" w:hAnsi="Source Sans Pro"/>
          <w:sz w:val="24"/>
          <w:szCs w:val="24"/>
        </w:rPr>
        <w:t xml:space="preserve"> that</w:t>
      </w:r>
      <w:r w:rsidR="0036768A">
        <w:rPr>
          <w:rFonts w:ascii="Source Sans Pro" w:hAnsi="Source Sans Pro"/>
          <w:sz w:val="24"/>
          <w:szCs w:val="24"/>
        </w:rPr>
        <w:t xml:space="preserve"> </w:t>
      </w:r>
      <w:r w:rsidR="002624BB">
        <w:rPr>
          <w:rFonts w:ascii="Source Sans Pro" w:hAnsi="Source Sans Pro"/>
          <w:sz w:val="24"/>
          <w:szCs w:val="24"/>
        </w:rPr>
        <w:t>Beowulf</w:t>
      </w:r>
      <w:r w:rsidR="006C36E4">
        <w:rPr>
          <w:rFonts w:ascii="Source Sans Pro" w:hAnsi="Source Sans Pro"/>
          <w:sz w:val="24"/>
          <w:szCs w:val="24"/>
        </w:rPr>
        <w:t xml:space="preserve"> is a thegn of Hygelac and therefore there is no need to re-establish the power dynamic </w:t>
      </w:r>
      <w:r w:rsidR="00F0628B">
        <w:rPr>
          <w:rFonts w:ascii="Source Sans Pro" w:hAnsi="Source Sans Pro"/>
          <w:sz w:val="24"/>
          <w:szCs w:val="24"/>
        </w:rPr>
        <w:t>amongst them</w:t>
      </w:r>
      <w:r w:rsidR="006C36E4">
        <w:rPr>
          <w:rFonts w:ascii="Source Sans Pro" w:hAnsi="Source Sans Pro"/>
          <w:sz w:val="24"/>
          <w:szCs w:val="24"/>
        </w:rPr>
        <w:t>.</w:t>
      </w:r>
      <w:r w:rsidR="00C662D2">
        <w:rPr>
          <w:rFonts w:ascii="Source Sans Pro" w:hAnsi="Source Sans Pro"/>
          <w:sz w:val="24"/>
          <w:szCs w:val="24"/>
        </w:rPr>
        <w:t xml:space="preserve"> </w:t>
      </w:r>
      <w:r w:rsidR="00DA2894">
        <w:rPr>
          <w:rFonts w:ascii="Source Sans Pro" w:hAnsi="Source Sans Pro"/>
          <w:sz w:val="24"/>
          <w:szCs w:val="24"/>
        </w:rPr>
        <w:t xml:space="preserve">This shows us </w:t>
      </w:r>
      <w:r w:rsidR="0034351D">
        <w:rPr>
          <w:rFonts w:ascii="Source Sans Pro" w:hAnsi="Source Sans Pro"/>
          <w:sz w:val="24"/>
          <w:szCs w:val="24"/>
        </w:rPr>
        <w:t>much</w:t>
      </w:r>
      <w:r w:rsidR="00DA2894">
        <w:rPr>
          <w:rFonts w:ascii="Source Sans Pro" w:hAnsi="Source Sans Pro"/>
          <w:sz w:val="24"/>
          <w:szCs w:val="24"/>
        </w:rPr>
        <w:t xml:space="preserve"> about </w:t>
      </w:r>
      <w:r w:rsidR="00F0628B">
        <w:rPr>
          <w:rFonts w:ascii="Source Sans Pro" w:hAnsi="Source Sans Pro"/>
          <w:sz w:val="24"/>
          <w:szCs w:val="24"/>
        </w:rPr>
        <w:t>how</w:t>
      </w:r>
      <w:r w:rsidR="00DA2894">
        <w:rPr>
          <w:rFonts w:ascii="Source Sans Pro" w:hAnsi="Source Sans Pro"/>
          <w:sz w:val="24"/>
          <w:szCs w:val="24"/>
        </w:rPr>
        <w:t xml:space="preserve"> Anglo-Saxon</w:t>
      </w:r>
      <w:r w:rsidR="00F0628B">
        <w:rPr>
          <w:rFonts w:ascii="Source Sans Pro" w:hAnsi="Source Sans Pro"/>
          <w:sz w:val="24"/>
          <w:szCs w:val="24"/>
        </w:rPr>
        <w:t>’s</w:t>
      </w:r>
      <w:r w:rsidR="00DA2894">
        <w:rPr>
          <w:rFonts w:ascii="Source Sans Pro" w:hAnsi="Source Sans Pro"/>
          <w:sz w:val="24"/>
          <w:szCs w:val="24"/>
        </w:rPr>
        <w:t xml:space="preserve"> view</w:t>
      </w:r>
      <w:r w:rsidR="00F0628B">
        <w:rPr>
          <w:rFonts w:ascii="Source Sans Pro" w:hAnsi="Source Sans Pro"/>
          <w:sz w:val="24"/>
          <w:szCs w:val="24"/>
        </w:rPr>
        <w:t xml:space="preserve">s on </w:t>
      </w:r>
      <w:r w:rsidR="00DF0C53">
        <w:rPr>
          <w:rFonts w:ascii="Source Sans Pro" w:hAnsi="Source Sans Pro"/>
          <w:sz w:val="24"/>
          <w:szCs w:val="24"/>
        </w:rPr>
        <w:t>the</w:t>
      </w:r>
      <w:r w:rsidR="00F0628B">
        <w:rPr>
          <w:rFonts w:ascii="Source Sans Pro" w:hAnsi="Source Sans Pro"/>
          <w:sz w:val="24"/>
          <w:szCs w:val="24"/>
        </w:rPr>
        <w:t xml:space="preserve"> importance</w:t>
      </w:r>
      <w:r w:rsidR="00DF0C53">
        <w:rPr>
          <w:rFonts w:ascii="Source Sans Pro" w:hAnsi="Source Sans Pro"/>
          <w:sz w:val="24"/>
          <w:szCs w:val="24"/>
        </w:rPr>
        <w:t xml:space="preserve"> of females in</w:t>
      </w:r>
      <w:r w:rsidR="00DA2894">
        <w:rPr>
          <w:rFonts w:ascii="Source Sans Pro" w:hAnsi="Source Sans Pro"/>
          <w:sz w:val="24"/>
          <w:szCs w:val="24"/>
        </w:rPr>
        <w:t xml:space="preserve"> the Germanic </w:t>
      </w:r>
      <w:r w:rsidR="00EB38B9">
        <w:rPr>
          <w:rFonts w:ascii="Source Sans Pro" w:hAnsi="Source Sans Pro"/>
          <w:sz w:val="24"/>
          <w:szCs w:val="24"/>
        </w:rPr>
        <w:t>period;</w:t>
      </w:r>
      <w:r w:rsidR="00F0628B">
        <w:rPr>
          <w:rFonts w:ascii="Source Sans Pro" w:hAnsi="Source Sans Pro"/>
          <w:sz w:val="24"/>
          <w:szCs w:val="24"/>
        </w:rPr>
        <w:t xml:space="preserve"> they</w:t>
      </w:r>
      <w:r w:rsidR="00DA2894">
        <w:rPr>
          <w:rFonts w:ascii="Source Sans Pro" w:hAnsi="Source Sans Pro"/>
          <w:sz w:val="24"/>
          <w:szCs w:val="24"/>
        </w:rPr>
        <w:t xml:space="preserve"> were capable of reasserting the hierarchy within a room through the simple act of</w:t>
      </w:r>
      <w:r w:rsidR="00F0628B">
        <w:rPr>
          <w:rFonts w:ascii="Source Sans Pro" w:hAnsi="Source Sans Pro"/>
          <w:sz w:val="24"/>
          <w:szCs w:val="24"/>
        </w:rPr>
        <w:t xml:space="preserve"> ceremonial</w:t>
      </w:r>
      <w:r w:rsidR="00DA2894">
        <w:rPr>
          <w:rFonts w:ascii="Source Sans Pro" w:hAnsi="Source Sans Pro"/>
          <w:sz w:val="24"/>
          <w:szCs w:val="24"/>
        </w:rPr>
        <w:t xml:space="preserve"> cup-bearing. </w:t>
      </w:r>
    </w:p>
    <w:p w14:paraId="10E951DD" w14:textId="6276E906" w:rsidR="002D6286" w:rsidRDefault="00DA2894" w:rsidP="007C2D32">
      <w:pPr>
        <w:rPr>
          <w:rFonts w:ascii="Source Sans Pro" w:hAnsi="Source Sans Pro" w:cstheme="majorHAnsi"/>
          <w:sz w:val="24"/>
          <w:szCs w:val="24"/>
        </w:rPr>
      </w:pPr>
      <w:r>
        <w:rPr>
          <w:rFonts w:ascii="Source Sans Pro" w:hAnsi="Source Sans Pro"/>
          <w:sz w:val="24"/>
          <w:szCs w:val="24"/>
        </w:rPr>
        <w:t>Godfrid Storms claims that t</w:t>
      </w:r>
      <w:r w:rsidR="00C662D2">
        <w:rPr>
          <w:rFonts w:ascii="Source Sans Pro" w:hAnsi="Source Sans Pro"/>
          <w:sz w:val="24"/>
          <w:szCs w:val="24"/>
        </w:rPr>
        <w:t xml:space="preserve">he fact that Hrothgar does not openly display his distrust for his nephew, and instead leaves </w:t>
      </w:r>
      <w:r w:rsidR="00C662D2" w:rsidRPr="00FC6187">
        <w:rPr>
          <w:rFonts w:ascii="Source Sans Pro" w:hAnsi="Source Sans Pro"/>
          <w:sz w:val="24"/>
          <w:szCs w:val="24"/>
        </w:rPr>
        <w:t>Wealhþeow</w:t>
      </w:r>
      <w:r w:rsidR="00C662D2">
        <w:rPr>
          <w:rFonts w:ascii="Source Sans Pro" w:hAnsi="Source Sans Pro"/>
          <w:sz w:val="24"/>
          <w:szCs w:val="24"/>
        </w:rPr>
        <w:t xml:space="preserve"> to imply it for him through her use of </w:t>
      </w:r>
      <w:r w:rsidR="00C662D2">
        <w:rPr>
          <w:rFonts w:ascii="Source Sans Pro" w:hAnsi="Source Sans Pro"/>
          <w:sz w:val="24"/>
          <w:szCs w:val="24"/>
        </w:rPr>
        <w:lastRenderedPageBreak/>
        <w:t>backhanded praise for Hrothulf</w:t>
      </w:r>
      <w:r w:rsidR="004D4E33">
        <w:rPr>
          <w:rFonts w:ascii="Source Sans Pro" w:hAnsi="Source Sans Pro"/>
          <w:sz w:val="24"/>
          <w:szCs w:val="24"/>
        </w:rPr>
        <w:t xml:space="preserve"> whilst simul</w:t>
      </w:r>
      <w:r w:rsidR="00F30CA6">
        <w:rPr>
          <w:rFonts w:ascii="Source Sans Pro" w:hAnsi="Source Sans Pro"/>
          <w:sz w:val="24"/>
          <w:szCs w:val="24"/>
        </w:rPr>
        <w:t>taneously making others aware of the concerns</w:t>
      </w:r>
      <w:r>
        <w:rPr>
          <w:rFonts w:ascii="Source Sans Pro" w:hAnsi="Source Sans Pro"/>
          <w:sz w:val="24"/>
          <w:szCs w:val="24"/>
        </w:rPr>
        <w:t xml:space="preserve">, </w:t>
      </w:r>
      <w:r w:rsidR="00F30CA6">
        <w:rPr>
          <w:rFonts w:ascii="Source Sans Pro" w:hAnsi="Source Sans Pro"/>
          <w:sz w:val="24"/>
          <w:szCs w:val="24"/>
        </w:rPr>
        <w:t>showing</w:t>
      </w:r>
      <w:r w:rsidR="00C662D2">
        <w:rPr>
          <w:rFonts w:ascii="Source Sans Pro" w:hAnsi="Source Sans Pro"/>
          <w:sz w:val="24"/>
          <w:szCs w:val="24"/>
        </w:rPr>
        <w:t xml:space="preserve"> us the sort of power that she wielded with the ability to express her husband’s distaste</w:t>
      </w:r>
      <w:r w:rsidR="004D4E33">
        <w:rPr>
          <w:rFonts w:ascii="Source Sans Pro" w:hAnsi="Source Sans Pro"/>
          <w:sz w:val="24"/>
          <w:szCs w:val="24"/>
        </w:rPr>
        <w:t xml:space="preserve"> and concern</w:t>
      </w:r>
      <w:r w:rsidR="00C662D2">
        <w:rPr>
          <w:rFonts w:ascii="Source Sans Pro" w:hAnsi="Source Sans Pro"/>
          <w:sz w:val="24"/>
          <w:szCs w:val="24"/>
        </w:rPr>
        <w:t xml:space="preserve"> in a tactical way which would not lead to an escalation in war.</w:t>
      </w:r>
      <w:r w:rsidRPr="00DA2894">
        <w:rPr>
          <w:rStyle w:val="FootnoteReference"/>
          <w:rFonts w:ascii="Source Sans Pro" w:hAnsi="Source Sans Pro"/>
          <w:sz w:val="24"/>
          <w:szCs w:val="24"/>
        </w:rPr>
        <w:t xml:space="preserve"> </w:t>
      </w:r>
      <w:r>
        <w:rPr>
          <w:rStyle w:val="FootnoteReference"/>
          <w:rFonts w:ascii="Source Sans Pro" w:hAnsi="Source Sans Pro"/>
          <w:sz w:val="24"/>
          <w:szCs w:val="24"/>
        </w:rPr>
        <w:footnoteReference w:id="34"/>
      </w:r>
      <w:r>
        <w:rPr>
          <w:rFonts w:ascii="Source Sans Pro" w:hAnsi="Source Sans Pro"/>
          <w:sz w:val="24"/>
          <w:szCs w:val="24"/>
        </w:rPr>
        <w:t xml:space="preserve"> However, this does not seems a credible argument as nowhere in the passage within which </w:t>
      </w:r>
      <w:r w:rsidRPr="00FC6187">
        <w:rPr>
          <w:rFonts w:ascii="Source Sans Pro" w:hAnsi="Source Sans Pro"/>
          <w:sz w:val="24"/>
          <w:szCs w:val="24"/>
        </w:rPr>
        <w:t>Wealhþeow</w:t>
      </w:r>
      <w:r>
        <w:rPr>
          <w:rFonts w:ascii="Source Sans Pro" w:hAnsi="Source Sans Pro"/>
          <w:sz w:val="24"/>
          <w:szCs w:val="24"/>
        </w:rPr>
        <w:t xml:space="preserve"> cunningly inserts her concern of Hrothulf does she</w:t>
      </w:r>
      <w:r w:rsidR="00F30CA6">
        <w:rPr>
          <w:rFonts w:ascii="Source Sans Pro" w:hAnsi="Source Sans Pro"/>
          <w:sz w:val="24"/>
          <w:szCs w:val="24"/>
        </w:rPr>
        <w:t xml:space="preserve"> or anyone else claim that these concerns for the safety of her sons come from her husband.</w:t>
      </w:r>
      <w:r w:rsidR="00F30CA6">
        <w:rPr>
          <w:rStyle w:val="FootnoteReference"/>
          <w:rFonts w:ascii="Source Sans Pro" w:hAnsi="Source Sans Pro"/>
          <w:sz w:val="24"/>
          <w:szCs w:val="24"/>
        </w:rPr>
        <w:footnoteReference w:id="35"/>
      </w:r>
      <w:r w:rsidR="00F30CA6" w:rsidRPr="004D4E33">
        <w:rPr>
          <w:rStyle w:val="FootnoteReference"/>
          <w:rFonts w:ascii="Source Sans Pro" w:hAnsi="Source Sans Pro"/>
          <w:sz w:val="24"/>
          <w:szCs w:val="24"/>
        </w:rPr>
        <w:t xml:space="preserve"> </w:t>
      </w:r>
      <w:r w:rsidR="00F30CA6">
        <w:rPr>
          <w:rFonts w:ascii="Source Sans Pro" w:hAnsi="Source Sans Pro"/>
          <w:sz w:val="24"/>
          <w:szCs w:val="24"/>
        </w:rPr>
        <w:t xml:space="preserve"> Therefore it does not seem right to assume such a thing, as </w:t>
      </w:r>
      <w:r w:rsidR="00F30CA6" w:rsidRPr="00FC6187">
        <w:rPr>
          <w:rFonts w:ascii="Source Sans Pro" w:hAnsi="Source Sans Pro"/>
          <w:sz w:val="24"/>
          <w:szCs w:val="24"/>
        </w:rPr>
        <w:t>Wealhþeow</w:t>
      </w:r>
      <w:r w:rsidR="00F30CA6">
        <w:rPr>
          <w:rFonts w:ascii="Source Sans Pro" w:hAnsi="Source Sans Pro"/>
          <w:sz w:val="24"/>
          <w:szCs w:val="24"/>
        </w:rPr>
        <w:t xml:space="preserve"> may have simply been expressing her own concerns over the matter, perhaps publicly since her husband may not have wanted to acknowledge any bad blood between his nephew and sons or wife.</w:t>
      </w:r>
      <w:r w:rsidR="002252CB">
        <w:rPr>
          <w:rFonts w:ascii="Source Sans Pro" w:hAnsi="Source Sans Pro"/>
          <w:sz w:val="24"/>
          <w:szCs w:val="24"/>
        </w:rPr>
        <w:t xml:space="preserve"> It seems more likely then</w:t>
      </w:r>
      <w:r w:rsidR="00DF0C53">
        <w:rPr>
          <w:rFonts w:ascii="Source Sans Pro" w:hAnsi="Source Sans Pro"/>
          <w:sz w:val="24"/>
          <w:szCs w:val="24"/>
        </w:rPr>
        <w:t>,</w:t>
      </w:r>
      <w:r w:rsidR="002252CB">
        <w:rPr>
          <w:rFonts w:ascii="Source Sans Pro" w:hAnsi="Source Sans Pro"/>
          <w:sz w:val="24"/>
          <w:szCs w:val="24"/>
        </w:rPr>
        <w:t xml:space="preserve"> that </w:t>
      </w:r>
      <w:r w:rsidR="002252CB" w:rsidRPr="00FC6187">
        <w:rPr>
          <w:rFonts w:ascii="Source Sans Pro" w:hAnsi="Source Sans Pro"/>
          <w:sz w:val="24"/>
          <w:szCs w:val="24"/>
        </w:rPr>
        <w:t>Wealhþeow</w:t>
      </w:r>
      <w:r w:rsidR="002252CB">
        <w:rPr>
          <w:rFonts w:ascii="Source Sans Pro" w:hAnsi="Source Sans Pro"/>
          <w:sz w:val="24"/>
          <w:szCs w:val="24"/>
        </w:rPr>
        <w:t xml:space="preserve"> was ensuring that all knew that Hrothulf’s role after the imminent death of Hrothgar (he was growing old) was as a guide and carer for his cousins, and remind him in a way which would not offend that they have treated him kindly in front of others that she trusts.</w:t>
      </w:r>
      <w:r w:rsidR="002D6286" w:rsidRPr="002D6286">
        <w:rPr>
          <w:rFonts w:ascii="Source Sans Pro" w:hAnsi="Source Sans Pro" w:cstheme="majorHAnsi"/>
          <w:sz w:val="24"/>
          <w:szCs w:val="24"/>
        </w:rPr>
        <w:t xml:space="preserve"> </w:t>
      </w:r>
      <w:r w:rsidR="00DD33DD">
        <w:rPr>
          <w:rFonts w:ascii="Source Sans Pro" w:hAnsi="Source Sans Pro" w:cstheme="majorHAnsi"/>
          <w:sz w:val="24"/>
          <w:szCs w:val="24"/>
        </w:rPr>
        <w:t xml:space="preserve">In the same scene, </w:t>
      </w:r>
      <w:r w:rsidR="00DD33DD" w:rsidRPr="00FC6187">
        <w:rPr>
          <w:rFonts w:ascii="Source Sans Pro" w:hAnsi="Source Sans Pro"/>
          <w:sz w:val="24"/>
          <w:szCs w:val="24"/>
        </w:rPr>
        <w:t>Wealhþeow</w:t>
      </w:r>
      <w:r w:rsidR="00DD33DD">
        <w:rPr>
          <w:rFonts w:ascii="Source Sans Pro" w:hAnsi="Source Sans Pro"/>
          <w:sz w:val="24"/>
          <w:szCs w:val="24"/>
        </w:rPr>
        <w:t xml:space="preserve"> proves that she is diplomatic and can voice her concerns as Hrothgar attempts to adopt Beowulf and she voices her worry, </w:t>
      </w:r>
      <w:r w:rsidR="00B2566A">
        <w:rPr>
          <w:rFonts w:ascii="Source Sans Pro" w:hAnsi="Source Sans Pro"/>
          <w:sz w:val="24"/>
          <w:szCs w:val="24"/>
        </w:rPr>
        <w:t xml:space="preserve">publicly </w:t>
      </w:r>
      <w:r w:rsidR="00DD33DD">
        <w:rPr>
          <w:rFonts w:ascii="Source Sans Pro" w:hAnsi="Source Sans Pro"/>
          <w:sz w:val="24"/>
          <w:szCs w:val="24"/>
        </w:rPr>
        <w:t>exposing Hrothgar’s error</w:t>
      </w:r>
      <w:r w:rsidR="00B2566A">
        <w:rPr>
          <w:rFonts w:ascii="Source Sans Pro" w:hAnsi="Source Sans Pro"/>
          <w:sz w:val="24"/>
          <w:szCs w:val="24"/>
        </w:rPr>
        <w:t xml:space="preserve"> and showing her knowledge of the political sphere which she is part of</w:t>
      </w:r>
      <w:r w:rsidR="00DD33DD">
        <w:rPr>
          <w:rFonts w:ascii="Source Sans Pro" w:hAnsi="Source Sans Pro"/>
          <w:sz w:val="24"/>
          <w:szCs w:val="24"/>
        </w:rPr>
        <w:t>; in no way is this act seen as negative by the males around her and it is publicly accepted by all without issue.</w:t>
      </w:r>
      <w:r w:rsidR="00DD33DD">
        <w:rPr>
          <w:rStyle w:val="FootnoteReference"/>
          <w:rFonts w:ascii="Source Sans Pro" w:hAnsi="Source Sans Pro"/>
          <w:sz w:val="24"/>
          <w:szCs w:val="24"/>
        </w:rPr>
        <w:footnoteReference w:id="36"/>
      </w:r>
      <w:r w:rsidR="00DD33DD">
        <w:rPr>
          <w:rFonts w:ascii="Source Sans Pro" w:hAnsi="Source Sans Pro"/>
          <w:sz w:val="24"/>
          <w:szCs w:val="24"/>
        </w:rPr>
        <w:t xml:space="preserve"> </w:t>
      </w:r>
      <w:r w:rsidR="0068480F">
        <w:rPr>
          <w:rFonts w:ascii="Source Sans Pro" w:hAnsi="Source Sans Pro"/>
          <w:sz w:val="24"/>
          <w:szCs w:val="24"/>
        </w:rPr>
        <w:t xml:space="preserve">She confirms stereotypes on the purpose of gender as, if the adoption of Beowulf on the grounds of good deeds occurred, the need for preference of blood-kin as inheritors of kingdoms would be null. If this happened, her purpose as a producer of blood-kin as well as the delicate hierarchy of kinship and power would have also been put at jeapordy, as well as the inheritance of her </w:t>
      </w:r>
      <w:r w:rsidR="0068480F">
        <w:rPr>
          <w:rFonts w:ascii="Source Sans Pro" w:hAnsi="Source Sans Pro"/>
          <w:sz w:val="24"/>
          <w:szCs w:val="24"/>
        </w:rPr>
        <w:lastRenderedPageBreak/>
        <w:t xml:space="preserve">sons. </w:t>
      </w:r>
      <w:r w:rsidR="00DD33DD">
        <w:rPr>
          <w:rFonts w:ascii="Source Sans Pro" w:hAnsi="Source Sans Pro"/>
          <w:sz w:val="24"/>
          <w:szCs w:val="24"/>
        </w:rPr>
        <w:t>In this scene, she as a female s</w:t>
      </w:r>
      <w:r w:rsidR="002F1608">
        <w:rPr>
          <w:rFonts w:ascii="Source Sans Pro" w:hAnsi="Source Sans Pro"/>
          <w:sz w:val="24"/>
          <w:szCs w:val="24"/>
        </w:rPr>
        <w:t>eems to have a power to critique the</w:t>
      </w:r>
      <w:r w:rsidR="00DD33DD">
        <w:rPr>
          <w:rFonts w:ascii="Source Sans Pro" w:hAnsi="Source Sans Pro"/>
          <w:sz w:val="24"/>
          <w:szCs w:val="24"/>
        </w:rPr>
        <w:t xml:space="preserve"> masculine expectations without inciting </w:t>
      </w:r>
      <w:r w:rsidR="002F1608">
        <w:rPr>
          <w:rFonts w:ascii="Source Sans Pro" w:hAnsi="Source Sans Pro"/>
          <w:sz w:val="24"/>
          <w:szCs w:val="24"/>
        </w:rPr>
        <w:t>problems as well as implying that Hrothgar’s nephew has been chosen to protect her sons if needs must</w:t>
      </w:r>
      <w:r w:rsidR="00DD33DD">
        <w:rPr>
          <w:rFonts w:ascii="Source Sans Pro" w:hAnsi="Source Sans Pro"/>
          <w:sz w:val="24"/>
          <w:szCs w:val="24"/>
        </w:rPr>
        <w:t>, materialising her role as peace-weaver.</w:t>
      </w:r>
      <w:r w:rsidR="0068480F">
        <w:rPr>
          <w:rFonts w:ascii="Source Sans Pro" w:hAnsi="Source Sans Pro"/>
          <w:sz w:val="24"/>
          <w:szCs w:val="24"/>
        </w:rPr>
        <w:t xml:space="preserve"> </w:t>
      </w:r>
    </w:p>
    <w:p w14:paraId="59731E25" w14:textId="52B1B492" w:rsidR="00F30CA6" w:rsidRDefault="002D6286" w:rsidP="007C2D32">
      <w:pPr>
        <w:rPr>
          <w:rFonts w:ascii="Source Sans Pro" w:hAnsi="Source Sans Pro"/>
          <w:sz w:val="24"/>
          <w:szCs w:val="24"/>
        </w:rPr>
      </w:pPr>
      <w:r>
        <w:rPr>
          <w:rFonts w:ascii="Source Sans Pro" w:hAnsi="Source Sans Pro" w:cstheme="majorHAnsi"/>
          <w:sz w:val="24"/>
          <w:szCs w:val="24"/>
        </w:rPr>
        <w:t xml:space="preserve">It is important to note that the </w:t>
      </w:r>
      <w:r w:rsidRPr="00F30CA6">
        <w:rPr>
          <w:rFonts w:ascii="Source Sans Pro" w:hAnsi="Source Sans Pro" w:cstheme="majorHAnsi"/>
          <w:i/>
          <w:iCs/>
          <w:sz w:val="24"/>
          <w:szCs w:val="24"/>
        </w:rPr>
        <w:t>Beowulf</w:t>
      </w:r>
      <w:r>
        <w:rPr>
          <w:rFonts w:ascii="Source Sans Pro" w:hAnsi="Source Sans Pro" w:cstheme="majorHAnsi"/>
          <w:iCs/>
          <w:sz w:val="24"/>
          <w:szCs w:val="24"/>
        </w:rPr>
        <w:t xml:space="preserve"> </w:t>
      </w:r>
      <w:r w:rsidRPr="00F30CA6">
        <w:rPr>
          <w:rFonts w:ascii="Source Sans Pro" w:hAnsi="Source Sans Pro" w:cstheme="majorHAnsi"/>
          <w:sz w:val="24"/>
          <w:szCs w:val="24"/>
        </w:rPr>
        <w:t>poet</w:t>
      </w:r>
      <w:r>
        <w:rPr>
          <w:rFonts w:ascii="Source Sans Pro" w:hAnsi="Source Sans Pro" w:cstheme="majorHAnsi"/>
          <w:sz w:val="24"/>
          <w:szCs w:val="24"/>
        </w:rPr>
        <w:t xml:space="preserve"> does seem to omit parts of the </w:t>
      </w:r>
      <w:r w:rsidR="00DD33DD">
        <w:rPr>
          <w:rFonts w:ascii="Source Sans Pro" w:hAnsi="Source Sans Pro" w:cstheme="majorHAnsi"/>
          <w:sz w:val="24"/>
          <w:szCs w:val="24"/>
        </w:rPr>
        <w:t xml:space="preserve">Germanic </w:t>
      </w:r>
      <w:r>
        <w:rPr>
          <w:rFonts w:ascii="Source Sans Pro" w:hAnsi="Source Sans Pro" w:cstheme="majorHAnsi"/>
          <w:sz w:val="24"/>
          <w:szCs w:val="24"/>
        </w:rPr>
        <w:t xml:space="preserve">tradition the poem fitted in, probably to try and make the work more relevant and acceptable to his peers, and so the obviously strong females which are present in most Germanic sagas do not appear within </w:t>
      </w:r>
      <w:r>
        <w:rPr>
          <w:rFonts w:ascii="Source Sans Pro" w:hAnsi="Source Sans Pro" w:cstheme="majorHAnsi"/>
          <w:i/>
          <w:iCs/>
          <w:sz w:val="24"/>
          <w:szCs w:val="24"/>
        </w:rPr>
        <w:t>Beowulf’s</w:t>
      </w:r>
      <w:r>
        <w:rPr>
          <w:rFonts w:ascii="Source Sans Pro" w:hAnsi="Source Sans Pro" w:cstheme="majorHAnsi"/>
          <w:sz w:val="24"/>
          <w:szCs w:val="24"/>
        </w:rPr>
        <w:t xml:space="preserve"> pages. Instead we are left with their ghosts, who obviously wield power and yet are not</w:t>
      </w:r>
      <w:r w:rsidR="00F0628B">
        <w:rPr>
          <w:rFonts w:ascii="Source Sans Pro" w:hAnsi="Source Sans Pro" w:cstheme="majorHAnsi"/>
          <w:sz w:val="24"/>
          <w:szCs w:val="24"/>
        </w:rPr>
        <w:t xml:space="preserve"> allowed to, or don’t need to, display it as a man does</w:t>
      </w:r>
      <w:r>
        <w:rPr>
          <w:rFonts w:ascii="Source Sans Pro" w:hAnsi="Source Sans Pro" w:cstheme="majorHAnsi"/>
          <w:sz w:val="24"/>
          <w:szCs w:val="24"/>
        </w:rPr>
        <w:t>.</w:t>
      </w:r>
    </w:p>
    <w:p w14:paraId="63594D04" w14:textId="06D667B8" w:rsidR="00FA637F" w:rsidRPr="00706B09" w:rsidRDefault="002D6286" w:rsidP="007C2D32">
      <w:pPr>
        <w:rPr>
          <w:rFonts w:ascii="Source Sans Pro" w:hAnsi="Source Sans Pro" w:cstheme="majorHAnsi"/>
          <w:sz w:val="24"/>
          <w:szCs w:val="24"/>
        </w:rPr>
      </w:pPr>
      <w:r>
        <w:rPr>
          <w:rFonts w:ascii="Source Sans Pro" w:hAnsi="Source Sans Pro" w:cstheme="majorHAnsi"/>
          <w:sz w:val="24"/>
          <w:szCs w:val="24"/>
        </w:rPr>
        <w:t>The aforementioned</w:t>
      </w:r>
      <w:r w:rsidR="000B26BE">
        <w:rPr>
          <w:rFonts w:ascii="Source Sans Pro" w:hAnsi="Source Sans Pro" w:cstheme="majorHAnsi"/>
          <w:sz w:val="24"/>
          <w:szCs w:val="24"/>
        </w:rPr>
        <w:t xml:space="preserve"> gender role fluidity</w:t>
      </w:r>
      <w:r w:rsidR="00D76CC0">
        <w:rPr>
          <w:rFonts w:ascii="Source Sans Pro" w:hAnsi="Source Sans Pro" w:cstheme="majorHAnsi"/>
          <w:sz w:val="24"/>
          <w:szCs w:val="24"/>
        </w:rPr>
        <w:t xml:space="preserve"> can</w:t>
      </w:r>
      <w:r w:rsidR="00C75394">
        <w:rPr>
          <w:rFonts w:ascii="Source Sans Pro" w:hAnsi="Source Sans Pro" w:cstheme="majorHAnsi"/>
          <w:sz w:val="24"/>
          <w:szCs w:val="24"/>
        </w:rPr>
        <w:t xml:space="preserve"> b</w:t>
      </w:r>
      <w:r w:rsidR="00D76CC0">
        <w:rPr>
          <w:rFonts w:ascii="Source Sans Pro" w:hAnsi="Source Sans Pro" w:cstheme="majorHAnsi"/>
          <w:sz w:val="24"/>
          <w:szCs w:val="24"/>
        </w:rPr>
        <w:t>e</w:t>
      </w:r>
      <w:r w:rsidR="000B26BE">
        <w:rPr>
          <w:rFonts w:ascii="Source Sans Pro" w:hAnsi="Source Sans Pro" w:cstheme="majorHAnsi"/>
          <w:sz w:val="24"/>
          <w:szCs w:val="24"/>
        </w:rPr>
        <w:t xml:space="preserve"> further</w:t>
      </w:r>
      <w:r w:rsidR="00D76CC0">
        <w:rPr>
          <w:rFonts w:ascii="Source Sans Pro" w:hAnsi="Source Sans Pro" w:cstheme="majorHAnsi"/>
          <w:sz w:val="24"/>
          <w:szCs w:val="24"/>
        </w:rPr>
        <w:t xml:space="preserve"> </w:t>
      </w:r>
      <w:r w:rsidR="0034351D">
        <w:rPr>
          <w:rFonts w:ascii="Source Sans Pro" w:hAnsi="Source Sans Pro" w:cstheme="majorHAnsi"/>
          <w:sz w:val="24"/>
          <w:szCs w:val="24"/>
        </w:rPr>
        <w:t>demonstrated</w:t>
      </w:r>
      <w:r w:rsidR="00D76CC0">
        <w:rPr>
          <w:rFonts w:ascii="Source Sans Pro" w:hAnsi="Source Sans Pro" w:cstheme="majorHAnsi"/>
          <w:sz w:val="24"/>
          <w:szCs w:val="24"/>
        </w:rPr>
        <w:t xml:space="preserve"> by certain female historical figures </w:t>
      </w:r>
      <w:r w:rsidR="005131FF">
        <w:rPr>
          <w:rFonts w:ascii="Source Sans Pro" w:hAnsi="Source Sans Pro" w:cstheme="majorHAnsi"/>
          <w:sz w:val="24"/>
          <w:szCs w:val="24"/>
        </w:rPr>
        <w:t>that</w:t>
      </w:r>
      <w:r w:rsidR="00D76CC0">
        <w:rPr>
          <w:rFonts w:ascii="Source Sans Pro" w:hAnsi="Source Sans Pro" w:cstheme="majorHAnsi"/>
          <w:sz w:val="24"/>
          <w:szCs w:val="24"/>
        </w:rPr>
        <w:t xml:space="preserve"> go against th</w:t>
      </w:r>
      <w:r w:rsidR="000B26BE">
        <w:rPr>
          <w:rFonts w:ascii="Source Sans Pro" w:hAnsi="Source Sans Pro" w:cstheme="majorHAnsi"/>
          <w:sz w:val="24"/>
          <w:szCs w:val="24"/>
        </w:rPr>
        <w:t>e stereotypical</w:t>
      </w:r>
      <w:r w:rsidR="00D76CC0">
        <w:rPr>
          <w:rFonts w:ascii="Source Sans Pro" w:hAnsi="Source Sans Pro" w:cstheme="majorHAnsi"/>
          <w:sz w:val="24"/>
          <w:szCs w:val="24"/>
        </w:rPr>
        <w:t xml:space="preserve"> view</w:t>
      </w:r>
      <w:r w:rsidR="000B26BE">
        <w:rPr>
          <w:rFonts w:ascii="Source Sans Pro" w:hAnsi="Source Sans Pro" w:cstheme="majorHAnsi"/>
          <w:sz w:val="24"/>
          <w:szCs w:val="24"/>
        </w:rPr>
        <w:t xml:space="preserve"> of</w:t>
      </w:r>
      <w:r w:rsidR="00404038">
        <w:rPr>
          <w:rFonts w:ascii="Source Sans Pro" w:hAnsi="Source Sans Pro" w:cstheme="majorHAnsi"/>
          <w:sz w:val="24"/>
          <w:szCs w:val="24"/>
        </w:rPr>
        <w:t xml:space="preserve"> medieval </w:t>
      </w:r>
      <w:r w:rsidR="007646C6">
        <w:rPr>
          <w:rFonts w:ascii="Source Sans Pro" w:hAnsi="Source Sans Pro" w:cstheme="majorHAnsi"/>
          <w:sz w:val="24"/>
          <w:szCs w:val="24"/>
        </w:rPr>
        <w:t>gender</w:t>
      </w:r>
      <w:r w:rsidR="000B26BE">
        <w:rPr>
          <w:rFonts w:ascii="Source Sans Pro" w:hAnsi="Source Sans Pro" w:cstheme="majorHAnsi"/>
          <w:sz w:val="24"/>
          <w:szCs w:val="24"/>
        </w:rPr>
        <w:t>. One</w:t>
      </w:r>
      <w:r w:rsidR="00B9313A">
        <w:rPr>
          <w:rFonts w:ascii="Source Sans Pro" w:hAnsi="Source Sans Pro" w:cstheme="majorHAnsi"/>
          <w:sz w:val="24"/>
          <w:szCs w:val="24"/>
        </w:rPr>
        <w:t xml:space="preserve"> such</w:t>
      </w:r>
      <w:r w:rsidR="00E779C4">
        <w:rPr>
          <w:rFonts w:ascii="Source Sans Pro" w:hAnsi="Source Sans Pro" w:cstheme="majorHAnsi"/>
          <w:sz w:val="24"/>
          <w:szCs w:val="24"/>
        </w:rPr>
        <w:t xml:space="preserve"> famous figure </w:t>
      </w:r>
      <w:r w:rsidR="00404038">
        <w:rPr>
          <w:rFonts w:ascii="Source Sans Pro" w:hAnsi="Source Sans Pro" w:cstheme="majorHAnsi"/>
          <w:sz w:val="24"/>
          <w:szCs w:val="24"/>
        </w:rPr>
        <w:t>is</w:t>
      </w:r>
      <w:r w:rsidR="00B9313A">
        <w:rPr>
          <w:rFonts w:ascii="Source Sans Pro" w:hAnsi="Source Sans Pro" w:cstheme="majorHAnsi"/>
          <w:sz w:val="24"/>
          <w:szCs w:val="24"/>
        </w:rPr>
        <w:t xml:space="preserve"> </w:t>
      </w:r>
      <w:r w:rsidR="00B9313A" w:rsidRPr="00B9313A">
        <w:rPr>
          <w:rFonts w:ascii="Source Sans Pro" w:hAnsi="Source Sans Pro" w:cs="Arial"/>
          <w:sz w:val="24"/>
          <w:szCs w:val="24"/>
          <w:shd w:val="clear" w:color="auto" w:fill="FFFFFF"/>
        </w:rPr>
        <w:t>Æthelflæd</w:t>
      </w:r>
      <w:r w:rsidR="00B9313A">
        <w:rPr>
          <w:rFonts w:ascii="Source Sans Pro" w:hAnsi="Source Sans Pro" w:cstheme="majorHAnsi"/>
          <w:sz w:val="24"/>
          <w:szCs w:val="24"/>
        </w:rPr>
        <w:t xml:space="preserve">, King Alfred’s daughter, </w:t>
      </w:r>
      <w:r w:rsidR="00C75394">
        <w:rPr>
          <w:rFonts w:ascii="Source Sans Pro" w:hAnsi="Source Sans Pro" w:cstheme="majorHAnsi"/>
          <w:sz w:val="24"/>
          <w:szCs w:val="24"/>
        </w:rPr>
        <w:t xml:space="preserve">who married into the Mercian dynastic </w:t>
      </w:r>
      <w:r w:rsidR="00E779C4">
        <w:rPr>
          <w:rFonts w:ascii="Source Sans Pro" w:hAnsi="Source Sans Pro" w:cstheme="majorHAnsi"/>
          <w:sz w:val="24"/>
          <w:szCs w:val="24"/>
        </w:rPr>
        <w:t>tree</w:t>
      </w:r>
      <w:r w:rsidR="00C75394">
        <w:rPr>
          <w:rFonts w:ascii="Source Sans Pro" w:hAnsi="Source Sans Pro" w:cstheme="majorHAnsi"/>
          <w:sz w:val="24"/>
          <w:szCs w:val="24"/>
        </w:rPr>
        <w:t xml:space="preserve"> and </w:t>
      </w:r>
      <w:r w:rsidR="003626C2">
        <w:rPr>
          <w:rFonts w:ascii="Source Sans Pro" w:hAnsi="Source Sans Pro" w:cstheme="majorHAnsi"/>
          <w:sz w:val="24"/>
          <w:szCs w:val="24"/>
        </w:rPr>
        <w:t>was a political strategist who</w:t>
      </w:r>
      <w:r w:rsidR="00C75394">
        <w:rPr>
          <w:rFonts w:ascii="Source Sans Pro" w:hAnsi="Source Sans Pro" w:cstheme="majorHAnsi"/>
          <w:sz w:val="24"/>
          <w:szCs w:val="24"/>
        </w:rPr>
        <w:t xml:space="preserve"> participated in wars against the Danes,</w:t>
      </w:r>
      <w:r w:rsidR="003626C2">
        <w:rPr>
          <w:rStyle w:val="FootnoteReference"/>
          <w:rFonts w:ascii="Source Sans Pro" w:hAnsi="Source Sans Pro" w:cstheme="majorHAnsi"/>
          <w:sz w:val="24"/>
          <w:szCs w:val="24"/>
        </w:rPr>
        <w:footnoteReference w:id="37"/>
      </w:r>
      <w:r w:rsidR="003626C2">
        <w:rPr>
          <w:rFonts w:ascii="Source Sans Pro" w:hAnsi="Source Sans Pro" w:cstheme="majorHAnsi"/>
          <w:sz w:val="24"/>
          <w:szCs w:val="24"/>
        </w:rPr>
        <w:t xml:space="preserve"> </w:t>
      </w:r>
      <w:r w:rsidR="00F7662B">
        <w:rPr>
          <w:rFonts w:ascii="Source Sans Pro" w:hAnsi="Source Sans Pro" w:cstheme="majorHAnsi"/>
          <w:sz w:val="24"/>
          <w:szCs w:val="24"/>
        </w:rPr>
        <w:t xml:space="preserve">and </w:t>
      </w:r>
      <w:r w:rsidR="003626C2">
        <w:rPr>
          <w:rFonts w:ascii="Source Sans Pro" w:hAnsi="Source Sans Pro" w:cstheme="majorHAnsi"/>
          <w:sz w:val="24"/>
          <w:szCs w:val="24"/>
        </w:rPr>
        <w:t>later was a</w:t>
      </w:r>
      <w:r w:rsidR="00F7662B">
        <w:rPr>
          <w:rFonts w:ascii="Source Sans Pro" w:hAnsi="Source Sans Pro" w:cstheme="majorHAnsi"/>
          <w:sz w:val="24"/>
          <w:szCs w:val="24"/>
        </w:rPr>
        <w:t xml:space="preserve"> valuable</w:t>
      </w:r>
      <w:r w:rsidR="003626C2">
        <w:rPr>
          <w:rFonts w:ascii="Source Sans Pro" w:hAnsi="Source Sans Pro" w:cstheme="majorHAnsi"/>
          <w:sz w:val="24"/>
          <w:szCs w:val="24"/>
        </w:rPr>
        <w:t xml:space="preserve"> ruler of the Mercians after the death of her husband </w:t>
      </w:r>
      <w:r w:rsidR="003626C2" w:rsidRPr="000058DA">
        <w:rPr>
          <w:sz w:val="24"/>
          <w:szCs w:val="24"/>
          <w:shd w:val="clear" w:color="auto" w:fill="FFFFFF"/>
        </w:rPr>
        <w:t>Æthelred</w:t>
      </w:r>
      <w:r w:rsidR="000E749E">
        <w:rPr>
          <w:rFonts w:ascii="Source Sans Pro" w:hAnsi="Source Sans Pro" w:cstheme="majorHAnsi"/>
          <w:sz w:val="24"/>
          <w:szCs w:val="24"/>
        </w:rPr>
        <w:t>.</w:t>
      </w:r>
      <w:r w:rsidR="003626C2">
        <w:rPr>
          <w:rStyle w:val="FootnoteReference"/>
          <w:rFonts w:ascii="Source Sans Pro" w:hAnsi="Source Sans Pro" w:cstheme="majorHAnsi"/>
          <w:sz w:val="24"/>
          <w:szCs w:val="24"/>
        </w:rPr>
        <w:footnoteReference w:id="38"/>
      </w:r>
      <w:r w:rsidR="003626C2">
        <w:rPr>
          <w:rFonts w:ascii="Source Sans Pro" w:hAnsi="Source Sans Pro" w:cstheme="majorHAnsi"/>
          <w:sz w:val="24"/>
          <w:szCs w:val="24"/>
        </w:rPr>
        <w:t xml:space="preserve">  </w:t>
      </w:r>
      <w:r w:rsidR="000058DA">
        <w:rPr>
          <w:rFonts w:ascii="Source Sans Pro" w:hAnsi="Source Sans Pro" w:cstheme="majorHAnsi"/>
          <w:sz w:val="24"/>
          <w:szCs w:val="24"/>
        </w:rPr>
        <w:t>Another example is the English girl that was betrothed to Radigis, prince of the Varni people, in the 6</w:t>
      </w:r>
      <w:r w:rsidR="000058DA" w:rsidRPr="000058DA">
        <w:rPr>
          <w:rFonts w:ascii="Source Sans Pro" w:hAnsi="Source Sans Pro" w:cstheme="majorHAnsi"/>
          <w:sz w:val="24"/>
          <w:szCs w:val="24"/>
          <w:vertAlign w:val="superscript"/>
        </w:rPr>
        <w:t>th</w:t>
      </w:r>
      <w:r w:rsidR="000058DA">
        <w:rPr>
          <w:rFonts w:ascii="Source Sans Pro" w:hAnsi="Source Sans Pro" w:cstheme="majorHAnsi"/>
          <w:sz w:val="24"/>
          <w:szCs w:val="24"/>
        </w:rPr>
        <w:t xml:space="preserve"> century AD.</w:t>
      </w:r>
      <w:r w:rsidR="000058DA">
        <w:rPr>
          <w:rStyle w:val="FootnoteReference"/>
          <w:rFonts w:ascii="Source Sans Pro" w:hAnsi="Source Sans Pro" w:cstheme="majorHAnsi"/>
          <w:sz w:val="24"/>
          <w:szCs w:val="24"/>
        </w:rPr>
        <w:footnoteReference w:id="39"/>
      </w:r>
      <w:r w:rsidR="000058DA">
        <w:rPr>
          <w:rFonts w:ascii="Source Sans Pro" w:hAnsi="Source Sans Pro" w:cstheme="majorHAnsi"/>
          <w:sz w:val="24"/>
          <w:szCs w:val="24"/>
        </w:rPr>
        <w:t xml:space="preserve"> The unnamed sister of the English King was shamed by Radigis after he married his Frankish mother-in-law, Theudechild, and in res</w:t>
      </w:r>
      <w:r w:rsidR="00B45718">
        <w:rPr>
          <w:rFonts w:ascii="Source Sans Pro" w:hAnsi="Source Sans Pro" w:cstheme="majorHAnsi"/>
          <w:sz w:val="24"/>
          <w:szCs w:val="24"/>
        </w:rPr>
        <w:t>ponse she attacked the Varni as</w:t>
      </w:r>
      <w:r w:rsidR="000058DA">
        <w:rPr>
          <w:rFonts w:ascii="Source Sans Pro" w:hAnsi="Source Sans Pro" w:cstheme="majorHAnsi"/>
          <w:sz w:val="24"/>
          <w:szCs w:val="24"/>
        </w:rPr>
        <w:t xml:space="preserve"> ‘a war-leader who gave orders’ and who displayed discontent</w:t>
      </w:r>
      <w:r w:rsidR="00B45718">
        <w:rPr>
          <w:rFonts w:ascii="Source Sans Pro" w:hAnsi="Source Sans Pro" w:cstheme="majorHAnsi"/>
          <w:sz w:val="24"/>
          <w:szCs w:val="24"/>
        </w:rPr>
        <w:t>ment</w:t>
      </w:r>
      <w:r w:rsidR="000058DA">
        <w:rPr>
          <w:rFonts w:ascii="Source Sans Pro" w:hAnsi="Source Sans Pro" w:cstheme="majorHAnsi"/>
          <w:sz w:val="24"/>
          <w:szCs w:val="24"/>
        </w:rPr>
        <w:t xml:space="preserve"> with her brother when her wishes were not met; which they were and she eventually re-secured her place as the Queen of the Varni after the botched betrothal.</w:t>
      </w:r>
      <w:r w:rsidR="000058DA">
        <w:rPr>
          <w:rStyle w:val="FootnoteReference"/>
          <w:rFonts w:ascii="Source Sans Pro" w:hAnsi="Source Sans Pro" w:cstheme="majorHAnsi"/>
          <w:sz w:val="24"/>
          <w:szCs w:val="24"/>
        </w:rPr>
        <w:footnoteReference w:id="40"/>
      </w:r>
      <w:r w:rsidR="000058DA">
        <w:rPr>
          <w:rFonts w:ascii="Source Sans Pro" w:hAnsi="Source Sans Pro" w:cstheme="majorHAnsi"/>
          <w:sz w:val="24"/>
          <w:szCs w:val="24"/>
        </w:rPr>
        <w:t xml:space="preserve">  </w:t>
      </w:r>
      <w:r w:rsidR="00FA637F">
        <w:rPr>
          <w:rFonts w:ascii="Source Sans Pro" w:hAnsi="Source Sans Pro" w:cstheme="majorHAnsi"/>
          <w:sz w:val="24"/>
          <w:szCs w:val="24"/>
        </w:rPr>
        <w:t xml:space="preserve">Offa of Mercia’s daughter Eadburh </w:t>
      </w:r>
      <w:r w:rsidR="00FA637F">
        <w:rPr>
          <w:rFonts w:ascii="Source Sans Pro" w:hAnsi="Source Sans Pro" w:cstheme="majorHAnsi"/>
          <w:sz w:val="24"/>
          <w:szCs w:val="24"/>
        </w:rPr>
        <w:lastRenderedPageBreak/>
        <w:t>was also another prominent female figure in 8</w:t>
      </w:r>
      <w:r w:rsidR="00FA637F" w:rsidRPr="009A39C0">
        <w:rPr>
          <w:rFonts w:ascii="Source Sans Pro" w:hAnsi="Source Sans Pro" w:cstheme="majorHAnsi"/>
          <w:sz w:val="24"/>
          <w:szCs w:val="24"/>
          <w:vertAlign w:val="superscript"/>
        </w:rPr>
        <w:t>th</w:t>
      </w:r>
      <w:r w:rsidR="00FA637F">
        <w:rPr>
          <w:rFonts w:ascii="Source Sans Pro" w:hAnsi="Source Sans Pro" w:cstheme="majorHAnsi"/>
          <w:sz w:val="24"/>
          <w:szCs w:val="24"/>
        </w:rPr>
        <w:t>-9</w:t>
      </w:r>
      <w:r w:rsidR="00FA637F" w:rsidRPr="009A39C0">
        <w:rPr>
          <w:rFonts w:ascii="Source Sans Pro" w:hAnsi="Source Sans Pro" w:cstheme="majorHAnsi"/>
          <w:sz w:val="24"/>
          <w:szCs w:val="24"/>
          <w:vertAlign w:val="superscript"/>
        </w:rPr>
        <w:t>th</w:t>
      </w:r>
      <w:r w:rsidR="00FA637F">
        <w:rPr>
          <w:rFonts w:ascii="Source Sans Pro" w:hAnsi="Source Sans Pro" w:cstheme="majorHAnsi"/>
          <w:sz w:val="24"/>
          <w:szCs w:val="24"/>
          <w:vertAlign w:val="superscript"/>
        </w:rPr>
        <w:t xml:space="preserve"> </w:t>
      </w:r>
      <w:r w:rsidR="00FA637F">
        <w:rPr>
          <w:rFonts w:ascii="Source Sans Pro" w:hAnsi="Source Sans Pro" w:cstheme="majorHAnsi"/>
          <w:sz w:val="24"/>
          <w:szCs w:val="24"/>
        </w:rPr>
        <w:t>century England who seemed to have huge amounts of power at hand.</w:t>
      </w:r>
      <w:r w:rsidR="00706B09">
        <w:rPr>
          <w:rFonts w:ascii="Source Sans Pro" w:hAnsi="Source Sans Pro" w:cstheme="majorHAnsi"/>
          <w:sz w:val="24"/>
          <w:szCs w:val="24"/>
        </w:rPr>
        <w:t xml:space="preserve"> She was Queen of the West Saxons after marrying King Beorhtric</w:t>
      </w:r>
      <w:r w:rsidR="004C486E">
        <w:rPr>
          <w:rFonts w:ascii="Source Sans Pro" w:hAnsi="Source Sans Pro" w:cstheme="majorHAnsi"/>
          <w:sz w:val="24"/>
          <w:szCs w:val="24"/>
        </w:rPr>
        <w:t>, later murdering him by accident whilst attempting to poison another.</w:t>
      </w:r>
      <w:r w:rsidR="004C486E" w:rsidRPr="004C486E">
        <w:rPr>
          <w:rStyle w:val="FootnoteReference"/>
          <w:rFonts w:ascii="Source Sans Pro" w:hAnsi="Source Sans Pro" w:cstheme="majorHAnsi"/>
          <w:sz w:val="24"/>
          <w:szCs w:val="24"/>
        </w:rPr>
        <w:t xml:space="preserve"> </w:t>
      </w:r>
      <w:r w:rsidR="004C486E">
        <w:rPr>
          <w:rStyle w:val="FootnoteReference"/>
          <w:rFonts w:ascii="Source Sans Pro" w:hAnsi="Source Sans Pro" w:cstheme="majorHAnsi"/>
          <w:sz w:val="24"/>
          <w:szCs w:val="24"/>
        </w:rPr>
        <w:footnoteReference w:id="41"/>
      </w:r>
      <w:r w:rsidR="004C486E">
        <w:rPr>
          <w:rFonts w:ascii="Source Sans Pro" w:hAnsi="Source Sans Pro" w:cstheme="majorHAnsi"/>
          <w:sz w:val="24"/>
          <w:szCs w:val="24"/>
        </w:rPr>
        <w:t xml:space="preserve"> She then fled to the court of Charlemagne and was given a convent, where she became sexual with one of the men and was expelled, living the rest of her life in poverty and dying in 802 AD.</w:t>
      </w:r>
      <w:r w:rsidR="00706B09">
        <w:rPr>
          <w:rFonts w:ascii="Source Sans Pro" w:hAnsi="Source Sans Pro" w:cstheme="majorHAnsi"/>
          <w:sz w:val="24"/>
          <w:szCs w:val="24"/>
        </w:rPr>
        <w:t xml:space="preserve"> </w:t>
      </w:r>
      <w:r w:rsidR="004C486E">
        <w:rPr>
          <w:rFonts w:ascii="Source Sans Pro" w:hAnsi="Source Sans Pro" w:cstheme="majorHAnsi"/>
          <w:sz w:val="24"/>
          <w:szCs w:val="24"/>
        </w:rPr>
        <w:t>A</w:t>
      </w:r>
      <w:r w:rsidR="00706B09">
        <w:rPr>
          <w:rFonts w:ascii="Source Sans Pro" w:hAnsi="Source Sans Pro" w:cstheme="majorHAnsi"/>
          <w:sz w:val="24"/>
          <w:szCs w:val="24"/>
        </w:rPr>
        <w:t xml:space="preserve">ccording to Asser’s </w:t>
      </w:r>
      <w:r w:rsidR="00706B09">
        <w:rPr>
          <w:rFonts w:ascii="Source Sans Pro" w:hAnsi="Source Sans Pro" w:cstheme="majorHAnsi"/>
          <w:i/>
          <w:sz w:val="24"/>
          <w:szCs w:val="24"/>
        </w:rPr>
        <w:t xml:space="preserve">Life of Alfred </w:t>
      </w:r>
      <w:r w:rsidR="00706B09">
        <w:rPr>
          <w:rFonts w:ascii="Source Sans Pro" w:hAnsi="Source Sans Pro" w:cstheme="majorHAnsi"/>
          <w:sz w:val="24"/>
          <w:szCs w:val="24"/>
        </w:rPr>
        <w:t>she was one of the reasons why West Saxons refused to let their Kings have Queens with power</w:t>
      </w:r>
      <w:r w:rsidR="00A352A0">
        <w:rPr>
          <w:rFonts w:ascii="Source Sans Pro" w:hAnsi="Source Sans Pro" w:cstheme="majorHAnsi"/>
          <w:sz w:val="24"/>
          <w:szCs w:val="24"/>
        </w:rPr>
        <w:t>, instead giving them power of ‘consort,’</w:t>
      </w:r>
      <w:r w:rsidR="00706B09">
        <w:rPr>
          <w:rFonts w:ascii="Source Sans Pro" w:hAnsi="Source Sans Pro" w:cstheme="majorHAnsi"/>
          <w:sz w:val="24"/>
          <w:szCs w:val="24"/>
        </w:rPr>
        <w:t xml:space="preserve"> in the later period of the 9</w:t>
      </w:r>
      <w:r w:rsidR="00706B09" w:rsidRPr="00706B09">
        <w:rPr>
          <w:rFonts w:ascii="Source Sans Pro" w:hAnsi="Source Sans Pro" w:cstheme="majorHAnsi"/>
          <w:sz w:val="24"/>
          <w:szCs w:val="24"/>
          <w:vertAlign w:val="superscript"/>
        </w:rPr>
        <w:t>th</w:t>
      </w:r>
      <w:r w:rsidR="00706B09">
        <w:rPr>
          <w:rFonts w:ascii="Source Sans Pro" w:hAnsi="Source Sans Pro" w:cstheme="majorHAnsi"/>
          <w:sz w:val="24"/>
          <w:szCs w:val="24"/>
        </w:rPr>
        <w:t xml:space="preserve"> century.</w:t>
      </w:r>
      <w:r w:rsidR="004C486E">
        <w:rPr>
          <w:rStyle w:val="FootnoteReference"/>
          <w:rFonts w:ascii="Source Sans Pro" w:hAnsi="Source Sans Pro" w:cstheme="majorHAnsi"/>
          <w:sz w:val="24"/>
          <w:szCs w:val="24"/>
        </w:rPr>
        <w:footnoteReference w:id="42"/>
      </w:r>
      <w:r w:rsidR="004C486E">
        <w:rPr>
          <w:rFonts w:ascii="Source Sans Pro" w:hAnsi="Source Sans Pro" w:cstheme="majorHAnsi"/>
          <w:sz w:val="24"/>
          <w:szCs w:val="24"/>
        </w:rPr>
        <w:t xml:space="preserve"> </w:t>
      </w:r>
    </w:p>
    <w:p w14:paraId="6E5B88AB" w14:textId="6D2363FF" w:rsidR="004E755F" w:rsidRDefault="0034351D" w:rsidP="007C2D32">
      <w:pPr>
        <w:rPr>
          <w:rFonts w:ascii="Source Sans Pro" w:hAnsi="Source Sans Pro" w:cstheme="majorHAnsi"/>
          <w:sz w:val="24"/>
          <w:szCs w:val="24"/>
        </w:rPr>
      </w:pPr>
      <w:r>
        <w:rPr>
          <w:rFonts w:ascii="Source Sans Pro" w:hAnsi="Source Sans Pro" w:cstheme="majorHAnsi"/>
          <w:sz w:val="24"/>
          <w:szCs w:val="24"/>
        </w:rPr>
        <w:t xml:space="preserve">There </w:t>
      </w:r>
      <w:r w:rsidR="00C044A8">
        <w:rPr>
          <w:rFonts w:ascii="Source Sans Pro" w:hAnsi="Source Sans Pro" w:cstheme="majorHAnsi"/>
          <w:sz w:val="24"/>
          <w:szCs w:val="24"/>
        </w:rPr>
        <w:t>was</w:t>
      </w:r>
      <w:r>
        <w:rPr>
          <w:rFonts w:ascii="Source Sans Pro" w:hAnsi="Source Sans Pro" w:cstheme="majorHAnsi"/>
          <w:sz w:val="24"/>
          <w:szCs w:val="24"/>
        </w:rPr>
        <w:t xml:space="preserve"> </w:t>
      </w:r>
      <w:r w:rsidRPr="0034351D">
        <w:rPr>
          <w:rFonts w:ascii="Source Sans Pro" w:hAnsi="Source Sans Pro" w:cstheme="majorHAnsi"/>
          <w:sz w:val="24"/>
          <w:szCs w:val="24"/>
        </w:rPr>
        <w:t>also Cyne</w:t>
      </w:r>
      <w:r w:rsidRPr="0034351D">
        <w:rPr>
          <w:rFonts w:ascii="Arial" w:hAnsi="Arial" w:cs="Arial"/>
          <w:sz w:val="24"/>
          <w:szCs w:val="24"/>
          <w:shd w:val="clear" w:color="auto" w:fill="FFFFFF"/>
        </w:rPr>
        <w:t>ð</w:t>
      </w:r>
      <w:r w:rsidRPr="0034351D">
        <w:rPr>
          <w:rFonts w:ascii="Source Sans Pro" w:hAnsi="Source Sans Pro" w:cstheme="majorHAnsi"/>
          <w:sz w:val="24"/>
          <w:szCs w:val="24"/>
        </w:rPr>
        <w:t>ry</w:t>
      </w:r>
      <w:r w:rsidRPr="0034351D">
        <w:rPr>
          <w:rFonts w:ascii="Arial" w:hAnsi="Arial" w:cs="Arial"/>
          <w:sz w:val="24"/>
          <w:szCs w:val="24"/>
          <w:shd w:val="clear" w:color="auto" w:fill="FFFFFF"/>
        </w:rPr>
        <w:t>ð</w:t>
      </w:r>
      <w:r w:rsidRPr="0034351D">
        <w:rPr>
          <w:rFonts w:ascii="Source Sans Pro" w:hAnsi="Source Sans Pro" w:cstheme="majorHAnsi"/>
          <w:sz w:val="24"/>
          <w:szCs w:val="24"/>
        </w:rPr>
        <w:t xml:space="preserve">, </w:t>
      </w:r>
      <w:r>
        <w:rPr>
          <w:rFonts w:ascii="Source Sans Pro" w:hAnsi="Source Sans Pro" w:cstheme="majorHAnsi"/>
          <w:sz w:val="24"/>
          <w:szCs w:val="24"/>
        </w:rPr>
        <w:t>King Offa’</w:t>
      </w:r>
      <w:r w:rsidR="00953769">
        <w:rPr>
          <w:rFonts w:ascii="Source Sans Pro" w:hAnsi="Source Sans Pro" w:cstheme="majorHAnsi"/>
          <w:sz w:val="24"/>
          <w:szCs w:val="24"/>
        </w:rPr>
        <w:t>s wife, who lived in the 8</w:t>
      </w:r>
      <w:r w:rsidR="00953769" w:rsidRPr="00953769">
        <w:rPr>
          <w:rFonts w:ascii="Source Sans Pro" w:hAnsi="Source Sans Pro" w:cstheme="majorHAnsi"/>
          <w:sz w:val="24"/>
          <w:szCs w:val="24"/>
          <w:vertAlign w:val="superscript"/>
        </w:rPr>
        <w:t>th</w:t>
      </w:r>
      <w:r w:rsidR="00953769">
        <w:rPr>
          <w:rFonts w:ascii="Source Sans Pro" w:hAnsi="Source Sans Pro" w:cstheme="majorHAnsi"/>
          <w:sz w:val="24"/>
          <w:szCs w:val="24"/>
        </w:rPr>
        <w:t xml:space="preserve"> century and</w:t>
      </w:r>
      <w:r>
        <w:rPr>
          <w:rFonts w:ascii="Source Sans Pro" w:hAnsi="Source Sans Pro" w:cstheme="majorHAnsi"/>
          <w:sz w:val="24"/>
          <w:szCs w:val="24"/>
        </w:rPr>
        <w:t xml:space="preserve"> was the only Early English woman to have coins struck in her own image.</w:t>
      </w:r>
      <w:r w:rsidR="00336B77">
        <w:rPr>
          <w:rStyle w:val="FootnoteReference"/>
          <w:rFonts w:ascii="Source Sans Pro" w:hAnsi="Source Sans Pro" w:cstheme="majorHAnsi"/>
          <w:sz w:val="24"/>
          <w:szCs w:val="24"/>
        </w:rPr>
        <w:footnoteReference w:id="43"/>
      </w:r>
      <w:r w:rsidR="00E43A9B">
        <w:rPr>
          <w:rFonts w:ascii="Source Sans Pro" w:hAnsi="Source Sans Pro" w:cstheme="majorHAnsi"/>
          <w:sz w:val="24"/>
          <w:szCs w:val="24"/>
        </w:rPr>
        <w:t xml:space="preserve"> She also attested Offa’s charters from 770 to his death in 796 and </w:t>
      </w:r>
      <w:r w:rsidR="00F87188">
        <w:rPr>
          <w:rFonts w:ascii="Source Sans Pro" w:hAnsi="Source Sans Pro" w:cstheme="majorHAnsi"/>
          <w:sz w:val="24"/>
          <w:szCs w:val="24"/>
        </w:rPr>
        <w:t>two diplomas for</w:t>
      </w:r>
      <w:r w:rsidR="00E43A9B">
        <w:rPr>
          <w:rFonts w:ascii="Source Sans Pro" w:hAnsi="Source Sans Pro" w:cstheme="majorHAnsi"/>
          <w:sz w:val="24"/>
          <w:szCs w:val="24"/>
        </w:rPr>
        <w:t xml:space="preserve"> her son</w:t>
      </w:r>
      <w:r w:rsidR="00F87188">
        <w:rPr>
          <w:rFonts w:ascii="Source Sans Pro" w:hAnsi="Source Sans Pro" w:cstheme="majorHAnsi"/>
          <w:sz w:val="24"/>
          <w:szCs w:val="24"/>
        </w:rPr>
        <w:t>,</w:t>
      </w:r>
      <w:r w:rsidR="00E43A9B">
        <w:rPr>
          <w:rFonts w:ascii="Source Sans Pro" w:hAnsi="Source Sans Pro" w:cstheme="majorHAnsi"/>
          <w:sz w:val="24"/>
          <w:szCs w:val="24"/>
        </w:rPr>
        <w:t xml:space="preserve"> Ecgfrith</w:t>
      </w:r>
      <w:r w:rsidR="00F87188">
        <w:rPr>
          <w:rFonts w:ascii="Source Sans Pro" w:hAnsi="Source Sans Pro" w:cstheme="majorHAnsi"/>
          <w:sz w:val="24"/>
          <w:szCs w:val="24"/>
        </w:rPr>
        <w:t>,</w:t>
      </w:r>
      <w:r w:rsidR="00E43A9B">
        <w:rPr>
          <w:rFonts w:ascii="Source Sans Pro" w:hAnsi="Source Sans Pro" w:cstheme="majorHAnsi"/>
          <w:sz w:val="24"/>
          <w:szCs w:val="24"/>
        </w:rPr>
        <w:t xml:space="preserve"> before her death in 798</w:t>
      </w:r>
      <w:r w:rsidR="00A50B9F">
        <w:rPr>
          <w:rFonts w:ascii="Source Sans Pro" w:hAnsi="Source Sans Pro" w:cstheme="majorHAnsi"/>
          <w:sz w:val="24"/>
          <w:szCs w:val="24"/>
        </w:rPr>
        <w:t>, indicating her importance to the Kingdom of Mercia as well as her power to sign important legal documents on behalf of the Kings of Mercia</w:t>
      </w:r>
      <w:r w:rsidR="00A93DF5">
        <w:rPr>
          <w:rFonts w:ascii="Source Sans Pro" w:hAnsi="Source Sans Pro" w:cstheme="majorHAnsi"/>
          <w:sz w:val="24"/>
          <w:szCs w:val="24"/>
        </w:rPr>
        <w:t>; she was also one of Offa’s principle heirs</w:t>
      </w:r>
      <w:r w:rsidR="00E43A9B">
        <w:rPr>
          <w:rFonts w:ascii="Source Sans Pro" w:hAnsi="Source Sans Pro" w:cstheme="majorHAnsi"/>
          <w:sz w:val="24"/>
          <w:szCs w:val="24"/>
        </w:rPr>
        <w:t>.</w:t>
      </w:r>
      <w:r w:rsidR="00E43A9B">
        <w:rPr>
          <w:rStyle w:val="FootnoteReference"/>
          <w:rFonts w:ascii="Source Sans Pro" w:hAnsi="Source Sans Pro" w:cstheme="majorHAnsi"/>
          <w:sz w:val="24"/>
          <w:szCs w:val="24"/>
        </w:rPr>
        <w:footnoteReference w:id="44"/>
      </w:r>
      <w:r w:rsidR="00336B77">
        <w:rPr>
          <w:rFonts w:ascii="Source Sans Pro" w:hAnsi="Source Sans Pro" w:cstheme="majorHAnsi"/>
          <w:sz w:val="24"/>
          <w:szCs w:val="24"/>
        </w:rPr>
        <w:t xml:space="preserve"> </w:t>
      </w:r>
      <w:r w:rsidR="00760B95" w:rsidRPr="0034351D">
        <w:rPr>
          <w:rFonts w:ascii="Source Sans Pro" w:hAnsi="Source Sans Pro" w:cstheme="majorHAnsi"/>
          <w:sz w:val="24"/>
          <w:szCs w:val="24"/>
        </w:rPr>
        <w:t>Cyne</w:t>
      </w:r>
      <w:r w:rsidR="00760B95" w:rsidRPr="0034351D">
        <w:rPr>
          <w:rFonts w:ascii="Arial" w:hAnsi="Arial" w:cs="Arial"/>
          <w:sz w:val="24"/>
          <w:szCs w:val="24"/>
          <w:shd w:val="clear" w:color="auto" w:fill="FFFFFF"/>
        </w:rPr>
        <w:t>ð</w:t>
      </w:r>
      <w:r w:rsidR="00760B95" w:rsidRPr="0034351D">
        <w:rPr>
          <w:rFonts w:ascii="Source Sans Pro" w:hAnsi="Source Sans Pro" w:cstheme="majorHAnsi"/>
          <w:sz w:val="24"/>
          <w:szCs w:val="24"/>
        </w:rPr>
        <w:t>ry</w:t>
      </w:r>
      <w:r w:rsidR="00760B95" w:rsidRPr="0034351D">
        <w:rPr>
          <w:rFonts w:ascii="Arial" w:hAnsi="Arial" w:cs="Arial"/>
          <w:sz w:val="24"/>
          <w:szCs w:val="24"/>
          <w:shd w:val="clear" w:color="auto" w:fill="FFFFFF"/>
        </w:rPr>
        <w:t>ð</w:t>
      </w:r>
      <w:r w:rsidR="00760B95">
        <w:rPr>
          <w:rFonts w:ascii="Arial" w:hAnsi="Arial" w:cs="Arial"/>
          <w:sz w:val="24"/>
          <w:szCs w:val="24"/>
          <w:shd w:val="clear" w:color="auto" w:fill="FFFFFF"/>
        </w:rPr>
        <w:t xml:space="preserve"> </w:t>
      </w:r>
      <w:r w:rsidR="00760B95">
        <w:rPr>
          <w:rFonts w:ascii="Source Sans Pro" w:hAnsi="Source Sans Pro" w:cstheme="majorHAnsi"/>
          <w:sz w:val="24"/>
          <w:szCs w:val="24"/>
        </w:rPr>
        <w:t xml:space="preserve">is not only intriguing as a historical figure alone when considering </w:t>
      </w:r>
      <w:r w:rsidR="00760B95">
        <w:rPr>
          <w:rFonts w:ascii="Source Sans Pro" w:hAnsi="Source Sans Pro" w:cstheme="majorHAnsi"/>
          <w:i/>
          <w:sz w:val="24"/>
          <w:szCs w:val="24"/>
        </w:rPr>
        <w:t>Beowulf</w:t>
      </w:r>
      <w:r w:rsidR="00760B95">
        <w:rPr>
          <w:rFonts w:ascii="Source Sans Pro" w:hAnsi="Source Sans Pro" w:cstheme="majorHAnsi"/>
          <w:sz w:val="24"/>
          <w:szCs w:val="24"/>
        </w:rPr>
        <w:t>, but also as interlinked with the poem due to the lines 1925-62 in which</w:t>
      </w:r>
      <w:r w:rsidR="00E773D5">
        <w:rPr>
          <w:rFonts w:ascii="Source Sans Pro" w:hAnsi="Source Sans Pro" w:cstheme="majorHAnsi"/>
          <w:sz w:val="24"/>
          <w:szCs w:val="24"/>
        </w:rPr>
        <w:t xml:space="preserve"> have</w:t>
      </w:r>
      <w:r w:rsidR="00760B95">
        <w:rPr>
          <w:rFonts w:ascii="Source Sans Pro" w:hAnsi="Source Sans Pro" w:cstheme="majorHAnsi"/>
          <w:sz w:val="24"/>
          <w:szCs w:val="24"/>
        </w:rPr>
        <w:t xml:space="preserve"> been considered as an interpolation later made in Offa of Mercia’s court</w:t>
      </w:r>
      <w:r w:rsidR="00870923">
        <w:rPr>
          <w:rFonts w:ascii="Source Sans Pro" w:hAnsi="Source Sans Pro" w:cstheme="majorHAnsi"/>
          <w:sz w:val="24"/>
          <w:szCs w:val="24"/>
        </w:rPr>
        <w:t xml:space="preserve"> in homage to Offa of Angeln, Offa of Mercia’s ancestor</w:t>
      </w:r>
      <w:r w:rsidR="00760B95">
        <w:rPr>
          <w:rFonts w:ascii="Source Sans Pro" w:hAnsi="Source Sans Pro" w:cstheme="majorHAnsi"/>
          <w:sz w:val="24"/>
          <w:szCs w:val="24"/>
        </w:rPr>
        <w:t>.</w:t>
      </w:r>
      <w:r w:rsidR="00915FCD">
        <w:rPr>
          <w:rStyle w:val="FootnoteReference"/>
          <w:rFonts w:ascii="Source Sans Pro" w:hAnsi="Source Sans Pro" w:cstheme="majorHAnsi"/>
          <w:sz w:val="24"/>
          <w:szCs w:val="24"/>
        </w:rPr>
        <w:footnoteReference w:id="45"/>
      </w:r>
      <w:r w:rsidR="009B6EB9">
        <w:rPr>
          <w:rFonts w:ascii="Source Sans Pro" w:hAnsi="Source Sans Pro" w:cstheme="majorHAnsi"/>
          <w:sz w:val="24"/>
          <w:szCs w:val="24"/>
        </w:rPr>
        <w:t xml:space="preserve"> Offa of Angeln’s wife is thought to be the </w:t>
      </w:r>
      <w:r w:rsidR="009B6EB9" w:rsidRPr="001D1A69">
        <w:rPr>
          <w:rFonts w:ascii="Source Sans Pro" w:hAnsi="Source Sans Pro" w:cstheme="majorHAnsi"/>
          <w:sz w:val="24"/>
          <w:szCs w:val="24"/>
        </w:rPr>
        <w:t>M</w:t>
      </w:r>
      <w:r w:rsidR="009B6EB9" w:rsidRPr="001D1A69">
        <w:rPr>
          <w:rFonts w:ascii="Source Sans Pro" w:hAnsi="Source Sans Pro" w:cstheme="majorHAnsi"/>
          <w:color w:val="222222"/>
          <w:sz w:val="24"/>
          <w:szCs w:val="24"/>
          <w:shd w:val="clear" w:color="auto" w:fill="FFFFFF"/>
        </w:rPr>
        <w:t>ó</w:t>
      </w:r>
      <w:r w:rsidR="009B6EB9" w:rsidRPr="001D1A69">
        <w:rPr>
          <w:rFonts w:ascii="Source Sans Pro" w:hAnsi="Source Sans Pro" w:cstheme="majorHAnsi"/>
          <w:sz w:val="24"/>
          <w:szCs w:val="24"/>
        </w:rPr>
        <w:t>d</w:t>
      </w:r>
      <w:r w:rsidR="009B6EB9" w:rsidRPr="001D1A69">
        <w:rPr>
          <w:rFonts w:ascii="Source Sans Pro" w:hAnsi="Source Sans Pro" w:cstheme="majorHAnsi"/>
          <w:sz w:val="24"/>
          <w:szCs w:val="24"/>
          <w:shd w:val="clear" w:color="auto" w:fill="FFFFFF"/>
        </w:rPr>
        <w:t>þryðo</w:t>
      </w:r>
      <w:r w:rsidR="009B6EB9">
        <w:rPr>
          <w:rFonts w:ascii="Source Sans Pro" w:hAnsi="Source Sans Pro" w:cstheme="majorHAnsi"/>
          <w:sz w:val="24"/>
          <w:szCs w:val="24"/>
          <w:shd w:val="clear" w:color="auto" w:fill="FFFFFF"/>
        </w:rPr>
        <w:t xml:space="preserve"> </w:t>
      </w:r>
      <w:r w:rsidR="00E773D5">
        <w:rPr>
          <w:rFonts w:ascii="Source Sans Pro" w:hAnsi="Source Sans Pro" w:cstheme="majorHAnsi"/>
          <w:sz w:val="24"/>
          <w:szCs w:val="24"/>
        </w:rPr>
        <w:t>(or Thryth) i</w:t>
      </w:r>
      <w:r w:rsidR="009B6EB9">
        <w:rPr>
          <w:rFonts w:ascii="Source Sans Pro" w:hAnsi="Source Sans Pro" w:cstheme="majorHAnsi"/>
          <w:sz w:val="24"/>
          <w:szCs w:val="24"/>
        </w:rPr>
        <w:t xml:space="preserve">n </w:t>
      </w:r>
      <w:r w:rsidR="009B6EB9">
        <w:rPr>
          <w:rFonts w:ascii="Source Sans Pro" w:hAnsi="Source Sans Pro" w:cstheme="majorHAnsi"/>
          <w:i/>
          <w:sz w:val="24"/>
          <w:szCs w:val="24"/>
        </w:rPr>
        <w:t>Beowulf</w:t>
      </w:r>
      <w:r w:rsidR="00B20B54">
        <w:rPr>
          <w:rFonts w:ascii="Source Sans Pro" w:hAnsi="Source Sans Pro" w:cstheme="majorHAnsi"/>
          <w:sz w:val="24"/>
          <w:szCs w:val="24"/>
        </w:rPr>
        <w:t>, her character</w:t>
      </w:r>
      <w:r w:rsidR="009B6EB9">
        <w:rPr>
          <w:rFonts w:ascii="Source Sans Pro" w:hAnsi="Source Sans Pro" w:cstheme="majorHAnsi"/>
          <w:sz w:val="24"/>
          <w:szCs w:val="24"/>
        </w:rPr>
        <w:t xml:space="preserve"> alike to </w:t>
      </w:r>
      <w:r w:rsidR="009B6EB9" w:rsidRPr="0034351D">
        <w:rPr>
          <w:rFonts w:ascii="Source Sans Pro" w:hAnsi="Source Sans Pro" w:cstheme="majorHAnsi"/>
          <w:sz w:val="24"/>
          <w:szCs w:val="24"/>
        </w:rPr>
        <w:t>Cyne</w:t>
      </w:r>
      <w:r w:rsidR="009B6EB9" w:rsidRPr="0034351D">
        <w:rPr>
          <w:rFonts w:ascii="Arial" w:hAnsi="Arial" w:cs="Arial"/>
          <w:sz w:val="24"/>
          <w:szCs w:val="24"/>
          <w:shd w:val="clear" w:color="auto" w:fill="FFFFFF"/>
        </w:rPr>
        <w:t>ð</w:t>
      </w:r>
      <w:r w:rsidR="009B6EB9" w:rsidRPr="0034351D">
        <w:rPr>
          <w:rFonts w:ascii="Source Sans Pro" w:hAnsi="Source Sans Pro" w:cstheme="majorHAnsi"/>
          <w:sz w:val="24"/>
          <w:szCs w:val="24"/>
        </w:rPr>
        <w:t>ry</w:t>
      </w:r>
      <w:r w:rsidR="009B6EB9" w:rsidRPr="0034351D">
        <w:rPr>
          <w:rFonts w:ascii="Arial" w:hAnsi="Arial" w:cs="Arial"/>
          <w:sz w:val="24"/>
          <w:szCs w:val="24"/>
          <w:shd w:val="clear" w:color="auto" w:fill="FFFFFF"/>
        </w:rPr>
        <w:t>ð</w:t>
      </w:r>
      <w:r w:rsidR="009B6EB9">
        <w:rPr>
          <w:rFonts w:ascii="Arial" w:hAnsi="Arial" w:cs="Arial"/>
          <w:sz w:val="24"/>
          <w:szCs w:val="24"/>
          <w:shd w:val="clear" w:color="auto" w:fill="FFFFFF"/>
        </w:rPr>
        <w:t xml:space="preserve"> </w:t>
      </w:r>
      <w:r w:rsidR="009B6EB9">
        <w:rPr>
          <w:rFonts w:ascii="Source Sans Pro" w:hAnsi="Source Sans Pro" w:cstheme="majorHAnsi"/>
          <w:sz w:val="24"/>
          <w:szCs w:val="24"/>
        </w:rPr>
        <w:t xml:space="preserve">in Offa’s court, </w:t>
      </w:r>
      <w:r w:rsidR="00B20B54">
        <w:rPr>
          <w:rFonts w:ascii="Source Sans Pro" w:hAnsi="Source Sans Pro" w:cstheme="majorHAnsi"/>
          <w:sz w:val="24"/>
          <w:szCs w:val="24"/>
        </w:rPr>
        <w:t xml:space="preserve">both </w:t>
      </w:r>
      <w:r w:rsidR="00B20B54">
        <w:rPr>
          <w:rFonts w:ascii="Source Sans Pro" w:hAnsi="Source Sans Pro" w:cstheme="majorHAnsi"/>
          <w:sz w:val="24"/>
          <w:szCs w:val="24"/>
        </w:rPr>
        <w:lastRenderedPageBreak/>
        <w:t>of them being</w:t>
      </w:r>
      <w:r w:rsidR="009B6EB9">
        <w:rPr>
          <w:rFonts w:ascii="Source Sans Pro" w:hAnsi="Source Sans Pro" w:cstheme="majorHAnsi"/>
          <w:sz w:val="24"/>
          <w:szCs w:val="24"/>
        </w:rPr>
        <w:t xml:space="preserve"> powerful, </w:t>
      </w:r>
      <w:r w:rsidR="0015298D">
        <w:rPr>
          <w:rFonts w:ascii="Source Sans Pro" w:hAnsi="Source Sans Pro" w:cstheme="majorHAnsi"/>
          <w:sz w:val="24"/>
          <w:szCs w:val="24"/>
        </w:rPr>
        <w:t>murderous</w:t>
      </w:r>
      <w:r w:rsidR="009B6EB9">
        <w:rPr>
          <w:rFonts w:ascii="Source Sans Pro" w:hAnsi="Source Sans Pro" w:cstheme="majorHAnsi"/>
          <w:sz w:val="24"/>
          <w:szCs w:val="24"/>
        </w:rPr>
        <w:t xml:space="preserve"> and hard-to-manage </w:t>
      </w:r>
      <w:r w:rsidR="009A39C0">
        <w:rPr>
          <w:rFonts w:ascii="Source Sans Pro" w:hAnsi="Source Sans Pro" w:cstheme="majorHAnsi"/>
          <w:sz w:val="24"/>
          <w:szCs w:val="24"/>
        </w:rPr>
        <w:t>wome</w:t>
      </w:r>
      <w:r w:rsidR="00426AB4">
        <w:rPr>
          <w:rFonts w:ascii="Source Sans Pro" w:hAnsi="Source Sans Pro" w:cstheme="majorHAnsi"/>
          <w:sz w:val="24"/>
          <w:szCs w:val="24"/>
        </w:rPr>
        <w:t>n who are tamed by their husbands</w:t>
      </w:r>
      <w:r w:rsidR="002E79DF">
        <w:rPr>
          <w:rFonts w:ascii="Source Sans Pro" w:hAnsi="Source Sans Pro" w:cstheme="majorHAnsi"/>
          <w:sz w:val="24"/>
          <w:szCs w:val="24"/>
        </w:rPr>
        <w:t xml:space="preserve"> whom were</w:t>
      </w:r>
      <w:r w:rsidR="00E773D5">
        <w:rPr>
          <w:rFonts w:ascii="Source Sans Pro" w:hAnsi="Source Sans Pro" w:cstheme="majorHAnsi"/>
          <w:sz w:val="24"/>
          <w:szCs w:val="24"/>
        </w:rPr>
        <w:t xml:space="preserve"> both related</w:t>
      </w:r>
      <w:r w:rsidR="00B20B54">
        <w:rPr>
          <w:rFonts w:ascii="Source Sans Pro" w:hAnsi="Source Sans Pro" w:cstheme="majorHAnsi"/>
          <w:sz w:val="24"/>
          <w:szCs w:val="24"/>
        </w:rPr>
        <w:t>.</w:t>
      </w:r>
      <w:r w:rsidR="00915FCD">
        <w:rPr>
          <w:rStyle w:val="FootnoteReference"/>
          <w:rFonts w:ascii="Source Sans Pro" w:hAnsi="Source Sans Pro" w:cstheme="majorHAnsi"/>
          <w:sz w:val="24"/>
          <w:szCs w:val="24"/>
        </w:rPr>
        <w:footnoteReference w:id="46"/>
      </w:r>
      <w:r w:rsidR="00AF6B8A">
        <w:rPr>
          <w:rFonts w:ascii="Source Sans Pro" w:hAnsi="Source Sans Pro" w:cstheme="majorHAnsi"/>
          <w:sz w:val="24"/>
          <w:szCs w:val="24"/>
        </w:rPr>
        <w:t xml:space="preserve"> </w:t>
      </w:r>
      <w:r w:rsidR="00380C42" w:rsidRPr="0034351D">
        <w:rPr>
          <w:rFonts w:ascii="Source Sans Pro" w:hAnsi="Source Sans Pro" w:cstheme="majorHAnsi"/>
          <w:sz w:val="24"/>
          <w:szCs w:val="24"/>
        </w:rPr>
        <w:t>Cyne</w:t>
      </w:r>
      <w:r w:rsidR="00380C42" w:rsidRPr="0034351D">
        <w:rPr>
          <w:rFonts w:ascii="Arial" w:hAnsi="Arial" w:cs="Arial"/>
          <w:sz w:val="24"/>
          <w:szCs w:val="24"/>
          <w:shd w:val="clear" w:color="auto" w:fill="FFFFFF"/>
        </w:rPr>
        <w:t>ð</w:t>
      </w:r>
      <w:r w:rsidR="00380C42" w:rsidRPr="0034351D">
        <w:rPr>
          <w:rFonts w:ascii="Source Sans Pro" w:hAnsi="Source Sans Pro" w:cstheme="majorHAnsi"/>
          <w:sz w:val="24"/>
          <w:szCs w:val="24"/>
        </w:rPr>
        <w:t>ry</w:t>
      </w:r>
      <w:r w:rsidR="00380C42" w:rsidRPr="0034351D">
        <w:rPr>
          <w:rFonts w:ascii="Arial" w:hAnsi="Arial" w:cs="Arial"/>
          <w:sz w:val="24"/>
          <w:szCs w:val="24"/>
          <w:shd w:val="clear" w:color="auto" w:fill="FFFFFF"/>
        </w:rPr>
        <w:t>ð</w:t>
      </w:r>
      <w:r w:rsidR="00380C42">
        <w:rPr>
          <w:rFonts w:ascii="Arial" w:hAnsi="Arial" w:cs="Arial"/>
          <w:sz w:val="24"/>
          <w:szCs w:val="24"/>
          <w:shd w:val="clear" w:color="auto" w:fill="FFFFFF"/>
        </w:rPr>
        <w:t xml:space="preserve"> </w:t>
      </w:r>
      <w:r w:rsidR="00B94086">
        <w:rPr>
          <w:rFonts w:ascii="Source Sans Pro" w:hAnsi="Source Sans Pro" w:cstheme="majorHAnsi"/>
          <w:sz w:val="24"/>
          <w:szCs w:val="24"/>
        </w:rPr>
        <w:t>is also thought to be Quendrida, and supposedly murdered</w:t>
      </w:r>
      <w:r w:rsidR="007E0621">
        <w:rPr>
          <w:rFonts w:ascii="Source Sans Pro" w:hAnsi="Source Sans Pro" w:cstheme="majorHAnsi"/>
          <w:sz w:val="24"/>
          <w:szCs w:val="24"/>
        </w:rPr>
        <w:t xml:space="preserve"> St.</w:t>
      </w:r>
      <w:r w:rsidR="005728F0">
        <w:t xml:space="preserve"> </w:t>
      </w:r>
      <w:r w:rsidR="00B94086" w:rsidRPr="000058DA">
        <w:rPr>
          <w:sz w:val="24"/>
          <w:szCs w:val="24"/>
          <w:shd w:val="clear" w:color="auto" w:fill="FFFFFF"/>
        </w:rPr>
        <w:t>Æ</w:t>
      </w:r>
      <w:r w:rsidR="00B94086">
        <w:rPr>
          <w:rFonts w:ascii="Source Sans Pro" w:hAnsi="Source Sans Pro" w:cstheme="majorHAnsi"/>
          <w:sz w:val="24"/>
          <w:szCs w:val="24"/>
        </w:rPr>
        <w:t>thelbert</w:t>
      </w:r>
      <w:r w:rsidR="007E0621">
        <w:rPr>
          <w:rFonts w:ascii="Source Sans Pro" w:hAnsi="Source Sans Pro" w:cstheme="majorHAnsi"/>
          <w:sz w:val="24"/>
          <w:szCs w:val="24"/>
        </w:rPr>
        <w:t xml:space="preserve"> in 794</w:t>
      </w:r>
      <w:r w:rsidR="00B94086">
        <w:rPr>
          <w:rFonts w:ascii="Source Sans Pro" w:hAnsi="Source Sans Pro" w:cstheme="majorHAnsi"/>
          <w:sz w:val="24"/>
          <w:szCs w:val="24"/>
        </w:rPr>
        <w:t>; from this she later got a murderous reputation even though there seems to be no apparent</w:t>
      </w:r>
      <w:r w:rsidR="005D6C6C">
        <w:rPr>
          <w:rFonts w:ascii="Source Sans Pro" w:hAnsi="Source Sans Pro" w:cstheme="majorHAnsi"/>
          <w:sz w:val="24"/>
          <w:szCs w:val="24"/>
        </w:rPr>
        <w:t xml:space="preserve"> historical</w:t>
      </w:r>
      <w:r w:rsidR="00B94086">
        <w:rPr>
          <w:rFonts w:ascii="Source Sans Pro" w:hAnsi="Source Sans Pro" w:cstheme="majorHAnsi"/>
          <w:sz w:val="24"/>
          <w:szCs w:val="24"/>
        </w:rPr>
        <w:t xml:space="preserve"> evidence for t</w:t>
      </w:r>
      <w:r w:rsidR="0015298D">
        <w:rPr>
          <w:rFonts w:ascii="Source Sans Pro" w:hAnsi="Source Sans Pro" w:cstheme="majorHAnsi"/>
          <w:sz w:val="24"/>
          <w:szCs w:val="24"/>
        </w:rPr>
        <w:t>he claim and it</w:t>
      </w:r>
      <w:r w:rsidR="005D6C6C">
        <w:rPr>
          <w:rFonts w:ascii="Source Sans Pro" w:hAnsi="Source Sans Pro" w:cstheme="majorHAnsi"/>
          <w:sz w:val="24"/>
          <w:szCs w:val="24"/>
        </w:rPr>
        <w:t xml:space="preserve"> seems as though the tale</w:t>
      </w:r>
      <w:r w:rsidR="0015298D">
        <w:rPr>
          <w:rFonts w:ascii="Source Sans Pro" w:hAnsi="Source Sans Pro" w:cstheme="majorHAnsi"/>
          <w:sz w:val="24"/>
          <w:szCs w:val="24"/>
        </w:rPr>
        <w:t xml:space="preserve"> was most likely </w:t>
      </w:r>
      <w:r w:rsidR="00B94086">
        <w:rPr>
          <w:rFonts w:ascii="Source Sans Pro" w:hAnsi="Source Sans Pro" w:cstheme="majorHAnsi"/>
          <w:sz w:val="24"/>
          <w:szCs w:val="24"/>
        </w:rPr>
        <w:t xml:space="preserve">made to shift blame from her husband when </w:t>
      </w:r>
      <w:r w:rsidR="00AD604B" w:rsidRPr="000058DA">
        <w:rPr>
          <w:sz w:val="24"/>
          <w:szCs w:val="24"/>
          <w:shd w:val="clear" w:color="auto" w:fill="FFFFFF"/>
        </w:rPr>
        <w:t>Æ</w:t>
      </w:r>
      <w:r w:rsidR="00AD604B">
        <w:rPr>
          <w:rFonts w:ascii="Source Sans Pro" w:hAnsi="Source Sans Pro" w:cstheme="majorHAnsi"/>
          <w:sz w:val="24"/>
          <w:szCs w:val="24"/>
        </w:rPr>
        <w:t>thelbert was</w:t>
      </w:r>
      <w:r w:rsidR="00B94086">
        <w:rPr>
          <w:rFonts w:ascii="Source Sans Pro" w:hAnsi="Source Sans Pro" w:cstheme="majorHAnsi"/>
          <w:sz w:val="24"/>
          <w:szCs w:val="24"/>
        </w:rPr>
        <w:t xml:space="preserve"> sainted.</w:t>
      </w:r>
      <w:r w:rsidR="00B94086">
        <w:rPr>
          <w:rStyle w:val="FootnoteReference"/>
          <w:rFonts w:ascii="Source Sans Pro" w:hAnsi="Source Sans Pro" w:cstheme="majorHAnsi"/>
          <w:sz w:val="24"/>
          <w:szCs w:val="24"/>
        </w:rPr>
        <w:footnoteReference w:id="47"/>
      </w:r>
      <w:r w:rsidR="0015298D">
        <w:rPr>
          <w:rFonts w:ascii="Source Sans Pro" w:hAnsi="Source Sans Pro" w:cstheme="majorHAnsi"/>
          <w:sz w:val="24"/>
          <w:szCs w:val="24"/>
        </w:rPr>
        <w:t xml:space="preserve"> </w:t>
      </w:r>
      <w:r w:rsidR="00AF6B8A">
        <w:rPr>
          <w:rFonts w:ascii="Source Sans Pro" w:hAnsi="Source Sans Pro" w:cstheme="majorHAnsi"/>
          <w:sz w:val="24"/>
          <w:szCs w:val="24"/>
        </w:rPr>
        <w:t>Francis Leneghan claims that</w:t>
      </w:r>
      <w:r w:rsidR="00B20B54">
        <w:rPr>
          <w:rFonts w:ascii="Source Sans Pro" w:hAnsi="Source Sans Pro" w:cstheme="majorHAnsi"/>
          <w:sz w:val="24"/>
          <w:szCs w:val="24"/>
        </w:rPr>
        <w:t xml:space="preserve"> </w:t>
      </w:r>
      <w:r w:rsidR="002E79DF" w:rsidRPr="001D1A69">
        <w:rPr>
          <w:rFonts w:ascii="Source Sans Pro" w:hAnsi="Source Sans Pro" w:cstheme="majorHAnsi"/>
          <w:sz w:val="24"/>
          <w:szCs w:val="24"/>
        </w:rPr>
        <w:t>M</w:t>
      </w:r>
      <w:r w:rsidR="002E79DF" w:rsidRPr="001D1A69">
        <w:rPr>
          <w:rFonts w:ascii="Source Sans Pro" w:hAnsi="Source Sans Pro" w:cstheme="majorHAnsi"/>
          <w:color w:val="222222"/>
          <w:sz w:val="24"/>
          <w:szCs w:val="24"/>
          <w:shd w:val="clear" w:color="auto" w:fill="FFFFFF"/>
        </w:rPr>
        <w:t>ó</w:t>
      </w:r>
      <w:r w:rsidR="002E79DF" w:rsidRPr="001D1A69">
        <w:rPr>
          <w:rFonts w:ascii="Source Sans Pro" w:hAnsi="Source Sans Pro" w:cstheme="majorHAnsi"/>
          <w:sz w:val="24"/>
          <w:szCs w:val="24"/>
        </w:rPr>
        <w:t>d</w:t>
      </w:r>
      <w:r w:rsidR="002E79DF" w:rsidRPr="001D1A69">
        <w:rPr>
          <w:rFonts w:ascii="Source Sans Pro" w:hAnsi="Source Sans Pro" w:cstheme="majorHAnsi"/>
          <w:sz w:val="24"/>
          <w:szCs w:val="24"/>
          <w:shd w:val="clear" w:color="auto" w:fill="FFFFFF"/>
        </w:rPr>
        <w:t>þryðo</w:t>
      </w:r>
      <w:r w:rsidR="002E79DF">
        <w:rPr>
          <w:rFonts w:ascii="Source Sans Pro" w:hAnsi="Source Sans Pro" w:cstheme="majorHAnsi"/>
          <w:sz w:val="24"/>
          <w:szCs w:val="24"/>
        </w:rPr>
        <w:t xml:space="preserve"> is made to be in contrast with Grendel’s mother, and therefore in contrast to the </w:t>
      </w:r>
      <w:r w:rsidR="00AF6B8A">
        <w:rPr>
          <w:rFonts w:ascii="Source Sans Pro" w:hAnsi="Source Sans Pro" w:cstheme="majorHAnsi"/>
          <w:sz w:val="24"/>
          <w:szCs w:val="24"/>
        </w:rPr>
        <w:t>descendants</w:t>
      </w:r>
      <w:r w:rsidR="002E79DF">
        <w:rPr>
          <w:rFonts w:ascii="Source Sans Pro" w:hAnsi="Source Sans Pro" w:cstheme="majorHAnsi"/>
          <w:sz w:val="24"/>
          <w:szCs w:val="24"/>
        </w:rPr>
        <w:t xml:space="preserve"> of</w:t>
      </w:r>
      <w:r w:rsidR="00AF6B8A">
        <w:rPr>
          <w:rFonts w:ascii="Source Sans Pro" w:hAnsi="Source Sans Pro" w:cstheme="majorHAnsi"/>
          <w:sz w:val="24"/>
          <w:szCs w:val="24"/>
        </w:rPr>
        <w:t xml:space="preserve"> Cain and all </w:t>
      </w:r>
      <w:r w:rsidR="002F104C">
        <w:rPr>
          <w:rFonts w:ascii="Source Sans Pro" w:hAnsi="Source Sans Pro" w:cstheme="majorHAnsi"/>
          <w:sz w:val="24"/>
          <w:szCs w:val="24"/>
        </w:rPr>
        <w:t>evil in the world.</w:t>
      </w:r>
      <w:r w:rsidR="002E79DF">
        <w:rPr>
          <w:rStyle w:val="FootnoteReference"/>
          <w:rFonts w:ascii="Source Sans Pro" w:hAnsi="Source Sans Pro" w:cstheme="majorHAnsi"/>
          <w:sz w:val="24"/>
          <w:szCs w:val="24"/>
        </w:rPr>
        <w:footnoteReference w:id="48"/>
      </w:r>
      <w:r w:rsidR="002F104C">
        <w:rPr>
          <w:rFonts w:ascii="Source Sans Pro" w:hAnsi="Source Sans Pro" w:cstheme="majorHAnsi"/>
          <w:sz w:val="24"/>
          <w:szCs w:val="24"/>
        </w:rPr>
        <w:t xml:space="preserve"> T</w:t>
      </w:r>
      <w:r w:rsidR="00AF6B8A">
        <w:rPr>
          <w:rFonts w:ascii="Source Sans Pro" w:hAnsi="Source Sans Pro" w:cstheme="majorHAnsi"/>
          <w:sz w:val="24"/>
          <w:szCs w:val="24"/>
        </w:rPr>
        <w:t xml:space="preserve">his is at contrast to what many other scholars say, namely that the purpose of </w:t>
      </w:r>
      <w:r w:rsidR="00AF6B8A" w:rsidRPr="001D1A69">
        <w:rPr>
          <w:rFonts w:ascii="Source Sans Pro" w:hAnsi="Source Sans Pro" w:cstheme="majorHAnsi"/>
          <w:sz w:val="24"/>
          <w:szCs w:val="24"/>
        </w:rPr>
        <w:t>M</w:t>
      </w:r>
      <w:r w:rsidR="00AF6B8A" w:rsidRPr="001D1A69">
        <w:rPr>
          <w:rFonts w:ascii="Source Sans Pro" w:hAnsi="Source Sans Pro" w:cstheme="majorHAnsi"/>
          <w:color w:val="222222"/>
          <w:sz w:val="24"/>
          <w:szCs w:val="24"/>
          <w:shd w:val="clear" w:color="auto" w:fill="FFFFFF"/>
        </w:rPr>
        <w:t>ó</w:t>
      </w:r>
      <w:r w:rsidR="00AF6B8A" w:rsidRPr="001D1A69">
        <w:rPr>
          <w:rFonts w:ascii="Source Sans Pro" w:hAnsi="Source Sans Pro" w:cstheme="majorHAnsi"/>
          <w:sz w:val="24"/>
          <w:szCs w:val="24"/>
        </w:rPr>
        <w:t>d</w:t>
      </w:r>
      <w:r w:rsidR="00AF6B8A" w:rsidRPr="001D1A69">
        <w:rPr>
          <w:rFonts w:ascii="Source Sans Pro" w:hAnsi="Source Sans Pro" w:cstheme="majorHAnsi"/>
          <w:sz w:val="24"/>
          <w:szCs w:val="24"/>
          <w:shd w:val="clear" w:color="auto" w:fill="FFFFFF"/>
        </w:rPr>
        <w:t>þryðo</w:t>
      </w:r>
      <w:r w:rsidR="00AF6B8A">
        <w:rPr>
          <w:rFonts w:ascii="Source Sans Pro" w:hAnsi="Source Sans Pro" w:cstheme="majorHAnsi"/>
          <w:sz w:val="24"/>
          <w:szCs w:val="24"/>
          <w:shd w:val="clear" w:color="auto" w:fill="FFFFFF"/>
        </w:rPr>
        <w:t xml:space="preserve">’s </w:t>
      </w:r>
      <w:r w:rsidR="00AF6B8A">
        <w:rPr>
          <w:rFonts w:ascii="Source Sans Pro" w:hAnsi="Source Sans Pro" w:cstheme="majorHAnsi"/>
          <w:sz w:val="24"/>
          <w:szCs w:val="24"/>
        </w:rPr>
        <w:t xml:space="preserve">digression is to portray a binary of goodness in regards to queenly behaviour. </w:t>
      </w:r>
      <w:r w:rsidR="004F6775">
        <w:rPr>
          <w:rFonts w:ascii="Source Sans Pro" w:hAnsi="Source Sans Pro" w:cstheme="majorHAnsi"/>
          <w:sz w:val="24"/>
          <w:szCs w:val="24"/>
        </w:rPr>
        <w:t>It seems as though the purpose of the digression is to portray a Queen who behaves unseemly</w:t>
      </w:r>
      <w:r w:rsidR="0069008F">
        <w:rPr>
          <w:rFonts w:ascii="Source Sans Pro" w:hAnsi="Source Sans Pro" w:cstheme="majorHAnsi"/>
          <w:sz w:val="24"/>
          <w:szCs w:val="24"/>
        </w:rPr>
        <w:t>,</w:t>
      </w:r>
      <w:r w:rsidR="004F6775">
        <w:rPr>
          <w:rFonts w:ascii="Source Sans Pro" w:hAnsi="Source Sans Pro" w:cstheme="majorHAnsi"/>
          <w:sz w:val="24"/>
          <w:szCs w:val="24"/>
        </w:rPr>
        <w:t xml:space="preserve"> but it would seem odd to relate that directly to the evilness of Cain and the apparent evilness of Grendel’s mother</w:t>
      </w:r>
      <w:r w:rsidR="002F66E5">
        <w:rPr>
          <w:rFonts w:ascii="Source Sans Pro" w:hAnsi="Source Sans Pro" w:cstheme="majorHAnsi"/>
          <w:sz w:val="24"/>
          <w:szCs w:val="24"/>
        </w:rPr>
        <w:t>.</w:t>
      </w:r>
      <w:r w:rsidR="004F6775">
        <w:rPr>
          <w:rStyle w:val="FootnoteReference"/>
          <w:rFonts w:ascii="Source Sans Pro" w:hAnsi="Source Sans Pro" w:cstheme="majorHAnsi"/>
          <w:sz w:val="24"/>
          <w:szCs w:val="24"/>
        </w:rPr>
        <w:footnoteReference w:id="49"/>
      </w:r>
      <w:r w:rsidR="004F6775">
        <w:rPr>
          <w:rFonts w:ascii="Source Sans Pro" w:hAnsi="Source Sans Pro" w:cstheme="majorHAnsi"/>
          <w:sz w:val="24"/>
          <w:szCs w:val="24"/>
        </w:rPr>
        <w:t xml:space="preserve">  </w:t>
      </w:r>
      <w:r w:rsidR="00F42601">
        <w:rPr>
          <w:rFonts w:ascii="Source Sans Pro" w:hAnsi="Source Sans Pro" w:cstheme="majorHAnsi"/>
          <w:sz w:val="24"/>
          <w:szCs w:val="24"/>
        </w:rPr>
        <w:t>Also, if</w:t>
      </w:r>
      <w:r w:rsidR="004F6775">
        <w:rPr>
          <w:rFonts w:ascii="Source Sans Pro" w:hAnsi="Source Sans Pro" w:cstheme="majorHAnsi"/>
          <w:sz w:val="24"/>
          <w:szCs w:val="24"/>
        </w:rPr>
        <w:t xml:space="preserve"> we follow the above suggestion that the tale </w:t>
      </w:r>
      <w:bookmarkStart w:id="2" w:name="_GoBack"/>
      <w:r w:rsidR="004F6775">
        <w:rPr>
          <w:rFonts w:ascii="Source Sans Pro" w:hAnsi="Source Sans Pro" w:cstheme="majorHAnsi"/>
          <w:sz w:val="24"/>
          <w:szCs w:val="24"/>
        </w:rPr>
        <w:t>is</w:t>
      </w:r>
      <w:bookmarkEnd w:id="2"/>
      <w:r w:rsidR="004F6775">
        <w:rPr>
          <w:rFonts w:ascii="Source Sans Pro" w:hAnsi="Source Sans Pro" w:cstheme="majorHAnsi"/>
          <w:sz w:val="24"/>
          <w:szCs w:val="24"/>
        </w:rPr>
        <w:t xml:space="preserve"> in honour of Offa</w:t>
      </w:r>
      <w:r w:rsidR="00F42601">
        <w:rPr>
          <w:rFonts w:ascii="Source Sans Pro" w:hAnsi="Source Sans Pro" w:cstheme="majorHAnsi"/>
          <w:sz w:val="24"/>
          <w:szCs w:val="24"/>
        </w:rPr>
        <w:t>, it would be</w:t>
      </w:r>
      <w:r w:rsidR="004F6775">
        <w:rPr>
          <w:rFonts w:ascii="Source Sans Pro" w:hAnsi="Source Sans Pro" w:cstheme="majorHAnsi"/>
          <w:sz w:val="24"/>
          <w:szCs w:val="24"/>
        </w:rPr>
        <w:t xml:space="preserve"> unlikely that she was being used in contrast to a descendent of Cain, especially as it seems straight after marriage this ‘sinful’ behaviour </w:t>
      </w:r>
      <w:r w:rsidR="002F66E5">
        <w:rPr>
          <w:rFonts w:ascii="Source Sans Pro" w:hAnsi="Source Sans Pro" w:cstheme="majorHAnsi"/>
          <w:sz w:val="24"/>
          <w:szCs w:val="24"/>
        </w:rPr>
        <w:lastRenderedPageBreak/>
        <w:t xml:space="preserve">disappears; Grendel’s mother, as inhuman is not tameable by man whereas </w:t>
      </w:r>
      <w:r w:rsidR="002F66E5" w:rsidRPr="001D1A69">
        <w:rPr>
          <w:rFonts w:ascii="Source Sans Pro" w:hAnsi="Source Sans Pro" w:cstheme="majorHAnsi"/>
          <w:sz w:val="24"/>
          <w:szCs w:val="24"/>
        </w:rPr>
        <w:t>M</w:t>
      </w:r>
      <w:r w:rsidR="002F66E5" w:rsidRPr="001D1A69">
        <w:rPr>
          <w:rFonts w:ascii="Source Sans Pro" w:hAnsi="Source Sans Pro" w:cstheme="majorHAnsi"/>
          <w:color w:val="222222"/>
          <w:sz w:val="24"/>
          <w:szCs w:val="24"/>
          <w:shd w:val="clear" w:color="auto" w:fill="FFFFFF"/>
        </w:rPr>
        <w:t>ó</w:t>
      </w:r>
      <w:r w:rsidR="002F66E5" w:rsidRPr="001D1A69">
        <w:rPr>
          <w:rFonts w:ascii="Source Sans Pro" w:hAnsi="Source Sans Pro" w:cstheme="majorHAnsi"/>
          <w:sz w:val="24"/>
          <w:szCs w:val="24"/>
        </w:rPr>
        <w:t>d</w:t>
      </w:r>
      <w:r w:rsidR="002F66E5" w:rsidRPr="001D1A69">
        <w:rPr>
          <w:rFonts w:ascii="Source Sans Pro" w:hAnsi="Source Sans Pro" w:cstheme="majorHAnsi"/>
          <w:sz w:val="24"/>
          <w:szCs w:val="24"/>
          <w:shd w:val="clear" w:color="auto" w:fill="FFFFFF"/>
        </w:rPr>
        <w:t>þryðo</w:t>
      </w:r>
      <w:r w:rsidR="002F66E5">
        <w:rPr>
          <w:rFonts w:ascii="Source Sans Pro" w:hAnsi="Source Sans Pro" w:cstheme="majorHAnsi"/>
          <w:sz w:val="24"/>
          <w:szCs w:val="24"/>
          <w:shd w:val="clear" w:color="auto" w:fill="FFFFFF"/>
        </w:rPr>
        <w:t xml:space="preserve"> </w:t>
      </w:r>
      <w:r w:rsidR="002F66E5">
        <w:rPr>
          <w:rFonts w:ascii="Source Sans Pro" w:hAnsi="Source Sans Pro" w:cstheme="majorHAnsi"/>
          <w:sz w:val="24"/>
          <w:szCs w:val="24"/>
        </w:rPr>
        <w:t>is.</w:t>
      </w:r>
      <w:r w:rsidR="002D3A63">
        <w:rPr>
          <w:rFonts w:ascii="Source Sans Pro" w:hAnsi="Source Sans Pro" w:cstheme="majorHAnsi"/>
          <w:sz w:val="24"/>
          <w:szCs w:val="24"/>
        </w:rPr>
        <w:t xml:space="preserve"> Even though </w:t>
      </w:r>
      <w:r w:rsidR="002D3A63" w:rsidRPr="001D1A69">
        <w:rPr>
          <w:rFonts w:ascii="Source Sans Pro" w:hAnsi="Source Sans Pro" w:cstheme="majorHAnsi"/>
          <w:sz w:val="24"/>
          <w:szCs w:val="24"/>
        </w:rPr>
        <w:t>M</w:t>
      </w:r>
      <w:r w:rsidR="002D3A63" w:rsidRPr="001D1A69">
        <w:rPr>
          <w:rFonts w:ascii="Source Sans Pro" w:hAnsi="Source Sans Pro" w:cstheme="majorHAnsi"/>
          <w:color w:val="222222"/>
          <w:sz w:val="24"/>
          <w:szCs w:val="24"/>
          <w:shd w:val="clear" w:color="auto" w:fill="FFFFFF"/>
        </w:rPr>
        <w:t>ó</w:t>
      </w:r>
      <w:r w:rsidR="002D3A63" w:rsidRPr="001D1A69">
        <w:rPr>
          <w:rFonts w:ascii="Source Sans Pro" w:hAnsi="Source Sans Pro" w:cstheme="majorHAnsi"/>
          <w:sz w:val="24"/>
          <w:szCs w:val="24"/>
        </w:rPr>
        <w:t>d</w:t>
      </w:r>
      <w:r w:rsidR="002D3A63" w:rsidRPr="001D1A69">
        <w:rPr>
          <w:rFonts w:ascii="Source Sans Pro" w:hAnsi="Source Sans Pro" w:cstheme="majorHAnsi"/>
          <w:sz w:val="24"/>
          <w:szCs w:val="24"/>
          <w:shd w:val="clear" w:color="auto" w:fill="FFFFFF"/>
        </w:rPr>
        <w:t>þryðo</w:t>
      </w:r>
      <w:r w:rsidR="002D3A63">
        <w:rPr>
          <w:rFonts w:ascii="Source Sans Pro" w:hAnsi="Source Sans Pro" w:cstheme="majorHAnsi"/>
          <w:sz w:val="24"/>
          <w:szCs w:val="24"/>
          <w:shd w:val="clear" w:color="auto" w:fill="FFFFFF"/>
        </w:rPr>
        <w:t xml:space="preserve"> </w:t>
      </w:r>
      <w:r w:rsidR="002D3A63">
        <w:rPr>
          <w:rFonts w:ascii="Source Sans Pro" w:hAnsi="Source Sans Pro" w:cstheme="majorHAnsi"/>
          <w:sz w:val="24"/>
          <w:szCs w:val="24"/>
        </w:rPr>
        <w:t>is portrayed as the antithesis to the more queenly queens in the tale, it is interesting to observe that her digression seems to be the only one which includes a marriage which is seemingly successful</w:t>
      </w:r>
      <w:r w:rsidR="00A73FCD">
        <w:rPr>
          <w:rFonts w:ascii="Source Sans Pro" w:hAnsi="Source Sans Pro" w:cstheme="majorHAnsi"/>
          <w:sz w:val="24"/>
          <w:szCs w:val="24"/>
        </w:rPr>
        <w:t>. With there</w:t>
      </w:r>
      <w:r w:rsidR="002D3A63">
        <w:rPr>
          <w:rFonts w:ascii="Source Sans Pro" w:hAnsi="Source Sans Pro" w:cstheme="majorHAnsi"/>
          <w:sz w:val="24"/>
          <w:szCs w:val="24"/>
        </w:rPr>
        <w:t xml:space="preserve"> being no strife or familial issues after marriage and with her being described as occupying ‘the throne well, famous for virtue</w:t>
      </w:r>
      <w:r w:rsidR="00A73FCD">
        <w:rPr>
          <w:rFonts w:ascii="Source Sans Pro" w:hAnsi="Source Sans Pro" w:cstheme="majorHAnsi"/>
          <w:sz w:val="24"/>
          <w:szCs w:val="24"/>
        </w:rPr>
        <w:t>,</w:t>
      </w:r>
      <w:r w:rsidR="002D3A63">
        <w:rPr>
          <w:rFonts w:ascii="Source Sans Pro" w:hAnsi="Source Sans Pro" w:cstheme="majorHAnsi"/>
          <w:sz w:val="24"/>
          <w:szCs w:val="24"/>
        </w:rPr>
        <w:t>’</w:t>
      </w:r>
      <w:r w:rsidR="002D3A63">
        <w:rPr>
          <w:rStyle w:val="FootnoteReference"/>
          <w:rFonts w:ascii="Source Sans Pro" w:hAnsi="Source Sans Pro" w:cstheme="majorHAnsi"/>
          <w:sz w:val="24"/>
          <w:szCs w:val="24"/>
        </w:rPr>
        <w:footnoteReference w:id="50"/>
      </w:r>
      <w:r w:rsidR="00A73FCD">
        <w:rPr>
          <w:rFonts w:ascii="Source Sans Pro" w:hAnsi="Source Sans Pro" w:cstheme="majorHAnsi"/>
          <w:sz w:val="24"/>
          <w:szCs w:val="24"/>
        </w:rPr>
        <w:t xml:space="preserve"> as well as there being an heir apparent, Eomer, who confirms the line of succession and seems to be successful as the poet describes him as ‘a help to heroes […] skilful </w:t>
      </w:r>
      <w:r w:rsidR="00662D3C">
        <w:rPr>
          <w:rFonts w:ascii="Source Sans Pro" w:hAnsi="Source Sans Pro" w:cstheme="majorHAnsi"/>
          <w:sz w:val="24"/>
          <w:szCs w:val="24"/>
        </w:rPr>
        <w:t>in conflicts.</w:t>
      </w:r>
      <w:r w:rsidR="00A73FCD">
        <w:rPr>
          <w:rFonts w:ascii="Source Sans Pro" w:hAnsi="Source Sans Pro" w:cstheme="majorHAnsi"/>
          <w:sz w:val="24"/>
          <w:szCs w:val="24"/>
        </w:rPr>
        <w:t>’</w:t>
      </w:r>
      <w:r w:rsidR="00A73FCD">
        <w:rPr>
          <w:rStyle w:val="FootnoteReference"/>
          <w:rFonts w:ascii="Source Sans Pro" w:hAnsi="Source Sans Pro" w:cstheme="majorHAnsi"/>
          <w:sz w:val="24"/>
          <w:szCs w:val="24"/>
        </w:rPr>
        <w:footnoteReference w:id="51"/>
      </w:r>
      <w:r w:rsidR="00662D3C">
        <w:rPr>
          <w:rFonts w:ascii="Source Sans Pro" w:hAnsi="Source Sans Pro" w:cstheme="majorHAnsi"/>
          <w:sz w:val="24"/>
          <w:szCs w:val="24"/>
        </w:rPr>
        <w:t xml:space="preserve"> </w:t>
      </w:r>
    </w:p>
    <w:p w14:paraId="7189E9CB" w14:textId="4E8814A8" w:rsidR="007A35F5" w:rsidRPr="00AF6B8A" w:rsidRDefault="007A35F5" w:rsidP="007C2D32">
      <w:pPr>
        <w:rPr>
          <w:rFonts w:ascii="Source Sans Pro" w:hAnsi="Source Sans Pro" w:cstheme="majorHAnsi"/>
          <w:sz w:val="24"/>
          <w:szCs w:val="24"/>
        </w:rPr>
      </w:pPr>
      <w:r>
        <w:rPr>
          <w:rFonts w:ascii="Source Sans Pro" w:hAnsi="Source Sans Pro" w:cstheme="majorHAnsi"/>
          <w:sz w:val="24"/>
          <w:szCs w:val="24"/>
        </w:rPr>
        <w:t xml:space="preserve">These examples, both literary and historical and certainly not extensive, do not fit the gender stereotypes we have become accustomed to when having medieval times in mind; this may be due to representation in the modern media as well as the under-representation of female characters within medieval contemporary books; which is understandable when considering that it was generally quite rare for them to be in positions of power. As more research is done in the area however, it can be seen that these are not singular anomalies, and the way we study medieval societies and literature needs to be adapted to these new insights. </w:t>
      </w:r>
    </w:p>
    <w:p w14:paraId="33846074" w14:textId="77777777" w:rsidR="007A35F5" w:rsidRDefault="007A35F5" w:rsidP="007C2D32">
      <w:pPr>
        <w:rPr>
          <w:rFonts w:ascii="Source Sans Pro" w:hAnsi="Source Sans Pro" w:cstheme="majorHAnsi"/>
          <w:sz w:val="24"/>
          <w:szCs w:val="24"/>
        </w:rPr>
      </w:pPr>
      <w:r>
        <w:rPr>
          <w:rFonts w:ascii="Source Sans Pro" w:hAnsi="Source Sans Pro" w:cstheme="majorHAnsi"/>
          <w:sz w:val="24"/>
          <w:szCs w:val="24"/>
        </w:rPr>
        <w:t>From</w:t>
      </w:r>
      <w:r w:rsidR="009A0E03">
        <w:rPr>
          <w:rFonts w:ascii="Source Sans Pro" w:hAnsi="Source Sans Pro" w:cstheme="majorHAnsi"/>
          <w:sz w:val="24"/>
          <w:szCs w:val="24"/>
        </w:rPr>
        <w:t xml:space="preserve"> a relatively recent study of forty-six Anglo-Saxon cemeteries across England, it can be seen that female burials were often well adorned</w:t>
      </w:r>
      <w:r w:rsidR="00836E98">
        <w:rPr>
          <w:rFonts w:ascii="Source Sans Pro" w:hAnsi="Source Sans Pro" w:cstheme="majorHAnsi"/>
          <w:sz w:val="24"/>
          <w:szCs w:val="24"/>
        </w:rPr>
        <w:t>.</w:t>
      </w:r>
      <w:r w:rsidR="009A0E03">
        <w:rPr>
          <w:rStyle w:val="FootnoteReference"/>
          <w:rFonts w:ascii="Source Sans Pro" w:hAnsi="Source Sans Pro" w:cstheme="majorHAnsi"/>
          <w:sz w:val="24"/>
          <w:szCs w:val="24"/>
        </w:rPr>
        <w:footnoteReference w:id="52"/>
      </w:r>
      <w:r w:rsidR="00FF1C74">
        <w:rPr>
          <w:rFonts w:ascii="Source Sans Pro" w:hAnsi="Source Sans Pro" w:cstheme="majorHAnsi"/>
          <w:sz w:val="24"/>
          <w:szCs w:val="24"/>
        </w:rPr>
        <w:t xml:space="preserve"> </w:t>
      </w:r>
      <w:r w:rsidR="00836E98">
        <w:rPr>
          <w:rFonts w:ascii="Source Sans Pro" w:hAnsi="Source Sans Pro" w:cstheme="majorHAnsi"/>
          <w:sz w:val="24"/>
          <w:szCs w:val="24"/>
        </w:rPr>
        <w:t xml:space="preserve">However, there were also some elderly women who ‘were more likely to receive non-normative burials than males’ who </w:t>
      </w:r>
      <w:r w:rsidR="00836E98">
        <w:rPr>
          <w:rFonts w:ascii="Source Sans Pro" w:hAnsi="Source Sans Pro" w:cstheme="majorHAnsi"/>
          <w:sz w:val="24"/>
          <w:szCs w:val="24"/>
        </w:rPr>
        <w:lastRenderedPageBreak/>
        <w:t>often had more elaborate burials than older females</w:t>
      </w:r>
      <w:r w:rsidR="00FF1C74">
        <w:rPr>
          <w:rFonts w:ascii="Source Sans Pro" w:hAnsi="Source Sans Pro" w:cstheme="majorHAnsi"/>
          <w:sz w:val="24"/>
          <w:szCs w:val="24"/>
        </w:rPr>
        <w:t>.</w:t>
      </w:r>
      <w:r w:rsidR="00836E98">
        <w:rPr>
          <w:rStyle w:val="FootnoteReference"/>
          <w:rFonts w:ascii="Source Sans Pro" w:hAnsi="Source Sans Pro" w:cstheme="majorHAnsi"/>
          <w:sz w:val="24"/>
          <w:szCs w:val="24"/>
        </w:rPr>
        <w:footnoteReference w:id="53"/>
      </w:r>
      <w:r w:rsidR="00836E98">
        <w:rPr>
          <w:rFonts w:ascii="Source Sans Pro" w:hAnsi="Source Sans Pro" w:cstheme="majorHAnsi"/>
          <w:sz w:val="24"/>
          <w:szCs w:val="24"/>
        </w:rPr>
        <w:t xml:space="preserve"> I</w:t>
      </w:r>
      <w:r w:rsidR="009A0E03">
        <w:rPr>
          <w:rFonts w:ascii="Source Sans Pro" w:hAnsi="Source Sans Pro" w:cstheme="majorHAnsi"/>
          <w:sz w:val="24"/>
          <w:szCs w:val="24"/>
        </w:rPr>
        <w:t xml:space="preserve">t </w:t>
      </w:r>
      <w:r w:rsidR="00314B92">
        <w:rPr>
          <w:rFonts w:ascii="Source Sans Pro" w:hAnsi="Source Sans Pro" w:cstheme="majorHAnsi"/>
          <w:sz w:val="24"/>
          <w:szCs w:val="24"/>
        </w:rPr>
        <w:t>seems</w:t>
      </w:r>
      <w:r w:rsidR="009A0E03">
        <w:rPr>
          <w:rFonts w:ascii="Source Sans Pro" w:hAnsi="Source Sans Pro" w:cstheme="majorHAnsi"/>
          <w:sz w:val="24"/>
          <w:szCs w:val="24"/>
        </w:rPr>
        <w:t xml:space="preserve"> as though men and women were given different items at different stages in their life cycle, one in which they were </w:t>
      </w:r>
      <w:r w:rsidR="00314B92">
        <w:rPr>
          <w:rFonts w:ascii="Source Sans Pro" w:hAnsi="Source Sans Pro" w:cstheme="majorHAnsi"/>
          <w:sz w:val="24"/>
          <w:szCs w:val="24"/>
        </w:rPr>
        <w:t>more valued as they aged</w:t>
      </w:r>
      <w:r w:rsidR="009A0E03">
        <w:rPr>
          <w:rFonts w:ascii="Source Sans Pro" w:hAnsi="Source Sans Pro" w:cstheme="majorHAnsi"/>
          <w:sz w:val="24"/>
          <w:szCs w:val="24"/>
        </w:rPr>
        <w:t xml:space="preserve">, </w:t>
      </w:r>
      <w:r w:rsidR="00FF1C74">
        <w:rPr>
          <w:rFonts w:ascii="Source Sans Pro" w:hAnsi="Source Sans Pro" w:cstheme="majorHAnsi"/>
          <w:sz w:val="24"/>
          <w:szCs w:val="24"/>
        </w:rPr>
        <w:t>and</w:t>
      </w:r>
      <w:r w:rsidR="003B6AB4">
        <w:rPr>
          <w:rFonts w:ascii="Source Sans Pro" w:hAnsi="Source Sans Pro" w:cstheme="majorHAnsi"/>
          <w:sz w:val="24"/>
          <w:szCs w:val="24"/>
        </w:rPr>
        <w:t xml:space="preserve"> rather </w:t>
      </w:r>
      <w:r w:rsidR="00FF1C74">
        <w:rPr>
          <w:rFonts w:ascii="Source Sans Pro" w:hAnsi="Source Sans Pro" w:cstheme="majorHAnsi"/>
          <w:sz w:val="24"/>
          <w:szCs w:val="24"/>
        </w:rPr>
        <w:t>notably</w:t>
      </w:r>
      <w:r w:rsidR="009A0E03">
        <w:rPr>
          <w:rFonts w:ascii="Source Sans Pro" w:hAnsi="Source Sans Pro" w:cstheme="majorHAnsi"/>
          <w:sz w:val="24"/>
          <w:szCs w:val="24"/>
        </w:rPr>
        <w:t xml:space="preserve"> ‘suggests that their value to society was defined through activities other than childbearing.’</w:t>
      </w:r>
      <w:r w:rsidR="009A0E03">
        <w:rPr>
          <w:rStyle w:val="FootnoteReference"/>
          <w:rFonts w:ascii="Source Sans Pro" w:hAnsi="Source Sans Pro" w:cstheme="majorHAnsi"/>
          <w:sz w:val="24"/>
          <w:szCs w:val="24"/>
        </w:rPr>
        <w:footnoteReference w:id="54"/>
      </w:r>
      <w:r w:rsidR="009A0E03">
        <w:rPr>
          <w:rFonts w:ascii="Source Sans Pro" w:hAnsi="Source Sans Pro" w:cstheme="majorHAnsi"/>
          <w:sz w:val="24"/>
          <w:szCs w:val="24"/>
        </w:rPr>
        <w:t xml:space="preserve"> </w:t>
      </w:r>
      <w:r w:rsidR="00012AFC">
        <w:rPr>
          <w:rFonts w:ascii="Source Sans Pro" w:hAnsi="Source Sans Pro" w:cstheme="majorHAnsi"/>
          <w:sz w:val="24"/>
          <w:szCs w:val="24"/>
        </w:rPr>
        <w:t>What a woman’s role was in her later years is hard to surmise though, but the use of girdles does seem to be an important fixture to whatever that role was</w:t>
      </w:r>
      <w:r w:rsidR="00A127F3">
        <w:rPr>
          <w:rFonts w:ascii="Source Sans Pro" w:hAnsi="Source Sans Pro" w:cstheme="majorHAnsi"/>
          <w:sz w:val="24"/>
          <w:szCs w:val="24"/>
        </w:rPr>
        <w:t xml:space="preserve"> supposed to entail</w:t>
      </w:r>
      <w:r w:rsidR="00012AFC">
        <w:rPr>
          <w:rFonts w:ascii="Source Sans Pro" w:hAnsi="Source Sans Pro" w:cstheme="majorHAnsi"/>
          <w:sz w:val="24"/>
          <w:szCs w:val="24"/>
        </w:rPr>
        <w:t>.</w:t>
      </w:r>
      <w:r w:rsidR="00012AFC">
        <w:rPr>
          <w:rStyle w:val="FootnoteReference"/>
          <w:rFonts w:ascii="Source Sans Pro" w:hAnsi="Source Sans Pro" w:cstheme="majorHAnsi"/>
          <w:sz w:val="24"/>
          <w:szCs w:val="24"/>
        </w:rPr>
        <w:footnoteReference w:id="55"/>
      </w:r>
      <w:r w:rsidR="00012AFC">
        <w:rPr>
          <w:rFonts w:ascii="Source Sans Pro" w:hAnsi="Source Sans Pro" w:cstheme="majorHAnsi"/>
          <w:sz w:val="24"/>
          <w:szCs w:val="24"/>
        </w:rPr>
        <w:t xml:space="preserve"> Almost all</w:t>
      </w:r>
      <w:r w:rsidR="009A0E03">
        <w:rPr>
          <w:rFonts w:ascii="Source Sans Pro" w:hAnsi="Source Sans Pro" w:cstheme="majorHAnsi"/>
          <w:sz w:val="24"/>
          <w:szCs w:val="24"/>
        </w:rPr>
        <w:t xml:space="preserve"> items</w:t>
      </w:r>
      <w:r w:rsidR="00012AFC">
        <w:rPr>
          <w:rFonts w:ascii="Source Sans Pro" w:hAnsi="Source Sans Pro" w:cstheme="majorHAnsi"/>
          <w:sz w:val="24"/>
          <w:szCs w:val="24"/>
        </w:rPr>
        <w:t xml:space="preserve"> found in this excavation</w:t>
      </w:r>
      <w:r w:rsidR="009A0E03">
        <w:rPr>
          <w:rFonts w:ascii="Source Sans Pro" w:hAnsi="Source Sans Pro" w:cstheme="majorHAnsi"/>
          <w:sz w:val="24"/>
          <w:szCs w:val="24"/>
        </w:rPr>
        <w:t xml:space="preserve"> were</w:t>
      </w:r>
      <w:r w:rsidR="00012AFC">
        <w:rPr>
          <w:rFonts w:ascii="Source Sans Pro" w:hAnsi="Source Sans Pro" w:cstheme="majorHAnsi"/>
          <w:sz w:val="24"/>
          <w:szCs w:val="24"/>
        </w:rPr>
        <w:t xml:space="preserve"> </w:t>
      </w:r>
      <w:r w:rsidR="009A0E03">
        <w:rPr>
          <w:rFonts w:ascii="Source Sans Pro" w:hAnsi="Source Sans Pro" w:cstheme="majorHAnsi"/>
          <w:sz w:val="24"/>
          <w:szCs w:val="24"/>
        </w:rPr>
        <w:t xml:space="preserve">still gendered which </w:t>
      </w:r>
      <w:r w:rsidR="005A2849">
        <w:rPr>
          <w:rFonts w:ascii="Source Sans Pro" w:hAnsi="Source Sans Pro" w:cstheme="majorHAnsi"/>
          <w:sz w:val="24"/>
          <w:szCs w:val="24"/>
        </w:rPr>
        <w:t>infers a</w:t>
      </w:r>
      <w:r w:rsidR="009A0E03">
        <w:rPr>
          <w:rFonts w:ascii="Source Sans Pro" w:hAnsi="Source Sans Pro" w:cstheme="majorHAnsi"/>
          <w:sz w:val="24"/>
          <w:szCs w:val="24"/>
        </w:rPr>
        <w:t xml:space="preserve"> definite </w:t>
      </w:r>
      <w:r w:rsidR="00012AFC">
        <w:rPr>
          <w:rFonts w:ascii="Source Sans Pro" w:hAnsi="Source Sans Pro" w:cstheme="majorHAnsi"/>
          <w:sz w:val="24"/>
          <w:szCs w:val="24"/>
        </w:rPr>
        <w:t>differentiation of gender roles and activities</w:t>
      </w:r>
      <w:r w:rsidR="005A2849">
        <w:rPr>
          <w:rFonts w:ascii="Source Sans Pro" w:hAnsi="Source Sans Pro" w:cstheme="majorHAnsi"/>
          <w:sz w:val="24"/>
          <w:szCs w:val="24"/>
        </w:rPr>
        <w:t>, but not necessarily</w:t>
      </w:r>
      <w:r w:rsidR="00FF1C74">
        <w:rPr>
          <w:rFonts w:ascii="Source Sans Pro" w:hAnsi="Source Sans Pro" w:cstheme="majorHAnsi"/>
          <w:sz w:val="24"/>
          <w:szCs w:val="24"/>
        </w:rPr>
        <w:t xml:space="preserve"> of</w:t>
      </w:r>
      <w:r w:rsidR="005A2849">
        <w:rPr>
          <w:rFonts w:ascii="Source Sans Pro" w:hAnsi="Source Sans Pro" w:cstheme="majorHAnsi"/>
          <w:sz w:val="24"/>
          <w:szCs w:val="24"/>
        </w:rPr>
        <w:t xml:space="preserve"> value</w:t>
      </w:r>
      <w:r w:rsidR="00A127F3">
        <w:rPr>
          <w:rFonts w:ascii="Source Sans Pro" w:hAnsi="Source Sans Pro" w:cstheme="majorHAnsi"/>
          <w:sz w:val="24"/>
          <w:szCs w:val="24"/>
        </w:rPr>
        <w:t>.</w:t>
      </w:r>
      <w:r w:rsidR="00012AFC">
        <w:rPr>
          <w:rFonts w:ascii="Source Sans Pro" w:hAnsi="Source Sans Pro" w:cstheme="majorHAnsi"/>
          <w:sz w:val="24"/>
          <w:szCs w:val="24"/>
        </w:rPr>
        <w:t xml:space="preserve"> </w:t>
      </w:r>
      <w:r w:rsidR="00A127F3">
        <w:rPr>
          <w:rFonts w:ascii="Source Sans Pro" w:hAnsi="Source Sans Pro" w:cstheme="majorHAnsi"/>
          <w:sz w:val="24"/>
          <w:szCs w:val="24"/>
        </w:rPr>
        <w:t>T</w:t>
      </w:r>
      <w:r w:rsidR="00012AFC">
        <w:rPr>
          <w:rFonts w:ascii="Source Sans Pro" w:hAnsi="Source Sans Pro" w:cstheme="majorHAnsi"/>
          <w:sz w:val="24"/>
          <w:szCs w:val="24"/>
        </w:rPr>
        <w:t>h</w:t>
      </w:r>
      <w:r w:rsidR="00BA3705">
        <w:rPr>
          <w:rFonts w:ascii="Source Sans Pro" w:hAnsi="Source Sans Pro" w:cstheme="majorHAnsi"/>
          <w:sz w:val="24"/>
          <w:szCs w:val="24"/>
        </w:rPr>
        <w:t>is study, among others, implies that ageing and gender were closely interlinked and that the items which defined individuals were usually gendered, which must therefore reflect on how these people lived and the societies within which they were a part.</w:t>
      </w:r>
      <w:r w:rsidR="006259BE">
        <w:rPr>
          <w:rFonts w:ascii="Source Sans Pro" w:hAnsi="Source Sans Pro" w:cstheme="majorHAnsi"/>
          <w:sz w:val="24"/>
          <w:szCs w:val="24"/>
        </w:rPr>
        <w:t xml:space="preserve"> O</w:t>
      </w:r>
      <w:r w:rsidR="00C872D3">
        <w:rPr>
          <w:rFonts w:ascii="Source Sans Pro" w:hAnsi="Source Sans Pro" w:cstheme="majorHAnsi"/>
          <w:sz w:val="24"/>
          <w:szCs w:val="24"/>
        </w:rPr>
        <w:t>ur lack of knowledge and ability to understand the meaning of these anomalies also reveals our lack of knowledge and understanding in the area of gender in regard to the middle ages.</w:t>
      </w:r>
      <w:r w:rsidR="006259BE">
        <w:rPr>
          <w:rFonts w:ascii="Source Sans Pro" w:hAnsi="Source Sans Pro" w:cstheme="majorHAnsi"/>
          <w:sz w:val="24"/>
          <w:szCs w:val="24"/>
        </w:rPr>
        <w:t xml:space="preserve"> </w:t>
      </w:r>
    </w:p>
    <w:p w14:paraId="43ADD939" w14:textId="2BE9F9DD" w:rsidR="00340262" w:rsidRPr="006070D4" w:rsidRDefault="006259BE" w:rsidP="007C2D32">
      <w:pPr>
        <w:rPr>
          <w:rFonts w:ascii="Source Sans Pro" w:hAnsi="Source Sans Pro" w:cstheme="majorHAnsi"/>
          <w:sz w:val="24"/>
          <w:szCs w:val="24"/>
        </w:rPr>
      </w:pPr>
      <w:r>
        <w:rPr>
          <w:rFonts w:ascii="Source Sans Pro" w:hAnsi="Source Sans Pro" w:cstheme="majorHAnsi"/>
          <w:sz w:val="24"/>
          <w:szCs w:val="24"/>
        </w:rPr>
        <w:t>O</w:t>
      </w:r>
      <w:r w:rsidR="00F132CE">
        <w:rPr>
          <w:rFonts w:ascii="Source Sans Pro" w:hAnsi="Source Sans Pro" w:cstheme="majorHAnsi"/>
          <w:sz w:val="24"/>
          <w:szCs w:val="24"/>
        </w:rPr>
        <w:t>ne thing we can be entirely sure upon is that embroidery was seemingly an entirely female pastime, especially popular in the British Isles, and entirely necessary in a time with no central heating of insulation as well as beautiful in terms of the level of skill that was put in to them.</w:t>
      </w:r>
      <w:r w:rsidR="00F132CE">
        <w:rPr>
          <w:rStyle w:val="FootnoteReference"/>
          <w:rFonts w:ascii="Source Sans Pro" w:hAnsi="Source Sans Pro" w:cstheme="majorHAnsi"/>
          <w:sz w:val="24"/>
          <w:szCs w:val="24"/>
        </w:rPr>
        <w:footnoteReference w:id="56"/>
      </w:r>
      <w:r w:rsidR="00F132CE">
        <w:rPr>
          <w:rFonts w:ascii="Source Sans Pro" w:hAnsi="Source Sans Pro" w:cstheme="majorHAnsi"/>
          <w:sz w:val="24"/>
          <w:szCs w:val="24"/>
        </w:rPr>
        <w:t xml:space="preserve"> These works of art kept the homes warm, clothed the family, were used decoratively and also could tell stories and display wealth; all very functional uses which were valued and encouraged by their societies.</w:t>
      </w:r>
      <w:r>
        <w:rPr>
          <w:rFonts w:ascii="Source Sans Pro" w:hAnsi="Source Sans Pro" w:cstheme="majorHAnsi"/>
          <w:sz w:val="24"/>
          <w:szCs w:val="24"/>
        </w:rPr>
        <w:t xml:space="preserve"> It seems as though the difference between genders in early English societies was primarily due to the fact of biology that </w:t>
      </w:r>
      <w:r>
        <w:rPr>
          <w:rFonts w:ascii="Source Sans Pro" w:hAnsi="Source Sans Pro" w:cstheme="majorHAnsi"/>
          <w:sz w:val="24"/>
          <w:szCs w:val="24"/>
        </w:rPr>
        <w:lastRenderedPageBreak/>
        <w:t>women bear children, they can still fight and do most things that a man can but reproduction was, as always, a primary influencer to the issues which faced women (especially in warring societies where population declines rapidly at times), and wasting a woman’s life and expecting her to hunt and act as a man does can then diminish her likelihood to populate the village/town.</w:t>
      </w:r>
      <w:r>
        <w:rPr>
          <w:rStyle w:val="FootnoteReference"/>
          <w:rFonts w:ascii="Source Sans Pro" w:hAnsi="Source Sans Pro" w:cstheme="majorHAnsi"/>
          <w:sz w:val="24"/>
          <w:szCs w:val="24"/>
        </w:rPr>
        <w:footnoteReference w:id="57"/>
      </w:r>
      <w:r>
        <w:rPr>
          <w:rFonts w:ascii="Source Sans Pro" w:hAnsi="Source Sans Pro" w:cstheme="majorHAnsi"/>
          <w:sz w:val="24"/>
          <w:szCs w:val="24"/>
        </w:rPr>
        <w:t xml:space="preserve"> Even today the effects of bearing children influences certain inequalities between genders, men get less maternity leave, women have less time for their careers, men are often expected to be the breadwinner, women are more likely to do more unpaid work in the home. Each generation has different inequalities, but that does not mean that humanity sees each other</w:t>
      </w:r>
      <w:r w:rsidR="00706B09">
        <w:rPr>
          <w:rFonts w:ascii="Source Sans Pro" w:hAnsi="Source Sans Pro" w:cstheme="majorHAnsi"/>
          <w:sz w:val="24"/>
          <w:szCs w:val="24"/>
        </w:rPr>
        <w:t xml:space="preserve"> as lesser beings because of there are differences between the sexes</w:t>
      </w:r>
      <w:r>
        <w:rPr>
          <w:rFonts w:ascii="Source Sans Pro" w:hAnsi="Source Sans Pro" w:cstheme="majorHAnsi"/>
          <w:sz w:val="24"/>
          <w:szCs w:val="24"/>
        </w:rPr>
        <w:t>.</w:t>
      </w:r>
      <w:r w:rsidR="0006543B">
        <w:rPr>
          <w:rFonts w:ascii="Source Sans Pro" w:hAnsi="Source Sans Pro" w:cstheme="majorHAnsi"/>
          <w:sz w:val="24"/>
          <w:szCs w:val="24"/>
        </w:rPr>
        <w:t xml:space="preserve"> In the times of </w:t>
      </w:r>
      <w:r w:rsidR="0006543B">
        <w:rPr>
          <w:rFonts w:ascii="Source Sans Pro" w:hAnsi="Source Sans Pro" w:cstheme="majorHAnsi"/>
          <w:i/>
          <w:sz w:val="24"/>
          <w:szCs w:val="24"/>
        </w:rPr>
        <w:t xml:space="preserve">Beowulf </w:t>
      </w:r>
      <w:r w:rsidR="0006543B">
        <w:rPr>
          <w:rFonts w:ascii="Source Sans Pro" w:hAnsi="Source Sans Pro" w:cstheme="majorHAnsi"/>
          <w:sz w:val="24"/>
          <w:szCs w:val="24"/>
        </w:rPr>
        <w:t>this seems to be the case too, as there was ‘apparently no sense of resentment or contempt on either side,’ just a different division of labour and expectations.</w:t>
      </w:r>
      <w:r w:rsidR="0006543B">
        <w:rPr>
          <w:rStyle w:val="FootnoteReference"/>
          <w:rFonts w:ascii="Source Sans Pro" w:hAnsi="Source Sans Pro" w:cstheme="majorHAnsi"/>
          <w:sz w:val="24"/>
          <w:szCs w:val="24"/>
        </w:rPr>
        <w:footnoteReference w:id="58"/>
      </w:r>
      <w:r w:rsidR="006070D4">
        <w:rPr>
          <w:rFonts w:ascii="Source Sans Pro" w:hAnsi="Source Sans Pro" w:cstheme="majorHAnsi"/>
          <w:sz w:val="24"/>
          <w:szCs w:val="24"/>
        </w:rPr>
        <w:t xml:space="preserve"> Regardless of wheth</w:t>
      </w:r>
      <w:r w:rsidR="00B639A5">
        <w:rPr>
          <w:rFonts w:ascii="Source Sans Pro" w:hAnsi="Source Sans Pro" w:cstheme="majorHAnsi"/>
          <w:sz w:val="24"/>
          <w:szCs w:val="24"/>
        </w:rPr>
        <w:t>er</w:t>
      </w:r>
      <w:r w:rsidR="00706B09">
        <w:rPr>
          <w:rFonts w:ascii="Source Sans Pro" w:hAnsi="Source Sans Pro" w:cstheme="majorHAnsi"/>
          <w:sz w:val="24"/>
          <w:szCs w:val="24"/>
        </w:rPr>
        <w:t xml:space="preserve"> there</w:t>
      </w:r>
      <w:r w:rsidR="00B639A5">
        <w:rPr>
          <w:rFonts w:ascii="Source Sans Pro" w:hAnsi="Source Sans Pro" w:cstheme="majorHAnsi"/>
          <w:sz w:val="24"/>
          <w:szCs w:val="24"/>
        </w:rPr>
        <w:t xml:space="preserve"> seemed to be any contempt</w:t>
      </w:r>
      <w:r w:rsidR="006070D4">
        <w:rPr>
          <w:rFonts w:ascii="Source Sans Pro" w:hAnsi="Source Sans Pro" w:cstheme="majorHAnsi"/>
          <w:sz w:val="24"/>
          <w:szCs w:val="24"/>
        </w:rPr>
        <w:t xml:space="preserve"> between the genders or not, there was definitely a power dynamic involved, and males were seen as superior under Christianity, though how wide-spread the gendered-views of Christianity were at the point of time in which </w:t>
      </w:r>
      <w:r w:rsidR="006070D4">
        <w:rPr>
          <w:rFonts w:ascii="Source Sans Pro" w:hAnsi="Source Sans Pro" w:cstheme="majorHAnsi"/>
          <w:i/>
          <w:sz w:val="24"/>
          <w:szCs w:val="24"/>
        </w:rPr>
        <w:t xml:space="preserve">Beowulf </w:t>
      </w:r>
      <w:r w:rsidR="006070D4">
        <w:rPr>
          <w:rFonts w:ascii="Source Sans Pro" w:hAnsi="Source Sans Pro" w:cstheme="majorHAnsi"/>
          <w:sz w:val="24"/>
          <w:szCs w:val="24"/>
        </w:rPr>
        <w:t>was written is difficult to determine</w:t>
      </w:r>
      <w:r w:rsidR="00B639A5">
        <w:rPr>
          <w:rFonts w:ascii="Source Sans Pro" w:hAnsi="Source Sans Pro" w:cstheme="majorHAnsi"/>
          <w:sz w:val="24"/>
          <w:szCs w:val="24"/>
        </w:rPr>
        <w:t>.</w:t>
      </w:r>
      <w:r w:rsidR="0058500E">
        <w:rPr>
          <w:rFonts w:ascii="Source Sans Pro" w:hAnsi="Source Sans Pro" w:cstheme="majorHAnsi"/>
          <w:sz w:val="24"/>
          <w:szCs w:val="24"/>
        </w:rPr>
        <w:t xml:space="preserve"> The views spread by Christianity were loosely-based on interpretations of classical writers and included the theory of Plato’s wondering uterus, Philo’s soul-body theory and other theories generally based on a misunderstanding of anatomy.</w:t>
      </w:r>
      <w:r w:rsidR="0058500E">
        <w:rPr>
          <w:rStyle w:val="FootnoteReference"/>
          <w:rFonts w:ascii="Source Sans Pro" w:hAnsi="Source Sans Pro" w:cstheme="majorHAnsi"/>
          <w:sz w:val="24"/>
          <w:szCs w:val="24"/>
        </w:rPr>
        <w:footnoteReference w:id="59"/>
      </w:r>
      <w:r w:rsidR="00B639A5">
        <w:rPr>
          <w:rFonts w:ascii="Source Sans Pro" w:hAnsi="Source Sans Pro" w:cstheme="majorHAnsi"/>
          <w:sz w:val="24"/>
          <w:szCs w:val="24"/>
        </w:rPr>
        <w:t xml:space="preserve"> One can say with relative surety that it had become common to </w:t>
      </w:r>
      <w:r w:rsidR="00B639A5" w:rsidRPr="00B639A5">
        <w:rPr>
          <w:rFonts w:cstheme="minorHAnsi"/>
          <w:sz w:val="24"/>
          <w:szCs w:val="24"/>
        </w:rPr>
        <w:t>associate a man as superior post 1050</w:t>
      </w:r>
      <w:r w:rsidR="00DF0C53">
        <w:rPr>
          <w:rFonts w:cstheme="minorHAnsi"/>
          <w:sz w:val="24"/>
          <w:szCs w:val="24"/>
        </w:rPr>
        <w:t xml:space="preserve"> AD</w:t>
      </w:r>
      <w:r w:rsidR="00B639A5" w:rsidRPr="00B639A5">
        <w:rPr>
          <w:rFonts w:cstheme="minorHAnsi"/>
          <w:sz w:val="24"/>
          <w:szCs w:val="24"/>
        </w:rPr>
        <w:t xml:space="preserve"> and</w:t>
      </w:r>
      <w:r w:rsidR="00F46986">
        <w:rPr>
          <w:rFonts w:cstheme="minorHAnsi"/>
          <w:sz w:val="24"/>
          <w:szCs w:val="24"/>
        </w:rPr>
        <w:t xml:space="preserve"> most likely</w:t>
      </w:r>
      <w:r w:rsidR="00B639A5" w:rsidRPr="00B639A5">
        <w:rPr>
          <w:rFonts w:cstheme="minorHAnsi"/>
          <w:sz w:val="24"/>
          <w:szCs w:val="24"/>
        </w:rPr>
        <w:t xml:space="preserve"> sometime previous to that; to have an idea so </w:t>
      </w:r>
      <w:r w:rsidR="00B639A5" w:rsidRPr="00B639A5">
        <w:rPr>
          <w:rFonts w:cstheme="minorHAnsi"/>
          <w:sz w:val="24"/>
          <w:szCs w:val="24"/>
        </w:rPr>
        <w:lastRenderedPageBreak/>
        <w:t xml:space="preserve">firmly ingrained within common thought </w:t>
      </w:r>
      <w:r w:rsidR="00B639A5">
        <w:rPr>
          <w:rFonts w:cstheme="minorHAnsi"/>
          <w:sz w:val="24"/>
          <w:szCs w:val="24"/>
        </w:rPr>
        <w:t>required</w:t>
      </w:r>
      <w:r w:rsidR="00B639A5" w:rsidRPr="00B639A5">
        <w:rPr>
          <w:rFonts w:cstheme="minorHAnsi"/>
          <w:sz w:val="24"/>
          <w:szCs w:val="24"/>
        </w:rPr>
        <w:t xml:space="preserve"> </w:t>
      </w:r>
      <w:r w:rsidR="00B639A5">
        <w:rPr>
          <w:rFonts w:cstheme="minorHAnsi"/>
          <w:sz w:val="24"/>
          <w:szCs w:val="24"/>
        </w:rPr>
        <w:t>'</w:t>
      </w:r>
      <w:r w:rsidR="00B639A5" w:rsidRPr="00B639A5">
        <w:rPr>
          <w:rFonts w:cstheme="minorHAnsi"/>
          <w:sz w:val="24"/>
          <w:szCs w:val="24"/>
        </w:rPr>
        <w:t>strong social support to maintain fictions of superiority based solely on a measure of physical strength</w:t>
      </w:r>
      <w:r w:rsidR="00B639A5">
        <w:rPr>
          <w:rFonts w:cstheme="minorHAnsi"/>
          <w:sz w:val="24"/>
          <w:szCs w:val="24"/>
        </w:rPr>
        <w:t>.</w:t>
      </w:r>
      <w:r w:rsidR="00B639A5" w:rsidRPr="00B639A5">
        <w:rPr>
          <w:rFonts w:cstheme="minorHAnsi"/>
          <w:sz w:val="24"/>
          <w:szCs w:val="24"/>
        </w:rPr>
        <w:t>’</w:t>
      </w:r>
      <w:r w:rsidR="00B639A5" w:rsidRPr="00B639A5">
        <w:rPr>
          <w:rStyle w:val="FootnoteReference"/>
          <w:rFonts w:cstheme="minorHAnsi"/>
          <w:sz w:val="24"/>
          <w:szCs w:val="24"/>
        </w:rPr>
        <w:footnoteReference w:id="60"/>
      </w:r>
      <w:r w:rsidR="006070D4">
        <w:rPr>
          <w:rFonts w:ascii="Source Sans Pro" w:hAnsi="Source Sans Pro" w:cstheme="majorHAnsi"/>
          <w:sz w:val="24"/>
          <w:szCs w:val="24"/>
        </w:rPr>
        <w:t xml:space="preserve"> </w:t>
      </w:r>
    </w:p>
    <w:p w14:paraId="72CD3F58" w14:textId="0E85EE6C" w:rsidR="002D75CE" w:rsidRDefault="00340262" w:rsidP="009A0E03">
      <w:pPr>
        <w:rPr>
          <w:rFonts w:ascii="Source Sans Pro" w:hAnsi="Source Sans Pro" w:cstheme="majorHAnsi"/>
          <w:sz w:val="24"/>
          <w:szCs w:val="24"/>
        </w:rPr>
      </w:pPr>
      <w:r>
        <w:rPr>
          <w:rFonts w:ascii="Source Sans Pro" w:hAnsi="Source Sans Pro" w:cstheme="majorHAnsi"/>
          <w:sz w:val="24"/>
          <w:szCs w:val="24"/>
        </w:rPr>
        <w:t>M</w:t>
      </w:r>
      <w:r w:rsidR="00F009F4">
        <w:rPr>
          <w:rFonts w:ascii="Source Sans Pro" w:hAnsi="Source Sans Pro" w:cstheme="majorHAnsi"/>
          <w:sz w:val="24"/>
          <w:szCs w:val="24"/>
        </w:rPr>
        <w:t>ales in</w:t>
      </w:r>
      <w:r w:rsidR="0006543B">
        <w:rPr>
          <w:rFonts w:ascii="Source Sans Pro" w:hAnsi="Source Sans Pro" w:cstheme="majorHAnsi"/>
          <w:sz w:val="24"/>
          <w:szCs w:val="24"/>
        </w:rPr>
        <w:t xml:space="preserve"> Anglo-Saxon societies </w:t>
      </w:r>
      <w:r w:rsidR="00427075">
        <w:rPr>
          <w:rFonts w:ascii="Source Sans Pro" w:hAnsi="Source Sans Pro" w:cstheme="majorHAnsi"/>
          <w:sz w:val="24"/>
          <w:szCs w:val="24"/>
        </w:rPr>
        <w:t>had</w:t>
      </w:r>
      <w:r w:rsidR="00F009F4">
        <w:rPr>
          <w:rFonts w:ascii="Source Sans Pro" w:hAnsi="Source Sans Pro" w:cstheme="majorHAnsi"/>
          <w:sz w:val="24"/>
          <w:szCs w:val="24"/>
        </w:rPr>
        <w:t xml:space="preserve"> more rigid</w:t>
      </w:r>
      <w:r w:rsidR="00C872D3">
        <w:rPr>
          <w:rFonts w:ascii="Source Sans Pro" w:hAnsi="Source Sans Pro" w:cstheme="majorHAnsi"/>
          <w:sz w:val="24"/>
          <w:szCs w:val="24"/>
        </w:rPr>
        <w:t xml:space="preserve"> and documented</w:t>
      </w:r>
      <w:r w:rsidR="00F009F4">
        <w:rPr>
          <w:rFonts w:ascii="Source Sans Pro" w:hAnsi="Source Sans Pro" w:cstheme="majorHAnsi"/>
          <w:sz w:val="24"/>
          <w:szCs w:val="24"/>
        </w:rPr>
        <w:t xml:space="preserve"> expectations</w:t>
      </w:r>
      <w:r w:rsidR="00427075">
        <w:rPr>
          <w:rFonts w:ascii="Source Sans Pro" w:hAnsi="Source Sans Pro" w:cstheme="majorHAnsi"/>
          <w:sz w:val="24"/>
          <w:szCs w:val="24"/>
        </w:rPr>
        <w:t xml:space="preserve"> of them, </w:t>
      </w:r>
      <w:r w:rsidR="0006543B">
        <w:rPr>
          <w:rFonts w:ascii="Source Sans Pro" w:hAnsi="Source Sans Pro" w:cstheme="majorHAnsi"/>
          <w:sz w:val="24"/>
          <w:szCs w:val="24"/>
        </w:rPr>
        <w:t>this may be due to our lack of knowledge on the expectations of the females since they are less documented or obvious</w:t>
      </w:r>
      <w:r w:rsidR="00427075">
        <w:rPr>
          <w:rFonts w:ascii="Source Sans Pro" w:hAnsi="Source Sans Pro" w:cstheme="majorHAnsi"/>
          <w:sz w:val="24"/>
          <w:szCs w:val="24"/>
        </w:rPr>
        <w:t xml:space="preserve"> and it also seemed less serious if a female were to act masculine than the opposite</w:t>
      </w:r>
      <w:r w:rsidR="00F50EC1">
        <w:rPr>
          <w:rFonts w:ascii="Source Sans Pro" w:hAnsi="Source Sans Pro" w:cstheme="majorHAnsi"/>
          <w:sz w:val="24"/>
          <w:szCs w:val="24"/>
        </w:rPr>
        <w:t>.</w:t>
      </w:r>
      <w:r w:rsidR="00726CBA">
        <w:rPr>
          <w:rFonts w:ascii="Source Sans Pro" w:hAnsi="Source Sans Pro" w:cstheme="majorHAnsi"/>
          <w:sz w:val="24"/>
          <w:szCs w:val="24"/>
        </w:rPr>
        <w:t xml:space="preserve"> </w:t>
      </w:r>
      <w:r w:rsidR="00F16700">
        <w:rPr>
          <w:rFonts w:ascii="Source Sans Pro" w:hAnsi="Source Sans Pro" w:cstheme="majorHAnsi"/>
          <w:sz w:val="24"/>
          <w:szCs w:val="24"/>
        </w:rPr>
        <w:t>The hegemonic ideal for males at the time would have looked something like a man who is physically strong,</w:t>
      </w:r>
      <w:r w:rsidR="00DD33DD">
        <w:rPr>
          <w:rFonts w:ascii="Source Sans Pro" w:hAnsi="Source Sans Pro" w:cstheme="majorHAnsi"/>
          <w:sz w:val="24"/>
          <w:szCs w:val="24"/>
        </w:rPr>
        <w:t xml:space="preserve"> good with words,</w:t>
      </w:r>
      <w:r w:rsidR="00F16700">
        <w:rPr>
          <w:rFonts w:ascii="Source Sans Pro" w:hAnsi="Source Sans Pro" w:cstheme="majorHAnsi"/>
          <w:sz w:val="24"/>
          <w:szCs w:val="24"/>
        </w:rPr>
        <w:t xml:space="preserve"> who sires heirs and provides for his family</w:t>
      </w:r>
      <w:r w:rsidR="00B45718">
        <w:rPr>
          <w:rFonts w:ascii="Source Sans Pro" w:hAnsi="Source Sans Pro" w:cstheme="majorHAnsi"/>
          <w:sz w:val="24"/>
          <w:szCs w:val="24"/>
        </w:rPr>
        <w:t>, who is loyal and can fight well</w:t>
      </w:r>
      <w:r w:rsidR="00427075">
        <w:rPr>
          <w:rFonts w:ascii="Source Sans Pro" w:hAnsi="Source Sans Pro" w:cstheme="majorHAnsi"/>
          <w:sz w:val="24"/>
          <w:szCs w:val="24"/>
        </w:rPr>
        <w:t>, who was stern and not fickle</w:t>
      </w:r>
      <w:r w:rsidR="00F16700">
        <w:rPr>
          <w:rFonts w:ascii="Source Sans Pro" w:hAnsi="Source Sans Pro" w:cstheme="majorHAnsi"/>
          <w:sz w:val="24"/>
          <w:szCs w:val="24"/>
        </w:rPr>
        <w:t xml:space="preserve">; </w:t>
      </w:r>
      <w:r w:rsidR="00706B09">
        <w:rPr>
          <w:rFonts w:ascii="Source Sans Pro" w:hAnsi="Source Sans Pro" w:cstheme="majorHAnsi"/>
          <w:sz w:val="24"/>
          <w:szCs w:val="24"/>
        </w:rPr>
        <w:t xml:space="preserve">for </w:t>
      </w:r>
      <w:r w:rsidR="00F16700">
        <w:rPr>
          <w:rFonts w:ascii="Source Sans Pro" w:hAnsi="Source Sans Pro" w:cstheme="majorHAnsi"/>
          <w:sz w:val="24"/>
          <w:szCs w:val="24"/>
        </w:rPr>
        <w:t xml:space="preserve">a man who didn’t </w:t>
      </w:r>
      <w:r w:rsidR="00B45718">
        <w:rPr>
          <w:rFonts w:ascii="Source Sans Pro" w:hAnsi="Source Sans Pro" w:cstheme="majorHAnsi"/>
          <w:sz w:val="24"/>
          <w:szCs w:val="24"/>
        </w:rPr>
        <w:t>meet these ideals</w:t>
      </w:r>
      <w:r w:rsidR="00706B09">
        <w:rPr>
          <w:rFonts w:ascii="Source Sans Pro" w:hAnsi="Source Sans Pro" w:cstheme="majorHAnsi"/>
          <w:sz w:val="24"/>
          <w:szCs w:val="24"/>
        </w:rPr>
        <w:t>,</w:t>
      </w:r>
      <w:r w:rsidR="00F16700">
        <w:rPr>
          <w:rFonts w:ascii="Source Sans Pro" w:hAnsi="Source Sans Pro" w:cstheme="majorHAnsi"/>
          <w:sz w:val="24"/>
          <w:szCs w:val="24"/>
        </w:rPr>
        <w:t xml:space="preserve"> </w:t>
      </w:r>
      <w:r w:rsidR="00706B09">
        <w:rPr>
          <w:rFonts w:ascii="Source Sans Pro" w:hAnsi="Source Sans Pro" w:cstheme="majorHAnsi"/>
          <w:sz w:val="24"/>
          <w:szCs w:val="24"/>
        </w:rPr>
        <w:t xml:space="preserve">their </w:t>
      </w:r>
      <w:r w:rsidR="00F16700">
        <w:rPr>
          <w:rFonts w:ascii="Source Sans Pro" w:hAnsi="Source Sans Pro" w:cstheme="majorHAnsi"/>
          <w:sz w:val="24"/>
          <w:szCs w:val="24"/>
        </w:rPr>
        <w:t xml:space="preserve">masculinity </w:t>
      </w:r>
      <w:r w:rsidR="00706B09">
        <w:rPr>
          <w:rFonts w:ascii="Source Sans Pro" w:hAnsi="Source Sans Pro" w:cstheme="majorHAnsi"/>
          <w:sz w:val="24"/>
          <w:szCs w:val="24"/>
        </w:rPr>
        <w:t>would not be well</w:t>
      </w:r>
      <w:r w:rsidR="00F16700">
        <w:rPr>
          <w:rFonts w:ascii="Source Sans Pro" w:hAnsi="Source Sans Pro" w:cstheme="majorHAnsi"/>
          <w:sz w:val="24"/>
          <w:szCs w:val="24"/>
        </w:rPr>
        <w:t xml:space="preserve"> received within wider society.</w:t>
      </w:r>
      <w:r w:rsidR="00F16700">
        <w:rPr>
          <w:rStyle w:val="FootnoteReference"/>
          <w:rFonts w:ascii="Source Sans Pro" w:hAnsi="Source Sans Pro" w:cstheme="majorHAnsi"/>
          <w:sz w:val="24"/>
          <w:szCs w:val="24"/>
        </w:rPr>
        <w:footnoteReference w:id="61"/>
      </w:r>
      <w:r w:rsidR="002D6286">
        <w:rPr>
          <w:rFonts w:ascii="Source Sans Pro" w:hAnsi="Source Sans Pro" w:cstheme="majorHAnsi"/>
          <w:sz w:val="24"/>
          <w:szCs w:val="24"/>
        </w:rPr>
        <w:t xml:space="preserve"> This performance of masculinity however was an on-going display which</w:t>
      </w:r>
      <w:r w:rsidR="00427075">
        <w:rPr>
          <w:rFonts w:ascii="Source Sans Pro" w:hAnsi="Source Sans Pro" w:cstheme="majorHAnsi"/>
          <w:sz w:val="24"/>
          <w:szCs w:val="24"/>
        </w:rPr>
        <w:t xml:space="preserve"> was likely</w:t>
      </w:r>
      <w:r w:rsidR="002D6286">
        <w:rPr>
          <w:rFonts w:ascii="Source Sans Pro" w:hAnsi="Source Sans Pro" w:cstheme="majorHAnsi"/>
          <w:sz w:val="24"/>
          <w:szCs w:val="24"/>
        </w:rPr>
        <w:t xml:space="preserve"> required to always be on the forefront of any male mind.</w:t>
      </w:r>
      <w:r w:rsidR="002D6286">
        <w:rPr>
          <w:rStyle w:val="FootnoteReference"/>
          <w:rFonts w:ascii="Source Sans Pro" w:hAnsi="Source Sans Pro" w:cstheme="majorHAnsi"/>
          <w:sz w:val="24"/>
          <w:szCs w:val="24"/>
        </w:rPr>
        <w:footnoteReference w:id="62"/>
      </w:r>
      <w:r w:rsidR="007F0F33">
        <w:rPr>
          <w:rFonts w:ascii="Source Sans Pro" w:hAnsi="Source Sans Pro" w:cstheme="majorHAnsi"/>
          <w:sz w:val="24"/>
          <w:szCs w:val="24"/>
        </w:rPr>
        <w:t xml:space="preserve"> </w:t>
      </w:r>
    </w:p>
    <w:p w14:paraId="1F015C1F" w14:textId="77777777" w:rsidR="00217E6E" w:rsidRDefault="007F0F33" w:rsidP="009A0E03">
      <w:pPr>
        <w:rPr>
          <w:rFonts w:ascii="Source Sans Pro" w:hAnsi="Source Sans Pro" w:cstheme="majorHAnsi"/>
          <w:sz w:val="24"/>
          <w:szCs w:val="24"/>
        </w:rPr>
      </w:pPr>
      <w:r>
        <w:rPr>
          <w:rFonts w:ascii="Source Sans Pro" w:hAnsi="Source Sans Pro" w:cstheme="majorHAnsi"/>
          <w:sz w:val="24"/>
          <w:szCs w:val="24"/>
        </w:rPr>
        <w:t xml:space="preserve">It was well-known in Christian circles that to dress as the opposite gender was </w:t>
      </w:r>
      <w:r w:rsidR="00E947EF">
        <w:rPr>
          <w:rFonts w:ascii="Source Sans Pro" w:hAnsi="Source Sans Pro" w:cstheme="majorHAnsi"/>
          <w:sz w:val="24"/>
          <w:szCs w:val="24"/>
        </w:rPr>
        <w:t>unacceptable</w:t>
      </w:r>
      <w:r>
        <w:rPr>
          <w:rFonts w:ascii="Source Sans Pro" w:hAnsi="Source Sans Pro" w:cstheme="majorHAnsi"/>
          <w:sz w:val="24"/>
          <w:szCs w:val="24"/>
        </w:rPr>
        <w:t xml:space="preserve"> but the issue of cross-dressing has always been more shameful if </w:t>
      </w:r>
      <w:r w:rsidR="006556C7">
        <w:rPr>
          <w:rFonts w:ascii="Source Sans Pro" w:hAnsi="Source Sans Pro" w:cstheme="majorHAnsi"/>
          <w:sz w:val="24"/>
          <w:szCs w:val="24"/>
        </w:rPr>
        <w:t>a man was doing so than a woman;</w:t>
      </w:r>
      <w:r>
        <w:rPr>
          <w:rStyle w:val="FootnoteReference"/>
          <w:rFonts w:ascii="Source Sans Pro" w:hAnsi="Source Sans Pro" w:cstheme="majorHAnsi"/>
          <w:sz w:val="24"/>
          <w:szCs w:val="24"/>
        </w:rPr>
        <w:footnoteReference w:id="63"/>
      </w:r>
      <w:r w:rsidR="006556C7">
        <w:rPr>
          <w:rFonts w:ascii="Source Sans Pro" w:hAnsi="Source Sans Pro" w:cstheme="majorHAnsi"/>
          <w:sz w:val="24"/>
          <w:szCs w:val="24"/>
        </w:rPr>
        <w:t xml:space="preserve"> who were less frowned upon if they</w:t>
      </w:r>
      <w:r w:rsidR="00E947EF">
        <w:rPr>
          <w:rFonts w:ascii="Source Sans Pro" w:hAnsi="Source Sans Pro" w:cstheme="majorHAnsi"/>
          <w:sz w:val="24"/>
          <w:szCs w:val="24"/>
        </w:rPr>
        <w:t xml:space="preserve"> subverted gender roles. There were situations when a man would be allowed to act feminine, but these were very context-specific and often only acceptable in realms where they were acting as a replacement for a woman (such as an actor), and often carried out by youths ‘perhaps </w:t>
      </w:r>
      <w:r w:rsidR="00E947EF" w:rsidRPr="00B80FE4">
        <w:rPr>
          <w:rFonts w:cstheme="minorHAnsi"/>
          <w:sz w:val="24"/>
          <w:szCs w:val="24"/>
        </w:rPr>
        <w:lastRenderedPageBreak/>
        <w:t xml:space="preserve">emphasising that the boys were not yet </w:t>
      </w:r>
      <w:r w:rsidR="006556C7">
        <w:rPr>
          <w:rFonts w:cstheme="minorHAnsi"/>
          <w:sz w:val="24"/>
          <w:szCs w:val="24"/>
        </w:rPr>
        <w:t>men,</w:t>
      </w:r>
      <w:r w:rsidR="00E947EF" w:rsidRPr="00B80FE4">
        <w:rPr>
          <w:rFonts w:cstheme="minorHAnsi"/>
          <w:sz w:val="24"/>
          <w:szCs w:val="24"/>
        </w:rPr>
        <w:t>’</w:t>
      </w:r>
      <w:r w:rsidR="006556C7" w:rsidRPr="006556C7">
        <w:rPr>
          <w:rFonts w:ascii="Source Sans Pro" w:hAnsi="Source Sans Pro" w:cstheme="majorHAnsi"/>
          <w:sz w:val="24"/>
          <w:szCs w:val="24"/>
        </w:rPr>
        <w:t xml:space="preserve"> </w:t>
      </w:r>
      <w:r w:rsidR="006556C7">
        <w:rPr>
          <w:rFonts w:ascii="Source Sans Pro" w:hAnsi="Source Sans Pro" w:cstheme="majorHAnsi"/>
          <w:sz w:val="24"/>
          <w:szCs w:val="24"/>
        </w:rPr>
        <w:t xml:space="preserve">but also sometimes by men at festivals. </w:t>
      </w:r>
      <w:r w:rsidR="00E947EF" w:rsidRPr="00B80FE4">
        <w:rPr>
          <w:rStyle w:val="FootnoteReference"/>
          <w:rFonts w:cstheme="minorHAnsi"/>
          <w:sz w:val="24"/>
          <w:szCs w:val="24"/>
        </w:rPr>
        <w:footnoteReference w:id="64"/>
      </w:r>
      <w:r w:rsidR="00B80FE4">
        <w:rPr>
          <w:rFonts w:cstheme="minorHAnsi"/>
          <w:sz w:val="24"/>
          <w:szCs w:val="24"/>
        </w:rPr>
        <w:t xml:space="preserve"> </w:t>
      </w:r>
      <w:r w:rsidR="002D75CE">
        <w:rPr>
          <w:rFonts w:ascii="Source Sans Pro" w:hAnsi="Source Sans Pro" w:cstheme="majorHAnsi"/>
          <w:sz w:val="24"/>
          <w:szCs w:val="24"/>
        </w:rPr>
        <w:t>Not only did a male always need to be hyper-aware of displaying his masculinity, he also had to ensure that he was pleasing his woman in bed, and display his masculinity through producing sons and daughters which looked more alike to him than to their mother.</w:t>
      </w:r>
      <w:r w:rsidR="002D75CE">
        <w:rPr>
          <w:rStyle w:val="FootnoteReference"/>
          <w:rFonts w:ascii="Source Sans Pro" w:hAnsi="Source Sans Pro" w:cstheme="majorHAnsi"/>
          <w:sz w:val="24"/>
          <w:szCs w:val="24"/>
        </w:rPr>
        <w:footnoteReference w:id="65"/>
      </w:r>
      <w:r w:rsidR="002D75CE">
        <w:rPr>
          <w:rFonts w:ascii="Source Sans Pro" w:hAnsi="Source Sans Pro" w:cstheme="majorHAnsi"/>
          <w:sz w:val="24"/>
          <w:szCs w:val="24"/>
        </w:rPr>
        <w:t xml:space="preserve"> If he did not produce children it was generally considered that he was impotent; since masculinity was very much connected to the biology of being male and his sexual organs, to be impotent was considered a failed man, or ‘melancholic.’</w:t>
      </w:r>
      <w:r w:rsidR="002D75CE">
        <w:rPr>
          <w:rStyle w:val="FootnoteReference"/>
          <w:rFonts w:ascii="Source Sans Pro" w:hAnsi="Source Sans Pro" w:cstheme="majorHAnsi"/>
          <w:sz w:val="24"/>
          <w:szCs w:val="24"/>
        </w:rPr>
        <w:footnoteReference w:id="66"/>
      </w:r>
      <w:r w:rsidR="002D75CE">
        <w:rPr>
          <w:rFonts w:ascii="Source Sans Pro" w:hAnsi="Source Sans Pro" w:cstheme="majorHAnsi"/>
          <w:sz w:val="24"/>
          <w:szCs w:val="24"/>
        </w:rPr>
        <w:t xml:space="preserve"> It must have been interesting for a Medieval poet then to consider that Beowulf, the almost ideal masculine man, does not seem to have any interactions with women and nor does he sire any children. </w:t>
      </w:r>
      <w:r w:rsidR="00976AC8">
        <w:rPr>
          <w:rFonts w:ascii="Source Sans Pro" w:hAnsi="Source Sans Pro" w:cstheme="majorHAnsi"/>
          <w:sz w:val="24"/>
          <w:szCs w:val="24"/>
        </w:rPr>
        <w:t>However, as Earl puts it, ‘the idealisation of the hero, which frees him from criticism, is accompanied by self-criticism among his followers- and the audience.’</w:t>
      </w:r>
      <w:r w:rsidR="00976AC8">
        <w:rPr>
          <w:rStyle w:val="FootnoteReference"/>
          <w:rFonts w:ascii="Source Sans Pro" w:hAnsi="Source Sans Pro" w:cstheme="majorHAnsi"/>
          <w:sz w:val="24"/>
          <w:szCs w:val="24"/>
        </w:rPr>
        <w:footnoteReference w:id="67"/>
      </w:r>
      <w:r w:rsidR="00976AC8">
        <w:rPr>
          <w:rFonts w:ascii="Source Sans Pro" w:hAnsi="Source Sans Pro" w:cstheme="majorHAnsi"/>
          <w:sz w:val="24"/>
          <w:szCs w:val="24"/>
        </w:rPr>
        <w:t xml:space="preserve"> </w:t>
      </w:r>
    </w:p>
    <w:p w14:paraId="2BF5894C" w14:textId="52461549" w:rsidR="00AC2851" w:rsidRDefault="00976AC8" w:rsidP="009A0E03">
      <w:pPr>
        <w:rPr>
          <w:rFonts w:ascii="Source Sans Pro" w:hAnsi="Source Sans Pro" w:cstheme="majorHAnsi"/>
          <w:sz w:val="24"/>
          <w:szCs w:val="24"/>
        </w:rPr>
      </w:pPr>
      <w:r>
        <w:rPr>
          <w:rFonts w:ascii="Source Sans Pro" w:hAnsi="Source Sans Pro" w:cstheme="majorHAnsi"/>
          <w:sz w:val="24"/>
          <w:szCs w:val="24"/>
        </w:rPr>
        <w:t>When viewed upon with these lenses, by heroicising Beowulf, the author has made him immune to the criticism we often apply to other characters of similar traits, thereby mak</w:t>
      </w:r>
      <w:r w:rsidR="00AC2851">
        <w:rPr>
          <w:rFonts w:ascii="Source Sans Pro" w:hAnsi="Source Sans Pro" w:cstheme="majorHAnsi"/>
          <w:sz w:val="24"/>
          <w:szCs w:val="24"/>
        </w:rPr>
        <w:t>ing his masculinity untouchable, and making none of us question it. This makes one ponder if the masculinity of Beowulf is just an illusion, untouchable to criticism, and whe</w:t>
      </w:r>
      <w:r w:rsidR="00502A2F">
        <w:rPr>
          <w:rFonts w:ascii="Source Sans Pro" w:hAnsi="Source Sans Pro" w:cstheme="majorHAnsi"/>
          <w:sz w:val="24"/>
          <w:szCs w:val="24"/>
        </w:rPr>
        <w:t>ther it should be deconstructed.</w:t>
      </w:r>
      <w:r w:rsidR="00502A2F">
        <w:rPr>
          <w:rStyle w:val="FootnoteReference"/>
          <w:rFonts w:ascii="Source Sans Pro" w:hAnsi="Source Sans Pro" w:cstheme="majorHAnsi"/>
          <w:sz w:val="24"/>
          <w:szCs w:val="24"/>
        </w:rPr>
        <w:footnoteReference w:id="68"/>
      </w:r>
      <w:r w:rsidR="0017345A">
        <w:rPr>
          <w:rFonts w:ascii="Source Sans Pro" w:hAnsi="Source Sans Pro" w:cstheme="majorHAnsi"/>
          <w:sz w:val="24"/>
          <w:szCs w:val="24"/>
        </w:rPr>
        <w:t xml:space="preserve"> He has long been seen as the ideal male, strong and loyal as well as ticking most boxes on the list of Germanic hegemonic masculinity, but not all of them. He shows weakness, crying when leaving Daneland and grieving the loss of his </w:t>
      </w:r>
      <w:r w:rsidR="0017345A">
        <w:rPr>
          <w:rFonts w:ascii="Source Sans Pro" w:hAnsi="Source Sans Pro" w:cstheme="majorHAnsi"/>
          <w:sz w:val="24"/>
          <w:szCs w:val="24"/>
        </w:rPr>
        <w:lastRenderedPageBreak/>
        <w:t>friends, not attacking Grendel first and not siring children as a virile man should</w:t>
      </w:r>
      <w:r w:rsidR="00217E6E">
        <w:rPr>
          <w:rFonts w:ascii="Source Sans Pro" w:hAnsi="Source Sans Pro" w:cstheme="majorHAnsi"/>
          <w:sz w:val="24"/>
          <w:szCs w:val="24"/>
        </w:rPr>
        <w:t>, nor does he properly avenge the death of his kinsman Heardred</w:t>
      </w:r>
      <w:r w:rsidR="0017345A">
        <w:rPr>
          <w:rFonts w:ascii="Source Sans Pro" w:hAnsi="Source Sans Pro" w:cstheme="majorHAnsi"/>
          <w:sz w:val="24"/>
          <w:szCs w:val="24"/>
        </w:rPr>
        <w:t xml:space="preserve">. He protects and provides for the Geats whilst he lives, but does not secure their future before he dies. To consider Beowulf’s masculinity as entirely untouchable and idyllic in terms of the hegemonic ideals he was supposed to hold himself to would be a major misdealing of the text and a disregard for the critique of masculinity the </w:t>
      </w:r>
      <w:r w:rsidR="0017345A">
        <w:rPr>
          <w:rFonts w:ascii="Source Sans Pro" w:hAnsi="Source Sans Pro" w:cstheme="majorHAnsi"/>
          <w:i/>
          <w:sz w:val="24"/>
          <w:szCs w:val="24"/>
        </w:rPr>
        <w:t xml:space="preserve">Beowulf </w:t>
      </w:r>
      <w:r w:rsidR="0017345A">
        <w:rPr>
          <w:rFonts w:ascii="Source Sans Pro" w:hAnsi="Source Sans Pro" w:cstheme="majorHAnsi"/>
          <w:sz w:val="24"/>
          <w:szCs w:val="24"/>
        </w:rPr>
        <w:t>poet seems to have set out within his characters.</w:t>
      </w:r>
    </w:p>
    <w:p w14:paraId="6E69F78C" w14:textId="77777777" w:rsidR="00380C42" w:rsidRDefault="00380C42" w:rsidP="00561458">
      <w:pPr>
        <w:rPr>
          <w:rFonts w:ascii="Source Sans Pro" w:hAnsi="Source Sans Pro" w:cstheme="majorHAnsi"/>
          <w:b/>
          <w:bCs/>
          <w:sz w:val="24"/>
          <w:szCs w:val="24"/>
        </w:rPr>
      </w:pPr>
    </w:p>
    <w:p w14:paraId="724A977D" w14:textId="77777777" w:rsidR="00380C42" w:rsidRDefault="00380C42" w:rsidP="00561458">
      <w:pPr>
        <w:rPr>
          <w:rFonts w:ascii="Source Sans Pro" w:hAnsi="Source Sans Pro" w:cstheme="majorHAnsi"/>
          <w:b/>
          <w:bCs/>
          <w:sz w:val="24"/>
          <w:szCs w:val="24"/>
        </w:rPr>
      </w:pPr>
    </w:p>
    <w:p w14:paraId="32A28A53" w14:textId="77777777" w:rsidR="00380C42" w:rsidRDefault="00380C42" w:rsidP="00561458">
      <w:pPr>
        <w:rPr>
          <w:rFonts w:ascii="Source Sans Pro" w:hAnsi="Source Sans Pro" w:cstheme="majorHAnsi"/>
          <w:b/>
          <w:bCs/>
          <w:sz w:val="24"/>
          <w:szCs w:val="24"/>
        </w:rPr>
      </w:pPr>
    </w:p>
    <w:p w14:paraId="20A16BFE" w14:textId="77777777" w:rsidR="00380C42" w:rsidRDefault="00380C42" w:rsidP="00561458">
      <w:pPr>
        <w:rPr>
          <w:rFonts w:ascii="Source Sans Pro" w:hAnsi="Source Sans Pro" w:cstheme="majorHAnsi"/>
          <w:b/>
          <w:bCs/>
          <w:sz w:val="24"/>
          <w:szCs w:val="24"/>
        </w:rPr>
      </w:pPr>
    </w:p>
    <w:p w14:paraId="3677941B" w14:textId="77777777" w:rsidR="00C42F88" w:rsidRDefault="00C42F88" w:rsidP="00561458">
      <w:pPr>
        <w:rPr>
          <w:rFonts w:ascii="Source Sans Pro" w:hAnsi="Source Sans Pro" w:cstheme="majorHAnsi"/>
          <w:b/>
          <w:bCs/>
          <w:sz w:val="24"/>
          <w:szCs w:val="24"/>
        </w:rPr>
      </w:pPr>
    </w:p>
    <w:p w14:paraId="2479B33E" w14:textId="77777777" w:rsidR="00C42F88" w:rsidRDefault="00C42F88" w:rsidP="00561458">
      <w:pPr>
        <w:rPr>
          <w:rFonts w:ascii="Source Sans Pro" w:hAnsi="Source Sans Pro" w:cstheme="majorHAnsi"/>
          <w:b/>
          <w:bCs/>
          <w:sz w:val="24"/>
          <w:szCs w:val="24"/>
        </w:rPr>
      </w:pPr>
    </w:p>
    <w:p w14:paraId="112E8A39" w14:textId="386B5429" w:rsidR="0068480F" w:rsidRDefault="0068480F" w:rsidP="00561458">
      <w:pPr>
        <w:rPr>
          <w:rFonts w:ascii="Source Sans Pro" w:hAnsi="Source Sans Pro" w:cstheme="majorHAnsi"/>
          <w:b/>
          <w:bCs/>
          <w:sz w:val="24"/>
          <w:szCs w:val="24"/>
        </w:rPr>
      </w:pPr>
    </w:p>
    <w:p w14:paraId="088880F0" w14:textId="77777777" w:rsidR="00567001" w:rsidRDefault="00567001" w:rsidP="00561458">
      <w:pPr>
        <w:rPr>
          <w:rFonts w:ascii="Source Sans Pro" w:hAnsi="Source Sans Pro" w:cstheme="majorHAnsi"/>
          <w:b/>
          <w:bCs/>
          <w:sz w:val="24"/>
          <w:szCs w:val="24"/>
        </w:rPr>
      </w:pPr>
    </w:p>
    <w:p w14:paraId="503FE253" w14:textId="4828F38A" w:rsidR="0068480F" w:rsidRDefault="0068480F" w:rsidP="00561458">
      <w:pPr>
        <w:rPr>
          <w:rFonts w:ascii="Source Sans Pro" w:hAnsi="Source Sans Pro" w:cstheme="majorHAnsi"/>
          <w:b/>
          <w:bCs/>
          <w:sz w:val="24"/>
          <w:szCs w:val="24"/>
        </w:rPr>
      </w:pPr>
    </w:p>
    <w:p w14:paraId="6613DDF5" w14:textId="77777777" w:rsidR="0068480F" w:rsidRDefault="0068480F" w:rsidP="00561458">
      <w:pPr>
        <w:rPr>
          <w:rFonts w:ascii="Source Sans Pro" w:hAnsi="Source Sans Pro" w:cstheme="majorHAnsi"/>
          <w:b/>
          <w:bCs/>
          <w:sz w:val="24"/>
          <w:szCs w:val="24"/>
        </w:rPr>
      </w:pPr>
    </w:p>
    <w:p w14:paraId="32D2FA26" w14:textId="71694431" w:rsidR="00561458" w:rsidRPr="00390C46" w:rsidRDefault="00561458" w:rsidP="00390C46">
      <w:pPr>
        <w:pStyle w:val="Heading1"/>
        <w:rPr>
          <w:b/>
          <w:color w:val="auto"/>
          <w:sz w:val="26"/>
          <w:szCs w:val="26"/>
          <w:u w:val="single"/>
        </w:rPr>
      </w:pPr>
      <w:bookmarkStart w:id="3" w:name="_Toc40131058"/>
      <w:r w:rsidRPr="00390C46">
        <w:rPr>
          <w:b/>
          <w:color w:val="auto"/>
          <w:sz w:val="26"/>
          <w:szCs w:val="26"/>
          <w:u w:val="single"/>
        </w:rPr>
        <w:lastRenderedPageBreak/>
        <w:t xml:space="preserve">Grief, Revenge and Feud in </w:t>
      </w:r>
      <w:r w:rsidR="00380C42" w:rsidRPr="00390C46">
        <w:rPr>
          <w:b/>
          <w:color w:val="auto"/>
          <w:sz w:val="26"/>
          <w:szCs w:val="26"/>
          <w:u w:val="single"/>
        </w:rPr>
        <w:t>Literature and History world around the time of</w:t>
      </w:r>
      <w:r w:rsidRPr="00390C46">
        <w:rPr>
          <w:b/>
          <w:color w:val="auto"/>
          <w:sz w:val="26"/>
          <w:szCs w:val="26"/>
          <w:u w:val="single"/>
        </w:rPr>
        <w:t xml:space="preserve"> </w:t>
      </w:r>
      <w:r w:rsidRPr="00390C46">
        <w:rPr>
          <w:b/>
          <w:i/>
          <w:color w:val="auto"/>
          <w:sz w:val="26"/>
          <w:szCs w:val="26"/>
          <w:u w:val="single"/>
        </w:rPr>
        <w:t>Beowulf</w:t>
      </w:r>
      <w:bookmarkEnd w:id="3"/>
    </w:p>
    <w:p w14:paraId="778D58B9" w14:textId="157FF24B" w:rsidR="006D5F59" w:rsidRDefault="00B0713F" w:rsidP="009A0E03">
      <w:pPr>
        <w:rPr>
          <w:rFonts w:ascii="Source Sans Pro" w:hAnsi="Source Sans Pro" w:cstheme="majorHAnsi"/>
          <w:sz w:val="24"/>
          <w:szCs w:val="24"/>
        </w:rPr>
      </w:pPr>
      <w:r>
        <w:rPr>
          <w:rFonts w:ascii="Source Sans Pro" w:hAnsi="Source Sans Pro" w:cstheme="majorHAnsi"/>
          <w:sz w:val="24"/>
          <w:szCs w:val="24"/>
        </w:rPr>
        <w:t>To analyse why the act</w:t>
      </w:r>
      <w:r w:rsidR="005219D6">
        <w:rPr>
          <w:rFonts w:ascii="Source Sans Pro" w:hAnsi="Source Sans Pro" w:cstheme="majorHAnsi"/>
          <w:sz w:val="24"/>
          <w:szCs w:val="24"/>
        </w:rPr>
        <w:t xml:space="preserve"> of revenge</w:t>
      </w:r>
      <w:r>
        <w:rPr>
          <w:rFonts w:ascii="Source Sans Pro" w:hAnsi="Source Sans Pro" w:cstheme="majorHAnsi"/>
          <w:sz w:val="24"/>
          <w:szCs w:val="24"/>
        </w:rPr>
        <w:t xml:space="preserve"> </w:t>
      </w:r>
      <w:r w:rsidR="005219D6">
        <w:rPr>
          <w:rFonts w:ascii="Source Sans Pro" w:hAnsi="Source Sans Pro" w:cstheme="majorHAnsi"/>
          <w:sz w:val="24"/>
          <w:szCs w:val="24"/>
        </w:rPr>
        <w:t>is</w:t>
      </w:r>
      <w:r>
        <w:rPr>
          <w:rFonts w:ascii="Source Sans Pro" w:hAnsi="Source Sans Pro" w:cstheme="majorHAnsi"/>
          <w:sz w:val="24"/>
          <w:szCs w:val="24"/>
        </w:rPr>
        <w:t xml:space="preserve"> both promoted and discouraged</w:t>
      </w:r>
      <w:r w:rsidR="001061D4">
        <w:rPr>
          <w:rFonts w:ascii="Source Sans Pro" w:hAnsi="Source Sans Pro" w:cstheme="majorHAnsi"/>
          <w:sz w:val="24"/>
          <w:szCs w:val="24"/>
        </w:rPr>
        <w:t xml:space="preserve"> within</w:t>
      </w:r>
      <w:r w:rsidR="007124B8">
        <w:rPr>
          <w:rFonts w:ascii="Source Sans Pro" w:hAnsi="Source Sans Pro" w:cstheme="majorHAnsi"/>
          <w:sz w:val="24"/>
          <w:szCs w:val="24"/>
        </w:rPr>
        <w:t xml:space="preserve"> the world of</w:t>
      </w:r>
      <w:r w:rsidR="001061D4">
        <w:rPr>
          <w:rFonts w:ascii="Source Sans Pro" w:hAnsi="Source Sans Pro" w:cstheme="majorHAnsi"/>
          <w:sz w:val="24"/>
          <w:szCs w:val="24"/>
        </w:rPr>
        <w:t xml:space="preserve"> </w:t>
      </w:r>
      <w:r w:rsidR="001061D4">
        <w:rPr>
          <w:rFonts w:ascii="Source Sans Pro" w:hAnsi="Source Sans Pro" w:cstheme="majorHAnsi"/>
          <w:i/>
          <w:sz w:val="24"/>
          <w:szCs w:val="24"/>
        </w:rPr>
        <w:t>Beowulf</w:t>
      </w:r>
      <w:r>
        <w:rPr>
          <w:rFonts w:ascii="Source Sans Pro" w:hAnsi="Source Sans Pro" w:cstheme="majorHAnsi"/>
          <w:sz w:val="24"/>
          <w:szCs w:val="24"/>
        </w:rPr>
        <w:t xml:space="preserve"> is complex</w:t>
      </w:r>
      <w:r w:rsidR="00B84C7E">
        <w:rPr>
          <w:rFonts w:ascii="Source Sans Pro" w:hAnsi="Source Sans Pro" w:cstheme="majorHAnsi"/>
          <w:sz w:val="24"/>
          <w:szCs w:val="24"/>
        </w:rPr>
        <w:t>.</w:t>
      </w:r>
      <w:r>
        <w:rPr>
          <w:rFonts w:ascii="Source Sans Pro" w:hAnsi="Source Sans Pro" w:cstheme="majorHAnsi"/>
          <w:sz w:val="24"/>
          <w:szCs w:val="24"/>
        </w:rPr>
        <w:t xml:space="preserve"> </w:t>
      </w:r>
      <w:r w:rsidR="001061D4">
        <w:rPr>
          <w:rFonts w:ascii="Source Sans Pro" w:hAnsi="Source Sans Pro" w:cstheme="majorHAnsi"/>
          <w:sz w:val="24"/>
          <w:szCs w:val="24"/>
        </w:rPr>
        <w:t xml:space="preserve">Because of </w:t>
      </w:r>
      <w:r>
        <w:rPr>
          <w:rFonts w:ascii="Source Sans Pro" w:hAnsi="Source Sans Pro" w:cstheme="majorHAnsi"/>
          <w:sz w:val="24"/>
          <w:szCs w:val="24"/>
        </w:rPr>
        <w:t>close dynastic ties between all those who live</w:t>
      </w:r>
      <w:r w:rsidR="001061D4">
        <w:rPr>
          <w:rFonts w:ascii="Source Sans Pro" w:hAnsi="Source Sans Pro" w:cstheme="majorHAnsi"/>
          <w:sz w:val="24"/>
          <w:szCs w:val="24"/>
        </w:rPr>
        <w:t>d</w:t>
      </w:r>
      <w:r>
        <w:rPr>
          <w:rFonts w:ascii="Source Sans Pro" w:hAnsi="Source Sans Pro" w:cstheme="majorHAnsi"/>
          <w:sz w:val="24"/>
          <w:szCs w:val="24"/>
        </w:rPr>
        <w:t xml:space="preserve"> in Scandinavia </w:t>
      </w:r>
      <w:r w:rsidR="00E85DDF">
        <w:rPr>
          <w:rFonts w:ascii="Source Sans Pro" w:hAnsi="Source Sans Pro" w:cstheme="majorHAnsi"/>
          <w:sz w:val="24"/>
          <w:szCs w:val="24"/>
        </w:rPr>
        <w:t xml:space="preserve">the theme of vengeance throughout the poem becomes </w:t>
      </w:r>
      <w:r w:rsidR="001061D4">
        <w:rPr>
          <w:rFonts w:ascii="Source Sans Pro" w:hAnsi="Source Sans Pro" w:cstheme="majorHAnsi"/>
          <w:sz w:val="24"/>
          <w:szCs w:val="24"/>
        </w:rPr>
        <w:t>an issue</w:t>
      </w:r>
      <w:r w:rsidR="00674010">
        <w:rPr>
          <w:rFonts w:ascii="Source Sans Pro" w:hAnsi="Source Sans Pro" w:cstheme="majorHAnsi"/>
          <w:sz w:val="24"/>
          <w:szCs w:val="24"/>
        </w:rPr>
        <w:t>, due to</w:t>
      </w:r>
      <w:r w:rsidR="00E85DDF">
        <w:rPr>
          <w:rFonts w:ascii="Source Sans Pro" w:hAnsi="Source Sans Pro" w:cstheme="majorHAnsi"/>
          <w:sz w:val="24"/>
          <w:szCs w:val="24"/>
        </w:rPr>
        <w:t xml:space="preserve"> </w:t>
      </w:r>
      <w:r w:rsidR="001803E9">
        <w:rPr>
          <w:rFonts w:ascii="Source Sans Pro" w:hAnsi="Source Sans Pro" w:cstheme="majorHAnsi"/>
          <w:sz w:val="24"/>
          <w:szCs w:val="24"/>
        </w:rPr>
        <w:t>kinship</w:t>
      </w:r>
      <w:r w:rsidR="00E85DDF">
        <w:rPr>
          <w:rFonts w:ascii="Source Sans Pro" w:hAnsi="Source Sans Pro" w:cstheme="majorHAnsi"/>
          <w:sz w:val="24"/>
          <w:szCs w:val="24"/>
        </w:rPr>
        <w:t xml:space="preserve"> </w:t>
      </w:r>
      <w:r w:rsidR="00E85DDF" w:rsidRPr="00F50EC1">
        <w:rPr>
          <w:rFonts w:ascii="Source Sans Pro" w:hAnsi="Source Sans Pro" w:cstheme="majorHAnsi"/>
          <w:sz w:val="24"/>
          <w:szCs w:val="24"/>
        </w:rPr>
        <w:t>ties between all of those involved.</w:t>
      </w:r>
      <w:r w:rsidR="001E7810">
        <w:rPr>
          <w:rStyle w:val="FootnoteReference"/>
          <w:rFonts w:ascii="Source Sans Pro" w:hAnsi="Source Sans Pro" w:cstheme="majorHAnsi"/>
          <w:sz w:val="24"/>
          <w:szCs w:val="24"/>
        </w:rPr>
        <w:t xml:space="preserve"> </w:t>
      </w:r>
      <w:r w:rsidR="00F50EC1" w:rsidRPr="00F50EC1">
        <w:rPr>
          <w:rFonts w:ascii="Source Sans Pro" w:hAnsi="Source Sans Pro" w:cstheme="majorHAnsi"/>
          <w:sz w:val="24"/>
          <w:szCs w:val="24"/>
        </w:rPr>
        <w:t xml:space="preserve">Beowulf seems to be a descendant of both Scylfings and </w:t>
      </w:r>
      <w:r w:rsidR="00F50EC1" w:rsidRPr="00F50EC1">
        <w:rPr>
          <w:rFonts w:ascii="Source Sans Pro" w:hAnsi="Source Sans Pro"/>
          <w:sz w:val="24"/>
          <w:szCs w:val="24"/>
        </w:rPr>
        <w:t>Wægmundings</w:t>
      </w:r>
      <w:r w:rsidR="00F50EC1">
        <w:rPr>
          <w:rFonts w:ascii="Source Sans Pro" w:hAnsi="Source Sans Pro"/>
          <w:sz w:val="24"/>
          <w:szCs w:val="24"/>
        </w:rPr>
        <w:t>, inferring the broadness of dynastic and blood ties within Scandinavia across history</w:t>
      </w:r>
      <w:r w:rsidR="00F50EC1">
        <w:rPr>
          <w:rFonts w:ascii="Source Sans Pro" w:hAnsi="Source Sans Pro" w:cstheme="majorHAnsi"/>
          <w:sz w:val="24"/>
          <w:szCs w:val="24"/>
        </w:rPr>
        <w:t>.</w:t>
      </w:r>
      <w:r w:rsidR="00F50EC1">
        <w:rPr>
          <w:rStyle w:val="FootnoteReference"/>
          <w:rFonts w:ascii="Source Sans Pro" w:hAnsi="Source Sans Pro" w:cstheme="majorHAnsi"/>
          <w:sz w:val="24"/>
          <w:szCs w:val="24"/>
        </w:rPr>
        <w:footnoteReference w:id="69"/>
      </w:r>
      <w:r w:rsidR="00F50EC1">
        <w:rPr>
          <w:rFonts w:ascii="Source Sans Pro" w:hAnsi="Source Sans Pro" w:cstheme="majorHAnsi"/>
          <w:sz w:val="24"/>
          <w:szCs w:val="24"/>
        </w:rPr>
        <w:t xml:space="preserve"> T</w:t>
      </w:r>
      <w:r w:rsidR="00262C28">
        <w:rPr>
          <w:rFonts w:ascii="Source Sans Pro" w:hAnsi="Source Sans Pro" w:cstheme="majorHAnsi"/>
          <w:sz w:val="24"/>
          <w:szCs w:val="24"/>
        </w:rPr>
        <w:t xml:space="preserve">herefore, it could be </w:t>
      </w:r>
      <w:r w:rsidR="001061D4">
        <w:rPr>
          <w:rFonts w:ascii="Source Sans Pro" w:hAnsi="Source Sans Pro" w:cstheme="majorHAnsi"/>
          <w:sz w:val="24"/>
          <w:szCs w:val="24"/>
        </w:rPr>
        <w:t>argued</w:t>
      </w:r>
      <w:r w:rsidR="00262C28">
        <w:rPr>
          <w:rFonts w:ascii="Source Sans Pro" w:hAnsi="Source Sans Pro" w:cstheme="majorHAnsi"/>
          <w:sz w:val="24"/>
          <w:szCs w:val="24"/>
        </w:rPr>
        <w:t xml:space="preserve"> that the stories of revenge within </w:t>
      </w:r>
      <w:r w:rsidR="00262C28">
        <w:rPr>
          <w:rFonts w:ascii="Source Sans Pro" w:hAnsi="Source Sans Pro" w:cstheme="majorHAnsi"/>
          <w:i/>
          <w:sz w:val="24"/>
          <w:szCs w:val="24"/>
        </w:rPr>
        <w:t xml:space="preserve">Beowulf </w:t>
      </w:r>
      <w:r w:rsidR="00262C28">
        <w:rPr>
          <w:rFonts w:ascii="Source Sans Pro" w:hAnsi="Source Sans Pro" w:cstheme="majorHAnsi"/>
          <w:sz w:val="24"/>
          <w:szCs w:val="24"/>
        </w:rPr>
        <w:t>‘are much more than object lessons about kinship lo</w:t>
      </w:r>
      <w:r w:rsidR="00F16700">
        <w:rPr>
          <w:rFonts w:ascii="Source Sans Pro" w:hAnsi="Source Sans Pro" w:cstheme="majorHAnsi"/>
          <w:sz w:val="24"/>
          <w:szCs w:val="24"/>
        </w:rPr>
        <w:t>yalties and implacable revenge,’</w:t>
      </w:r>
      <w:r w:rsidR="00262C28">
        <w:rPr>
          <w:rFonts w:ascii="Source Sans Pro" w:hAnsi="Source Sans Pro" w:cstheme="majorHAnsi"/>
          <w:sz w:val="24"/>
          <w:szCs w:val="24"/>
        </w:rPr>
        <w:t xml:space="preserve"> but also about land disputes and rulership issues</w:t>
      </w:r>
      <w:r w:rsidR="00FA5F59">
        <w:rPr>
          <w:rFonts w:ascii="Source Sans Pro" w:hAnsi="Source Sans Pro" w:cstheme="majorHAnsi"/>
          <w:sz w:val="24"/>
          <w:szCs w:val="24"/>
        </w:rPr>
        <w:t xml:space="preserve"> as well as familial issues which could often span over long periods of time</w:t>
      </w:r>
      <w:r w:rsidR="00262C28">
        <w:rPr>
          <w:rFonts w:ascii="Source Sans Pro" w:hAnsi="Source Sans Pro" w:cstheme="majorHAnsi"/>
          <w:sz w:val="24"/>
          <w:szCs w:val="24"/>
        </w:rPr>
        <w:t>.</w:t>
      </w:r>
      <w:r w:rsidR="0008089B">
        <w:rPr>
          <w:rStyle w:val="FootnoteReference"/>
          <w:rFonts w:ascii="Source Sans Pro" w:hAnsi="Source Sans Pro" w:cstheme="majorHAnsi"/>
          <w:sz w:val="24"/>
          <w:szCs w:val="24"/>
        </w:rPr>
        <w:footnoteReference w:id="70"/>
      </w:r>
    </w:p>
    <w:p w14:paraId="7AB1145A" w14:textId="41570E3B" w:rsidR="0008089B" w:rsidRDefault="009E4C50" w:rsidP="00F50EC1">
      <w:pPr>
        <w:rPr>
          <w:rFonts w:ascii="Source Sans Pro" w:hAnsi="Source Sans Pro" w:cstheme="majorHAnsi"/>
          <w:sz w:val="24"/>
          <w:szCs w:val="24"/>
        </w:rPr>
      </w:pPr>
      <w:r w:rsidRPr="002A614C">
        <w:rPr>
          <w:rFonts w:ascii="Source Sans Pro" w:hAnsi="Source Sans Pro" w:cstheme="majorHAnsi"/>
          <w:sz w:val="24"/>
          <w:szCs w:val="24"/>
        </w:rPr>
        <w:t>W</w:t>
      </w:r>
      <w:r w:rsidR="00B0713F" w:rsidRPr="002A614C">
        <w:rPr>
          <w:rFonts w:ascii="Source Sans Pro" w:hAnsi="Source Sans Pro" w:cstheme="majorHAnsi"/>
          <w:sz w:val="24"/>
          <w:szCs w:val="24"/>
        </w:rPr>
        <w:t xml:space="preserve">hether this revenge culture </w:t>
      </w:r>
      <w:r w:rsidRPr="002A614C">
        <w:rPr>
          <w:rFonts w:ascii="Source Sans Pro" w:hAnsi="Source Sans Pro" w:cstheme="majorHAnsi"/>
          <w:sz w:val="24"/>
          <w:szCs w:val="24"/>
        </w:rPr>
        <w:t>a</w:t>
      </w:r>
      <w:r w:rsidR="00B0713F" w:rsidRPr="002A614C">
        <w:rPr>
          <w:rFonts w:ascii="Source Sans Pro" w:hAnsi="Source Sans Pro" w:cstheme="majorHAnsi"/>
          <w:sz w:val="24"/>
          <w:szCs w:val="24"/>
        </w:rPr>
        <w:t xml:space="preserve">ffected living and breathing Anglo-Saxons </w:t>
      </w:r>
      <w:r w:rsidR="002A614C" w:rsidRPr="002A614C">
        <w:rPr>
          <w:rFonts w:ascii="Source Sans Pro" w:hAnsi="Source Sans Pro" w:cstheme="majorHAnsi"/>
          <w:sz w:val="24"/>
          <w:szCs w:val="24"/>
        </w:rPr>
        <w:t xml:space="preserve">however </w:t>
      </w:r>
      <w:r w:rsidR="00B0713F" w:rsidRPr="002A614C">
        <w:rPr>
          <w:rFonts w:ascii="Source Sans Pro" w:hAnsi="Source Sans Pro" w:cstheme="majorHAnsi"/>
          <w:sz w:val="24"/>
          <w:szCs w:val="24"/>
        </w:rPr>
        <w:t xml:space="preserve">is </w:t>
      </w:r>
      <w:r w:rsidR="009F21FD">
        <w:rPr>
          <w:rFonts w:ascii="Source Sans Pro" w:hAnsi="Source Sans Pro" w:cstheme="majorHAnsi"/>
          <w:sz w:val="24"/>
          <w:szCs w:val="24"/>
        </w:rPr>
        <w:t>important to</w:t>
      </w:r>
      <w:r w:rsidR="00B0713F" w:rsidRPr="002A614C">
        <w:rPr>
          <w:rFonts w:ascii="Source Sans Pro" w:hAnsi="Source Sans Pro" w:cstheme="majorHAnsi"/>
          <w:sz w:val="24"/>
          <w:szCs w:val="24"/>
        </w:rPr>
        <w:t xml:space="preserve"> determine</w:t>
      </w:r>
      <w:r w:rsidR="004D4E33">
        <w:rPr>
          <w:rFonts w:ascii="Source Sans Pro" w:hAnsi="Source Sans Pro" w:cstheme="majorHAnsi"/>
          <w:sz w:val="24"/>
          <w:szCs w:val="24"/>
        </w:rPr>
        <w:t xml:space="preserve">, </w:t>
      </w:r>
      <w:r w:rsidR="009F21FD">
        <w:rPr>
          <w:rFonts w:ascii="Source Sans Pro" w:hAnsi="Source Sans Pro" w:cstheme="majorHAnsi"/>
          <w:sz w:val="24"/>
          <w:szCs w:val="24"/>
        </w:rPr>
        <w:t>and</w:t>
      </w:r>
      <w:r w:rsidR="004D4E33">
        <w:rPr>
          <w:rFonts w:ascii="Source Sans Pro" w:hAnsi="Source Sans Pro" w:cstheme="majorHAnsi"/>
          <w:sz w:val="24"/>
          <w:szCs w:val="24"/>
        </w:rPr>
        <w:t xml:space="preserve"> it does seem to be present</w:t>
      </w:r>
      <w:r w:rsidR="00151B08" w:rsidRPr="002A614C">
        <w:rPr>
          <w:rFonts w:ascii="Source Sans Pro" w:hAnsi="Source Sans Pro" w:cstheme="majorHAnsi"/>
          <w:sz w:val="24"/>
          <w:szCs w:val="24"/>
        </w:rPr>
        <w:t>.</w:t>
      </w:r>
      <w:r w:rsidR="00121E0D" w:rsidRPr="002A614C">
        <w:rPr>
          <w:rFonts w:ascii="Source Sans Pro" w:hAnsi="Source Sans Pro" w:cstheme="majorHAnsi"/>
          <w:sz w:val="24"/>
          <w:szCs w:val="24"/>
        </w:rPr>
        <w:t xml:space="preserve"> </w:t>
      </w:r>
      <w:r w:rsidR="004D4E33">
        <w:rPr>
          <w:rFonts w:ascii="Source Sans Pro" w:hAnsi="Source Sans Pro" w:cstheme="majorHAnsi"/>
          <w:sz w:val="24"/>
          <w:szCs w:val="24"/>
        </w:rPr>
        <w:t>However it does seem as thought the Anglo-Saxons themselves never truly questioned the principles behind the idea of revenge or blood-vengeance which occurred after a perceived crime, even after Christianity became commonplace.</w:t>
      </w:r>
      <w:r w:rsidR="004D4E33">
        <w:rPr>
          <w:rStyle w:val="FootnoteReference"/>
          <w:rFonts w:ascii="Source Sans Pro" w:hAnsi="Source Sans Pro" w:cstheme="majorHAnsi"/>
          <w:sz w:val="24"/>
          <w:szCs w:val="24"/>
        </w:rPr>
        <w:footnoteReference w:id="71"/>
      </w:r>
      <w:r w:rsidR="004D4E33">
        <w:rPr>
          <w:rFonts w:ascii="Source Sans Pro" w:hAnsi="Source Sans Pro" w:cstheme="majorHAnsi"/>
          <w:sz w:val="24"/>
          <w:szCs w:val="24"/>
        </w:rPr>
        <w:t xml:space="preserve"> </w:t>
      </w:r>
      <w:r w:rsidR="007C18C7">
        <w:rPr>
          <w:rFonts w:ascii="Source Sans Pro" w:hAnsi="Source Sans Pro" w:cstheme="majorHAnsi"/>
          <w:sz w:val="24"/>
          <w:szCs w:val="24"/>
        </w:rPr>
        <w:t xml:space="preserve">Acting upon vengeance also ran the possibility of triggering a feud, which </w:t>
      </w:r>
      <w:r w:rsidR="00C06E76">
        <w:rPr>
          <w:rFonts w:ascii="Source Sans Pro" w:hAnsi="Source Sans Pro" w:cstheme="majorHAnsi"/>
          <w:sz w:val="24"/>
          <w:szCs w:val="24"/>
        </w:rPr>
        <w:t>could then</w:t>
      </w:r>
      <w:r w:rsidR="007C18C7">
        <w:rPr>
          <w:rFonts w:ascii="Source Sans Pro" w:hAnsi="Source Sans Pro" w:cstheme="majorHAnsi"/>
          <w:sz w:val="24"/>
          <w:szCs w:val="24"/>
        </w:rPr>
        <w:t xml:space="preserve"> start long</w:t>
      </w:r>
      <w:r w:rsidR="007C18C7" w:rsidRPr="007C18C7">
        <w:rPr>
          <w:rFonts w:ascii="Source Sans Pro" w:hAnsi="Source Sans Pro" w:cstheme="majorHAnsi"/>
          <w:sz w:val="24"/>
          <w:szCs w:val="24"/>
        </w:rPr>
        <w:t xml:space="preserve"> ‘lasting hostility</w:t>
      </w:r>
      <w:r w:rsidR="007C18C7" w:rsidRPr="007C18C7">
        <w:rPr>
          <w:rFonts w:ascii="Source Sans Pro" w:hAnsi="Source Sans Pro"/>
          <w:sz w:val="24"/>
          <w:szCs w:val="24"/>
        </w:rPr>
        <w:t xml:space="preserve"> between groups, marked by periodic, cyclical, reciprocal violence.</w:t>
      </w:r>
      <w:r w:rsidR="007C18C7">
        <w:rPr>
          <w:rFonts w:ascii="Source Sans Pro" w:hAnsi="Source Sans Pro"/>
          <w:sz w:val="24"/>
          <w:szCs w:val="24"/>
        </w:rPr>
        <w:t>’</w:t>
      </w:r>
      <w:r w:rsidR="007C18C7">
        <w:rPr>
          <w:rStyle w:val="FootnoteReference"/>
          <w:rFonts w:ascii="Source Sans Pro" w:hAnsi="Source Sans Pro"/>
          <w:sz w:val="24"/>
          <w:szCs w:val="24"/>
        </w:rPr>
        <w:footnoteReference w:id="72"/>
      </w:r>
      <w:r w:rsidR="00C06E76">
        <w:rPr>
          <w:rFonts w:ascii="Source Sans Pro" w:hAnsi="Source Sans Pro"/>
          <w:sz w:val="24"/>
          <w:szCs w:val="24"/>
        </w:rPr>
        <w:t xml:space="preserve"> The Old-English language does not have a known direct translation of the word ‘feud</w:t>
      </w:r>
      <w:r w:rsidR="009A2F11">
        <w:rPr>
          <w:rFonts w:ascii="Source Sans Pro" w:hAnsi="Source Sans Pro"/>
          <w:sz w:val="24"/>
          <w:szCs w:val="24"/>
        </w:rPr>
        <w:t>,</w:t>
      </w:r>
      <w:r w:rsidR="00C06E76">
        <w:rPr>
          <w:rFonts w:ascii="Source Sans Pro" w:hAnsi="Source Sans Pro"/>
          <w:sz w:val="24"/>
          <w:szCs w:val="24"/>
        </w:rPr>
        <w:t>’</w:t>
      </w:r>
      <w:r w:rsidR="009A2F11">
        <w:rPr>
          <w:rFonts w:ascii="Source Sans Pro" w:hAnsi="Source Sans Pro"/>
          <w:sz w:val="24"/>
          <w:szCs w:val="24"/>
        </w:rPr>
        <w:t xml:space="preserve"> though the word ‘</w:t>
      </w:r>
      <w:r w:rsidR="009A2F11" w:rsidRPr="009A2F11">
        <w:rPr>
          <w:rFonts w:ascii="Source Sans Pro" w:hAnsi="Source Sans Pro"/>
          <w:sz w:val="24"/>
          <w:szCs w:val="24"/>
        </w:rPr>
        <w:t>fæhþ</w:t>
      </w:r>
      <w:r w:rsidR="009A2F11">
        <w:rPr>
          <w:rFonts w:ascii="Source Sans Pro" w:hAnsi="Source Sans Pro"/>
          <w:sz w:val="24"/>
          <w:szCs w:val="24"/>
        </w:rPr>
        <w:t xml:space="preserve">’ has been used as a close translation, but Hyams says we should be </w:t>
      </w:r>
      <w:r w:rsidR="008A0B53">
        <w:rPr>
          <w:rFonts w:ascii="Source Sans Pro" w:hAnsi="Source Sans Pro"/>
          <w:sz w:val="24"/>
          <w:szCs w:val="24"/>
        </w:rPr>
        <w:t>reluctant</w:t>
      </w:r>
      <w:r w:rsidR="009A2F11">
        <w:rPr>
          <w:rFonts w:ascii="Source Sans Pro" w:hAnsi="Source Sans Pro"/>
          <w:sz w:val="24"/>
          <w:szCs w:val="24"/>
        </w:rPr>
        <w:t xml:space="preserve"> when doing so as just because a word </w:t>
      </w:r>
      <w:r w:rsidR="009A2F11">
        <w:rPr>
          <w:rFonts w:ascii="Source Sans Pro" w:hAnsi="Source Sans Pro"/>
          <w:sz w:val="24"/>
          <w:szCs w:val="24"/>
        </w:rPr>
        <w:lastRenderedPageBreak/>
        <w:t xml:space="preserve">may exist as a translation it does not mean that we should interpret the word as the institution </w:t>
      </w:r>
      <w:r w:rsidR="008A0B53">
        <w:rPr>
          <w:rFonts w:ascii="Source Sans Pro" w:hAnsi="Source Sans Pro"/>
          <w:sz w:val="24"/>
          <w:szCs w:val="24"/>
        </w:rPr>
        <w:t xml:space="preserve">(in this case the institution </w:t>
      </w:r>
      <w:r w:rsidR="009A2F11">
        <w:rPr>
          <w:rFonts w:ascii="Source Sans Pro" w:hAnsi="Source Sans Pro"/>
          <w:sz w:val="24"/>
          <w:szCs w:val="24"/>
        </w:rPr>
        <w:t>of feud</w:t>
      </w:r>
      <w:r w:rsidR="008A0B53">
        <w:rPr>
          <w:rFonts w:ascii="Source Sans Pro" w:hAnsi="Source Sans Pro"/>
          <w:sz w:val="24"/>
          <w:szCs w:val="24"/>
        </w:rPr>
        <w:t>)</w:t>
      </w:r>
      <w:r w:rsidR="009A2F11">
        <w:rPr>
          <w:rFonts w:ascii="Source Sans Pro" w:hAnsi="Source Sans Pro"/>
          <w:sz w:val="24"/>
          <w:szCs w:val="24"/>
        </w:rPr>
        <w:t xml:space="preserve"> we imagine it to be.</w:t>
      </w:r>
      <w:r w:rsidR="009A2F11">
        <w:rPr>
          <w:rStyle w:val="FootnoteReference"/>
          <w:rFonts w:ascii="Source Sans Pro" w:hAnsi="Source Sans Pro"/>
          <w:sz w:val="24"/>
          <w:szCs w:val="24"/>
        </w:rPr>
        <w:footnoteReference w:id="73"/>
      </w:r>
      <w:r w:rsidR="009A2F11">
        <w:rPr>
          <w:rFonts w:ascii="Source Sans Pro" w:hAnsi="Source Sans Pro"/>
          <w:sz w:val="24"/>
          <w:szCs w:val="24"/>
        </w:rPr>
        <w:t xml:space="preserve"> The word feud as we now associate it comes from the 1</w:t>
      </w:r>
      <w:r w:rsidR="008A0B53">
        <w:rPr>
          <w:rFonts w:ascii="Source Sans Pro" w:hAnsi="Source Sans Pro"/>
          <w:sz w:val="24"/>
          <w:szCs w:val="24"/>
        </w:rPr>
        <w:t>4</w:t>
      </w:r>
      <w:r w:rsidR="009A2F11" w:rsidRPr="009A2F11">
        <w:rPr>
          <w:rFonts w:ascii="Source Sans Pro" w:hAnsi="Source Sans Pro"/>
          <w:sz w:val="24"/>
          <w:szCs w:val="24"/>
          <w:vertAlign w:val="superscript"/>
        </w:rPr>
        <w:t>th</w:t>
      </w:r>
      <w:r w:rsidR="008A0B53">
        <w:rPr>
          <w:rFonts w:ascii="Source Sans Pro" w:hAnsi="Source Sans Pro"/>
          <w:sz w:val="24"/>
          <w:szCs w:val="24"/>
          <w:vertAlign w:val="superscript"/>
        </w:rPr>
        <w:t xml:space="preserve"> </w:t>
      </w:r>
      <w:r w:rsidR="008A0B53">
        <w:rPr>
          <w:rFonts w:ascii="Source Sans Pro" w:hAnsi="Source Sans Pro"/>
          <w:sz w:val="24"/>
          <w:szCs w:val="24"/>
        </w:rPr>
        <w:t>-16</w:t>
      </w:r>
      <w:r w:rsidR="008A0B53" w:rsidRPr="008A0B53">
        <w:rPr>
          <w:rFonts w:ascii="Source Sans Pro" w:hAnsi="Source Sans Pro"/>
          <w:sz w:val="24"/>
          <w:szCs w:val="24"/>
          <w:vertAlign w:val="superscript"/>
        </w:rPr>
        <w:t>th</w:t>
      </w:r>
      <w:r w:rsidR="009A2F11">
        <w:rPr>
          <w:rFonts w:ascii="Source Sans Pro" w:hAnsi="Source Sans Pro"/>
          <w:sz w:val="24"/>
          <w:szCs w:val="24"/>
        </w:rPr>
        <w:t xml:space="preserve"> century idea</w:t>
      </w:r>
      <w:r w:rsidR="008A0B53">
        <w:rPr>
          <w:rFonts w:ascii="Source Sans Pro" w:hAnsi="Source Sans Pro"/>
          <w:sz w:val="24"/>
          <w:szCs w:val="24"/>
        </w:rPr>
        <w:t>s</w:t>
      </w:r>
      <w:r w:rsidR="009A2F11">
        <w:rPr>
          <w:rFonts w:ascii="Source Sans Pro" w:hAnsi="Source Sans Pro"/>
          <w:sz w:val="24"/>
          <w:szCs w:val="24"/>
        </w:rPr>
        <w:t xml:space="preserve"> of the Scottish border feuds which were generally</w:t>
      </w:r>
      <w:r w:rsidR="008A0B53">
        <w:rPr>
          <w:rFonts w:ascii="Source Sans Pro" w:hAnsi="Source Sans Pro"/>
          <w:sz w:val="24"/>
          <w:szCs w:val="24"/>
        </w:rPr>
        <w:t xml:space="preserve"> deep-rooted,</w:t>
      </w:r>
      <w:r w:rsidR="009A2F11">
        <w:rPr>
          <w:rFonts w:ascii="Source Sans Pro" w:hAnsi="Source Sans Pro"/>
          <w:sz w:val="24"/>
          <w:szCs w:val="24"/>
        </w:rPr>
        <w:t xml:space="preserve"> kin-based and lasted </w:t>
      </w:r>
      <w:r w:rsidR="008A0B53">
        <w:rPr>
          <w:rFonts w:ascii="Source Sans Pro" w:hAnsi="Source Sans Pro"/>
          <w:sz w:val="24"/>
          <w:szCs w:val="24"/>
        </w:rPr>
        <w:t>long</w:t>
      </w:r>
      <w:r w:rsidR="009A2F11">
        <w:rPr>
          <w:rFonts w:ascii="Source Sans Pro" w:hAnsi="Source Sans Pro"/>
          <w:sz w:val="24"/>
          <w:szCs w:val="24"/>
        </w:rPr>
        <w:t xml:space="preserve"> span</w:t>
      </w:r>
      <w:r w:rsidR="008A0B53">
        <w:rPr>
          <w:rFonts w:ascii="Source Sans Pro" w:hAnsi="Source Sans Pro"/>
          <w:sz w:val="24"/>
          <w:szCs w:val="24"/>
        </w:rPr>
        <w:t>s</w:t>
      </w:r>
      <w:r w:rsidR="009A2F11">
        <w:rPr>
          <w:rFonts w:ascii="Source Sans Pro" w:hAnsi="Source Sans Pro"/>
          <w:sz w:val="24"/>
          <w:szCs w:val="24"/>
        </w:rPr>
        <w:t xml:space="preserve"> of time</w:t>
      </w:r>
      <w:r w:rsidR="00E80989">
        <w:rPr>
          <w:rFonts w:ascii="Source Sans Pro" w:hAnsi="Source Sans Pro"/>
          <w:sz w:val="24"/>
          <w:szCs w:val="24"/>
        </w:rPr>
        <w:t>;</w:t>
      </w:r>
      <w:r w:rsidR="009A2F11">
        <w:rPr>
          <w:rStyle w:val="FootnoteReference"/>
          <w:rFonts w:ascii="Source Sans Pro" w:hAnsi="Source Sans Pro"/>
          <w:sz w:val="24"/>
          <w:szCs w:val="24"/>
        </w:rPr>
        <w:footnoteReference w:id="74"/>
      </w:r>
      <w:r w:rsidR="008A0B53">
        <w:rPr>
          <w:rFonts w:ascii="Source Sans Pro" w:hAnsi="Source Sans Pro"/>
          <w:sz w:val="24"/>
          <w:szCs w:val="24"/>
        </w:rPr>
        <w:t xml:space="preserve"> </w:t>
      </w:r>
      <w:r w:rsidR="00E80989">
        <w:rPr>
          <w:rFonts w:ascii="Source Sans Pro" w:hAnsi="Source Sans Pro"/>
          <w:sz w:val="24"/>
          <w:szCs w:val="24"/>
        </w:rPr>
        <w:t>t</w:t>
      </w:r>
      <w:r w:rsidR="008A0B53">
        <w:rPr>
          <w:rFonts w:ascii="Source Sans Pro" w:hAnsi="Source Sans Pro"/>
          <w:sz w:val="24"/>
          <w:szCs w:val="24"/>
        </w:rPr>
        <w:t>herefore looking for answers for what feuds were in terms of etymology can be difficult at best.</w:t>
      </w:r>
      <w:r w:rsidR="008A0B53">
        <w:rPr>
          <w:rStyle w:val="FootnoteReference"/>
          <w:rFonts w:ascii="Source Sans Pro" w:hAnsi="Source Sans Pro"/>
          <w:sz w:val="24"/>
          <w:szCs w:val="24"/>
        </w:rPr>
        <w:footnoteReference w:id="75"/>
      </w:r>
      <w:r w:rsidR="00E80989">
        <w:rPr>
          <w:rFonts w:ascii="Source Sans Pro" w:hAnsi="Source Sans Pro"/>
          <w:sz w:val="24"/>
          <w:szCs w:val="24"/>
        </w:rPr>
        <w:t xml:space="preserve"> </w:t>
      </w:r>
      <w:r w:rsidR="006E214F">
        <w:rPr>
          <w:rFonts w:ascii="Source Sans Pro" w:hAnsi="Source Sans Pro"/>
          <w:sz w:val="24"/>
          <w:szCs w:val="24"/>
        </w:rPr>
        <w:t>The word</w:t>
      </w:r>
      <w:r w:rsidR="00C06E76">
        <w:rPr>
          <w:rFonts w:ascii="Source Sans Pro" w:hAnsi="Source Sans Pro"/>
          <w:sz w:val="24"/>
          <w:szCs w:val="24"/>
        </w:rPr>
        <w:t xml:space="preserve"> </w:t>
      </w:r>
      <w:r w:rsidR="006E214F">
        <w:rPr>
          <w:rFonts w:ascii="Source Sans Pro" w:hAnsi="Source Sans Pro"/>
          <w:sz w:val="24"/>
          <w:szCs w:val="24"/>
        </w:rPr>
        <w:t>‘</w:t>
      </w:r>
      <w:r w:rsidR="006E214F" w:rsidRPr="009A2F11">
        <w:rPr>
          <w:rFonts w:ascii="Source Sans Pro" w:hAnsi="Source Sans Pro"/>
          <w:sz w:val="24"/>
          <w:szCs w:val="24"/>
        </w:rPr>
        <w:t>fæhþ</w:t>
      </w:r>
      <w:r w:rsidR="006E214F">
        <w:rPr>
          <w:rFonts w:ascii="Source Sans Pro" w:hAnsi="Source Sans Pro"/>
          <w:sz w:val="24"/>
          <w:szCs w:val="24"/>
        </w:rPr>
        <w:t xml:space="preserve">’ seems to have been used semantically similarly to the way we would use </w:t>
      </w:r>
      <w:r w:rsidR="00A531C7">
        <w:rPr>
          <w:rFonts w:ascii="Source Sans Pro" w:hAnsi="Source Sans Pro"/>
          <w:sz w:val="24"/>
          <w:szCs w:val="24"/>
        </w:rPr>
        <w:t>‘an act of violence’</w:t>
      </w:r>
      <w:r w:rsidR="004E04C0">
        <w:rPr>
          <w:rFonts w:ascii="Source Sans Pro" w:hAnsi="Source Sans Pro"/>
          <w:sz w:val="24"/>
          <w:szCs w:val="24"/>
        </w:rPr>
        <w:t xml:space="preserve"> or ‘sanctioned vengeance</w:t>
      </w:r>
      <w:r w:rsidR="00A531C7">
        <w:rPr>
          <w:rFonts w:ascii="Source Sans Pro" w:hAnsi="Source Sans Pro"/>
          <w:sz w:val="24"/>
          <w:szCs w:val="24"/>
        </w:rPr>
        <w:t>.</w:t>
      </w:r>
      <w:r w:rsidR="004E04C0">
        <w:rPr>
          <w:rFonts w:ascii="Source Sans Pro" w:hAnsi="Source Sans Pro"/>
          <w:sz w:val="24"/>
          <w:szCs w:val="24"/>
        </w:rPr>
        <w:t>’</w:t>
      </w:r>
      <w:r w:rsidR="006E214F">
        <w:rPr>
          <w:rFonts w:ascii="Source Sans Pro" w:hAnsi="Source Sans Pro"/>
          <w:sz w:val="24"/>
          <w:szCs w:val="24"/>
        </w:rPr>
        <w:t xml:space="preserve"> </w:t>
      </w:r>
      <w:r w:rsidR="00A531C7">
        <w:rPr>
          <w:rFonts w:ascii="Source Sans Pro" w:hAnsi="Source Sans Pro"/>
          <w:sz w:val="24"/>
          <w:szCs w:val="24"/>
        </w:rPr>
        <w:t>This</w:t>
      </w:r>
      <w:r w:rsidR="006E214F">
        <w:rPr>
          <w:rFonts w:ascii="Source Sans Pro" w:hAnsi="Source Sans Pro"/>
          <w:sz w:val="24"/>
          <w:szCs w:val="24"/>
        </w:rPr>
        <w:t xml:space="preserve"> can  be seen in the law code of King Edmund in the 10</w:t>
      </w:r>
      <w:r w:rsidR="006E214F" w:rsidRPr="006E214F">
        <w:rPr>
          <w:rFonts w:ascii="Source Sans Pro" w:hAnsi="Source Sans Pro"/>
          <w:sz w:val="24"/>
          <w:szCs w:val="24"/>
          <w:vertAlign w:val="superscript"/>
        </w:rPr>
        <w:t>th</w:t>
      </w:r>
      <w:r w:rsidR="006E214F">
        <w:rPr>
          <w:rFonts w:ascii="Source Sans Pro" w:hAnsi="Source Sans Pro"/>
          <w:sz w:val="24"/>
          <w:szCs w:val="24"/>
        </w:rPr>
        <w:t xml:space="preserve"> century</w:t>
      </w:r>
      <w:r w:rsidR="00A82A80">
        <w:rPr>
          <w:rFonts w:ascii="Source Sans Pro" w:hAnsi="Source Sans Pro"/>
          <w:sz w:val="24"/>
          <w:szCs w:val="24"/>
        </w:rPr>
        <w:t xml:space="preserve"> in </w:t>
      </w:r>
      <w:r w:rsidR="00DA1161">
        <w:rPr>
          <w:rFonts w:ascii="Source Sans Pro" w:hAnsi="Source Sans Pro"/>
          <w:sz w:val="24"/>
          <w:szCs w:val="24"/>
        </w:rPr>
        <w:t>seven</w:t>
      </w:r>
      <w:r w:rsidR="00A82A80">
        <w:rPr>
          <w:rFonts w:ascii="Source Sans Pro" w:hAnsi="Source Sans Pro"/>
          <w:sz w:val="24"/>
          <w:szCs w:val="24"/>
        </w:rPr>
        <w:t xml:space="preserve"> line</w:t>
      </w:r>
      <w:r w:rsidR="00DA1161">
        <w:rPr>
          <w:rFonts w:ascii="Source Sans Pro" w:hAnsi="Source Sans Pro"/>
          <w:sz w:val="24"/>
          <w:szCs w:val="24"/>
        </w:rPr>
        <w:t>s</w:t>
      </w:r>
      <w:r w:rsidR="00A82A80">
        <w:rPr>
          <w:rFonts w:ascii="Source Sans Pro" w:hAnsi="Source Sans Pro"/>
          <w:sz w:val="24"/>
          <w:szCs w:val="24"/>
        </w:rPr>
        <w:t xml:space="preserve"> which address </w:t>
      </w:r>
      <w:r w:rsidR="00A82A80">
        <w:rPr>
          <w:rFonts w:ascii="Source Sans Pro" w:hAnsi="Source Sans Pro"/>
          <w:i/>
          <w:iCs/>
          <w:sz w:val="24"/>
          <w:szCs w:val="24"/>
        </w:rPr>
        <w:t>Wergild</w:t>
      </w:r>
      <w:r w:rsidR="00A82A80">
        <w:rPr>
          <w:rFonts w:ascii="Source Sans Pro" w:hAnsi="Source Sans Pro"/>
          <w:sz w:val="24"/>
          <w:szCs w:val="24"/>
        </w:rPr>
        <w:t xml:space="preserve"> laws under his rule</w:t>
      </w:r>
      <w:r w:rsidR="006E214F">
        <w:rPr>
          <w:rFonts w:ascii="Source Sans Pro" w:hAnsi="Source Sans Pro"/>
          <w:sz w:val="24"/>
          <w:szCs w:val="24"/>
        </w:rPr>
        <w:t>.</w:t>
      </w:r>
      <w:r w:rsidR="006E214F">
        <w:rPr>
          <w:rStyle w:val="FootnoteReference"/>
          <w:rFonts w:ascii="Source Sans Pro" w:hAnsi="Source Sans Pro"/>
          <w:sz w:val="24"/>
          <w:szCs w:val="24"/>
        </w:rPr>
        <w:footnoteReference w:id="76"/>
      </w:r>
      <w:r w:rsidR="006E214F">
        <w:rPr>
          <w:rFonts w:ascii="Source Sans Pro" w:hAnsi="Source Sans Pro"/>
          <w:sz w:val="24"/>
          <w:szCs w:val="24"/>
        </w:rPr>
        <w:t xml:space="preserve"> </w:t>
      </w:r>
      <w:r w:rsidR="00477449">
        <w:rPr>
          <w:rFonts w:ascii="Source Sans Pro" w:hAnsi="Source Sans Pro"/>
          <w:sz w:val="24"/>
          <w:szCs w:val="24"/>
        </w:rPr>
        <w:t>Th</w:t>
      </w:r>
      <w:r w:rsidR="00DA1161">
        <w:rPr>
          <w:rFonts w:ascii="Source Sans Pro" w:hAnsi="Source Sans Pro"/>
          <w:sz w:val="24"/>
          <w:szCs w:val="24"/>
        </w:rPr>
        <w:t>ese</w:t>
      </w:r>
      <w:r w:rsidR="00477449">
        <w:rPr>
          <w:rFonts w:ascii="Source Sans Pro" w:hAnsi="Source Sans Pro"/>
          <w:sz w:val="24"/>
          <w:szCs w:val="24"/>
        </w:rPr>
        <w:t xml:space="preserve"> line</w:t>
      </w:r>
      <w:r w:rsidR="00DA1161">
        <w:rPr>
          <w:rFonts w:ascii="Source Sans Pro" w:hAnsi="Source Sans Pro"/>
          <w:sz w:val="24"/>
          <w:szCs w:val="24"/>
        </w:rPr>
        <w:t>s</w:t>
      </w:r>
      <w:r w:rsidR="00477449">
        <w:rPr>
          <w:rFonts w:ascii="Source Sans Pro" w:hAnsi="Source Sans Pro"/>
          <w:sz w:val="24"/>
          <w:szCs w:val="24"/>
        </w:rPr>
        <w:t xml:space="preserve"> also deviates from the idea of collective responsibility</w:t>
      </w:r>
      <w:r w:rsidR="00DA1161">
        <w:rPr>
          <w:rFonts w:ascii="Source Sans Pro" w:hAnsi="Source Sans Pro"/>
          <w:sz w:val="24"/>
          <w:szCs w:val="24"/>
        </w:rPr>
        <w:t xml:space="preserve"> which often characterises the Germanic Code of conduct</w:t>
      </w:r>
      <w:r w:rsidR="00477449">
        <w:rPr>
          <w:rFonts w:ascii="Source Sans Pro" w:hAnsi="Source Sans Pro"/>
          <w:sz w:val="24"/>
          <w:szCs w:val="24"/>
        </w:rPr>
        <w:t>, and commits the offender as the one with sole responsibility for any crime committed</w:t>
      </w:r>
      <w:r w:rsidR="00DA1161">
        <w:rPr>
          <w:rFonts w:ascii="Source Sans Pro" w:hAnsi="Source Sans Pro"/>
          <w:sz w:val="24"/>
          <w:szCs w:val="24"/>
        </w:rPr>
        <w:t>.</w:t>
      </w:r>
      <w:r w:rsidR="00DA1161">
        <w:rPr>
          <w:rStyle w:val="FootnoteReference"/>
          <w:rFonts w:ascii="Source Sans Pro" w:hAnsi="Source Sans Pro"/>
          <w:sz w:val="24"/>
          <w:szCs w:val="24"/>
        </w:rPr>
        <w:footnoteReference w:id="77"/>
      </w:r>
      <w:r w:rsidR="00DA1161">
        <w:rPr>
          <w:rFonts w:ascii="Source Sans Pro" w:hAnsi="Source Sans Pro"/>
          <w:sz w:val="24"/>
          <w:szCs w:val="24"/>
        </w:rPr>
        <w:t xml:space="preserve"> This directly implies a concept of individual responsibility for ones actions in regards to criminals, entirely fair in todays</w:t>
      </w:r>
      <w:r w:rsidR="00BB1271">
        <w:rPr>
          <w:rFonts w:ascii="Source Sans Pro" w:hAnsi="Source Sans Pro"/>
          <w:sz w:val="24"/>
          <w:szCs w:val="24"/>
        </w:rPr>
        <w:t>’</w:t>
      </w:r>
      <w:r w:rsidR="00DA1161">
        <w:rPr>
          <w:rFonts w:ascii="Source Sans Pro" w:hAnsi="Source Sans Pro"/>
          <w:sz w:val="24"/>
          <w:szCs w:val="24"/>
        </w:rPr>
        <w:t xml:space="preserve"> eyes</w:t>
      </w:r>
      <w:r w:rsidR="00BB1271">
        <w:rPr>
          <w:rFonts w:ascii="Source Sans Pro" w:hAnsi="Source Sans Pro"/>
          <w:sz w:val="24"/>
          <w:szCs w:val="24"/>
        </w:rPr>
        <w:t xml:space="preserve">. The law </w:t>
      </w:r>
      <w:r w:rsidR="00DA1161">
        <w:rPr>
          <w:rFonts w:ascii="Source Sans Pro" w:hAnsi="Source Sans Pro"/>
          <w:sz w:val="24"/>
          <w:szCs w:val="24"/>
        </w:rPr>
        <w:t>shows a sense of righteousness within Anglo-Saxon society which follows common sense and not solely based on kinship ties which could demonise a whole group for the actions of a</w:t>
      </w:r>
      <w:r w:rsidR="00BB1271">
        <w:rPr>
          <w:rFonts w:ascii="Source Sans Pro" w:hAnsi="Source Sans Pro"/>
          <w:sz w:val="24"/>
          <w:szCs w:val="24"/>
        </w:rPr>
        <w:t xml:space="preserve"> single</w:t>
      </w:r>
      <w:r w:rsidR="00DA1161">
        <w:rPr>
          <w:rFonts w:ascii="Source Sans Pro" w:hAnsi="Source Sans Pro"/>
          <w:sz w:val="24"/>
          <w:szCs w:val="24"/>
        </w:rPr>
        <w:t xml:space="preserve"> individual.</w:t>
      </w:r>
    </w:p>
    <w:p w14:paraId="3214F4B6" w14:textId="30140B2A" w:rsidR="00B1163B" w:rsidRPr="00561458" w:rsidRDefault="00261124" w:rsidP="00F50EC1">
      <w:pPr>
        <w:rPr>
          <w:rFonts w:ascii="Source Sans Pro" w:hAnsi="Source Sans Pro" w:cstheme="majorHAnsi"/>
          <w:sz w:val="24"/>
          <w:szCs w:val="24"/>
        </w:rPr>
      </w:pPr>
      <w:r w:rsidRPr="002A614C">
        <w:rPr>
          <w:rFonts w:ascii="Source Sans Pro" w:hAnsi="Source Sans Pro" w:cstheme="majorHAnsi"/>
          <w:sz w:val="24"/>
          <w:szCs w:val="24"/>
        </w:rPr>
        <w:t>It is clear that manslaughter</w:t>
      </w:r>
      <w:r w:rsidR="000022F1">
        <w:rPr>
          <w:rFonts w:ascii="Source Sans Pro" w:hAnsi="Source Sans Pro" w:cstheme="majorHAnsi"/>
          <w:sz w:val="24"/>
          <w:szCs w:val="24"/>
        </w:rPr>
        <w:t xml:space="preserve"> and murder</w:t>
      </w:r>
      <w:r w:rsidRPr="002A614C">
        <w:rPr>
          <w:rFonts w:ascii="Source Sans Pro" w:hAnsi="Source Sans Pro" w:cstheme="majorHAnsi"/>
          <w:sz w:val="24"/>
          <w:szCs w:val="24"/>
        </w:rPr>
        <w:t>, for revenge purposes or not, w</w:t>
      </w:r>
      <w:r w:rsidR="00372DC1">
        <w:rPr>
          <w:rFonts w:ascii="Source Sans Pro" w:hAnsi="Source Sans Pro" w:cstheme="majorHAnsi"/>
          <w:sz w:val="24"/>
          <w:szCs w:val="24"/>
        </w:rPr>
        <w:t>as</w:t>
      </w:r>
      <w:r w:rsidRPr="002A614C">
        <w:rPr>
          <w:rFonts w:ascii="Source Sans Pro" w:hAnsi="Source Sans Pro" w:cstheme="majorHAnsi"/>
          <w:sz w:val="24"/>
          <w:szCs w:val="24"/>
        </w:rPr>
        <w:t xml:space="preserve"> a common part of Anglo-Saxon life</w:t>
      </w:r>
      <w:r w:rsidR="000022F1">
        <w:rPr>
          <w:rFonts w:ascii="Source Sans Pro" w:hAnsi="Source Sans Pro" w:cstheme="majorHAnsi"/>
          <w:sz w:val="24"/>
          <w:szCs w:val="24"/>
        </w:rPr>
        <w:t xml:space="preserve"> as they lived in a hostile world</w:t>
      </w:r>
      <w:r w:rsidR="0023508E">
        <w:rPr>
          <w:rFonts w:ascii="Source Sans Pro" w:hAnsi="Source Sans Pro" w:cstheme="majorHAnsi"/>
          <w:sz w:val="24"/>
          <w:szCs w:val="24"/>
        </w:rPr>
        <w:t>. T</w:t>
      </w:r>
      <w:r w:rsidRPr="002A614C">
        <w:rPr>
          <w:rFonts w:ascii="Source Sans Pro" w:hAnsi="Source Sans Pro" w:cstheme="majorHAnsi"/>
          <w:sz w:val="24"/>
          <w:szCs w:val="24"/>
        </w:rPr>
        <w:t>hi</w:t>
      </w:r>
      <w:r w:rsidR="0023508E">
        <w:rPr>
          <w:rFonts w:ascii="Source Sans Pro" w:hAnsi="Source Sans Pro" w:cstheme="majorHAnsi"/>
          <w:sz w:val="24"/>
          <w:szCs w:val="24"/>
        </w:rPr>
        <w:t>s</w:t>
      </w:r>
      <w:r w:rsidRPr="002A614C">
        <w:rPr>
          <w:rFonts w:ascii="Source Sans Pro" w:hAnsi="Source Sans Pro" w:cstheme="majorHAnsi"/>
          <w:sz w:val="24"/>
          <w:szCs w:val="24"/>
        </w:rPr>
        <w:t xml:space="preserve"> is why</w:t>
      </w:r>
      <w:r w:rsidR="0023508E">
        <w:rPr>
          <w:rFonts w:ascii="Source Sans Pro" w:hAnsi="Source Sans Pro" w:cstheme="majorHAnsi"/>
          <w:sz w:val="24"/>
          <w:szCs w:val="24"/>
        </w:rPr>
        <w:t xml:space="preserve"> it was necessary</w:t>
      </w:r>
      <w:r w:rsidRPr="002A614C">
        <w:rPr>
          <w:rFonts w:ascii="Source Sans Pro" w:hAnsi="Source Sans Pro" w:cstheme="majorHAnsi"/>
          <w:sz w:val="24"/>
          <w:szCs w:val="24"/>
        </w:rPr>
        <w:t xml:space="preserve"> </w:t>
      </w:r>
      <w:r w:rsidR="0023508E">
        <w:rPr>
          <w:rFonts w:ascii="Source Sans Pro" w:hAnsi="Source Sans Pro" w:cstheme="majorHAnsi"/>
          <w:sz w:val="24"/>
          <w:szCs w:val="24"/>
        </w:rPr>
        <w:t>for there to be</w:t>
      </w:r>
      <w:r w:rsidRPr="002A614C">
        <w:rPr>
          <w:rFonts w:ascii="Source Sans Pro" w:hAnsi="Source Sans Pro" w:cstheme="majorHAnsi"/>
          <w:sz w:val="24"/>
          <w:szCs w:val="24"/>
        </w:rPr>
        <w:t xml:space="preserve"> rules and laws set in place which provided compensation to the lord or family of the murdered</w:t>
      </w:r>
      <w:r w:rsidR="00372DC1">
        <w:rPr>
          <w:rFonts w:ascii="Source Sans Pro" w:hAnsi="Source Sans Pro" w:cstheme="majorHAnsi"/>
          <w:sz w:val="24"/>
          <w:szCs w:val="24"/>
        </w:rPr>
        <w:t>. T</w:t>
      </w:r>
      <w:r w:rsidRPr="002A614C">
        <w:rPr>
          <w:rFonts w:ascii="Source Sans Pro" w:hAnsi="Source Sans Pro" w:cstheme="majorHAnsi"/>
          <w:sz w:val="24"/>
          <w:szCs w:val="24"/>
        </w:rPr>
        <w:t xml:space="preserve">his custom was named </w:t>
      </w:r>
      <w:r w:rsidRPr="002A614C">
        <w:rPr>
          <w:rFonts w:ascii="Source Sans Pro" w:hAnsi="Source Sans Pro" w:cstheme="majorHAnsi"/>
          <w:i/>
          <w:sz w:val="24"/>
          <w:szCs w:val="24"/>
        </w:rPr>
        <w:t>wergild</w:t>
      </w:r>
      <w:r w:rsidRPr="002A614C">
        <w:rPr>
          <w:rFonts w:ascii="Source Sans Pro" w:hAnsi="Source Sans Pro" w:cstheme="majorHAnsi"/>
          <w:sz w:val="24"/>
          <w:szCs w:val="24"/>
        </w:rPr>
        <w:t xml:space="preserve">, which roughly translates as ‘man price’ in </w:t>
      </w:r>
      <w:r w:rsidRPr="002A614C">
        <w:rPr>
          <w:rFonts w:ascii="Source Sans Pro" w:hAnsi="Source Sans Pro" w:cstheme="majorHAnsi"/>
          <w:sz w:val="24"/>
          <w:szCs w:val="24"/>
        </w:rPr>
        <w:lastRenderedPageBreak/>
        <w:t>modern English.</w:t>
      </w:r>
      <w:r w:rsidRPr="002A614C">
        <w:rPr>
          <w:rStyle w:val="FootnoteReference"/>
          <w:rFonts w:ascii="Source Sans Pro" w:hAnsi="Source Sans Pro" w:cstheme="majorHAnsi"/>
          <w:sz w:val="24"/>
          <w:szCs w:val="24"/>
        </w:rPr>
        <w:footnoteReference w:id="78"/>
      </w:r>
      <w:r w:rsidRPr="002A614C">
        <w:rPr>
          <w:rFonts w:ascii="Source Sans Pro" w:hAnsi="Source Sans Pro" w:cstheme="majorHAnsi"/>
          <w:sz w:val="24"/>
          <w:szCs w:val="24"/>
        </w:rPr>
        <w:t xml:space="preserve"> </w:t>
      </w:r>
      <w:r w:rsidR="008F10EE" w:rsidRPr="002A614C">
        <w:rPr>
          <w:rFonts w:ascii="Source Sans Pro" w:hAnsi="Source Sans Pro" w:cstheme="majorHAnsi"/>
          <w:sz w:val="24"/>
          <w:szCs w:val="24"/>
        </w:rPr>
        <w:t xml:space="preserve">Most </w:t>
      </w:r>
      <w:r w:rsidRPr="002A614C">
        <w:rPr>
          <w:rFonts w:ascii="Source Sans Pro" w:hAnsi="Source Sans Pro" w:cstheme="majorHAnsi"/>
          <w:i/>
          <w:sz w:val="24"/>
          <w:szCs w:val="24"/>
        </w:rPr>
        <w:t xml:space="preserve">Wergild </w:t>
      </w:r>
      <w:r w:rsidRPr="002A614C">
        <w:rPr>
          <w:rFonts w:ascii="Source Sans Pro" w:hAnsi="Source Sans Pro" w:cstheme="majorHAnsi"/>
          <w:sz w:val="24"/>
          <w:szCs w:val="24"/>
        </w:rPr>
        <w:t>laws were</w:t>
      </w:r>
      <w:r w:rsidR="008F10EE" w:rsidRPr="002A614C">
        <w:rPr>
          <w:rFonts w:ascii="Source Sans Pro" w:hAnsi="Source Sans Pro" w:cstheme="majorHAnsi"/>
          <w:sz w:val="24"/>
          <w:szCs w:val="24"/>
        </w:rPr>
        <w:t xml:space="preserve"> created between the 6</w:t>
      </w:r>
      <w:r w:rsidR="008F10EE" w:rsidRPr="002A614C">
        <w:rPr>
          <w:rFonts w:ascii="Source Sans Pro" w:hAnsi="Source Sans Pro" w:cstheme="majorHAnsi"/>
          <w:sz w:val="24"/>
          <w:szCs w:val="24"/>
          <w:vertAlign w:val="superscript"/>
        </w:rPr>
        <w:t>th</w:t>
      </w:r>
      <w:r w:rsidR="008F10EE" w:rsidRPr="002A614C">
        <w:rPr>
          <w:rFonts w:ascii="Source Sans Pro" w:hAnsi="Source Sans Pro" w:cstheme="majorHAnsi"/>
          <w:sz w:val="24"/>
          <w:szCs w:val="24"/>
        </w:rPr>
        <w:t xml:space="preserve"> and 9</w:t>
      </w:r>
      <w:r w:rsidR="008F10EE" w:rsidRPr="002A614C">
        <w:rPr>
          <w:rFonts w:ascii="Source Sans Pro" w:hAnsi="Source Sans Pro" w:cstheme="majorHAnsi"/>
          <w:sz w:val="24"/>
          <w:szCs w:val="24"/>
          <w:vertAlign w:val="superscript"/>
        </w:rPr>
        <w:t>th</w:t>
      </w:r>
      <w:r w:rsidR="008F10EE" w:rsidRPr="002A614C">
        <w:rPr>
          <w:rFonts w:ascii="Source Sans Pro" w:hAnsi="Source Sans Pro" w:cstheme="majorHAnsi"/>
          <w:sz w:val="24"/>
          <w:szCs w:val="24"/>
        </w:rPr>
        <w:t xml:space="preserve"> century AD</w:t>
      </w:r>
      <w:r w:rsidR="00D205EC" w:rsidRPr="002A614C">
        <w:rPr>
          <w:rFonts w:ascii="Source Sans Pro" w:hAnsi="Source Sans Pro" w:cstheme="majorHAnsi"/>
          <w:sz w:val="24"/>
          <w:szCs w:val="24"/>
        </w:rPr>
        <w:t>, these laws differed regionally but</w:t>
      </w:r>
      <w:r w:rsidR="008F10EE" w:rsidRPr="002A614C">
        <w:rPr>
          <w:rFonts w:ascii="Source Sans Pro" w:hAnsi="Source Sans Pro" w:cstheme="majorHAnsi"/>
          <w:sz w:val="24"/>
          <w:szCs w:val="24"/>
        </w:rPr>
        <w:t xml:space="preserve"> were</w:t>
      </w:r>
      <w:r w:rsidR="00D205EC" w:rsidRPr="002A614C">
        <w:rPr>
          <w:rFonts w:ascii="Source Sans Pro" w:hAnsi="Source Sans Pro" w:cstheme="majorHAnsi"/>
          <w:sz w:val="24"/>
          <w:szCs w:val="24"/>
        </w:rPr>
        <w:t xml:space="preserve"> often</w:t>
      </w:r>
      <w:r w:rsidRPr="002A614C">
        <w:rPr>
          <w:rFonts w:ascii="Source Sans Pro" w:hAnsi="Source Sans Pro" w:cstheme="majorHAnsi"/>
          <w:sz w:val="24"/>
          <w:szCs w:val="24"/>
        </w:rPr>
        <w:t xml:space="preserve"> incredibly specific, not only offering recompense for murder alone</w:t>
      </w:r>
      <w:r w:rsidR="00D205EC" w:rsidRPr="002A614C">
        <w:rPr>
          <w:rFonts w:ascii="Source Sans Pro" w:hAnsi="Source Sans Pro" w:cstheme="majorHAnsi"/>
          <w:sz w:val="24"/>
          <w:szCs w:val="24"/>
        </w:rPr>
        <w:t xml:space="preserve"> </w:t>
      </w:r>
      <w:r w:rsidRPr="002A614C">
        <w:rPr>
          <w:rFonts w:ascii="Source Sans Pro" w:hAnsi="Source Sans Pro" w:cstheme="majorHAnsi"/>
          <w:sz w:val="24"/>
          <w:szCs w:val="24"/>
        </w:rPr>
        <w:t>but also for injury</w:t>
      </w:r>
      <w:r w:rsidR="00372DC1">
        <w:rPr>
          <w:rFonts w:ascii="Source Sans Pro" w:hAnsi="Source Sans Pro" w:cstheme="majorHAnsi"/>
          <w:sz w:val="24"/>
          <w:szCs w:val="24"/>
        </w:rPr>
        <w:t xml:space="preserve"> or disfiguration</w:t>
      </w:r>
      <w:r w:rsidRPr="002A614C">
        <w:rPr>
          <w:rFonts w:ascii="Source Sans Pro" w:hAnsi="Source Sans Pro" w:cstheme="majorHAnsi"/>
          <w:sz w:val="24"/>
          <w:szCs w:val="24"/>
        </w:rPr>
        <w:t xml:space="preserve"> </w:t>
      </w:r>
      <w:r w:rsidR="00372DC1">
        <w:rPr>
          <w:rFonts w:ascii="Source Sans Pro" w:hAnsi="Source Sans Pro" w:cstheme="majorHAnsi"/>
          <w:sz w:val="24"/>
          <w:szCs w:val="24"/>
        </w:rPr>
        <w:t>of</w:t>
      </w:r>
      <w:r w:rsidRPr="002A614C">
        <w:rPr>
          <w:rFonts w:ascii="Source Sans Pro" w:hAnsi="Source Sans Pro" w:cstheme="majorHAnsi"/>
          <w:sz w:val="24"/>
          <w:szCs w:val="24"/>
        </w:rPr>
        <w:t xml:space="preserve"> </w:t>
      </w:r>
      <w:r w:rsidR="008F10EE" w:rsidRPr="002A614C">
        <w:rPr>
          <w:rFonts w:ascii="Source Sans Pro" w:hAnsi="Source Sans Pro" w:cstheme="majorHAnsi"/>
          <w:sz w:val="24"/>
          <w:szCs w:val="24"/>
        </w:rPr>
        <w:t>individual body parts.</w:t>
      </w:r>
      <w:r w:rsidR="008F10EE" w:rsidRPr="002A614C">
        <w:rPr>
          <w:rStyle w:val="FootnoteReference"/>
          <w:rFonts w:ascii="Source Sans Pro" w:hAnsi="Source Sans Pro" w:cstheme="majorHAnsi"/>
          <w:sz w:val="24"/>
          <w:szCs w:val="24"/>
        </w:rPr>
        <w:footnoteReference w:id="79"/>
      </w:r>
      <w:r w:rsidR="00D205EC" w:rsidRPr="002A614C">
        <w:rPr>
          <w:rFonts w:ascii="Source Sans Pro" w:hAnsi="Source Sans Pro" w:cstheme="majorHAnsi"/>
          <w:sz w:val="24"/>
          <w:szCs w:val="24"/>
        </w:rPr>
        <w:t xml:space="preserve"> </w:t>
      </w:r>
      <w:r w:rsidR="005F6E1A">
        <w:rPr>
          <w:rFonts w:ascii="Source Sans Pro" w:hAnsi="Source Sans Pro" w:cstheme="majorHAnsi"/>
          <w:bCs/>
          <w:sz w:val="24"/>
          <w:szCs w:val="24"/>
        </w:rPr>
        <w:t>The revenge culture we have come to identify Anglo-Saxon England with has historically been associated with the concept of the feud which was a ‘feature of society before the Norman conquest.’</w:t>
      </w:r>
      <w:r w:rsidR="005F6E1A">
        <w:rPr>
          <w:rStyle w:val="FootnoteReference"/>
          <w:rFonts w:ascii="Source Sans Pro" w:hAnsi="Source Sans Pro" w:cstheme="majorHAnsi"/>
          <w:bCs/>
          <w:sz w:val="24"/>
          <w:szCs w:val="24"/>
        </w:rPr>
        <w:footnoteReference w:id="80"/>
      </w:r>
      <w:r w:rsidR="005F6E1A">
        <w:rPr>
          <w:rFonts w:ascii="Source Sans Pro" w:hAnsi="Source Sans Pro" w:cstheme="majorHAnsi"/>
          <w:bCs/>
          <w:sz w:val="24"/>
          <w:szCs w:val="24"/>
        </w:rPr>
        <w:t xml:space="preserve"> </w:t>
      </w:r>
      <w:r w:rsidR="008F10EE" w:rsidRPr="002A614C">
        <w:rPr>
          <w:rFonts w:ascii="Source Sans Pro" w:hAnsi="Source Sans Pro" w:cstheme="majorHAnsi"/>
          <w:sz w:val="24"/>
          <w:szCs w:val="24"/>
        </w:rPr>
        <w:t>This monetary</w:t>
      </w:r>
      <w:r w:rsidR="005F6E1A">
        <w:rPr>
          <w:rFonts w:ascii="Source Sans Pro" w:hAnsi="Source Sans Pro" w:cstheme="majorHAnsi"/>
          <w:sz w:val="24"/>
          <w:szCs w:val="24"/>
        </w:rPr>
        <w:t xml:space="preserve"> </w:t>
      </w:r>
      <w:r w:rsidR="005F6E1A">
        <w:rPr>
          <w:rFonts w:ascii="Source Sans Pro" w:hAnsi="Source Sans Pro" w:cstheme="majorHAnsi"/>
          <w:i/>
          <w:iCs/>
          <w:sz w:val="24"/>
          <w:szCs w:val="24"/>
        </w:rPr>
        <w:t>wergild</w:t>
      </w:r>
      <w:r w:rsidR="008F10EE" w:rsidRPr="002A614C">
        <w:rPr>
          <w:rFonts w:ascii="Source Sans Pro" w:hAnsi="Source Sans Pro" w:cstheme="majorHAnsi"/>
          <w:sz w:val="24"/>
          <w:szCs w:val="24"/>
        </w:rPr>
        <w:t xml:space="preserve"> system</w:t>
      </w:r>
      <w:r w:rsidR="005F6E1A">
        <w:rPr>
          <w:rFonts w:ascii="Source Sans Pro" w:hAnsi="Source Sans Pro" w:cstheme="majorHAnsi"/>
          <w:sz w:val="24"/>
          <w:szCs w:val="24"/>
        </w:rPr>
        <w:t xml:space="preserve"> therefore</w:t>
      </w:r>
      <w:r w:rsidR="008F10EE" w:rsidRPr="002A614C">
        <w:rPr>
          <w:rFonts w:ascii="Source Sans Pro" w:hAnsi="Source Sans Pro" w:cstheme="majorHAnsi"/>
          <w:sz w:val="24"/>
          <w:szCs w:val="24"/>
        </w:rPr>
        <w:t xml:space="preserve"> was probably a way to deter families and individuals from committing revenge killings</w:t>
      </w:r>
      <w:r w:rsidR="00CE0858">
        <w:rPr>
          <w:rFonts w:ascii="Source Sans Pro" w:hAnsi="Source Sans Pro" w:cstheme="majorHAnsi"/>
          <w:sz w:val="24"/>
          <w:szCs w:val="24"/>
        </w:rPr>
        <w:t>,</w:t>
      </w:r>
      <w:r w:rsidR="008F10EE" w:rsidRPr="002A614C">
        <w:rPr>
          <w:rFonts w:ascii="Source Sans Pro" w:hAnsi="Source Sans Pro" w:cstheme="majorHAnsi"/>
          <w:sz w:val="24"/>
          <w:szCs w:val="24"/>
        </w:rPr>
        <w:t xml:space="preserve"> </w:t>
      </w:r>
      <w:r w:rsidR="00CE0858">
        <w:rPr>
          <w:rFonts w:ascii="Source Sans Pro" w:hAnsi="Source Sans Pro" w:cstheme="majorHAnsi"/>
          <w:sz w:val="24"/>
          <w:szCs w:val="24"/>
        </w:rPr>
        <w:t>hostility towards one another</w:t>
      </w:r>
      <w:r w:rsidR="00CE0858" w:rsidRPr="002A614C">
        <w:rPr>
          <w:rFonts w:ascii="Source Sans Pro" w:hAnsi="Source Sans Pro" w:cstheme="majorHAnsi"/>
          <w:sz w:val="24"/>
          <w:szCs w:val="24"/>
        </w:rPr>
        <w:t xml:space="preserve"> </w:t>
      </w:r>
      <w:r w:rsidR="008F10EE" w:rsidRPr="002A614C">
        <w:rPr>
          <w:rFonts w:ascii="Source Sans Pro" w:hAnsi="Source Sans Pro" w:cstheme="majorHAnsi"/>
          <w:sz w:val="24"/>
          <w:szCs w:val="24"/>
        </w:rPr>
        <w:t xml:space="preserve">and entering </w:t>
      </w:r>
      <w:r w:rsidR="00CE0858">
        <w:rPr>
          <w:rFonts w:ascii="Source Sans Pro" w:hAnsi="Source Sans Pro" w:cstheme="majorHAnsi"/>
          <w:sz w:val="24"/>
          <w:szCs w:val="24"/>
        </w:rPr>
        <w:t xml:space="preserve">long-term </w:t>
      </w:r>
      <w:r w:rsidR="008F10EE" w:rsidRPr="002A614C">
        <w:rPr>
          <w:rFonts w:ascii="Source Sans Pro" w:hAnsi="Source Sans Pro" w:cstheme="majorHAnsi"/>
          <w:sz w:val="24"/>
          <w:szCs w:val="24"/>
        </w:rPr>
        <w:t>feuds</w:t>
      </w:r>
      <w:r w:rsidR="00CE0858">
        <w:rPr>
          <w:rFonts w:ascii="Source Sans Pro" w:hAnsi="Source Sans Pro" w:cstheme="majorHAnsi"/>
          <w:sz w:val="24"/>
          <w:szCs w:val="24"/>
        </w:rPr>
        <w:t>.</w:t>
      </w:r>
      <w:r w:rsidR="007E3AE0" w:rsidRPr="002A614C">
        <w:rPr>
          <w:rStyle w:val="FootnoteReference"/>
          <w:rFonts w:ascii="Source Sans Pro" w:hAnsi="Source Sans Pro" w:cstheme="majorHAnsi"/>
          <w:sz w:val="24"/>
          <w:szCs w:val="24"/>
        </w:rPr>
        <w:footnoteReference w:id="81"/>
      </w:r>
      <w:r w:rsidR="00CE0858">
        <w:rPr>
          <w:rFonts w:ascii="Source Sans Pro" w:hAnsi="Source Sans Pro" w:cstheme="majorHAnsi"/>
          <w:sz w:val="24"/>
          <w:szCs w:val="24"/>
        </w:rPr>
        <w:t xml:space="preserve"> Individuals therefore could</w:t>
      </w:r>
      <w:r w:rsidR="007E3AE0" w:rsidRPr="002A614C">
        <w:rPr>
          <w:rFonts w:ascii="Source Sans Pro" w:hAnsi="Source Sans Pro" w:cstheme="majorHAnsi"/>
          <w:sz w:val="24"/>
          <w:szCs w:val="24"/>
        </w:rPr>
        <w:t xml:space="preserve"> </w:t>
      </w:r>
      <w:r w:rsidR="00CE0858">
        <w:rPr>
          <w:rFonts w:ascii="Source Sans Pro" w:hAnsi="Source Sans Pro" w:cstheme="majorHAnsi"/>
          <w:sz w:val="24"/>
          <w:szCs w:val="24"/>
        </w:rPr>
        <w:t>p</w:t>
      </w:r>
      <w:r w:rsidR="002A614C">
        <w:rPr>
          <w:rFonts w:ascii="Source Sans Pro" w:hAnsi="Source Sans Pro" w:cstheme="majorHAnsi"/>
          <w:sz w:val="24"/>
          <w:szCs w:val="24"/>
        </w:rPr>
        <w:t>ossibly los</w:t>
      </w:r>
      <w:r w:rsidR="00CE0858">
        <w:rPr>
          <w:rFonts w:ascii="Source Sans Pro" w:hAnsi="Source Sans Pro" w:cstheme="majorHAnsi"/>
          <w:sz w:val="24"/>
          <w:szCs w:val="24"/>
        </w:rPr>
        <w:t>e</w:t>
      </w:r>
      <w:r w:rsidR="007E3AE0" w:rsidRPr="002A614C">
        <w:rPr>
          <w:rFonts w:ascii="Source Sans Pro" w:hAnsi="Source Sans Pro" w:cstheme="majorHAnsi"/>
          <w:sz w:val="24"/>
          <w:szCs w:val="24"/>
        </w:rPr>
        <w:t xml:space="preserve"> financially as well as consciously, paying a high price for a product of their own making, of which they received nothing more than revenge and a</w:t>
      </w:r>
      <w:r w:rsidR="002A614C">
        <w:rPr>
          <w:rFonts w:ascii="Source Sans Pro" w:hAnsi="Source Sans Pro" w:cstheme="majorHAnsi"/>
          <w:sz w:val="24"/>
          <w:szCs w:val="24"/>
        </w:rPr>
        <w:t xml:space="preserve"> possibly</w:t>
      </w:r>
      <w:r w:rsidR="007E3AE0" w:rsidRPr="002A614C">
        <w:rPr>
          <w:rFonts w:ascii="Source Sans Pro" w:hAnsi="Source Sans Pro" w:cstheme="majorHAnsi"/>
          <w:sz w:val="24"/>
          <w:szCs w:val="24"/>
        </w:rPr>
        <w:t xml:space="preserve"> guilt racked conscience.</w:t>
      </w:r>
      <w:r w:rsidR="00243656" w:rsidRPr="002A614C">
        <w:rPr>
          <w:rFonts w:ascii="Source Sans Pro" w:hAnsi="Source Sans Pro" w:cstheme="majorHAnsi"/>
          <w:sz w:val="24"/>
          <w:szCs w:val="24"/>
        </w:rPr>
        <w:t xml:space="preserve"> </w:t>
      </w:r>
      <w:r w:rsidR="004F2370" w:rsidRPr="002A614C">
        <w:rPr>
          <w:rFonts w:ascii="Source Sans Pro" w:hAnsi="Source Sans Pro" w:cstheme="majorHAnsi"/>
          <w:sz w:val="24"/>
          <w:szCs w:val="24"/>
        </w:rPr>
        <w:t>This, however, did not always de</w:t>
      </w:r>
      <w:r w:rsidR="00CE0858">
        <w:rPr>
          <w:rFonts w:ascii="Source Sans Pro" w:hAnsi="Source Sans Pro" w:cstheme="majorHAnsi"/>
          <w:sz w:val="24"/>
          <w:szCs w:val="24"/>
        </w:rPr>
        <w:t>t</w:t>
      </w:r>
      <w:r w:rsidR="004F2370" w:rsidRPr="002A614C">
        <w:rPr>
          <w:rFonts w:ascii="Source Sans Pro" w:hAnsi="Source Sans Pro" w:cstheme="majorHAnsi"/>
          <w:sz w:val="24"/>
          <w:szCs w:val="24"/>
        </w:rPr>
        <w:t xml:space="preserve">er people, </w:t>
      </w:r>
      <w:r w:rsidR="005537C9">
        <w:rPr>
          <w:rFonts w:ascii="Source Sans Pro" w:hAnsi="Source Sans Pro" w:cstheme="majorHAnsi"/>
          <w:sz w:val="24"/>
          <w:szCs w:val="24"/>
        </w:rPr>
        <w:t xml:space="preserve">as is implied by the need for the creation of </w:t>
      </w:r>
      <w:r w:rsidR="005537C9">
        <w:rPr>
          <w:rFonts w:ascii="Source Sans Pro" w:hAnsi="Source Sans Pro" w:cstheme="majorHAnsi"/>
          <w:i/>
          <w:iCs/>
          <w:sz w:val="24"/>
          <w:szCs w:val="24"/>
        </w:rPr>
        <w:t xml:space="preserve">wergild </w:t>
      </w:r>
      <w:r w:rsidR="005537C9">
        <w:rPr>
          <w:rFonts w:ascii="Source Sans Pro" w:hAnsi="Source Sans Pro" w:cstheme="majorHAnsi"/>
          <w:sz w:val="24"/>
          <w:szCs w:val="24"/>
        </w:rPr>
        <w:t>laws</w:t>
      </w:r>
      <w:r w:rsidR="00372DC1">
        <w:rPr>
          <w:rFonts w:ascii="Source Sans Pro" w:hAnsi="Source Sans Pro" w:cstheme="majorHAnsi"/>
          <w:sz w:val="24"/>
          <w:szCs w:val="24"/>
        </w:rPr>
        <w:t xml:space="preserve"> as well as their implementation.</w:t>
      </w:r>
      <w:r w:rsidR="005537C9">
        <w:rPr>
          <w:rFonts w:ascii="Source Sans Pro" w:hAnsi="Source Sans Pro" w:cstheme="majorHAnsi"/>
          <w:sz w:val="24"/>
          <w:szCs w:val="24"/>
        </w:rPr>
        <w:t xml:space="preserve"> </w:t>
      </w:r>
      <w:r w:rsidR="00372DC1">
        <w:rPr>
          <w:rFonts w:ascii="Source Sans Pro" w:hAnsi="Source Sans Pro" w:cstheme="majorHAnsi"/>
          <w:sz w:val="24"/>
          <w:szCs w:val="24"/>
        </w:rPr>
        <w:t>T</w:t>
      </w:r>
      <w:r w:rsidR="004F2370" w:rsidRPr="002A614C">
        <w:rPr>
          <w:rFonts w:ascii="Source Sans Pro" w:hAnsi="Source Sans Pro" w:cstheme="majorHAnsi"/>
          <w:sz w:val="24"/>
          <w:szCs w:val="24"/>
        </w:rPr>
        <w:t>h</w:t>
      </w:r>
      <w:r w:rsidR="00372DC1">
        <w:rPr>
          <w:rFonts w:ascii="Source Sans Pro" w:hAnsi="Source Sans Pro" w:cstheme="majorHAnsi"/>
          <w:sz w:val="24"/>
          <w:szCs w:val="24"/>
        </w:rPr>
        <w:t>e negative side to this practice</w:t>
      </w:r>
      <w:r w:rsidR="004F2370" w:rsidRPr="002A614C">
        <w:rPr>
          <w:rFonts w:ascii="Source Sans Pro" w:hAnsi="Source Sans Pro" w:cstheme="majorHAnsi"/>
          <w:sz w:val="24"/>
          <w:szCs w:val="24"/>
        </w:rPr>
        <w:t xml:space="preserve"> may have been</w:t>
      </w:r>
      <w:r w:rsidR="00C872D3">
        <w:rPr>
          <w:rFonts w:ascii="Source Sans Pro" w:hAnsi="Source Sans Pro" w:cstheme="majorHAnsi"/>
          <w:sz w:val="24"/>
          <w:szCs w:val="24"/>
        </w:rPr>
        <w:t xml:space="preserve"> that if an individual </w:t>
      </w:r>
      <w:r w:rsidR="0065134C">
        <w:rPr>
          <w:rFonts w:ascii="Source Sans Pro" w:hAnsi="Source Sans Pro" w:cstheme="majorHAnsi"/>
          <w:sz w:val="24"/>
          <w:szCs w:val="24"/>
        </w:rPr>
        <w:t>were</w:t>
      </w:r>
      <w:r w:rsidR="00C872D3">
        <w:rPr>
          <w:rFonts w:ascii="Source Sans Pro" w:hAnsi="Source Sans Pro" w:cstheme="majorHAnsi"/>
          <w:sz w:val="24"/>
          <w:szCs w:val="24"/>
        </w:rPr>
        <w:t xml:space="preserve"> wealthy they were </w:t>
      </w:r>
      <w:r w:rsidR="00DF3C20">
        <w:rPr>
          <w:rFonts w:ascii="Source Sans Pro" w:hAnsi="Source Sans Pro" w:cstheme="majorHAnsi"/>
          <w:sz w:val="24"/>
          <w:szCs w:val="24"/>
        </w:rPr>
        <w:t>could possibly place themselves</w:t>
      </w:r>
      <w:r w:rsidR="00C872D3">
        <w:rPr>
          <w:rFonts w:ascii="Source Sans Pro" w:hAnsi="Source Sans Pro" w:cstheme="majorHAnsi"/>
          <w:sz w:val="24"/>
          <w:szCs w:val="24"/>
        </w:rPr>
        <w:t xml:space="preserve"> above this law</w:t>
      </w:r>
      <w:r w:rsidR="004F2370" w:rsidRPr="002A614C">
        <w:rPr>
          <w:rFonts w:ascii="Source Sans Pro" w:hAnsi="Source Sans Pro" w:cstheme="majorHAnsi"/>
          <w:sz w:val="24"/>
          <w:szCs w:val="24"/>
        </w:rPr>
        <w:t xml:space="preserve">, </w:t>
      </w:r>
      <w:r w:rsidR="00DF3C20" w:rsidRPr="002A614C">
        <w:rPr>
          <w:rFonts w:ascii="Source Sans Pro" w:hAnsi="Source Sans Pro" w:cstheme="majorHAnsi"/>
          <w:sz w:val="24"/>
          <w:szCs w:val="24"/>
        </w:rPr>
        <w:t xml:space="preserve">they could pay the </w:t>
      </w:r>
      <w:r w:rsidR="00DF3C20" w:rsidRPr="002A614C">
        <w:rPr>
          <w:rFonts w:ascii="Source Sans Pro" w:hAnsi="Source Sans Pro" w:cstheme="majorHAnsi"/>
          <w:i/>
          <w:sz w:val="24"/>
          <w:szCs w:val="24"/>
        </w:rPr>
        <w:t>wergild</w:t>
      </w:r>
      <w:r w:rsidR="00DF3C20" w:rsidRPr="002A614C">
        <w:rPr>
          <w:rFonts w:ascii="Source Sans Pro" w:hAnsi="Source Sans Pro" w:cstheme="majorHAnsi"/>
          <w:sz w:val="24"/>
          <w:szCs w:val="24"/>
        </w:rPr>
        <w:t xml:space="preserve"> and then be lawfully free of retribution</w:t>
      </w:r>
      <w:r w:rsidR="00DF3C20">
        <w:rPr>
          <w:rFonts w:ascii="Source Sans Pro" w:hAnsi="Source Sans Pro" w:cstheme="majorHAnsi"/>
          <w:sz w:val="24"/>
          <w:szCs w:val="24"/>
        </w:rPr>
        <w:t xml:space="preserve"> or simply not be recognised as the one who committed the act</w:t>
      </w:r>
      <w:r w:rsidR="00DF3C20" w:rsidRPr="002A614C">
        <w:rPr>
          <w:rFonts w:ascii="Source Sans Pro" w:hAnsi="Source Sans Pro" w:cstheme="majorHAnsi"/>
          <w:sz w:val="24"/>
          <w:szCs w:val="24"/>
        </w:rPr>
        <w:t>.</w:t>
      </w:r>
      <w:r w:rsidR="00DF3C20">
        <w:rPr>
          <w:rFonts w:ascii="Source Sans Pro" w:hAnsi="Source Sans Pro" w:cstheme="majorHAnsi"/>
          <w:sz w:val="24"/>
          <w:szCs w:val="24"/>
        </w:rPr>
        <w:t xml:space="preserve"> It is important to note that</w:t>
      </w:r>
      <w:r w:rsidR="004F2370" w:rsidRPr="002A614C">
        <w:rPr>
          <w:rFonts w:ascii="Source Sans Pro" w:hAnsi="Source Sans Pro" w:cstheme="majorHAnsi"/>
          <w:sz w:val="24"/>
          <w:szCs w:val="24"/>
        </w:rPr>
        <w:t xml:space="preserve"> in times of conflict</w:t>
      </w:r>
      <w:r w:rsidR="00372DC1">
        <w:rPr>
          <w:rFonts w:ascii="Source Sans Pro" w:hAnsi="Source Sans Pro" w:cstheme="majorHAnsi"/>
          <w:sz w:val="24"/>
          <w:szCs w:val="24"/>
        </w:rPr>
        <w:t xml:space="preserve"> and societal disarray</w:t>
      </w:r>
      <w:r w:rsidR="00DF3C20">
        <w:rPr>
          <w:rFonts w:ascii="Source Sans Pro" w:hAnsi="Source Sans Pro" w:cstheme="majorHAnsi"/>
          <w:sz w:val="24"/>
          <w:szCs w:val="24"/>
        </w:rPr>
        <w:t xml:space="preserve"> one could probably get away with killing relatively easily, as the panic around them could disguise their actions.</w:t>
      </w:r>
      <w:r w:rsidR="004F2370" w:rsidRPr="002A614C">
        <w:rPr>
          <w:rFonts w:ascii="Source Sans Pro" w:hAnsi="Source Sans Pro" w:cstheme="majorHAnsi"/>
          <w:sz w:val="24"/>
          <w:szCs w:val="24"/>
        </w:rPr>
        <w:t xml:space="preserve"> </w:t>
      </w:r>
      <w:r w:rsidR="001D00DA">
        <w:rPr>
          <w:rFonts w:ascii="Source Sans Pro" w:hAnsi="Source Sans Pro" w:cstheme="majorHAnsi"/>
          <w:sz w:val="24"/>
          <w:szCs w:val="24"/>
        </w:rPr>
        <w:t xml:space="preserve">It is </w:t>
      </w:r>
      <w:r w:rsidR="00DF3C20">
        <w:rPr>
          <w:rFonts w:ascii="Source Sans Pro" w:hAnsi="Source Sans Pro" w:cstheme="majorHAnsi"/>
          <w:sz w:val="24"/>
          <w:szCs w:val="24"/>
        </w:rPr>
        <w:t xml:space="preserve">also </w:t>
      </w:r>
      <w:r w:rsidR="001D00DA">
        <w:rPr>
          <w:rFonts w:ascii="Source Sans Pro" w:hAnsi="Source Sans Pro" w:cstheme="majorHAnsi"/>
          <w:sz w:val="24"/>
          <w:szCs w:val="24"/>
        </w:rPr>
        <w:t>pertinent to note that that these</w:t>
      </w:r>
      <w:r w:rsidR="00DF3C20">
        <w:rPr>
          <w:rFonts w:ascii="Source Sans Pro" w:hAnsi="Source Sans Pro" w:cstheme="majorHAnsi"/>
          <w:sz w:val="24"/>
          <w:szCs w:val="24"/>
        </w:rPr>
        <w:t xml:space="preserve"> laws</w:t>
      </w:r>
      <w:r w:rsidR="001D00DA">
        <w:rPr>
          <w:rFonts w:ascii="Source Sans Pro" w:hAnsi="Source Sans Pro" w:cstheme="majorHAnsi"/>
          <w:sz w:val="24"/>
          <w:szCs w:val="24"/>
        </w:rPr>
        <w:t xml:space="preserve"> were regionally different and due to the oral traditions of the time most by-laws were not committed to writing, primarily due to the fact that often the individuals within the regional areas generally knew the law of their area anyway</w:t>
      </w:r>
      <w:r w:rsidR="00164607">
        <w:rPr>
          <w:rFonts w:ascii="Source Sans Pro" w:hAnsi="Source Sans Pro" w:cstheme="majorHAnsi"/>
          <w:sz w:val="24"/>
          <w:szCs w:val="24"/>
        </w:rPr>
        <w:t xml:space="preserve"> and many people </w:t>
      </w:r>
      <w:r w:rsidR="00164607">
        <w:rPr>
          <w:rFonts w:ascii="Source Sans Pro" w:hAnsi="Source Sans Pro" w:cstheme="majorHAnsi"/>
          <w:sz w:val="24"/>
          <w:szCs w:val="24"/>
        </w:rPr>
        <w:lastRenderedPageBreak/>
        <w:t>could not read so committing them to writing could be expensive as well as laborious and unnecessary</w:t>
      </w:r>
      <w:r w:rsidR="001D00DA">
        <w:rPr>
          <w:rFonts w:ascii="Source Sans Pro" w:hAnsi="Source Sans Pro" w:cstheme="majorHAnsi"/>
          <w:sz w:val="24"/>
          <w:szCs w:val="24"/>
        </w:rPr>
        <w:t>.</w:t>
      </w:r>
      <w:r w:rsidR="001D00DA">
        <w:rPr>
          <w:rStyle w:val="FootnoteReference"/>
          <w:rFonts w:ascii="Source Sans Pro" w:hAnsi="Source Sans Pro" w:cstheme="majorHAnsi"/>
          <w:sz w:val="24"/>
          <w:szCs w:val="24"/>
        </w:rPr>
        <w:footnoteReference w:id="82"/>
      </w:r>
    </w:p>
    <w:p w14:paraId="6E282F9A" w14:textId="017BD3CF" w:rsidR="00077194" w:rsidRDefault="00F50EC1" w:rsidP="00F50EC1">
      <w:pPr>
        <w:rPr>
          <w:rFonts w:ascii="Source Sans Pro" w:hAnsi="Source Sans Pro" w:cstheme="majorHAnsi"/>
          <w:sz w:val="24"/>
          <w:szCs w:val="24"/>
        </w:rPr>
      </w:pPr>
      <w:r w:rsidRPr="001D1A69">
        <w:rPr>
          <w:rFonts w:ascii="Source Sans Pro" w:hAnsi="Source Sans Pro" w:cstheme="majorHAnsi"/>
          <w:sz w:val="24"/>
          <w:szCs w:val="24"/>
        </w:rPr>
        <w:t>Throughout the poem the theme of revenge is prominent. However, it is also important to note that the consequential grieving is too;</w:t>
      </w:r>
      <w:r>
        <w:rPr>
          <w:rFonts w:ascii="Source Sans Pro" w:hAnsi="Source Sans Pro" w:cstheme="majorHAnsi"/>
          <w:sz w:val="24"/>
          <w:szCs w:val="24"/>
        </w:rPr>
        <w:t xml:space="preserve"> even</w:t>
      </w:r>
      <w:r w:rsidRPr="001D1A69">
        <w:rPr>
          <w:rFonts w:ascii="Source Sans Pro" w:hAnsi="Source Sans Pro" w:cstheme="majorHAnsi"/>
          <w:sz w:val="24"/>
          <w:szCs w:val="24"/>
        </w:rPr>
        <w:t xml:space="preserve"> Beowulf himself is mourned and commemorated by his own request.</w:t>
      </w:r>
      <w:r w:rsidRPr="001D1A69">
        <w:rPr>
          <w:rStyle w:val="FootnoteReference"/>
          <w:rFonts w:ascii="Source Sans Pro" w:hAnsi="Source Sans Pro" w:cstheme="majorHAnsi"/>
          <w:sz w:val="24"/>
          <w:szCs w:val="24"/>
        </w:rPr>
        <w:footnoteReference w:id="83"/>
      </w:r>
      <w:r w:rsidRPr="001D1A69">
        <w:rPr>
          <w:rFonts w:ascii="Source Sans Pro" w:hAnsi="Source Sans Pro" w:cstheme="majorHAnsi"/>
          <w:sz w:val="24"/>
          <w:szCs w:val="24"/>
        </w:rPr>
        <w:t xml:space="preserve"> It has been argued</w:t>
      </w:r>
      <w:r>
        <w:rPr>
          <w:rFonts w:ascii="Source Sans Pro" w:hAnsi="Source Sans Pro" w:cstheme="majorHAnsi"/>
          <w:sz w:val="24"/>
          <w:szCs w:val="24"/>
        </w:rPr>
        <w:t>,</w:t>
      </w:r>
      <w:r w:rsidRPr="001D1A69">
        <w:rPr>
          <w:rFonts w:ascii="Source Sans Pro" w:hAnsi="Source Sans Pro" w:cstheme="majorHAnsi"/>
          <w:sz w:val="24"/>
          <w:szCs w:val="24"/>
        </w:rPr>
        <w:t xml:space="preserve"> by scholars such as Patricia Ingham</w:t>
      </w:r>
      <w:r>
        <w:rPr>
          <w:rFonts w:ascii="Source Sans Pro" w:hAnsi="Source Sans Pro" w:cstheme="majorHAnsi"/>
          <w:sz w:val="24"/>
          <w:szCs w:val="24"/>
        </w:rPr>
        <w:t>,</w:t>
      </w:r>
      <w:r w:rsidRPr="001D1A69">
        <w:rPr>
          <w:rStyle w:val="FootnoteReference"/>
          <w:rFonts w:ascii="Source Sans Pro" w:hAnsi="Source Sans Pro" w:cstheme="majorHAnsi"/>
          <w:sz w:val="24"/>
          <w:szCs w:val="24"/>
        </w:rPr>
        <w:footnoteReference w:id="84"/>
      </w:r>
      <w:r w:rsidRPr="001D1A69">
        <w:rPr>
          <w:rFonts w:ascii="Source Sans Pro" w:hAnsi="Source Sans Pro" w:cstheme="majorHAnsi"/>
          <w:sz w:val="24"/>
          <w:szCs w:val="24"/>
        </w:rPr>
        <w:t xml:space="preserve"> that mourning in medieval society was </w:t>
      </w:r>
      <w:r w:rsidR="0056393E">
        <w:rPr>
          <w:rFonts w:ascii="Source Sans Pro" w:hAnsi="Source Sans Pro" w:cstheme="majorHAnsi"/>
          <w:sz w:val="24"/>
          <w:szCs w:val="24"/>
        </w:rPr>
        <w:t xml:space="preserve">primarily a </w:t>
      </w:r>
      <w:r w:rsidRPr="001D1A69">
        <w:rPr>
          <w:rFonts w:ascii="Source Sans Pro" w:hAnsi="Source Sans Pro" w:cstheme="majorHAnsi"/>
          <w:sz w:val="24"/>
          <w:szCs w:val="24"/>
        </w:rPr>
        <w:t>female activity, but during the funeral of our protagonist, as well as after the murder</w:t>
      </w:r>
      <w:r w:rsidR="00214E58">
        <w:rPr>
          <w:rFonts w:ascii="Source Sans Pro" w:hAnsi="Source Sans Pro" w:cstheme="majorHAnsi"/>
          <w:sz w:val="24"/>
          <w:szCs w:val="24"/>
        </w:rPr>
        <w:t xml:space="preserve"> of</w:t>
      </w:r>
      <w:r w:rsidRPr="001D1A69">
        <w:rPr>
          <w:rFonts w:ascii="Source Sans Pro" w:hAnsi="Source Sans Pro" w:cstheme="majorHAnsi"/>
          <w:sz w:val="24"/>
          <w:szCs w:val="24"/>
        </w:rPr>
        <w:t xml:space="preserve"> </w:t>
      </w:r>
      <w:r w:rsidRPr="001D1A69">
        <w:rPr>
          <w:rStyle w:val="Emphasis"/>
          <w:rFonts w:ascii="Source Sans Pro" w:hAnsi="Source Sans Pro" w:cstheme="majorHAnsi"/>
          <w:i w:val="0"/>
          <w:iCs w:val="0"/>
          <w:sz w:val="24"/>
          <w:szCs w:val="24"/>
          <w:shd w:val="clear" w:color="auto" w:fill="FFFFFF"/>
        </w:rPr>
        <w:t>Æ</w:t>
      </w:r>
      <w:r w:rsidRPr="001D1A69">
        <w:rPr>
          <w:rFonts w:ascii="Source Sans Pro" w:hAnsi="Source Sans Pro" w:cstheme="majorHAnsi"/>
          <w:sz w:val="24"/>
          <w:szCs w:val="24"/>
        </w:rPr>
        <w:t>schere by Grendels mother, we see the males mourn too.</w:t>
      </w:r>
      <w:r w:rsidRPr="001D1A69">
        <w:rPr>
          <w:rStyle w:val="FootnoteReference"/>
          <w:rFonts w:ascii="Source Sans Pro" w:hAnsi="Source Sans Pro" w:cstheme="majorHAnsi"/>
          <w:sz w:val="24"/>
          <w:szCs w:val="24"/>
        </w:rPr>
        <w:footnoteReference w:id="85"/>
      </w:r>
      <w:r w:rsidRPr="001D1A69">
        <w:rPr>
          <w:rFonts w:ascii="Source Sans Pro" w:hAnsi="Source Sans Pro" w:cstheme="majorHAnsi"/>
          <w:sz w:val="24"/>
          <w:szCs w:val="24"/>
        </w:rPr>
        <w:t xml:space="preserve"> What is apparent is that the process of mourning for each gender is different, as are the reasons why they do so</w:t>
      </w:r>
      <w:r>
        <w:rPr>
          <w:rFonts w:ascii="Source Sans Pro" w:hAnsi="Source Sans Pro" w:cstheme="majorHAnsi"/>
          <w:sz w:val="24"/>
          <w:szCs w:val="24"/>
        </w:rPr>
        <w:t xml:space="preserve">. </w:t>
      </w:r>
      <w:r w:rsidRPr="001D1A69">
        <w:rPr>
          <w:rFonts w:ascii="Source Sans Pro" w:hAnsi="Source Sans Pro" w:cstheme="majorHAnsi"/>
          <w:sz w:val="24"/>
          <w:szCs w:val="24"/>
        </w:rPr>
        <w:t xml:space="preserve">These reasons are </w:t>
      </w:r>
      <w:r w:rsidR="00E33980">
        <w:rPr>
          <w:rFonts w:ascii="Source Sans Pro" w:hAnsi="Source Sans Pro" w:cstheme="majorHAnsi"/>
          <w:sz w:val="24"/>
          <w:szCs w:val="24"/>
        </w:rPr>
        <w:t>in the</w:t>
      </w:r>
      <w:r w:rsidRPr="001D1A69">
        <w:rPr>
          <w:rFonts w:ascii="Source Sans Pro" w:hAnsi="Source Sans Pro" w:cstheme="majorHAnsi"/>
          <w:sz w:val="24"/>
          <w:szCs w:val="24"/>
        </w:rPr>
        <w:t xml:space="preserve"> poem, when the messenger tells of Beowulf’s death and foreshadows that the females mourn as </w:t>
      </w:r>
      <w:r w:rsidR="001921C5">
        <w:rPr>
          <w:rFonts w:ascii="Source Sans Pro" w:hAnsi="Source Sans Pro" w:cstheme="majorHAnsi"/>
          <w:sz w:val="24"/>
          <w:szCs w:val="24"/>
        </w:rPr>
        <w:t>the members in the Geatish nation</w:t>
      </w:r>
      <w:r w:rsidRPr="001D1A69">
        <w:rPr>
          <w:rFonts w:ascii="Source Sans Pro" w:hAnsi="Source Sans Pro" w:cstheme="majorHAnsi"/>
          <w:sz w:val="24"/>
          <w:szCs w:val="24"/>
        </w:rPr>
        <w:t xml:space="preserve"> ‘will have to tread alien land,’ and that the males shall be called away from the harp to grasp ‘many a spear, chill in the morning.’</w:t>
      </w:r>
      <w:r w:rsidRPr="001D1A69">
        <w:rPr>
          <w:rStyle w:val="FootnoteReference"/>
          <w:rFonts w:ascii="Source Sans Pro" w:hAnsi="Source Sans Pro" w:cstheme="majorHAnsi"/>
          <w:sz w:val="24"/>
          <w:szCs w:val="24"/>
        </w:rPr>
        <w:t xml:space="preserve"> </w:t>
      </w:r>
      <w:r w:rsidRPr="001D1A69">
        <w:rPr>
          <w:rStyle w:val="FootnoteReference"/>
          <w:rFonts w:ascii="Source Sans Pro" w:hAnsi="Source Sans Pro" w:cstheme="majorHAnsi"/>
          <w:sz w:val="24"/>
          <w:szCs w:val="24"/>
        </w:rPr>
        <w:footnoteReference w:id="86"/>
      </w:r>
      <w:r w:rsidRPr="001D1A69">
        <w:rPr>
          <w:rFonts w:ascii="Source Sans Pro" w:hAnsi="Source Sans Pro" w:cstheme="majorHAnsi"/>
          <w:sz w:val="24"/>
          <w:szCs w:val="24"/>
        </w:rPr>
        <w:t xml:space="preserve"> </w:t>
      </w:r>
    </w:p>
    <w:p w14:paraId="56E78754" w14:textId="30F5F38D" w:rsidR="00F45E4E" w:rsidRDefault="006D301E" w:rsidP="00F50EC1">
      <w:pPr>
        <w:rPr>
          <w:rFonts w:ascii="Source Sans Pro" w:hAnsi="Source Sans Pro" w:cstheme="majorHAnsi"/>
          <w:sz w:val="24"/>
          <w:szCs w:val="24"/>
        </w:rPr>
      </w:pPr>
      <w:r>
        <w:rPr>
          <w:rFonts w:ascii="Source Sans Pro" w:hAnsi="Source Sans Pro" w:cstheme="majorHAnsi"/>
          <w:sz w:val="24"/>
          <w:szCs w:val="24"/>
        </w:rPr>
        <w:t>T</w:t>
      </w:r>
      <w:r w:rsidR="00F50EC1">
        <w:rPr>
          <w:rFonts w:ascii="Source Sans Pro" w:hAnsi="Source Sans Pro" w:cstheme="majorHAnsi"/>
          <w:sz w:val="24"/>
          <w:szCs w:val="24"/>
        </w:rPr>
        <w:t>he act of g</w:t>
      </w:r>
      <w:r w:rsidR="00F50EC1" w:rsidRPr="001D1A69">
        <w:rPr>
          <w:rFonts w:ascii="Source Sans Pro" w:hAnsi="Source Sans Pro" w:cstheme="majorHAnsi"/>
          <w:sz w:val="24"/>
          <w:szCs w:val="24"/>
        </w:rPr>
        <w:t xml:space="preserve">rieving is discouraged </w:t>
      </w:r>
      <w:r>
        <w:rPr>
          <w:rFonts w:ascii="Source Sans Pro" w:hAnsi="Source Sans Pro" w:cstheme="majorHAnsi"/>
          <w:sz w:val="24"/>
          <w:szCs w:val="24"/>
        </w:rPr>
        <w:t>at the beginning of the poem as</w:t>
      </w:r>
      <w:r w:rsidR="00F50EC1" w:rsidRPr="001D1A69">
        <w:rPr>
          <w:rFonts w:ascii="Source Sans Pro" w:hAnsi="Source Sans Pro" w:cstheme="majorHAnsi"/>
          <w:sz w:val="24"/>
          <w:szCs w:val="24"/>
        </w:rPr>
        <w:t xml:space="preserve"> ‘it is better for anyone that he should avenge his friend rather than mourn greatly.’</w:t>
      </w:r>
      <w:r w:rsidR="00F50EC1" w:rsidRPr="001D1A69">
        <w:rPr>
          <w:rStyle w:val="FootnoteReference"/>
          <w:rFonts w:ascii="Source Sans Pro" w:hAnsi="Source Sans Pro" w:cstheme="majorHAnsi"/>
          <w:sz w:val="24"/>
          <w:szCs w:val="24"/>
        </w:rPr>
        <w:footnoteReference w:id="87"/>
      </w:r>
      <w:r w:rsidR="00F45E4E">
        <w:rPr>
          <w:rFonts w:ascii="Source Sans Pro" w:hAnsi="Source Sans Pro" w:cstheme="majorHAnsi"/>
          <w:sz w:val="24"/>
          <w:szCs w:val="24"/>
        </w:rPr>
        <w:t xml:space="preserve"> </w:t>
      </w:r>
      <w:r w:rsidR="00F50EC1" w:rsidRPr="00504EFB">
        <w:rPr>
          <w:rFonts w:ascii="Source Sans Pro" w:hAnsi="Source Sans Pro" w:cstheme="majorHAnsi"/>
          <w:sz w:val="24"/>
          <w:szCs w:val="24"/>
        </w:rPr>
        <w:t>Th</w:t>
      </w:r>
      <w:r w:rsidR="00F50EC1">
        <w:rPr>
          <w:rFonts w:ascii="Source Sans Pro" w:hAnsi="Source Sans Pro" w:cstheme="majorHAnsi"/>
          <w:sz w:val="24"/>
          <w:szCs w:val="24"/>
        </w:rPr>
        <w:t>is seems to fit well for an epic poem which is written with the</w:t>
      </w:r>
      <w:r w:rsidR="00F50EC1" w:rsidRPr="00504EFB">
        <w:rPr>
          <w:rFonts w:ascii="Source Sans Pro" w:hAnsi="Source Sans Pro" w:cstheme="majorHAnsi"/>
          <w:sz w:val="24"/>
          <w:szCs w:val="24"/>
        </w:rPr>
        <w:t xml:space="preserve"> Germanic heroic code of conduct</w:t>
      </w:r>
      <w:r w:rsidR="00F50EC1">
        <w:rPr>
          <w:rFonts w:ascii="Source Sans Pro" w:hAnsi="Source Sans Pro" w:cstheme="majorHAnsi"/>
          <w:sz w:val="24"/>
          <w:szCs w:val="24"/>
        </w:rPr>
        <w:t xml:space="preserve"> in mind. This code is</w:t>
      </w:r>
      <w:r w:rsidR="00F50EC1" w:rsidRPr="00504EFB">
        <w:rPr>
          <w:rFonts w:ascii="Source Sans Pro" w:hAnsi="Source Sans Pro" w:cstheme="majorHAnsi"/>
          <w:sz w:val="24"/>
          <w:szCs w:val="24"/>
        </w:rPr>
        <w:t xml:space="preserve"> described by John Hill as ‘loyalty </w:t>
      </w:r>
      <w:r w:rsidR="00F50EC1" w:rsidRPr="00504EFB">
        <w:rPr>
          <w:rFonts w:ascii="Source Sans Pro" w:hAnsi="Source Sans Pro"/>
          <w:sz w:val="24"/>
          <w:szCs w:val="24"/>
        </w:rPr>
        <w:t xml:space="preserve">between retainer and warlord, as especially enacted by the exchange of gifts for services and services for gifts; </w:t>
      </w:r>
      <w:r w:rsidR="00F50EC1" w:rsidRPr="009E4C50">
        <w:rPr>
          <w:rFonts w:ascii="Source Sans Pro" w:hAnsi="Source Sans Pro"/>
          <w:i/>
          <w:sz w:val="24"/>
          <w:szCs w:val="24"/>
        </w:rPr>
        <w:t>revenge obligation regarding injury or death</w:t>
      </w:r>
      <w:r w:rsidR="00F50EC1">
        <w:rPr>
          <w:rFonts w:ascii="Source Sans Pro" w:hAnsi="Source Sans Pro"/>
          <w:sz w:val="24"/>
          <w:szCs w:val="24"/>
        </w:rPr>
        <w:t xml:space="preserve"> [emphasis added],</w:t>
      </w:r>
      <w:r w:rsidR="00F50EC1" w:rsidRPr="00504EFB">
        <w:rPr>
          <w:rFonts w:ascii="Source Sans Pro" w:hAnsi="Source Sans Pro"/>
          <w:sz w:val="24"/>
          <w:szCs w:val="24"/>
        </w:rPr>
        <w:t xml:space="preserve"> </w:t>
      </w:r>
      <w:r w:rsidR="00F50EC1" w:rsidRPr="00D71F95">
        <w:rPr>
          <w:rFonts w:ascii="Source Sans Pro" w:hAnsi="Source Sans Pro"/>
          <w:sz w:val="24"/>
          <w:szCs w:val="24"/>
        </w:rPr>
        <w:t>on behalf of kinsmen as well as for one’s lord; and fame-</w:t>
      </w:r>
      <w:r w:rsidR="00F50EC1" w:rsidRPr="00D71F95">
        <w:rPr>
          <w:rFonts w:ascii="Source Sans Pro" w:hAnsi="Source Sans Pro"/>
          <w:sz w:val="24"/>
          <w:szCs w:val="24"/>
        </w:rPr>
        <w:lastRenderedPageBreak/>
        <w:t>assuring battle courage, especially if a successful outcome—battlefield victory—seems impossible.’</w:t>
      </w:r>
      <w:r w:rsidR="00F50EC1" w:rsidRPr="00D71F95">
        <w:rPr>
          <w:rStyle w:val="FootnoteReference"/>
          <w:rFonts w:ascii="Source Sans Pro" w:hAnsi="Source Sans Pro"/>
          <w:sz w:val="24"/>
          <w:szCs w:val="24"/>
        </w:rPr>
        <w:footnoteReference w:id="88"/>
      </w:r>
      <w:r w:rsidR="00F50EC1" w:rsidRPr="00D71F95">
        <w:rPr>
          <w:rFonts w:ascii="Source Sans Pro" w:hAnsi="Source Sans Pro" w:cstheme="majorHAnsi"/>
          <w:sz w:val="24"/>
          <w:szCs w:val="24"/>
        </w:rPr>
        <w:t xml:space="preserve"> </w:t>
      </w:r>
      <w:r w:rsidR="00F45E4E">
        <w:rPr>
          <w:rFonts w:ascii="Source Sans Pro" w:hAnsi="Source Sans Pro" w:cstheme="majorHAnsi"/>
          <w:sz w:val="24"/>
          <w:szCs w:val="24"/>
        </w:rPr>
        <w:t>However, it seems as though the poem is constantly contradicting itself on this well-cited line, and grief and mourning are so solidly interlaced within the epic that it is hard to believe that the poet, or anyone within the poem, believed the words themselves. Right at the beginning of the poem, when recounting the funeral of Scyld Scefing, it is said that ‘their spirits were sad, their hearts sorrowful.’</w:t>
      </w:r>
      <w:r w:rsidR="00F45E4E">
        <w:rPr>
          <w:rStyle w:val="FootnoteReference"/>
          <w:rFonts w:ascii="Source Sans Pro" w:hAnsi="Source Sans Pro" w:cstheme="majorHAnsi"/>
          <w:sz w:val="24"/>
          <w:szCs w:val="24"/>
        </w:rPr>
        <w:footnoteReference w:id="89"/>
      </w:r>
      <w:r w:rsidR="00214E58">
        <w:rPr>
          <w:rFonts w:ascii="Source Sans Pro" w:hAnsi="Source Sans Pro" w:cstheme="majorHAnsi"/>
          <w:sz w:val="24"/>
          <w:szCs w:val="24"/>
        </w:rPr>
        <w:t xml:space="preserve"> </w:t>
      </w:r>
      <w:r w:rsidR="00F45E4E">
        <w:rPr>
          <w:rFonts w:ascii="Source Sans Pro" w:hAnsi="Source Sans Pro" w:cstheme="majorHAnsi"/>
          <w:sz w:val="24"/>
          <w:szCs w:val="24"/>
        </w:rPr>
        <w:t>Hrothgar’s first interaction with Grendel</w:t>
      </w:r>
      <w:r w:rsidR="00214E58">
        <w:rPr>
          <w:rFonts w:ascii="Source Sans Pro" w:hAnsi="Source Sans Pro" w:cstheme="majorHAnsi"/>
          <w:sz w:val="24"/>
          <w:szCs w:val="24"/>
        </w:rPr>
        <w:t xml:space="preserve"> is another example of such grief,</w:t>
      </w:r>
      <w:r w:rsidR="00F45E4E">
        <w:rPr>
          <w:rFonts w:ascii="Source Sans Pro" w:hAnsi="Source Sans Pro" w:cstheme="majorHAnsi"/>
          <w:sz w:val="24"/>
          <w:szCs w:val="24"/>
        </w:rPr>
        <w:t xml:space="preserve"> when ‘the feast arose weeping’ and ‘the mighty one suffered, grieved for his thanes.’</w:t>
      </w:r>
      <w:r w:rsidR="00F45E4E">
        <w:rPr>
          <w:rStyle w:val="FootnoteReference"/>
          <w:rFonts w:ascii="Source Sans Pro" w:hAnsi="Source Sans Pro" w:cstheme="majorHAnsi"/>
          <w:sz w:val="24"/>
          <w:szCs w:val="24"/>
        </w:rPr>
        <w:footnoteReference w:id="90"/>
      </w:r>
      <w:r w:rsidR="00F45E4E">
        <w:rPr>
          <w:rFonts w:ascii="Source Sans Pro" w:hAnsi="Source Sans Pro" w:cstheme="majorHAnsi"/>
          <w:sz w:val="24"/>
          <w:szCs w:val="24"/>
        </w:rPr>
        <w:t xml:space="preserve"> </w:t>
      </w:r>
      <w:r w:rsidR="00F45E4E" w:rsidRPr="001D1A69">
        <w:rPr>
          <w:rFonts w:ascii="Source Sans Pro" w:hAnsi="Source Sans Pro" w:cstheme="majorHAnsi"/>
          <w:sz w:val="24"/>
          <w:szCs w:val="24"/>
        </w:rPr>
        <w:t xml:space="preserve"> </w:t>
      </w:r>
      <w:r w:rsidR="00F45E4E">
        <w:rPr>
          <w:rFonts w:ascii="Source Sans Pro" w:hAnsi="Source Sans Pro" w:cstheme="majorHAnsi"/>
          <w:sz w:val="24"/>
          <w:szCs w:val="24"/>
        </w:rPr>
        <w:t>C</w:t>
      </w:r>
      <w:r w:rsidR="00F50EC1" w:rsidRPr="00D71F95">
        <w:rPr>
          <w:rFonts w:ascii="Source Sans Pro" w:hAnsi="Source Sans Pro" w:cstheme="majorHAnsi"/>
          <w:sz w:val="24"/>
          <w:szCs w:val="24"/>
        </w:rPr>
        <w:t>onsistent</w:t>
      </w:r>
      <w:r w:rsidR="005D3068">
        <w:rPr>
          <w:rFonts w:ascii="Source Sans Pro" w:hAnsi="Source Sans Pro" w:cstheme="majorHAnsi"/>
          <w:sz w:val="24"/>
          <w:szCs w:val="24"/>
        </w:rPr>
        <w:t>ly</w:t>
      </w:r>
      <w:r w:rsidR="00F50EC1" w:rsidRPr="00D71F95">
        <w:rPr>
          <w:rFonts w:ascii="Source Sans Pro" w:hAnsi="Source Sans Pro" w:cstheme="majorHAnsi"/>
          <w:sz w:val="24"/>
          <w:szCs w:val="24"/>
        </w:rPr>
        <w:t xml:space="preserve"> throughout </w:t>
      </w:r>
      <w:r w:rsidR="00F50EC1" w:rsidRPr="00D71F95">
        <w:rPr>
          <w:rFonts w:ascii="Source Sans Pro" w:hAnsi="Source Sans Pro" w:cstheme="majorHAnsi"/>
          <w:i/>
          <w:iCs/>
          <w:sz w:val="24"/>
          <w:szCs w:val="24"/>
        </w:rPr>
        <w:t>Beowulf</w:t>
      </w:r>
      <w:r w:rsidR="00F50EC1" w:rsidRPr="00D71F95">
        <w:rPr>
          <w:rFonts w:ascii="Source Sans Pro" w:hAnsi="Source Sans Pro" w:cstheme="majorHAnsi"/>
          <w:sz w:val="24"/>
          <w:szCs w:val="24"/>
        </w:rPr>
        <w:t>, it is shown that men die after their lord does in the ensuing fight for power, and women are left to mourn and be andropodised.</w:t>
      </w:r>
      <w:r w:rsidR="0040678D" w:rsidRPr="00D71F95">
        <w:rPr>
          <w:rFonts w:ascii="Source Sans Pro" w:hAnsi="Source Sans Pro" w:cstheme="majorHAnsi"/>
          <w:sz w:val="24"/>
          <w:szCs w:val="24"/>
        </w:rPr>
        <w:t xml:space="preserve"> </w:t>
      </w:r>
      <w:r w:rsidR="00F50EC1" w:rsidRPr="00D71F95">
        <w:rPr>
          <w:rFonts w:ascii="Source Sans Pro" w:hAnsi="Source Sans Pro" w:cstheme="majorHAnsi"/>
          <w:sz w:val="24"/>
          <w:szCs w:val="24"/>
        </w:rPr>
        <w:t>Therefore, the act of mourning</w:t>
      </w:r>
      <w:r w:rsidR="00F16818">
        <w:rPr>
          <w:rFonts w:ascii="Source Sans Pro" w:hAnsi="Source Sans Pro" w:cstheme="majorHAnsi"/>
          <w:sz w:val="24"/>
          <w:szCs w:val="24"/>
        </w:rPr>
        <w:t xml:space="preserve"> naturally</w:t>
      </w:r>
      <w:r w:rsidR="00F50EC1" w:rsidRPr="00D71F95">
        <w:rPr>
          <w:rFonts w:ascii="Source Sans Pro" w:hAnsi="Source Sans Pro" w:cstheme="majorHAnsi"/>
          <w:sz w:val="24"/>
          <w:szCs w:val="24"/>
        </w:rPr>
        <w:t xml:space="preserve"> becomes more intertwined with self-pity and fear than solely for the memory of the lost. </w:t>
      </w:r>
    </w:p>
    <w:p w14:paraId="0380394C" w14:textId="0B3F8F5D" w:rsidR="00077194" w:rsidRPr="00F45E4E" w:rsidRDefault="00432DF9" w:rsidP="00F50EC1">
      <w:pPr>
        <w:rPr>
          <w:rFonts w:ascii="Source Sans Pro" w:hAnsi="Source Sans Pro" w:cstheme="majorHAnsi"/>
          <w:sz w:val="24"/>
          <w:szCs w:val="24"/>
        </w:rPr>
      </w:pPr>
      <w:r w:rsidRPr="00D71F95">
        <w:rPr>
          <w:rFonts w:ascii="Source Sans Pro" w:hAnsi="Source Sans Pro" w:cstheme="majorHAnsi"/>
          <w:sz w:val="24"/>
          <w:szCs w:val="24"/>
        </w:rPr>
        <w:t>However, it is pertinent to note that the theme of men being slain after their lord’s death may not have been seen in terms of self-pity, as some would have considered it a heroic act.</w:t>
      </w:r>
      <w:r w:rsidR="003C7C11" w:rsidRPr="00D71F95">
        <w:rPr>
          <w:rFonts w:ascii="Source Sans Pro" w:hAnsi="Source Sans Pro" w:cstheme="majorHAnsi"/>
          <w:sz w:val="24"/>
          <w:szCs w:val="24"/>
        </w:rPr>
        <w:t xml:space="preserve"> For example,</w:t>
      </w:r>
      <w:r w:rsidRPr="00D71F95">
        <w:rPr>
          <w:rFonts w:ascii="Source Sans Pro" w:hAnsi="Source Sans Pro" w:cstheme="majorHAnsi"/>
          <w:sz w:val="24"/>
          <w:szCs w:val="24"/>
        </w:rPr>
        <w:t xml:space="preserve"> </w:t>
      </w:r>
      <w:r w:rsidR="00097280" w:rsidRPr="00D71F95">
        <w:rPr>
          <w:rFonts w:ascii="Source Sans Pro" w:hAnsi="Source Sans Pro" w:cstheme="majorHAnsi"/>
          <w:sz w:val="24"/>
          <w:szCs w:val="24"/>
        </w:rPr>
        <w:t>in</w:t>
      </w:r>
      <w:r w:rsidRPr="00D71F95">
        <w:rPr>
          <w:rFonts w:ascii="Source Sans Pro" w:hAnsi="Source Sans Pro" w:cstheme="majorHAnsi"/>
          <w:sz w:val="24"/>
          <w:szCs w:val="24"/>
        </w:rPr>
        <w:t xml:space="preserve"> </w:t>
      </w:r>
      <w:r w:rsidRPr="00D71F95">
        <w:rPr>
          <w:rFonts w:ascii="Source Sans Pro" w:hAnsi="Source Sans Pro" w:cstheme="majorHAnsi"/>
          <w:i/>
          <w:sz w:val="24"/>
          <w:szCs w:val="24"/>
        </w:rPr>
        <w:t>The</w:t>
      </w:r>
      <w:r w:rsidRPr="00D71F95">
        <w:rPr>
          <w:rFonts w:ascii="Source Sans Pro" w:hAnsi="Source Sans Pro" w:cstheme="majorHAnsi"/>
          <w:sz w:val="24"/>
          <w:szCs w:val="24"/>
        </w:rPr>
        <w:t xml:space="preserve"> </w:t>
      </w:r>
      <w:r w:rsidRPr="00D71F95">
        <w:rPr>
          <w:rFonts w:ascii="Source Sans Pro" w:hAnsi="Source Sans Pro" w:cstheme="majorHAnsi"/>
          <w:i/>
          <w:sz w:val="24"/>
          <w:szCs w:val="24"/>
        </w:rPr>
        <w:t>Battle of Maldon</w:t>
      </w:r>
      <w:r w:rsidRPr="00D71F95">
        <w:rPr>
          <w:rFonts w:ascii="Source Sans Pro" w:hAnsi="Source Sans Pro" w:cstheme="majorHAnsi"/>
          <w:sz w:val="24"/>
          <w:szCs w:val="24"/>
        </w:rPr>
        <w:t>,</w:t>
      </w:r>
      <w:r w:rsidRPr="00D71F95">
        <w:rPr>
          <w:rStyle w:val="FootnoteReference"/>
          <w:rFonts w:ascii="Source Sans Pro" w:hAnsi="Source Sans Pro" w:cstheme="majorHAnsi"/>
          <w:sz w:val="24"/>
          <w:szCs w:val="24"/>
        </w:rPr>
        <w:footnoteReference w:id="91"/>
      </w:r>
      <w:r w:rsidR="00083927" w:rsidRPr="00D71F95">
        <w:rPr>
          <w:rFonts w:ascii="Source Sans Pro" w:hAnsi="Source Sans Pro" w:cstheme="majorHAnsi"/>
          <w:sz w:val="24"/>
          <w:szCs w:val="24"/>
        </w:rPr>
        <w:t xml:space="preserve"> an Anglo</w:t>
      </w:r>
      <w:r w:rsidR="00083927">
        <w:rPr>
          <w:rFonts w:ascii="Source Sans Pro" w:hAnsi="Source Sans Pro" w:cstheme="majorHAnsi"/>
          <w:sz w:val="24"/>
          <w:szCs w:val="24"/>
        </w:rPr>
        <w:t>-Saxon poem based on a genuine battle which took place sometime around 991-994 AD,</w:t>
      </w:r>
      <w:r w:rsidR="00083927">
        <w:rPr>
          <w:rStyle w:val="FootnoteReference"/>
          <w:rFonts w:ascii="Source Sans Pro" w:hAnsi="Source Sans Pro" w:cstheme="majorHAnsi"/>
          <w:sz w:val="24"/>
          <w:szCs w:val="24"/>
        </w:rPr>
        <w:footnoteReference w:id="92"/>
      </w:r>
      <w:r w:rsidR="00083927">
        <w:rPr>
          <w:rFonts w:ascii="Source Sans Pro" w:hAnsi="Source Sans Pro" w:cstheme="majorHAnsi"/>
          <w:sz w:val="24"/>
          <w:szCs w:val="24"/>
        </w:rPr>
        <w:t xml:space="preserve"> </w:t>
      </w:r>
      <w:r w:rsidR="00AE2DFC">
        <w:rPr>
          <w:rFonts w:ascii="Source Sans Pro" w:hAnsi="Source Sans Pro" w:cstheme="majorHAnsi"/>
          <w:sz w:val="24"/>
          <w:szCs w:val="24"/>
        </w:rPr>
        <w:t xml:space="preserve">after the death of the battle-leader </w:t>
      </w:r>
      <w:r w:rsidR="00AE2DFC" w:rsidRPr="0063691F">
        <w:rPr>
          <w:rFonts w:ascii="Source Sans Pro" w:hAnsi="Source Sans Pro"/>
          <w:sz w:val="24"/>
          <w:szCs w:val="24"/>
        </w:rPr>
        <w:t>Byrhtnoð</w:t>
      </w:r>
      <w:r w:rsidR="00AE2DFC">
        <w:rPr>
          <w:rFonts w:ascii="Source Sans Pro" w:hAnsi="Source Sans Pro"/>
          <w:sz w:val="24"/>
          <w:szCs w:val="24"/>
        </w:rPr>
        <w:t xml:space="preserve"> his army are valorised for fighting to the death even though their cause is most likely lost. Those that run away, namely Godric and his two brothers, are labelled as cowards for abandoning their leader. </w:t>
      </w:r>
      <w:r w:rsidR="00AC480B">
        <w:rPr>
          <w:rFonts w:ascii="Source Sans Pro" w:hAnsi="Source Sans Pro"/>
          <w:sz w:val="24"/>
          <w:szCs w:val="24"/>
        </w:rPr>
        <w:t xml:space="preserve">However, this isn’t necessarily because </w:t>
      </w:r>
      <w:r w:rsidR="00AC480B" w:rsidRPr="0063691F">
        <w:rPr>
          <w:rFonts w:ascii="Source Sans Pro" w:hAnsi="Source Sans Pro"/>
          <w:sz w:val="24"/>
          <w:szCs w:val="24"/>
        </w:rPr>
        <w:t>Byrhtnoð</w:t>
      </w:r>
      <w:r w:rsidR="00AC480B">
        <w:rPr>
          <w:rFonts w:ascii="Source Sans Pro" w:hAnsi="Source Sans Pro"/>
          <w:sz w:val="24"/>
          <w:szCs w:val="24"/>
        </w:rPr>
        <w:t xml:space="preserve"> </w:t>
      </w:r>
      <w:r w:rsidR="00AC480B">
        <w:rPr>
          <w:rFonts w:ascii="Source Sans Pro" w:hAnsi="Source Sans Pro"/>
          <w:sz w:val="24"/>
          <w:szCs w:val="24"/>
        </w:rPr>
        <w:lastRenderedPageBreak/>
        <w:t>himself was the best leader or made the best decisions, in fact it has been argued by scholars that he was in fact quite gullible and that the failure in battle was partly imposed by his</w:t>
      </w:r>
      <w:r w:rsidR="00083927">
        <w:rPr>
          <w:rFonts w:ascii="Source Sans Pro" w:hAnsi="Source Sans Pro"/>
          <w:sz w:val="24"/>
          <w:szCs w:val="24"/>
        </w:rPr>
        <w:t xml:space="preserve"> own</w:t>
      </w:r>
      <w:r w:rsidR="00AC480B">
        <w:rPr>
          <w:rFonts w:ascii="Source Sans Pro" w:hAnsi="Source Sans Pro"/>
          <w:sz w:val="24"/>
          <w:szCs w:val="24"/>
        </w:rPr>
        <w:t xml:space="preserve"> stupidity</w:t>
      </w:r>
      <w:r w:rsidR="00BD542A">
        <w:rPr>
          <w:rFonts w:ascii="Source Sans Pro" w:hAnsi="Source Sans Pro"/>
          <w:sz w:val="24"/>
          <w:szCs w:val="24"/>
        </w:rPr>
        <w:t>,</w:t>
      </w:r>
      <w:r w:rsidR="00AC480B">
        <w:rPr>
          <w:rStyle w:val="FootnoteReference"/>
          <w:rFonts w:ascii="Source Sans Pro" w:hAnsi="Source Sans Pro"/>
          <w:sz w:val="24"/>
          <w:szCs w:val="24"/>
        </w:rPr>
        <w:footnoteReference w:id="93"/>
      </w:r>
      <w:r w:rsidR="00BD542A">
        <w:rPr>
          <w:rFonts w:ascii="Source Sans Pro" w:hAnsi="Source Sans Pro"/>
          <w:sz w:val="24"/>
          <w:szCs w:val="24"/>
        </w:rPr>
        <w:t xml:space="preserve"> a matter which isn’t addressed by the poet.</w:t>
      </w:r>
      <w:r w:rsidR="00C934E0">
        <w:rPr>
          <w:rFonts w:ascii="Source Sans Pro" w:hAnsi="Source Sans Pro"/>
          <w:sz w:val="24"/>
          <w:szCs w:val="24"/>
        </w:rPr>
        <w:t xml:space="preserve"> Regardless of this, the warriors fighting under his banner decide to continue </w:t>
      </w:r>
      <w:r w:rsidR="00AE53DE">
        <w:rPr>
          <w:rFonts w:ascii="Source Sans Pro" w:hAnsi="Source Sans Pro"/>
          <w:sz w:val="24"/>
          <w:szCs w:val="24"/>
        </w:rPr>
        <w:t>to do so</w:t>
      </w:r>
      <w:r w:rsidR="00C934E0">
        <w:rPr>
          <w:rFonts w:ascii="Source Sans Pro" w:hAnsi="Source Sans Pro"/>
          <w:sz w:val="24"/>
          <w:szCs w:val="24"/>
        </w:rPr>
        <w:t xml:space="preserve"> in </w:t>
      </w:r>
      <w:r w:rsidR="00AE53DE">
        <w:rPr>
          <w:rFonts w:ascii="Source Sans Pro" w:hAnsi="Source Sans Pro"/>
          <w:sz w:val="24"/>
          <w:szCs w:val="24"/>
        </w:rPr>
        <w:t>honour of their lord</w:t>
      </w:r>
      <w:r w:rsidR="00BD542A">
        <w:rPr>
          <w:rFonts w:ascii="Source Sans Pro" w:hAnsi="Source Sans Pro"/>
          <w:sz w:val="24"/>
          <w:szCs w:val="24"/>
        </w:rPr>
        <w:t xml:space="preserve">, probably </w:t>
      </w:r>
      <w:r w:rsidR="00470C40">
        <w:rPr>
          <w:rFonts w:ascii="Source Sans Pro" w:hAnsi="Source Sans Pro"/>
          <w:sz w:val="24"/>
          <w:szCs w:val="24"/>
        </w:rPr>
        <w:t>relat</w:t>
      </w:r>
      <w:r w:rsidR="00077194">
        <w:rPr>
          <w:rFonts w:ascii="Source Sans Pro" w:hAnsi="Source Sans Pro"/>
          <w:sz w:val="24"/>
          <w:szCs w:val="24"/>
        </w:rPr>
        <w:t>ing</w:t>
      </w:r>
      <w:r w:rsidR="00470C40">
        <w:rPr>
          <w:rFonts w:ascii="Source Sans Pro" w:hAnsi="Source Sans Pro"/>
          <w:sz w:val="24"/>
          <w:szCs w:val="24"/>
        </w:rPr>
        <w:t xml:space="preserve"> to</w:t>
      </w:r>
      <w:r w:rsidR="00BD542A">
        <w:rPr>
          <w:rFonts w:ascii="Source Sans Pro" w:hAnsi="Source Sans Pro"/>
          <w:sz w:val="24"/>
          <w:szCs w:val="24"/>
        </w:rPr>
        <w:t xml:space="preserve"> the Germanic Code of conduct</w:t>
      </w:r>
      <w:r w:rsidR="00AE53DE">
        <w:rPr>
          <w:rFonts w:ascii="Source Sans Pro" w:hAnsi="Source Sans Pro"/>
          <w:sz w:val="24"/>
          <w:szCs w:val="24"/>
        </w:rPr>
        <w:t>.</w:t>
      </w:r>
      <w:r w:rsidR="00703FF5">
        <w:rPr>
          <w:rFonts w:ascii="Source Sans Pro" w:hAnsi="Source Sans Pro"/>
          <w:sz w:val="24"/>
          <w:szCs w:val="24"/>
        </w:rPr>
        <w:t xml:space="preserve"> This valorisation of fighting to the death after the lord die</w:t>
      </w:r>
      <w:r w:rsidR="00AE53DE">
        <w:rPr>
          <w:rFonts w:ascii="Source Sans Pro" w:hAnsi="Source Sans Pro"/>
          <w:sz w:val="24"/>
          <w:szCs w:val="24"/>
        </w:rPr>
        <w:t>s</w:t>
      </w:r>
      <w:r w:rsidR="00BD542A">
        <w:rPr>
          <w:rFonts w:ascii="Source Sans Pro" w:hAnsi="Source Sans Pro"/>
          <w:sz w:val="24"/>
          <w:szCs w:val="24"/>
        </w:rPr>
        <w:t xml:space="preserve"> during battle</w:t>
      </w:r>
      <w:r w:rsidR="00703FF5">
        <w:rPr>
          <w:rFonts w:ascii="Source Sans Pro" w:hAnsi="Source Sans Pro"/>
          <w:sz w:val="24"/>
          <w:szCs w:val="24"/>
        </w:rPr>
        <w:t xml:space="preserve"> proves that such an act was an admirable quality</w:t>
      </w:r>
      <w:r w:rsidR="00BD542A">
        <w:rPr>
          <w:rFonts w:ascii="Source Sans Pro" w:hAnsi="Source Sans Pro"/>
          <w:sz w:val="24"/>
          <w:szCs w:val="24"/>
        </w:rPr>
        <w:t xml:space="preserve"> and would have been</w:t>
      </w:r>
      <w:r w:rsidR="00703FF5">
        <w:rPr>
          <w:rFonts w:ascii="Source Sans Pro" w:hAnsi="Source Sans Pro"/>
          <w:sz w:val="24"/>
          <w:szCs w:val="24"/>
        </w:rPr>
        <w:t xml:space="preserve"> </w:t>
      </w:r>
      <w:r w:rsidR="00BD542A">
        <w:rPr>
          <w:rFonts w:ascii="Source Sans Pro" w:hAnsi="Source Sans Pro"/>
          <w:sz w:val="24"/>
          <w:szCs w:val="24"/>
        </w:rPr>
        <w:t>seen as</w:t>
      </w:r>
      <w:r w:rsidR="00703FF5">
        <w:rPr>
          <w:rFonts w:ascii="Source Sans Pro" w:hAnsi="Source Sans Pro"/>
          <w:sz w:val="24"/>
          <w:szCs w:val="24"/>
        </w:rPr>
        <w:t xml:space="preserve"> commendab</w:t>
      </w:r>
      <w:r w:rsidR="00077194">
        <w:rPr>
          <w:rFonts w:ascii="Source Sans Pro" w:hAnsi="Source Sans Pro"/>
          <w:sz w:val="24"/>
          <w:szCs w:val="24"/>
        </w:rPr>
        <w:t>le, though i</w:t>
      </w:r>
      <w:r w:rsidR="00ED14F6">
        <w:rPr>
          <w:rFonts w:ascii="Source Sans Pro" w:hAnsi="Source Sans Pro"/>
          <w:sz w:val="24"/>
          <w:szCs w:val="24"/>
        </w:rPr>
        <w:t>t</w:t>
      </w:r>
      <w:r w:rsidR="00703FF5">
        <w:rPr>
          <w:rFonts w:ascii="Source Sans Pro" w:hAnsi="Source Sans Pro"/>
          <w:sz w:val="24"/>
          <w:szCs w:val="24"/>
        </w:rPr>
        <w:t xml:space="preserve"> would also have been more of a matter of honour than one of choice</w:t>
      </w:r>
      <w:r w:rsidR="00ED14F6">
        <w:rPr>
          <w:rFonts w:ascii="Source Sans Pro" w:hAnsi="Source Sans Pro"/>
          <w:sz w:val="24"/>
          <w:szCs w:val="24"/>
        </w:rPr>
        <w:t xml:space="preserve"> or vengeance as</w:t>
      </w:r>
      <w:r w:rsidR="00703FF5">
        <w:rPr>
          <w:rFonts w:ascii="Source Sans Pro" w:hAnsi="Source Sans Pro"/>
          <w:sz w:val="24"/>
          <w:szCs w:val="24"/>
        </w:rPr>
        <w:t xml:space="preserve"> dying a coward would have been worse than fighting to the death.</w:t>
      </w:r>
      <w:r w:rsidR="00ED14F6">
        <w:rPr>
          <w:rFonts w:ascii="Source Sans Pro" w:hAnsi="Source Sans Pro"/>
          <w:sz w:val="24"/>
          <w:szCs w:val="24"/>
        </w:rPr>
        <w:t xml:space="preserve"> </w:t>
      </w:r>
    </w:p>
    <w:p w14:paraId="3D3200BD" w14:textId="2898CD1F" w:rsidR="00F50EC1" w:rsidRPr="00FB3387" w:rsidRDefault="00F45E4E" w:rsidP="00F50EC1">
      <w:pPr>
        <w:rPr>
          <w:rFonts w:ascii="Source Sans Pro" w:hAnsi="Source Sans Pro" w:cstheme="majorHAnsi"/>
          <w:sz w:val="24"/>
          <w:szCs w:val="24"/>
        </w:rPr>
      </w:pPr>
      <w:r>
        <w:rPr>
          <w:rFonts w:ascii="Source Sans Pro" w:hAnsi="Source Sans Pro"/>
          <w:sz w:val="24"/>
          <w:szCs w:val="24"/>
        </w:rPr>
        <w:t>T</w:t>
      </w:r>
      <w:r w:rsidR="00BD542A">
        <w:rPr>
          <w:rFonts w:ascii="Source Sans Pro" w:hAnsi="Source Sans Pro"/>
          <w:sz w:val="24"/>
          <w:szCs w:val="24"/>
        </w:rPr>
        <w:t xml:space="preserve">his </w:t>
      </w:r>
      <w:r w:rsidR="00ED14F6">
        <w:rPr>
          <w:rFonts w:ascii="Source Sans Pro" w:hAnsi="Source Sans Pro"/>
          <w:sz w:val="24"/>
          <w:szCs w:val="24"/>
        </w:rPr>
        <w:t>attitude</w:t>
      </w:r>
      <w:r>
        <w:rPr>
          <w:rFonts w:ascii="Source Sans Pro" w:hAnsi="Source Sans Pro"/>
          <w:sz w:val="24"/>
          <w:szCs w:val="24"/>
        </w:rPr>
        <w:t xml:space="preserve"> </w:t>
      </w:r>
      <w:r w:rsidR="00ED14F6">
        <w:rPr>
          <w:rFonts w:ascii="Source Sans Pro" w:hAnsi="Source Sans Pro"/>
          <w:sz w:val="24"/>
          <w:szCs w:val="24"/>
        </w:rPr>
        <w:t>would have been towards a battle in action</w:t>
      </w:r>
      <w:r w:rsidR="00BD542A">
        <w:rPr>
          <w:rFonts w:ascii="Source Sans Pro" w:hAnsi="Source Sans Pro"/>
          <w:sz w:val="24"/>
          <w:szCs w:val="24"/>
        </w:rPr>
        <w:t xml:space="preserve"> or at a time where vengeance is possible</w:t>
      </w:r>
      <w:r w:rsidR="00214E58">
        <w:rPr>
          <w:rFonts w:ascii="Source Sans Pro" w:hAnsi="Source Sans Pro"/>
          <w:sz w:val="24"/>
          <w:szCs w:val="24"/>
        </w:rPr>
        <w:t xml:space="preserve"> and just, not at a time</w:t>
      </w:r>
      <w:r w:rsidR="00ED14F6">
        <w:rPr>
          <w:rFonts w:ascii="Source Sans Pro" w:hAnsi="Source Sans Pro"/>
          <w:sz w:val="24"/>
          <w:szCs w:val="24"/>
        </w:rPr>
        <w:t xml:space="preserve"> wh</w:t>
      </w:r>
      <w:r w:rsidR="00BD542A">
        <w:rPr>
          <w:rFonts w:ascii="Source Sans Pro" w:hAnsi="Source Sans Pro"/>
          <w:sz w:val="24"/>
          <w:szCs w:val="24"/>
        </w:rPr>
        <w:t xml:space="preserve">ere the death </w:t>
      </w:r>
      <w:r w:rsidR="00B018EB">
        <w:rPr>
          <w:rFonts w:ascii="Source Sans Pro" w:hAnsi="Source Sans Pro"/>
          <w:sz w:val="24"/>
          <w:szCs w:val="24"/>
        </w:rPr>
        <w:t>did not require</w:t>
      </w:r>
      <w:r w:rsidR="00470C40">
        <w:rPr>
          <w:rFonts w:ascii="Source Sans Pro" w:hAnsi="Source Sans Pro"/>
          <w:sz w:val="24"/>
          <w:szCs w:val="24"/>
        </w:rPr>
        <w:t xml:space="preserve"> a clear</w:t>
      </w:r>
      <w:r w:rsidR="00B018EB">
        <w:rPr>
          <w:rFonts w:ascii="Source Sans Pro" w:hAnsi="Source Sans Pro"/>
          <w:sz w:val="24"/>
          <w:szCs w:val="24"/>
        </w:rPr>
        <w:t xml:space="preserve"> vengeance</w:t>
      </w:r>
      <w:r w:rsidR="00470C40">
        <w:rPr>
          <w:rFonts w:ascii="Source Sans Pro" w:hAnsi="Source Sans Pro"/>
          <w:sz w:val="24"/>
          <w:szCs w:val="24"/>
        </w:rPr>
        <w:t xml:space="preserve"> code</w:t>
      </w:r>
      <w:r w:rsidR="00BD542A">
        <w:rPr>
          <w:rFonts w:ascii="Source Sans Pro" w:hAnsi="Source Sans Pro"/>
          <w:sz w:val="24"/>
          <w:szCs w:val="24"/>
        </w:rPr>
        <w:t xml:space="preserve"> </w:t>
      </w:r>
      <w:r w:rsidR="00077194">
        <w:rPr>
          <w:rFonts w:ascii="Source Sans Pro" w:hAnsi="Source Sans Pro"/>
          <w:sz w:val="24"/>
          <w:szCs w:val="24"/>
        </w:rPr>
        <w:t xml:space="preserve">or when no vengeance </w:t>
      </w:r>
      <w:r w:rsidR="00214E58">
        <w:rPr>
          <w:rFonts w:ascii="Source Sans Pro" w:hAnsi="Source Sans Pro"/>
          <w:sz w:val="24"/>
          <w:szCs w:val="24"/>
        </w:rPr>
        <w:t>could be had;</w:t>
      </w:r>
      <w:r w:rsidR="00077194">
        <w:rPr>
          <w:rFonts w:ascii="Source Sans Pro" w:hAnsi="Source Sans Pro"/>
          <w:sz w:val="24"/>
          <w:szCs w:val="24"/>
        </w:rPr>
        <w:t xml:space="preserve"> as </w:t>
      </w:r>
      <w:r w:rsidR="00214E58">
        <w:rPr>
          <w:rFonts w:ascii="Source Sans Pro" w:hAnsi="Source Sans Pro"/>
          <w:sz w:val="24"/>
          <w:szCs w:val="24"/>
        </w:rPr>
        <w:t xml:space="preserve">was </w:t>
      </w:r>
      <w:r w:rsidR="00077194">
        <w:rPr>
          <w:rFonts w:ascii="Source Sans Pro" w:hAnsi="Source Sans Pro"/>
          <w:sz w:val="24"/>
          <w:szCs w:val="24"/>
        </w:rPr>
        <w:t>the death of</w:t>
      </w:r>
      <w:r w:rsidR="00BD542A">
        <w:rPr>
          <w:rFonts w:ascii="Source Sans Pro" w:hAnsi="Source Sans Pro"/>
          <w:sz w:val="24"/>
          <w:szCs w:val="24"/>
        </w:rPr>
        <w:t xml:space="preserve"> Beowulf</w:t>
      </w:r>
      <w:r w:rsidR="00214E58">
        <w:rPr>
          <w:rFonts w:ascii="Source Sans Pro" w:hAnsi="Source Sans Pro"/>
          <w:sz w:val="24"/>
          <w:szCs w:val="24"/>
        </w:rPr>
        <w:t xml:space="preserve"> as</w:t>
      </w:r>
      <w:r w:rsidR="00077194">
        <w:rPr>
          <w:rFonts w:ascii="Source Sans Pro" w:hAnsi="Source Sans Pro"/>
          <w:sz w:val="24"/>
          <w:szCs w:val="24"/>
        </w:rPr>
        <w:t xml:space="preserve"> he</w:t>
      </w:r>
      <w:r w:rsidR="00BD542A">
        <w:rPr>
          <w:rFonts w:ascii="Source Sans Pro" w:hAnsi="Source Sans Pro"/>
          <w:sz w:val="24"/>
          <w:szCs w:val="24"/>
        </w:rPr>
        <w:t xml:space="preserve"> kill</w:t>
      </w:r>
      <w:r w:rsidR="00077194">
        <w:rPr>
          <w:rFonts w:ascii="Source Sans Pro" w:hAnsi="Source Sans Pro"/>
          <w:sz w:val="24"/>
          <w:szCs w:val="24"/>
        </w:rPr>
        <w:t>ed</w:t>
      </w:r>
      <w:r w:rsidR="00BD542A">
        <w:rPr>
          <w:rFonts w:ascii="Source Sans Pro" w:hAnsi="Source Sans Pro"/>
          <w:sz w:val="24"/>
          <w:szCs w:val="24"/>
        </w:rPr>
        <w:t xml:space="preserve"> the dragon himself</w:t>
      </w:r>
      <w:r w:rsidR="00677065">
        <w:rPr>
          <w:rFonts w:ascii="Source Sans Pro" w:hAnsi="Source Sans Pro"/>
          <w:sz w:val="24"/>
          <w:szCs w:val="24"/>
        </w:rPr>
        <w:t>.</w:t>
      </w:r>
      <w:r w:rsidR="00BD542A">
        <w:rPr>
          <w:rFonts w:ascii="Source Sans Pro" w:hAnsi="Source Sans Pro"/>
          <w:sz w:val="24"/>
          <w:szCs w:val="24"/>
        </w:rPr>
        <w:t xml:space="preserve"> </w:t>
      </w:r>
      <w:r w:rsidR="00677065">
        <w:rPr>
          <w:rFonts w:ascii="Source Sans Pro" w:hAnsi="Source Sans Pro"/>
          <w:sz w:val="24"/>
          <w:szCs w:val="24"/>
        </w:rPr>
        <w:t>T</w:t>
      </w:r>
      <w:r w:rsidR="00BD542A">
        <w:rPr>
          <w:rFonts w:ascii="Source Sans Pro" w:hAnsi="Source Sans Pro"/>
          <w:sz w:val="24"/>
          <w:szCs w:val="24"/>
        </w:rPr>
        <w:t>he death</w:t>
      </w:r>
      <w:r w:rsidR="00677065">
        <w:rPr>
          <w:rFonts w:ascii="Source Sans Pro" w:hAnsi="Source Sans Pro"/>
          <w:sz w:val="24"/>
          <w:szCs w:val="24"/>
        </w:rPr>
        <w:t xml:space="preserve"> of leaders immediately</w:t>
      </w:r>
      <w:r w:rsidR="00BD542A">
        <w:rPr>
          <w:rFonts w:ascii="Source Sans Pro" w:hAnsi="Source Sans Pro"/>
          <w:sz w:val="24"/>
          <w:szCs w:val="24"/>
        </w:rPr>
        <w:t xml:space="preserve"> causes a feeling of imminent doom throughout</w:t>
      </w:r>
      <w:r w:rsidR="00677065">
        <w:rPr>
          <w:rFonts w:ascii="Source Sans Pro" w:hAnsi="Source Sans Pro"/>
          <w:sz w:val="24"/>
          <w:szCs w:val="24"/>
        </w:rPr>
        <w:t xml:space="preserve"> </w:t>
      </w:r>
      <w:r w:rsidR="00677065" w:rsidRPr="00077194">
        <w:rPr>
          <w:rFonts w:ascii="Source Sans Pro" w:hAnsi="Source Sans Pro"/>
          <w:i/>
          <w:iCs/>
          <w:sz w:val="24"/>
          <w:szCs w:val="24"/>
        </w:rPr>
        <w:t>Beowulf</w:t>
      </w:r>
      <w:r w:rsidR="00BD542A">
        <w:rPr>
          <w:rFonts w:ascii="Source Sans Pro" w:hAnsi="Source Sans Pro"/>
          <w:sz w:val="24"/>
          <w:szCs w:val="24"/>
        </w:rPr>
        <w:t>.</w:t>
      </w:r>
      <w:r w:rsidR="00677065">
        <w:rPr>
          <w:rFonts w:ascii="Source Sans Pro" w:hAnsi="Source Sans Pro"/>
          <w:sz w:val="24"/>
          <w:szCs w:val="24"/>
        </w:rPr>
        <w:t xml:space="preserve"> </w:t>
      </w:r>
      <w:r w:rsidR="00ED14F6">
        <w:rPr>
          <w:rFonts w:ascii="Source Sans Pro" w:hAnsi="Source Sans Pro" w:cstheme="majorHAnsi"/>
          <w:sz w:val="24"/>
          <w:szCs w:val="24"/>
        </w:rPr>
        <w:t>Th</w:t>
      </w:r>
      <w:r w:rsidR="000105BF">
        <w:rPr>
          <w:rFonts w:ascii="Source Sans Pro" w:hAnsi="Source Sans Pro" w:cstheme="majorHAnsi"/>
          <w:sz w:val="24"/>
          <w:szCs w:val="24"/>
        </w:rPr>
        <w:t>is</w:t>
      </w:r>
      <w:r w:rsidR="00F50EC1" w:rsidRPr="001D1A69">
        <w:rPr>
          <w:rFonts w:ascii="Source Sans Pro" w:hAnsi="Source Sans Pro" w:cstheme="majorHAnsi"/>
          <w:sz w:val="24"/>
          <w:szCs w:val="24"/>
        </w:rPr>
        <w:t xml:space="preserve"> </w:t>
      </w:r>
      <w:r w:rsidR="00432DF9">
        <w:rPr>
          <w:rFonts w:ascii="Source Sans Pro" w:hAnsi="Source Sans Pro" w:cstheme="majorHAnsi"/>
          <w:sz w:val="24"/>
          <w:szCs w:val="24"/>
        </w:rPr>
        <w:t>self-pity and foreboding attitude to the death of a leader is</w:t>
      </w:r>
      <w:r w:rsidR="00F50EC1" w:rsidRPr="001D1A69">
        <w:rPr>
          <w:rFonts w:ascii="Source Sans Pro" w:hAnsi="Source Sans Pro" w:cstheme="majorHAnsi"/>
          <w:sz w:val="24"/>
          <w:szCs w:val="24"/>
        </w:rPr>
        <w:t xml:space="preserve"> </w:t>
      </w:r>
      <w:r w:rsidR="00ED14F6">
        <w:rPr>
          <w:rFonts w:ascii="Source Sans Pro" w:hAnsi="Source Sans Pro" w:cstheme="majorHAnsi"/>
          <w:sz w:val="24"/>
          <w:szCs w:val="24"/>
        </w:rPr>
        <w:t>highlighted during</w:t>
      </w:r>
      <w:r w:rsidR="00BD542A">
        <w:rPr>
          <w:rFonts w:ascii="Source Sans Pro" w:hAnsi="Source Sans Pro" w:cstheme="majorHAnsi"/>
          <w:sz w:val="24"/>
          <w:szCs w:val="24"/>
        </w:rPr>
        <w:t xml:space="preserve"> the</w:t>
      </w:r>
      <w:r w:rsidR="00ED14F6">
        <w:rPr>
          <w:rFonts w:ascii="Source Sans Pro" w:hAnsi="Source Sans Pro" w:cstheme="majorHAnsi"/>
          <w:sz w:val="24"/>
          <w:szCs w:val="24"/>
        </w:rPr>
        <w:t xml:space="preserve"> </w:t>
      </w:r>
      <w:r w:rsidR="00F50EC1" w:rsidRPr="001D1A69">
        <w:rPr>
          <w:rFonts w:ascii="Source Sans Pro" w:hAnsi="Source Sans Pro" w:cstheme="majorHAnsi"/>
          <w:sz w:val="24"/>
          <w:szCs w:val="24"/>
        </w:rPr>
        <w:t>funera</w:t>
      </w:r>
      <w:r w:rsidR="00BD542A">
        <w:rPr>
          <w:rFonts w:ascii="Source Sans Pro" w:hAnsi="Source Sans Pro" w:cstheme="majorHAnsi"/>
          <w:sz w:val="24"/>
          <w:szCs w:val="24"/>
        </w:rPr>
        <w:t>l scene</w:t>
      </w:r>
      <w:r w:rsidR="00ED14F6">
        <w:rPr>
          <w:rFonts w:ascii="Source Sans Pro" w:hAnsi="Source Sans Pro" w:cstheme="majorHAnsi"/>
          <w:sz w:val="24"/>
          <w:szCs w:val="24"/>
        </w:rPr>
        <w:t>,</w:t>
      </w:r>
      <w:r w:rsidR="00F50EC1" w:rsidRPr="001D1A69">
        <w:rPr>
          <w:rFonts w:ascii="Source Sans Pro" w:hAnsi="Source Sans Pro" w:cstheme="majorHAnsi"/>
          <w:sz w:val="24"/>
          <w:szCs w:val="24"/>
        </w:rPr>
        <w:t xml:space="preserve"> when a Geatish woman sings a lay within which she expresses</w:t>
      </w:r>
      <w:r w:rsidR="00F50EC1">
        <w:rPr>
          <w:rFonts w:ascii="Source Sans Pro" w:hAnsi="Source Sans Pro" w:cstheme="majorHAnsi"/>
          <w:sz w:val="24"/>
          <w:szCs w:val="24"/>
        </w:rPr>
        <w:t xml:space="preserve"> her</w:t>
      </w:r>
      <w:r w:rsidR="00F50EC1" w:rsidRPr="001D1A69">
        <w:rPr>
          <w:rFonts w:ascii="Source Sans Pro" w:hAnsi="Source Sans Pro" w:cstheme="majorHAnsi"/>
          <w:sz w:val="24"/>
          <w:szCs w:val="24"/>
        </w:rPr>
        <w:t xml:space="preserve"> fear for the future</w:t>
      </w:r>
      <w:r w:rsidR="00F50EC1">
        <w:rPr>
          <w:rFonts w:ascii="Source Sans Pro" w:hAnsi="Source Sans Pro" w:cstheme="majorHAnsi"/>
          <w:sz w:val="24"/>
          <w:szCs w:val="24"/>
        </w:rPr>
        <w:t xml:space="preserve"> and foreshadows the fall of the Geats</w:t>
      </w:r>
      <w:r w:rsidR="00F50EC1" w:rsidRPr="001D1A69">
        <w:rPr>
          <w:rFonts w:ascii="Source Sans Pro" w:hAnsi="Source Sans Pro" w:cstheme="majorHAnsi"/>
          <w:sz w:val="24"/>
          <w:szCs w:val="24"/>
        </w:rPr>
        <w:t>.</w:t>
      </w:r>
      <w:r w:rsidR="00F50EC1" w:rsidRPr="001D1A69">
        <w:rPr>
          <w:rStyle w:val="FootnoteReference"/>
          <w:rFonts w:ascii="Source Sans Pro" w:hAnsi="Source Sans Pro" w:cstheme="majorHAnsi"/>
          <w:sz w:val="24"/>
          <w:szCs w:val="24"/>
        </w:rPr>
        <w:footnoteReference w:id="94"/>
      </w:r>
      <w:r w:rsidR="00F50EC1" w:rsidRPr="001D1A69">
        <w:rPr>
          <w:rFonts w:ascii="Source Sans Pro" w:hAnsi="Source Sans Pro" w:cstheme="majorHAnsi"/>
          <w:sz w:val="24"/>
          <w:szCs w:val="24"/>
        </w:rPr>
        <w:t xml:space="preserve"> </w:t>
      </w:r>
      <w:r>
        <w:rPr>
          <w:rFonts w:ascii="Source Sans Pro" w:hAnsi="Source Sans Pro" w:cstheme="majorHAnsi"/>
          <w:sz w:val="24"/>
          <w:szCs w:val="24"/>
        </w:rPr>
        <w:t xml:space="preserve">The fact that the mourning </w:t>
      </w:r>
      <w:r w:rsidR="00F50EC1" w:rsidRPr="001D1A69">
        <w:rPr>
          <w:rFonts w:ascii="Source Sans Pro" w:hAnsi="Source Sans Pro" w:cstheme="majorHAnsi"/>
          <w:sz w:val="24"/>
          <w:szCs w:val="24"/>
        </w:rPr>
        <w:t>is included</w:t>
      </w:r>
      <w:r>
        <w:rPr>
          <w:rFonts w:ascii="Source Sans Pro" w:hAnsi="Source Sans Pro" w:cstheme="majorHAnsi"/>
          <w:sz w:val="24"/>
          <w:szCs w:val="24"/>
        </w:rPr>
        <w:t xml:space="preserve"> </w:t>
      </w:r>
      <w:r w:rsidR="00A44354">
        <w:rPr>
          <w:rFonts w:ascii="Source Sans Pro" w:hAnsi="Source Sans Pro" w:cstheme="majorHAnsi"/>
          <w:sz w:val="24"/>
          <w:szCs w:val="24"/>
        </w:rPr>
        <w:t>throughout</w:t>
      </w:r>
      <w:r>
        <w:rPr>
          <w:rFonts w:ascii="Source Sans Pro" w:hAnsi="Source Sans Pro" w:cstheme="majorHAnsi"/>
          <w:sz w:val="24"/>
          <w:szCs w:val="24"/>
        </w:rPr>
        <w:t xml:space="preserve"> the whole poem with some key characters (such as Hrothgar)</w:t>
      </w:r>
      <w:r w:rsidR="00F50EC1" w:rsidRPr="001D1A69">
        <w:rPr>
          <w:rFonts w:ascii="Source Sans Pro" w:hAnsi="Source Sans Pro" w:cstheme="majorHAnsi"/>
          <w:sz w:val="24"/>
          <w:szCs w:val="24"/>
        </w:rPr>
        <w:t xml:space="preserve"> regardless</w:t>
      </w:r>
      <w:r w:rsidR="00F50EC1">
        <w:rPr>
          <w:rFonts w:ascii="Source Sans Pro" w:hAnsi="Source Sans Pro" w:cstheme="majorHAnsi"/>
          <w:sz w:val="24"/>
          <w:szCs w:val="24"/>
        </w:rPr>
        <w:t xml:space="preserve"> of the fact that it is not the most idealistic or heroic course of action</w:t>
      </w:r>
      <w:r w:rsidR="00F50EC1" w:rsidRPr="001D1A69">
        <w:rPr>
          <w:rFonts w:ascii="Source Sans Pro" w:hAnsi="Source Sans Pro" w:cstheme="majorHAnsi"/>
          <w:sz w:val="24"/>
          <w:szCs w:val="24"/>
        </w:rPr>
        <w:t xml:space="preserve"> shows that the poem tries to reflect the true essence of humanity alongside the idealised standards individuals were supposed to try and hold themselves to.</w:t>
      </w:r>
      <w:r w:rsidR="00F50EC1">
        <w:rPr>
          <w:rFonts w:ascii="Source Sans Pro" w:hAnsi="Source Sans Pro" w:cstheme="majorHAnsi"/>
          <w:sz w:val="24"/>
          <w:szCs w:val="24"/>
        </w:rPr>
        <w:t xml:space="preserve"> This can further be implied </w:t>
      </w:r>
      <w:r w:rsidR="00F50EC1">
        <w:rPr>
          <w:rFonts w:ascii="Source Sans Pro" w:hAnsi="Source Sans Pro" w:cstheme="majorHAnsi"/>
          <w:sz w:val="24"/>
          <w:szCs w:val="24"/>
        </w:rPr>
        <w:lastRenderedPageBreak/>
        <w:t xml:space="preserve">through the placement of tales of vengeance in the poem, specifically </w:t>
      </w:r>
      <w:r w:rsidR="00F50EC1">
        <w:rPr>
          <w:rFonts w:ascii="Source Sans Pro" w:hAnsi="Source Sans Pro" w:cstheme="majorHAnsi"/>
          <w:i/>
          <w:sz w:val="24"/>
          <w:szCs w:val="24"/>
        </w:rPr>
        <w:t xml:space="preserve">The Lay of Finn </w:t>
      </w:r>
      <w:r w:rsidR="00F50EC1">
        <w:rPr>
          <w:rFonts w:ascii="Source Sans Pro" w:hAnsi="Source Sans Pro" w:cstheme="majorHAnsi"/>
          <w:sz w:val="24"/>
          <w:szCs w:val="24"/>
        </w:rPr>
        <w:t xml:space="preserve">and </w:t>
      </w:r>
      <w:r w:rsidR="00F50EC1" w:rsidRPr="006E7A26">
        <w:rPr>
          <w:rFonts w:ascii="Source Sans Pro" w:hAnsi="Source Sans Pro" w:cstheme="majorHAnsi"/>
          <w:sz w:val="24"/>
          <w:szCs w:val="24"/>
        </w:rPr>
        <w:t>the</w:t>
      </w:r>
      <w:r w:rsidR="001803E9">
        <w:rPr>
          <w:rFonts w:ascii="Source Sans Pro" w:hAnsi="Source Sans Pro" w:cstheme="majorHAnsi"/>
          <w:sz w:val="24"/>
          <w:szCs w:val="24"/>
        </w:rPr>
        <w:t xml:space="preserve"> </w:t>
      </w:r>
      <w:r w:rsidR="00F50EC1">
        <w:rPr>
          <w:rFonts w:ascii="Source Sans Pro" w:hAnsi="Source Sans Pro" w:cstheme="majorHAnsi"/>
          <w:i/>
          <w:sz w:val="24"/>
          <w:szCs w:val="24"/>
        </w:rPr>
        <w:t>Tale of Hrethel.</w:t>
      </w:r>
      <w:r w:rsidR="00F50EC1">
        <w:rPr>
          <w:rFonts w:ascii="Source Sans Pro" w:hAnsi="Source Sans Pro" w:cstheme="majorHAnsi"/>
          <w:sz w:val="24"/>
          <w:szCs w:val="24"/>
        </w:rPr>
        <w:t xml:space="preserve"> </w:t>
      </w:r>
    </w:p>
    <w:p w14:paraId="7AA4BA07" w14:textId="4285B216" w:rsidR="00B30A3C" w:rsidRDefault="00CC26AA" w:rsidP="00C909F3">
      <w:pPr>
        <w:rPr>
          <w:rFonts w:ascii="Source Sans Pro" w:hAnsi="Source Sans Pro" w:cstheme="majorHAnsi"/>
          <w:sz w:val="24"/>
          <w:szCs w:val="24"/>
        </w:rPr>
      </w:pPr>
      <w:r>
        <w:rPr>
          <w:rFonts w:ascii="Source Sans Pro" w:hAnsi="Source Sans Pro" w:cstheme="majorHAnsi"/>
          <w:sz w:val="24"/>
          <w:szCs w:val="24"/>
        </w:rPr>
        <w:t>The Finn episode has been speculated on by many scholars, who</w:t>
      </w:r>
      <w:r w:rsidR="00DD1EF3">
        <w:rPr>
          <w:rFonts w:ascii="Source Sans Pro" w:hAnsi="Source Sans Pro" w:cstheme="majorHAnsi"/>
          <w:sz w:val="24"/>
          <w:szCs w:val="24"/>
        </w:rPr>
        <w:t>, like Harry Ayres</w:t>
      </w:r>
      <w:r>
        <w:rPr>
          <w:rFonts w:ascii="Source Sans Pro" w:hAnsi="Source Sans Pro" w:cstheme="majorHAnsi"/>
          <w:sz w:val="24"/>
          <w:szCs w:val="24"/>
        </w:rPr>
        <w:t xml:space="preserve"> </w:t>
      </w:r>
      <w:r w:rsidR="00DD1EF3">
        <w:rPr>
          <w:rFonts w:ascii="Source Sans Pro" w:hAnsi="Source Sans Pro" w:cstheme="majorHAnsi"/>
          <w:sz w:val="24"/>
          <w:szCs w:val="24"/>
        </w:rPr>
        <w:t>generally</w:t>
      </w:r>
      <w:r>
        <w:rPr>
          <w:rFonts w:ascii="Source Sans Pro" w:hAnsi="Source Sans Pro" w:cstheme="majorHAnsi"/>
          <w:sz w:val="24"/>
          <w:szCs w:val="24"/>
        </w:rPr>
        <w:t xml:space="preserve"> agree that it ‘occupies a very high and conspicuous position in the architecture of the poem.’</w:t>
      </w:r>
      <w:r>
        <w:rPr>
          <w:rStyle w:val="FootnoteReference"/>
          <w:rFonts w:ascii="Source Sans Pro" w:hAnsi="Source Sans Pro" w:cstheme="majorHAnsi"/>
          <w:sz w:val="24"/>
          <w:szCs w:val="24"/>
        </w:rPr>
        <w:footnoteReference w:id="95"/>
      </w:r>
      <w:r w:rsidR="003976E5">
        <w:rPr>
          <w:rFonts w:ascii="Source Sans Pro" w:hAnsi="Source Sans Pro" w:cstheme="majorHAnsi"/>
          <w:sz w:val="24"/>
          <w:szCs w:val="24"/>
        </w:rPr>
        <w:t xml:space="preserve"> </w:t>
      </w:r>
      <w:r w:rsidR="00D11611">
        <w:rPr>
          <w:rFonts w:ascii="Source Sans Pro" w:hAnsi="Source Sans Pro" w:cstheme="majorHAnsi"/>
          <w:sz w:val="24"/>
          <w:szCs w:val="24"/>
        </w:rPr>
        <w:t>It</w:t>
      </w:r>
      <w:r w:rsidR="00DD1EF3">
        <w:rPr>
          <w:rFonts w:ascii="Source Sans Pro" w:hAnsi="Source Sans Pro" w:cstheme="majorHAnsi"/>
          <w:sz w:val="24"/>
          <w:szCs w:val="24"/>
        </w:rPr>
        <w:t xml:space="preserve"> protrudes</w:t>
      </w:r>
      <w:r w:rsidR="0003648B">
        <w:rPr>
          <w:rFonts w:ascii="Source Sans Pro" w:hAnsi="Source Sans Pro" w:cstheme="majorHAnsi"/>
          <w:sz w:val="24"/>
          <w:szCs w:val="24"/>
        </w:rPr>
        <w:t xml:space="preserve"> itself</w:t>
      </w:r>
      <w:r w:rsidR="00DD1EF3">
        <w:rPr>
          <w:rFonts w:ascii="Source Sans Pro" w:hAnsi="Source Sans Pro" w:cstheme="majorHAnsi"/>
          <w:sz w:val="24"/>
          <w:szCs w:val="24"/>
        </w:rPr>
        <w:t xml:space="preserve"> at a point in the poem which is supposed to be celebratory</w:t>
      </w:r>
      <w:r w:rsidR="00D32BDC">
        <w:rPr>
          <w:rFonts w:ascii="Source Sans Pro" w:hAnsi="Source Sans Pro" w:cstheme="majorHAnsi"/>
          <w:sz w:val="24"/>
          <w:szCs w:val="24"/>
        </w:rPr>
        <w:t>,</w:t>
      </w:r>
      <w:r w:rsidR="003976E5">
        <w:rPr>
          <w:rFonts w:ascii="Source Sans Pro" w:hAnsi="Source Sans Pro" w:cstheme="majorHAnsi"/>
          <w:sz w:val="24"/>
          <w:szCs w:val="24"/>
        </w:rPr>
        <w:t xml:space="preserve"> namely the feast after the </w:t>
      </w:r>
      <w:r w:rsidR="00DD1EF3">
        <w:rPr>
          <w:rFonts w:ascii="Source Sans Pro" w:hAnsi="Source Sans Pro" w:cstheme="majorHAnsi"/>
          <w:sz w:val="24"/>
          <w:szCs w:val="24"/>
        </w:rPr>
        <w:t>Grendel</w:t>
      </w:r>
      <w:r w:rsidR="003976E5">
        <w:rPr>
          <w:rFonts w:ascii="Source Sans Pro" w:hAnsi="Source Sans Pro" w:cstheme="majorHAnsi"/>
          <w:sz w:val="24"/>
          <w:szCs w:val="24"/>
        </w:rPr>
        <w:t>’s death</w:t>
      </w:r>
      <w:r w:rsidR="00DD1EF3">
        <w:rPr>
          <w:rFonts w:ascii="Source Sans Pro" w:hAnsi="Source Sans Pro" w:cstheme="majorHAnsi"/>
          <w:sz w:val="24"/>
          <w:szCs w:val="24"/>
        </w:rPr>
        <w:t xml:space="preserve">. </w:t>
      </w:r>
      <w:r w:rsidR="003976E5">
        <w:rPr>
          <w:rFonts w:ascii="Source Sans Pro" w:hAnsi="Source Sans Pro" w:cstheme="majorHAnsi"/>
          <w:sz w:val="24"/>
          <w:szCs w:val="24"/>
        </w:rPr>
        <w:t>T</w:t>
      </w:r>
      <w:r w:rsidR="000D58F3">
        <w:rPr>
          <w:rFonts w:ascii="Source Sans Pro" w:hAnsi="Source Sans Pro" w:cstheme="majorHAnsi"/>
          <w:sz w:val="24"/>
          <w:szCs w:val="24"/>
        </w:rPr>
        <w:t>he way it is so abruptly inserted into the narrati</w:t>
      </w:r>
      <w:r w:rsidR="003976E5">
        <w:rPr>
          <w:rFonts w:ascii="Source Sans Pro" w:hAnsi="Source Sans Pro" w:cstheme="majorHAnsi"/>
          <w:sz w:val="24"/>
          <w:szCs w:val="24"/>
        </w:rPr>
        <w:t xml:space="preserve">ve frame has made some </w:t>
      </w:r>
      <w:r w:rsidR="000D58F3">
        <w:rPr>
          <w:rFonts w:ascii="Source Sans Pro" w:hAnsi="Source Sans Pro" w:cstheme="majorHAnsi"/>
          <w:sz w:val="24"/>
          <w:szCs w:val="24"/>
        </w:rPr>
        <w:t>suggest that it has no re</w:t>
      </w:r>
      <w:r w:rsidR="003976E5">
        <w:rPr>
          <w:rFonts w:ascii="Source Sans Pro" w:hAnsi="Source Sans Pro" w:cstheme="majorHAnsi"/>
          <w:sz w:val="24"/>
          <w:szCs w:val="24"/>
        </w:rPr>
        <w:t>levance to the story as a whole</w:t>
      </w:r>
      <w:r w:rsidR="000D58F3">
        <w:rPr>
          <w:rFonts w:ascii="Source Sans Pro" w:hAnsi="Source Sans Pro" w:cstheme="majorHAnsi"/>
          <w:sz w:val="24"/>
          <w:szCs w:val="24"/>
        </w:rPr>
        <w:t xml:space="preserve"> and acts with the purpose of being an interlude</w:t>
      </w:r>
      <w:r w:rsidR="00B81B9A">
        <w:rPr>
          <w:rFonts w:ascii="Source Sans Pro" w:hAnsi="Source Sans Pro" w:cstheme="majorHAnsi"/>
          <w:sz w:val="24"/>
          <w:szCs w:val="24"/>
        </w:rPr>
        <w:t>, though others say that it is a foreshadowing of what is to happen in Heorot.</w:t>
      </w:r>
      <w:r w:rsidR="000D58F3">
        <w:rPr>
          <w:rStyle w:val="FootnoteReference"/>
          <w:rFonts w:ascii="Source Sans Pro" w:hAnsi="Source Sans Pro" w:cstheme="majorHAnsi"/>
          <w:sz w:val="24"/>
          <w:szCs w:val="24"/>
        </w:rPr>
        <w:footnoteReference w:id="96"/>
      </w:r>
      <w:r w:rsidR="0003648B">
        <w:rPr>
          <w:rFonts w:ascii="Source Sans Pro" w:hAnsi="Source Sans Pro" w:cstheme="majorHAnsi"/>
          <w:sz w:val="24"/>
          <w:szCs w:val="24"/>
        </w:rPr>
        <w:t xml:space="preserve"> As this is the </w:t>
      </w:r>
      <w:r w:rsidR="003976E5">
        <w:rPr>
          <w:rFonts w:ascii="Source Sans Pro" w:hAnsi="Source Sans Pro" w:cstheme="majorHAnsi"/>
          <w:sz w:val="24"/>
          <w:szCs w:val="24"/>
        </w:rPr>
        <w:t>poet’s</w:t>
      </w:r>
      <w:r w:rsidR="0003648B">
        <w:rPr>
          <w:rFonts w:ascii="Source Sans Pro" w:hAnsi="Source Sans Pro" w:cstheme="majorHAnsi"/>
          <w:sz w:val="24"/>
          <w:szCs w:val="24"/>
        </w:rPr>
        <w:t xml:space="preserve"> longest digression throughout the poem, it seems unreaso</w:t>
      </w:r>
      <w:r w:rsidR="003976E5">
        <w:rPr>
          <w:rFonts w:ascii="Source Sans Pro" w:hAnsi="Source Sans Pro" w:cstheme="majorHAnsi"/>
          <w:sz w:val="24"/>
          <w:szCs w:val="24"/>
        </w:rPr>
        <w:t>nable to brush it off as a mere</w:t>
      </w:r>
      <w:r w:rsidR="0003648B">
        <w:rPr>
          <w:rFonts w:ascii="Source Sans Pro" w:hAnsi="Source Sans Pro" w:cstheme="majorHAnsi"/>
          <w:sz w:val="24"/>
          <w:szCs w:val="24"/>
        </w:rPr>
        <w:t xml:space="preserve"> interlude, therefore the idea that it is an act of foreshadowing</w:t>
      </w:r>
      <w:r w:rsidR="00D32BDC">
        <w:rPr>
          <w:rFonts w:ascii="Source Sans Pro" w:hAnsi="Source Sans Pro" w:cstheme="majorHAnsi"/>
          <w:sz w:val="24"/>
          <w:szCs w:val="24"/>
        </w:rPr>
        <w:t xml:space="preserve"> or for some other purpose</w:t>
      </w:r>
      <w:r w:rsidR="0003648B">
        <w:rPr>
          <w:rFonts w:ascii="Source Sans Pro" w:hAnsi="Source Sans Pro" w:cstheme="majorHAnsi"/>
          <w:sz w:val="24"/>
          <w:szCs w:val="24"/>
        </w:rPr>
        <w:t xml:space="preserve"> seems more reasonable to contemplate. </w:t>
      </w:r>
      <w:r>
        <w:rPr>
          <w:rFonts w:ascii="Source Sans Pro" w:hAnsi="Source Sans Pro" w:cstheme="majorHAnsi"/>
          <w:sz w:val="24"/>
          <w:szCs w:val="24"/>
        </w:rPr>
        <w:t xml:space="preserve"> </w:t>
      </w:r>
      <w:r w:rsidR="0073401E">
        <w:rPr>
          <w:rFonts w:ascii="Source Sans Pro" w:hAnsi="Source Sans Pro" w:cstheme="majorHAnsi"/>
          <w:iCs/>
          <w:sz w:val="24"/>
          <w:szCs w:val="24"/>
        </w:rPr>
        <w:t>Because of the nature of how the poet uses parallel contrasting, the lay could be interpreted as an</w:t>
      </w:r>
      <w:r w:rsidR="0073401E">
        <w:rPr>
          <w:rFonts w:ascii="Source Sans Pro" w:hAnsi="Source Sans Pro" w:cstheme="majorHAnsi"/>
          <w:sz w:val="24"/>
          <w:szCs w:val="24"/>
        </w:rPr>
        <w:t xml:space="preserve"> indicator of Beowulf’s adherence to the revenge ethic and the </w:t>
      </w:r>
      <w:r w:rsidR="003976E5">
        <w:rPr>
          <w:rFonts w:ascii="Source Sans Pro" w:hAnsi="Source Sans Pro" w:cstheme="majorHAnsi"/>
          <w:sz w:val="24"/>
          <w:szCs w:val="24"/>
        </w:rPr>
        <w:t>completion of the revenge cycle;</w:t>
      </w:r>
      <w:r w:rsidR="0073401E">
        <w:rPr>
          <w:rStyle w:val="FootnoteReference"/>
          <w:rFonts w:ascii="Source Sans Pro" w:hAnsi="Source Sans Pro" w:cstheme="majorHAnsi"/>
          <w:sz w:val="24"/>
          <w:szCs w:val="24"/>
        </w:rPr>
        <w:footnoteReference w:id="97"/>
      </w:r>
      <w:r w:rsidR="0073401E">
        <w:rPr>
          <w:rFonts w:ascii="Source Sans Pro" w:hAnsi="Source Sans Pro" w:cstheme="majorHAnsi"/>
          <w:sz w:val="24"/>
          <w:szCs w:val="24"/>
        </w:rPr>
        <w:t xml:space="preserve"> </w:t>
      </w:r>
      <w:r w:rsidR="003976E5">
        <w:rPr>
          <w:rFonts w:ascii="Source Sans Pro" w:hAnsi="Source Sans Pro" w:cstheme="majorHAnsi"/>
          <w:sz w:val="24"/>
          <w:szCs w:val="24"/>
        </w:rPr>
        <w:t xml:space="preserve">a </w:t>
      </w:r>
      <w:r w:rsidR="007124B8">
        <w:rPr>
          <w:rFonts w:ascii="Source Sans Pro" w:hAnsi="Source Sans Pro" w:cstheme="majorHAnsi"/>
          <w:sz w:val="24"/>
          <w:szCs w:val="24"/>
        </w:rPr>
        <w:t>credible</w:t>
      </w:r>
      <w:r w:rsidR="0073401E">
        <w:rPr>
          <w:rFonts w:ascii="Source Sans Pro" w:hAnsi="Source Sans Pro" w:cstheme="majorHAnsi"/>
          <w:sz w:val="24"/>
          <w:szCs w:val="24"/>
        </w:rPr>
        <w:t xml:space="preserve"> line of reasoning.</w:t>
      </w:r>
      <w:r w:rsidR="00D11611">
        <w:rPr>
          <w:rFonts w:ascii="Source Sans Pro" w:hAnsi="Source Sans Pro" w:cstheme="majorHAnsi"/>
          <w:sz w:val="24"/>
          <w:szCs w:val="24"/>
        </w:rPr>
        <w:t xml:space="preserve"> </w:t>
      </w:r>
    </w:p>
    <w:p w14:paraId="1486E22C" w14:textId="41AA0317" w:rsidR="00B30A3C" w:rsidRDefault="00B30A3C" w:rsidP="00B30A3C">
      <w:pPr>
        <w:rPr>
          <w:rFonts w:ascii="Source Sans Pro" w:hAnsi="Source Sans Pro" w:cstheme="majorHAnsi"/>
          <w:sz w:val="24"/>
          <w:szCs w:val="24"/>
        </w:rPr>
      </w:pPr>
      <w:r>
        <w:rPr>
          <w:rFonts w:ascii="Source Sans Pro" w:hAnsi="Source Sans Pro" w:cstheme="majorHAnsi"/>
          <w:sz w:val="24"/>
          <w:szCs w:val="24"/>
        </w:rPr>
        <w:t xml:space="preserve">The </w:t>
      </w:r>
      <w:r w:rsidRPr="001F28AD">
        <w:rPr>
          <w:rFonts w:ascii="Source Sans Pro" w:hAnsi="Source Sans Pro" w:cstheme="majorHAnsi"/>
          <w:i/>
          <w:sz w:val="24"/>
          <w:szCs w:val="24"/>
        </w:rPr>
        <w:t>Tale of Hrethel</w:t>
      </w:r>
      <w:r>
        <w:rPr>
          <w:rFonts w:ascii="Source Sans Pro" w:hAnsi="Source Sans Pro" w:cstheme="majorHAnsi"/>
          <w:i/>
          <w:sz w:val="24"/>
          <w:szCs w:val="24"/>
        </w:rPr>
        <w:t xml:space="preserve"> </w:t>
      </w:r>
      <w:r>
        <w:rPr>
          <w:rFonts w:ascii="Source Sans Pro" w:hAnsi="Source Sans Pro" w:cstheme="majorHAnsi"/>
          <w:sz w:val="24"/>
          <w:szCs w:val="24"/>
        </w:rPr>
        <w:t>is a tale also as hopeless as that of Hildeburh</w:t>
      </w:r>
      <w:r w:rsidR="004B7821">
        <w:rPr>
          <w:rFonts w:ascii="Source Sans Pro" w:hAnsi="Source Sans Pro" w:cstheme="majorHAnsi"/>
          <w:sz w:val="24"/>
          <w:szCs w:val="24"/>
        </w:rPr>
        <w:t xml:space="preserve"> as the </w:t>
      </w:r>
      <w:r>
        <w:rPr>
          <w:rFonts w:ascii="Source Sans Pro" w:hAnsi="Source Sans Pro" w:cstheme="majorHAnsi"/>
          <w:sz w:val="24"/>
          <w:szCs w:val="24"/>
        </w:rPr>
        <w:t>retaliation against the murder</w:t>
      </w:r>
      <w:r w:rsidR="004B7821">
        <w:rPr>
          <w:rFonts w:ascii="Source Sans Pro" w:hAnsi="Source Sans Pro" w:cstheme="majorHAnsi"/>
          <w:sz w:val="24"/>
          <w:szCs w:val="24"/>
        </w:rPr>
        <w:t xml:space="preserve"> is not possible, but this is primarily due to the close kinship of the Herebeald and the (accidental) murderer</w:t>
      </w:r>
      <w:r w:rsidR="001803E9">
        <w:rPr>
          <w:rFonts w:ascii="Source Sans Pro" w:hAnsi="Source Sans Pro" w:cstheme="majorHAnsi"/>
          <w:sz w:val="24"/>
          <w:szCs w:val="24"/>
        </w:rPr>
        <w:t xml:space="preserve"> Haethcyn</w:t>
      </w:r>
      <w:r w:rsidR="003976E5">
        <w:rPr>
          <w:rFonts w:ascii="Source Sans Pro" w:hAnsi="Source Sans Pro" w:cstheme="majorHAnsi"/>
          <w:sz w:val="24"/>
          <w:szCs w:val="24"/>
        </w:rPr>
        <w:t>, Herebealds’s brother</w:t>
      </w:r>
      <w:r>
        <w:rPr>
          <w:rFonts w:ascii="Source Sans Pro" w:hAnsi="Source Sans Pro" w:cstheme="majorHAnsi"/>
          <w:sz w:val="24"/>
          <w:szCs w:val="24"/>
        </w:rPr>
        <w:t>.</w:t>
      </w:r>
      <w:r w:rsidR="004B7821" w:rsidRPr="004B7821">
        <w:rPr>
          <w:rStyle w:val="FootnoteReference"/>
          <w:rFonts w:ascii="Source Sans Pro" w:hAnsi="Source Sans Pro" w:cstheme="majorHAnsi"/>
          <w:sz w:val="24"/>
          <w:szCs w:val="24"/>
        </w:rPr>
        <w:t xml:space="preserve"> </w:t>
      </w:r>
      <w:r w:rsidR="004B7821">
        <w:rPr>
          <w:rStyle w:val="FootnoteReference"/>
          <w:rFonts w:ascii="Source Sans Pro" w:hAnsi="Source Sans Pro" w:cstheme="majorHAnsi"/>
          <w:sz w:val="24"/>
          <w:szCs w:val="24"/>
        </w:rPr>
        <w:footnoteReference w:id="98"/>
      </w:r>
      <w:r w:rsidR="004B7821">
        <w:rPr>
          <w:rFonts w:ascii="Source Sans Pro" w:hAnsi="Source Sans Pro" w:cstheme="majorHAnsi"/>
          <w:sz w:val="24"/>
          <w:szCs w:val="24"/>
        </w:rPr>
        <w:t xml:space="preserve">  It is also told at another pivotal moment in the plot, just before Beowulf goes to fight with the dragon.</w:t>
      </w:r>
      <w:r w:rsidR="004B7821">
        <w:rPr>
          <w:rStyle w:val="FootnoteReference"/>
          <w:rFonts w:ascii="Source Sans Pro" w:hAnsi="Source Sans Pro" w:cstheme="majorHAnsi"/>
          <w:sz w:val="24"/>
          <w:szCs w:val="24"/>
        </w:rPr>
        <w:t xml:space="preserve"> </w:t>
      </w:r>
      <w:r w:rsidR="003976E5">
        <w:rPr>
          <w:rFonts w:ascii="Source Sans Pro" w:hAnsi="Source Sans Pro" w:cstheme="majorHAnsi"/>
          <w:sz w:val="24"/>
          <w:szCs w:val="24"/>
        </w:rPr>
        <w:t>The poet here uses anti</w:t>
      </w:r>
      <w:r w:rsidR="00B60321">
        <w:rPr>
          <w:rFonts w:ascii="Source Sans Pro" w:hAnsi="Source Sans Pro" w:cstheme="majorHAnsi"/>
          <w:sz w:val="24"/>
          <w:szCs w:val="24"/>
        </w:rPr>
        <w:t>-</w:t>
      </w:r>
      <w:r w:rsidR="003976E5">
        <w:rPr>
          <w:rFonts w:ascii="Source Sans Pro" w:hAnsi="Source Sans Pro" w:cstheme="majorHAnsi"/>
          <w:sz w:val="24"/>
          <w:szCs w:val="24"/>
        </w:rPr>
        <w:t xml:space="preserve">narrativity to disrupt the flow of the poem and </w:t>
      </w:r>
      <w:r w:rsidR="00692D0E">
        <w:rPr>
          <w:rFonts w:ascii="Source Sans Pro" w:hAnsi="Source Sans Pro" w:cstheme="majorHAnsi"/>
          <w:sz w:val="24"/>
          <w:szCs w:val="24"/>
        </w:rPr>
        <w:t xml:space="preserve">creates a distance between </w:t>
      </w:r>
      <w:r w:rsidR="00692D0E">
        <w:rPr>
          <w:rFonts w:ascii="Source Sans Pro" w:hAnsi="Source Sans Pro" w:cstheme="majorHAnsi"/>
          <w:sz w:val="24"/>
          <w:szCs w:val="24"/>
        </w:rPr>
        <w:lastRenderedPageBreak/>
        <w:t>the reader, narrative plot and the hero.</w:t>
      </w:r>
      <w:r w:rsidR="00692D0E">
        <w:rPr>
          <w:rStyle w:val="FootnoteReference"/>
          <w:rFonts w:ascii="Source Sans Pro" w:hAnsi="Source Sans Pro" w:cstheme="majorHAnsi"/>
          <w:sz w:val="24"/>
          <w:szCs w:val="24"/>
        </w:rPr>
        <w:footnoteReference w:id="99"/>
      </w:r>
      <w:r w:rsidR="00692D0E">
        <w:rPr>
          <w:rFonts w:ascii="Source Sans Pro" w:hAnsi="Source Sans Pro" w:cstheme="majorHAnsi"/>
          <w:sz w:val="24"/>
          <w:szCs w:val="24"/>
        </w:rPr>
        <w:t xml:space="preserve"> This gives the entire abrupt interlude of Hrethel and the history of the Swedish-Geatish feud which appears after his death a sense of disorientation which</w:t>
      </w:r>
      <w:r w:rsidR="00B60321">
        <w:rPr>
          <w:rFonts w:ascii="Source Sans Pro" w:hAnsi="Source Sans Pro" w:cstheme="majorHAnsi"/>
          <w:sz w:val="24"/>
          <w:szCs w:val="24"/>
        </w:rPr>
        <w:t xml:space="preserve"> does not match the action-required time</w:t>
      </w:r>
      <w:r w:rsidR="00692D0E">
        <w:rPr>
          <w:rFonts w:ascii="Source Sans Pro" w:hAnsi="Source Sans Pro" w:cstheme="majorHAnsi"/>
          <w:sz w:val="24"/>
          <w:szCs w:val="24"/>
        </w:rPr>
        <w:t xml:space="preserve"> </w:t>
      </w:r>
      <w:r w:rsidR="00B60321">
        <w:rPr>
          <w:rFonts w:ascii="Source Sans Pro" w:hAnsi="Source Sans Pro" w:cstheme="majorHAnsi"/>
          <w:sz w:val="24"/>
          <w:szCs w:val="24"/>
        </w:rPr>
        <w:t>in which it is placed</w:t>
      </w:r>
      <w:r w:rsidR="00692D0E">
        <w:rPr>
          <w:rFonts w:ascii="Source Sans Pro" w:hAnsi="Source Sans Pro" w:cstheme="majorHAnsi"/>
          <w:sz w:val="24"/>
          <w:szCs w:val="24"/>
        </w:rPr>
        <w:t xml:space="preserve">, whilst also foreshadowing another such feud. </w:t>
      </w:r>
      <w:r w:rsidR="00104E86">
        <w:rPr>
          <w:rFonts w:ascii="Source Sans Pro" w:hAnsi="Source Sans Pro" w:cstheme="majorHAnsi"/>
          <w:sz w:val="24"/>
          <w:szCs w:val="24"/>
        </w:rPr>
        <w:t xml:space="preserve">The murder itself, though outlined, is also sudden and unexplained as we do not learn </w:t>
      </w:r>
      <w:r w:rsidR="0019421B">
        <w:rPr>
          <w:rFonts w:ascii="Source Sans Pro" w:hAnsi="Source Sans Pro" w:cstheme="majorHAnsi"/>
          <w:sz w:val="24"/>
          <w:szCs w:val="24"/>
        </w:rPr>
        <w:t>whom the arrow was intended for.</w:t>
      </w:r>
      <w:r w:rsidR="0019421B">
        <w:rPr>
          <w:rStyle w:val="FootnoteReference"/>
          <w:rFonts w:ascii="Source Sans Pro" w:hAnsi="Source Sans Pro" w:cstheme="majorHAnsi"/>
          <w:sz w:val="24"/>
          <w:szCs w:val="24"/>
        </w:rPr>
        <w:footnoteReference w:id="100"/>
      </w:r>
      <w:r w:rsidR="0019421B">
        <w:rPr>
          <w:rFonts w:ascii="Source Sans Pro" w:hAnsi="Source Sans Pro" w:cstheme="majorHAnsi"/>
          <w:sz w:val="24"/>
          <w:szCs w:val="24"/>
        </w:rPr>
        <w:t xml:space="preserve"> </w:t>
      </w:r>
      <w:r w:rsidR="00966A05">
        <w:rPr>
          <w:rFonts w:ascii="Source Sans Pro" w:hAnsi="Source Sans Pro" w:cstheme="majorHAnsi"/>
          <w:sz w:val="24"/>
          <w:szCs w:val="24"/>
        </w:rPr>
        <w:t>The poet also uses contradictions which further confuse the reader, calling the murder an accident whilst simultaneously labelling it ‘a wicked crime</w:t>
      </w:r>
      <w:r w:rsidR="003753F7">
        <w:rPr>
          <w:rFonts w:ascii="Source Sans Pro" w:hAnsi="Source Sans Pro" w:cstheme="majorHAnsi"/>
          <w:sz w:val="24"/>
          <w:szCs w:val="24"/>
        </w:rPr>
        <w:t>,</w:t>
      </w:r>
      <w:r w:rsidR="00966A05">
        <w:rPr>
          <w:rFonts w:ascii="Source Sans Pro" w:hAnsi="Source Sans Pro" w:cstheme="majorHAnsi"/>
          <w:sz w:val="24"/>
          <w:szCs w:val="24"/>
        </w:rPr>
        <w:t>’</w:t>
      </w:r>
      <w:r w:rsidR="00966A05">
        <w:rPr>
          <w:rStyle w:val="FootnoteReference"/>
          <w:rFonts w:ascii="Source Sans Pro" w:hAnsi="Source Sans Pro" w:cstheme="majorHAnsi"/>
          <w:sz w:val="24"/>
          <w:szCs w:val="24"/>
        </w:rPr>
        <w:footnoteReference w:id="101"/>
      </w:r>
      <w:r w:rsidR="003753F7">
        <w:rPr>
          <w:rFonts w:ascii="Source Sans Pro" w:hAnsi="Source Sans Pro" w:cstheme="majorHAnsi"/>
          <w:sz w:val="24"/>
          <w:szCs w:val="24"/>
        </w:rPr>
        <w:t xml:space="preserve"> this may be due to the fact that accidental homicides were also punishable</w:t>
      </w:r>
      <w:r w:rsidR="006371CB">
        <w:rPr>
          <w:rFonts w:ascii="Source Sans Pro" w:hAnsi="Source Sans Pro" w:cstheme="majorHAnsi"/>
          <w:sz w:val="24"/>
          <w:szCs w:val="24"/>
        </w:rPr>
        <w:t xml:space="preserve"> in the Anglo-Saxon world and so this could have led to confusion by the poet himself as to how to describe the act</w:t>
      </w:r>
      <w:r w:rsidR="003753F7">
        <w:rPr>
          <w:rFonts w:ascii="Source Sans Pro" w:hAnsi="Source Sans Pro" w:cstheme="majorHAnsi"/>
          <w:sz w:val="24"/>
          <w:szCs w:val="24"/>
        </w:rPr>
        <w:t>.</w:t>
      </w:r>
      <w:r w:rsidR="003753F7">
        <w:rPr>
          <w:rStyle w:val="FootnoteReference"/>
          <w:rFonts w:ascii="Source Sans Pro" w:hAnsi="Source Sans Pro" w:cstheme="majorHAnsi"/>
          <w:sz w:val="24"/>
          <w:szCs w:val="24"/>
        </w:rPr>
        <w:footnoteReference w:id="102"/>
      </w:r>
      <w:r w:rsidR="003753F7">
        <w:rPr>
          <w:rFonts w:ascii="Source Sans Pro" w:hAnsi="Source Sans Pro" w:cstheme="majorHAnsi"/>
          <w:sz w:val="24"/>
          <w:szCs w:val="24"/>
        </w:rPr>
        <w:t xml:space="preserve">  </w:t>
      </w:r>
    </w:p>
    <w:p w14:paraId="5629C589" w14:textId="08368A32" w:rsidR="00A32896" w:rsidRDefault="00F50EC1" w:rsidP="00C909F3">
      <w:pPr>
        <w:rPr>
          <w:rFonts w:ascii="Source Sans Pro" w:hAnsi="Source Sans Pro" w:cstheme="majorHAnsi"/>
          <w:sz w:val="24"/>
          <w:szCs w:val="24"/>
        </w:rPr>
      </w:pPr>
      <w:r>
        <w:rPr>
          <w:rFonts w:ascii="Source Sans Pro" w:hAnsi="Source Sans Pro" w:cstheme="majorHAnsi"/>
          <w:sz w:val="24"/>
          <w:szCs w:val="24"/>
        </w:rPr>
        <w:t xml:space="preserve">The two digressions are told with a focus on the surviving victims of the story, Hilderburh and Hrethel, and without much praise </w:t>
      </w:r>
      <w:r w:rsidR="002F7F0C">
        <w:rPr>
          <w:rFonts w:ascii="Source Sans Pro" w:hAnsi="Source Sans Pro" w:cstheme="majorHAnsi"/>
          <w:sz w:val="24"/>
          <w:szCs w:val="24"/>
        </w:rPr>
        <w:t>for the act (or lack) of vengeance</w:t>
      </w:r>
      <w:r>
        <w:rPr>
          <w:rFonts w:ascii="Source Sans Pro" w:hAnsi="Source Sans Pro" w:cstheme="majorHAnsi"/>
          <w:sz w:val="24"/>
          <w:szCs w:val="24"/>
        </w:rPr>
        <w:t>. Contrarily, it seems as if the poet is opposing the practice,</w:t>
      </w:r>
      <w:r w:rsidR="007C6A54">
        <w:rPr>
          <w:rFonts w:ascii="Source Sans Pro" w:hAnsi="Source Sans Pro" w:cstheme="majorHAnsi"/>
          <w:sz w:val="24"/>
          <w:szCs w:val="24"/>
        </w:rPr>
        <w:t xml:space="preserve"> as he does not make the reader/listener</w:t>
      </w:r>
      <w:r>
        <w:rPr>
          <w:rFonts w:ascii="Source Sans Pro" w:hAnsi="Source Sans Pro" w:cstheme="majorHAnsi"/>
          <w:sz w:val="24"/>
          <w:szCs w:val="24"/>
        </w:rPr>
        <w:t xml:space="preserve"> sympathise with the acts of vengeance, nor does he glorify them. Instead, he veers the readers focus towards the person who has to live with the consequences of those actions. This is curious as, at the moments when the poet would be expected to praise deeds of heroic vengeance, they instead insert digressions which could make one question the effectiveness of vengeance, and therefore the heroic actions of the pr</w:t>
      </w:r>
      <w:r w:rsidR="007C6A54">
        <w:rPr>
          <w:rFonts w:ascii="Source Sans Pro" w:hAnsi="Source Sans Pro" w:cstheme="majorHAnsi"/>
          <w:sz w:val="24"/>
          <w:szCs w:val="24"/>
        </w:rPr>
        <w:t>otagonist himself as well as all</w:t>
      </w:r>
      <w:r>
        <w:rPr>
          <w:rFonts w:ascii="Source Sans Pro" w:hAnsi="Source Sans Pro" w:cstheme="majorHAnsi"/>
          <w:sz w:val="24"/>
          <w:szCs w:val="24"/>
        </w:rPr>
        <w:t xml:space="preserve"> others </w:t>
      </w:r>
      <w:r w:rsidR="007C6A54">
        <w:rPr>
          <w:rFonts w:ascii="Source Sans Pro" w:hAnsi="Source Sans Pro" w:cstheme="majorHAnsi"/>
          <w:sz w:val="24"/>
          <w:szCs w:val="24"/>
        </w:rPr>
        <w:t>involved</w:t>
      </w:r>
      <w:r>
        <w:rPr>
          <w:rFonts w:ascii="Source Sans Pro" w:hAnsi="Source Sans Pro" w:cstheme="majorHAnsi"/>
          <w:sz w:val="24"/>
          <w:szCs w:val="24"/>
        </w:rPr>
        <w:t>.</w:t>
      </w:r>
      <w:r>
        <w:rPr>
          <w:rStyle w:val="FootnoteReference"/>
          <w:rFonts w:ascii="Source Sans Pro" w:hAnsi="Source Sans Pro" w:cstheme="majorHAnsi"/>
          <w:sz w:val="24"/>
          <w:szCs w:val="24"/>
        </w:rPr>
        <w:footnoteReference w:id="103"/>
      </w:r>
      <w:r w:rsidRPr="000662CC">
        <w:rPr>
          <w:rFonts w:ascii="Source Sans Pro" w:hAnsi="Source Sans Pro" w:cstheme="majorHAnsi"/>
          <w:sz w:val="24"/>
          <w:szCs w:val="24"/>
        </w:rPr>
        <w:t xml:space="preserve"> </w:t>
      </w:r>
      <w:r w:rsidR="00362334">
        <w:rPr>
          <w:rFonts w:ascii="Source Sans Pro" w:hAnsi="Source Sans Pro" w:cstheme="majorHAnsi"/>
          <w:sz w:val="24"/>
          <w:szCs w:val="24"/>
        </w:rPr>
        <w:t xml:space="preserve">The digressions seem to be vilifying the revenge ethic/feud </w:t>
      </w:r>
      <w:r w:rsidR="00362334">
        <w:rPr>
          <w:rFonts w:ascii="Source Sans Pro" w:hAnsi="Source Sans Pro" w:cstheme="majorHAnsi"/>
          <w:sz w:val="24"/>
          <w:szCs w:val="24"/>
        </w:rPr>
        <w:lastRenderedPageBreak/>
        <w:t>culture itself, as well as those who choose to follow them.</w:t>
      </w:r>
      <w:r w:rsidR="00362334">
        <w:rPr>
          <w:rStyle w:val="FootnoteReference"/>
          <w:rFonts w:ascii="Source Sans Pro" w:hAnsi="Source Sans Pro" w:cstheme="majorHAnsi"/>
          <w:sz w:val="24"/>
          <w:szCs w:val="24"/>
        </w:rPr>
        <w:footnoteReference w:id="104"/>
      </w:r>
      <w:r w:rsidR="001436FE">
        <w:rPr>
          <w:rFonts w:ascii="Source Sans Pro" w:hAnsi="Source Sans Pro" w:cstheme="majorHAnsi"/>
          <w:sz w:val="24"/>
          <w:szCs w:val="24"/>
        </w:rPr>
        <w:t xml:space="preserve"> This has been explained well by David Day when he </w:t>
      </w:r>
      <w:r w:rsidR="007C6A54">
        <w:rPr>
          <w:rFonts w:ascii="Source Sans Pro" w:hAnsi="Source Sans Pro" w:cstheme="majorHAnsi"/>
          <w:sz w:val="24"/>
          <w:szCs w:val="24"/>
        </w:rPr>
        <w:t>ponders</w:t>
      </w:r>
      <w:r w:rsidR="001436FE">
        <w:rPr>
          <w:rFonts w:ascii="Source Sans Pro" w:hAnsi="Source Sans Pro" w:cstheme="majorHAnsi"/>
          <w:sz w:val="24"/>
          <w:szCs w:val="24"/>
        </w:rPr>
        <w:t xml:space="preserve"> the irony of the feuds in </w:t>
      </w:r>
      <w:r w:rsidR="001436FE">
        <w:rPr>
          <w:rFonts w:ascii="Source Sans Pro" w:hAnsi="Source Sans Pro" w:cstheme="majorHAnsi"/>
          <w:i/>
          <w:iCs/>
          <w:sz w:val="24"/>
          <w:szCs w:val="24"/>
        </w:rPr>
        <w:t xml:space="preserve">Beowulf </w:t>
      </w:r>
      <w:r w:rsidR="001436FE">
        <w:rPr>
          <w:rFonts w:ascii="Source Sans Pro" w:hAnsi="Source Sans Pro" w:cstheme="majorHAnsi"/>
          <w:sz w:val="24"/>
          <w:szCs w:val="24"/>
        </w:rPr>
        <w:t>which provide ‘the poet with a strong literary device for heightening the tragic feel of the poem and also creating a range of deeply ironic effects,’</w:t>
      </w:r>
      <w:r w:rsidR="001436FE">
        <w:rPr>
          <w:rStyle w:val="FootnoteReference"/>
          <w:rFonts w:ascii="Source Sans Pro" w:hAnsi="Source Sans Pro" w:cstheme="majorHAnsi"/>
          <w:sz w:val="24"/>
          <w:szCs w:val="24"/>
        </w:rPr>
        <w:footnoteReference w:id="105"/>
      </w:r>
      <w:r w:rsidR="001436FE">
        <w:rPr>
          <w:rFonts w:ascii="Source Sans Pro" w:hAnsi="Source Sans Pro" w:cstheme="majorHAnsi"/>
          <w:sz w:val="24"/>
          <w:szCs w:val="24"/>
        </w:rPr>
        <w:t xml:space="preserve"> as ‘peace, it seems, is impossible in the world of this poem, and conflict breaks out repeatedly due to the heroic “economy of honour” that demands certain behavioural choices of its inhabitants.’</w:t>
      </w:r>
      <w:r w:rsidR="001436FE">
        <w:rPr>
          <w:rStyle w:val="FootnoteReference"/>
          <w:rFonts w:ascii="Source Sans Pro" w:hAnsi="Source Sans Pro" w:cstheme="majorHAnsi"/>
          <w:sz w:val="24"/>
          <w:szCs w:val="24"/>
        </w:rPr>
        <w:footnoteReference w:id="106"/>
      </w:r>
      <w:r w:rsidR="001436FE">
        <w:rPr>
          <w:rFonts w:ascii="Source Sans Pro" w:hAnsi="Source Sans Pro" w:cstheme="majorHAnsi"/>
          <w:sz w:val="24"/>
          <w:szCs w:val="24"/>
        </w:rPr>
        <w:t xml:space="preserve"> </w:t>
      </w:r>
    </w:p>
    <w:p w14:paraId="070CCE03" w14:textId="0901D723" w:rsidR="00906C3A" w:rsidRDefault="00037056" w:rsidP="00C909F3">
      <w:pPr>
        <w:rPr>
          <w:rFonts w:ascii="Source Sans Pro" w:hAnsi="Source Sans Pro" w:cstheme="majorHAnsi"/>
          <w:sz w:val="24"/>
          <w:szCs w:val="24"/>
        </w:rPr>
      </w:pPr>
      <w:r>
        <w:rPr>
          <w:rFonts w:ascii="Source Sans Pro" w:hAnsi="Source Sans Pro" w:cstheme="majorHAnsi"/>
          <w:sz w:val="24"/>
          <w:szCs w:val="24"/>
        </w:rPr>
        <w:t xml:space="preserve">The irony of the rules of honour </w:t>
      </w:r>
      <w:r w:rsidR="007C6A54">
        <w:rPr>
          <w:rFonts w:ascii="Source Sans Pro" w:hAnsi="Source Sans Pro" w:cstheme="majorHAnsi"/>
          <w:sz w:val="24"/>
          <w:szCs w:val="24"/>
        </w:rPr>
        <w:t>rings</w:t>
      </w:r>
      <w:r>
        <w:rPr>
          <w:rFonts w:ascii="Source Sans Pro" w:hAnsi="Source Sans Pro" w:cstheme="majorHAnsi"/>
          <w:sz w:val="24"/>
          <w:szCs w:val="24"/>
        </w:rPr>
        <w:t xml:space="preserve"> true enough, and yet it seems as though something which has often been disregarded by many scholars is the time which Beowulf himself did not adhere to them.</w:t>
      </w:r>
      <w:r w:rsidR="0025291C">
        <w:rPr>
          <w:rFonts w:ascii="Source Sans Pro" w:hAnsi="Source Sans Pro" w:cstheme="majorHAnsi"/>
          <w:sz w:val="24"/>
          <w:szCs w:val="24"/>
        </w:rPr>
        <w:t xml:space="preserve"> When Onela the warrior King murders Hygelac’s son Heardred there seems to be no honouring these rules of vengeance from line 1384 stating that one should ‘avenge his friend, rather than mourn greatly.’ There seems to be no comeuppance for Onela who ‘w</w:t>
      </w:r>
      <w:r w:rsidR="00A44354">
        <w:rPr>
          <w:rFonts w:ascii="Source Sans Pro" w:hAnsi="Source Sans Pro" w:cstheme="majorHAnsi"/>
          <w:sz w:val="24"/>
          <w:szCs w:val="24"/>
        </w:rPr>
        <w:t>ent back to seek his home again</w:t>
      </w:r>
      <w:r w:rsidR="0025291C">
        <w:rPr>
          <w:rFonts w:ascii="Source Sans Pro" w:hAnsi="Source Sans Pro" w:cstheme="majorHAnsi"/>
          <w:sz w:val="24"/>
          <w:szCs w:val="24"/>
        </w:rPr>
        <w:t>’</w:t>
      </w:r>
      <w:r w:rsidR="00A44354">
        <w:rPr>
          <w:rFonts w:ascii="Source Sans Pro" w:hAnsi="Source Sans Pro" w:cstheme="majorHAnsi"/>
          <w:sz w:val="24"/>
          <w:szCs w:val="24"/>
        </w:rPr>
        <w:t xml:space="preserve"> </w:t>
      </w:r>
      <w:r w:rsidR="0025291C">
        <w:rPr>
          <w:rFonts w:ascii="Source Sans Pro" w:hAnsi="Source Sans Pro" w:cstheme="majorHAnsi"/>
          <w:sz w:val="24"/>
          <w:szCs w:val="24"/>
        </w:rPr>
        <w:t>without any</w:t>
      </w:r>
      <w:r w:rsidR="00A44354">
        <w:rPr>
          <w:rFonts w:ascii="Source Sans Pro" w:hAnsi="Source Sans Pro" w:cstheme="majorHAnsi"/>
          <w:sz w:val="24"/>
          <w:szCs w:val="24"/>
        </w:rPr>
        <w:t xml:space="preserve"> apparent</w:t>
      </w:r>
      <w:r w:rsidR="00A32896">
        <w:rPr>
          <w:rFonts w:ascii="Source Sans Pro" w:hAnsi="Source Sans Pro" w:cstheme="majorHAnsi"/>
          <w:sz w:val="24"/>
          <w:szCs w:val="24"/>
        </w:rPr>
        <w:t xml:space="preserve"> physical or financial obligations seeming to be demanded for by</w:t>
      </w:r>
      <w:r w:rsidR="00A44354">
        <w:rPr>
          <w:rFonts w:ascii="Source Sans Pro" w:hAnsi="Source Sans Pro" w:cstheme="majorHAnsi"/>
          <w:sz w:val="24"/>
          <w:szCs w:val="24"/>
        </w:rPr>
        <w:t xml:space="preserve"> the Geats</w:t>
      </w:r>
      <w:r w:rsidR="004F07F5">
        <w:rPr>
          <w:rFonts w:ascii="Source Sans Pro" w:hAnsi="Source Sans Pro" w:cstheme="majorHAnsi"/>
          <w:sz w:val="24"/>
          <w:szCs w:val="24"/>
        </w:rPr>
        <w:t>,</w:t>
      </w:r>
      <w:r w:rsidR="00A44354">
        <w:rPr>
          <w:rStyle w:val="FootnoteReference"/>
          <w:rFonts w:ascii="Source Sans Pro" w:hAnsi="Source Sans Pro" w:cstheme="majorHAnsi"/>
          <w:sz w:val="24"/>
          <w:szCs w:val="24"/>
        </w:rPr>
        <w:footnoteReference w:id="107"/>
      </w:r>
      <w:r w:rsidR="004F07F5">
        <w:rPr>
          <w:rFonts w:ascii="Source Sans Pro" w:hAnsi="Source Sans Pro" w:cstheme="majorHAnsi"/>
          <w:sz w:val="24"/>
          <w:szCs w:val="24"/>
        </w:rPr>
        <w:t xml:space="preserve"> a fact that is immediately brushed off afterwards as Beowulf assumes the throne in Heardreds place to ‘hold the princely throne, rule the Geats. That was a Great King!’</w:t>
      </w:r>
      <w:r w:rsidR="004F07F5">
        <w:rPr>
          <w:rStyle w:val="FootnoteReference"/>
          <w:rFonts w:ascii="Source Sans Pro" w:hAnsi="Source Sans Pro" w:cstheme="majorHAnsi"/>
          <w:sz w:val="24"/>
          <w:szCs w:val="24"/>
        </w:rPr>
        <w:footnoteReference w:id="108"/>
      </w:r>
      <w:r w:rsidR="00A44354">
        <w:rPr>
          <w:rFonts w:ascii="Source Sans Pro" w:hAnsi="Source Sans Pro" w:cstheme="majorHAnsi"/>
          <w:sz w:val="24"/>
          <w:szCs w:val="24"/>
        </w:rPr>
        <w:t xml:space="preserve"> It seems as though this relates to the past issue of Beowulf’s untouchable masculinity, which is not scrutinised within the poem, but which is open up to scrutiny by the poet’s lack </w:t>
      </w:r>
      <w:r w:rsidR="003912BF">
        <w:rPr>
          <w:rFonts w:ascii="Source Sans Pro" w:hAnsi="Source Sans Pro" w:cstheme="majorHAnsi"/>
          <w:sz w:val="24"/>
          <w:szCs w:val="24"/>
        </w:rPr>
        <w:t>of explanation</w:t>
      </w:r>
      <w:r w:rsidR="00A44354">
        <w:rPr>
          <w:rFonts w:ascii="Source Sans Pro" w:hAnsi="Source Sans Pro" w:cstheme="majorHAnsi"/>
          <w:sz w:val="24"/>
          <w:szCs w:val="24"/>
        </w:rPr>
        <w:t xml:space="preserve"> for why Beo</w:t>
      </w:r>
      <w:r w:rsidR="00164DCE">
        <w:rPr>
          <w:rFonts w:ascii="Source Sans Pro" w:hAnsi="Source Sans Pro" w:cstheme="majorHAnsi"/>
          <w:sz w:val="24"/>
          <w:szCs w:val="24"/>
        </w:rPr>
        <w:t>wulf did not avenge his kinsman, he certainly does not obey the ‘economy of honour’ mentioned by Day.</w:t>
      </w:r>
      <w:r w:rsidR="004F07F5">
        <w:rPr>
          <w:rFonts w:ascii="Source Sans Pro" w:hAnsi="Source Sans Pro" w:cstheme="majorHAnsi"/>
          <w:sz w:val="24"/>
          <w:szCs w:val="24"/>
        </w:rPr>
        <w:t xml:space="preserve"> The ironic tone that is in these lines of Beowulf’s journey to Kingship then seems to </w:t>
      </w:r>
      <w:r w:rsidR="00C72C9A">
        <w:rPr>
          <w:rFonts w:ascii="Source Sans Pro" w:hAnsi="Source Sans Pro" w:cstheme="majorHAnsi"/>
          <w:sz w:val="24"/>
          <w:szCs w:val="24"/>
        </w:rPr>
        <w:t>be prominent to the reader when thinking of it</w:t>
      </w:r>
      <w:r w:rsidR="004F07F5">
        <w:rPr>
          <w:rFonts w:ascii="Source Sans Pro" w:hAnsi="Source Sans Pro" w:cstheme="majorHAnsi"/>
          <w:sz w:val="24"/>
          <w:szCs w:val="24"/>
        </w:rPr>
        <w:t xml:space="preserve"> within this context. </w:t>
      </w:r>
    </w:p>
    <w:p w14:paraId="30145B60" w14:textId="6F0B4C1A" w:rsidR="00C909F3" w:rsidRPr="00C63B37" w:rsidRDefault="00FB3387" w:rsidP="00C909F3">
      <w:pPr>
        <w:rPr>
          <w:rFonts w:ascii="Source Sans Pro" w:hAnsi="Source Sans Pro" w:cstheme="majorHAnsi"/>
          <w:sz w:val="24"/>
          <w:szCs w:val="24"/>
        </w:rPr>
      </w:pPr>
      <w:r>
        <w:rPr>
          <w:rFonts w:ascii="Source Sans Pro" w:hAnsi="Source Sans Pro" w:cstheme="majorHAnsi"/>
          <w:sz w:val="24"/>
          <w:szCs w:val="24"/>
        </w:rPr>
        <w:lastRenderedPageBreak/>
        <w:t>The poem tells of the i</w:t>
      </w:r>
      <w:r w:rsidR="004E6084">
        <w:rPr>
          <w:rFonts w:ascii="Source Sans Pro" w:hAnsi="Source Sans Pro" w:cstheme="majorHAnsi"/>
          <w:sz w:val="24"/>
          <w:szCs w:val="24"/>
        </w:rPr>
        <w:t xml:space="preserve">nfluence of fate on vengeance, </w:t>
      </w:r>
      <w:r w:rsidR="00FB2492">
        <w:rPr>
          <w:rFonts w:ascii="Source Sans Pro" w:hAnsi="Source Sans Pro" w:cstheme="majorHAnsi"/>
          <w:sz w:val="24"/>
          <w:szCs w:val="24"/>
        </w:rPr>
        <w:t xml:space="preserve">as the poet says, </w:t>
      </w:r>
      <w:r w:rsidR="004E6084">
        <w:rPr>
          <w:rFonts w:ascii="Source Sans Pro" w:hAnsi="Source Sans Pro" w:cstheme="majorHAnsi"/>
          <w:sz w:val="24"/>
          <w:szCs w:val="24"/>
        </w:rPr>
        <w:t>‘fate will alway</w:t>
      </w:r>
      <w:r>
        <w:rPr>
          <w:rFonts w:ascii="Source Sans Pro" w:hAnsi="Source Sans Pro" w:cstheme="majorHAnsi"/>
          <w:sz w:val="24"/>
          <w:szCs w:val="24"/>
        </w:rPr>
        <w:t>s</w:t>
      </w:r>
      <w:r w:rsidR="004E6084">
        <w:rPr>
          <w:rFonts w:ascii="Source Sans Pro" w:hAnsi="Source Sans Pro" w:cstheme="majorHAnsi"/>
          <w:sz w:val="24"/>
          <w:szCs w:val="24"/>
        </w:rPr>
        <w:t xml:space="preserve"> go as it must,’</w:t>
      </w:r>
      <w:r w:rsidR="004E6084">
        <w:rPr>
          <w:rStyle w:val="FootnoteReference"/>
          <w:rFonts w:ascii="Source Sans Pro" w:hAnsi="Source Sans Pro" w:cstheme="majorHAnsi"/>
          <w:sz w:val="24"/>
          <w:szCs w:val="24"/>
        </w:rPr>
        <w:footnoteReference w:id="109"/>
      </w:r>
      <w:r w:rsidR="004E6084">
        <w:rPr>
          <w:rFonts w:ascii="Source Sans Pro" w:hAnsi="Source Sans Pro" w:cstheme="majorHAnsi"/>
          <w:sz w:val="24"/>
          <w:szCs w:val="24"/>
        </w:rPr>
        <w:t xml:space="preserve"> but </w:t>
      </w:r>
      <w:r>
        <w:rPr>
          <w:rFonts w:ascii="Source Sans Pro" w:hAnsi="Source Sans Pro" w:cstheme="majorHAnsi"/>
          <w:sz w:val="24"/>
          <w:szCs w:val="24"/>
        </w:rPr>
        <w:t>fate</w:t>
      </w:r>
      <w:r w:rsidR="004E6084">
        <w:rPr>
          <w:rFonts w:ascii="Source Sans Pro" w:hAnsi="Source Sans Pro" w:cstheme="majorHAnsi"/>
          <w:sz w:val="24"/>
          <w:szCs w:val="24"/>
        </w:rPr>
        <w:t xml:space="preserve"> also</w:t>
      </w:r>
      <w:r w:rsidR="00906C3A">
        <w:rPr>
          <w:rFonts w:ascii="Source Sans Pro" w:hAnsi="Source Sans Pro" w:cstheme="majorHAnsi"/>
          <w:sz w:val="24"/>
          <w:szCs w:val="24"/>
        </w:rPr>
        <w:t xml:space="preserve"> </w:t>
      </w:r>
      <w:r w:rsidR="004E6084">
        <w:rPr>
          <w:rFonts w:ascii="Source Sans Pro" w:hAnsi="Source Sans Pro" w:cstheme="majorHAnsi"/>
          <w:sz w:val="24"/>
          <w:szCs w:val="24"/>
        </w:rPr>
        <w:t>‘</w:t>
      </w:r>
      <w:r w:rsidR="00906C3A">
        <w:rPr>
          <w:rFonts w:ascii="Source Sans Pro" w:hAnsi="Source Sans Pro" w:cstheme="majorHAnsi"/>
          <w:sz w:val="24"/>
          <w:szCs w:val="24"/>
        </w:rPr>
        <w:t>will often spare a man not yet</w:t>
      </w:r>
      <w:r>
        <w:rPr>
          <w:rFonts w:ascii="Source Sans Pro" w:hAnsi="Source Sans Pro" w:cstheme="majorHAnsi"/>
          <w:sz w:val="24"/>
          <w:szCs w:val="24"/>
        </w:rPr>
        <w:t xml:space="preserve"> </w:t>
      </w:r>
      <w:r w:rsidR="00906C3A">
        <w:rPr>
          <w:rFonts w:ascii="Source Sans Pro" w:hAnsi="Source Sans Pro" w:cstheme="majorHAnsi"/>
          <w:sz w:val="24"/>
          <w:szCs w:val="24"/>
        </w:rPr>
        <w:t>destined for death</w:t>
      </w:r>
      <w:r w:rsidR="004E6084">
        <w:rPr>
          <w:rFonts w:ascii="Source Sans Pro" w:hAnsi="Source Sans Pro" w:cstheme="majorHAnsi"/>
          <w:sz w:val="24"/>
          <w:szCs w:val="24"/>
        </w:rPr>
        <w:t>, when his courage is good.</w:t>
      </w:r>
      <w:r>
        <w:rPr>
          <w:rFonts w:ascii="Source Sans Pro" w:hAnsi="Source Sans Pro" w:cstheme="majorHAnsi"/>
          <w:sz w:val="24"/>
          <w:szCs w:val="24"/>
        </w:rPr>
        <w:t>’</w:t>
      </w:r>
      <w:r>
        <w:rPr>
          <w:rStyle w:val="FootnoteReference"/>
          <w:rFonts w:ascii="Source Sans Pro" w:hAnsi="Source Sans Pro" w:cstheme="majorHAnsi"/>
          <w:sz w:val="24"/>
          <w:szCs w:val="24"/>
        </w:rPr>
        <w:footnoteReference w:id="110"/>
      </w:r>
      <w:r w:rsidR="00906C3A">
        <w:rPr>
          <w:rFonts w:ascii="Source Sans Pro" w:hAnsi="Source Sans Pro" w:cstheme="majorHAnsi"/>
          <w:sz w:val="24"/>
          <w:szCs w:val="24"/>
        </w:rPr>
        <w:t xml:space="preserve"> This implies that to some extent a man can alter his fate as would be fitting with a Germanic Pagan ideal</w:t>
      </w:r>
      <w:r w:rsidR="00FB2492">
        <w:rPr>
          <w:rFonts w:ascii="Source Sans Pro" w:hAnsi="Source Sans Pro" w:cstheme="majorHAnsi"/>
          <w:sz w:val="24"/>
          <w:szCs w:val="24"/>
        </w:rPr>
        <w:t>,</w:t>
      </w:r>
      <w:r w:rsidR="00906C3A">
        <w:rPr>
          <w:rFonts w:ascii="Source Sans Pro" w:hAnsi="Source Sans Pro" w:cstheme="majorHAnsi"/>
          <w:sz w:val="24"/>
          <w:szCs w:val="24"/>
        </w:rPr>
        <w:t xml:space="preserve"> but</w:t>
      </w:r>
      <w:r w:rsidR="00FB2492">
        <w:rPr>
          <w:rFonts w:ascii="Source Sans Pro" w:hAnsi="Source Sans Pro" w:cstheme="majorHAnsi"/>
          <w:sz w:val="24"/>
          <w:szCs w:val="24"/>
        </w:rPr>
        <w:t xml:space="preserve"> this ideology</w:t>
      </w:r>
      <w:r w:rsidR="007C6A54">
        <w:rPr>
          <w:rFonts w:ascii="Source Sans Pro" w:hAnsi="Source Sans Pro" w:cstheme="majorHAnsi"/>
          <w:sz w:val="24"/>
          <w:szCs w:val="24"/>
        </w:rPr>
        <w:t xml:space="preserve"> is</w:t>
      </w:r>
      <w:r w:rsidR="00906C3A">
        <w:rPr>
          <w:rFonts w:ascii="Source Sans Pro" w:hAnsi="Source Sans Pro" w:cstheme="majorHAnsi"/>
          <w:sz w:val="24"/>
          <w:szCs w:val="24"/>
        </w:rPr>
        <w:t xml:space="preserve"> at odds with some of the more Christian elements of the poem.</w:t>
      </w:r>
      <w:r w:rsidR="00906C3A">
        <w:rPr>
          <w:rStyle w:val="FootnoteReference"/>
          <w:rFonts w:ascii="Source Sans Pro" w:hAnsi="Source Sans Pro" w:cstheme="majorHAnsi"/>
          <w:sz w:val="24"/>
          <w:szCs w:val="24"/>
        </w:rPr>
        <w:footnoteReference w:id="111"/>
      </w:r>
      <w:r w:rsidR="00267517">
        <w:rPr>
          <w:rFonts w:ascii="Source Sans Pro" w:hAnsi="Source Sans Pro" w:cstheme="majorHAnsi"/>
          <w:sz w:val="24"/>
          <w:szCs w:val="24"/>
        </w:rPr>
        <w:t xml:space="preserve"> As Bertha Phillpotts puts it, in Scandinavian and Anglo-Saxon poetry, there is warmth towards fame as ‘it is an assertion that there is something greater than Fate: the strength of will and the courage of human beings’ as well as the institution of fame which can preserve their courage into cultural memory.</w:t>
      </w:r>
      <w:r w:rsidR="00267517">
        <w:rPr>
          <w:rStyle w:val="FootnoteReference"/>
          <w:rFonts w:ascii="Source Sans Pro" w:hAnsi="Source Sans Pro" w:cstheme="majorHAnsi"/>
          <w:sz w:val="24"/>
          <w:szCs w:val="24"/>
        </w:rPr>
        <w:footnoteReference w:id="112"/>
      </w:r>
      <w:r w:rsidR="00906C3A">
        <w:rPr>
          <w:rFonts w:ascii="Source Sans Pro" w:hAnsi="Source Sans Pro" w:cstheme="majorHAnsi"/>
          <w:sz w:val="24"/>
          <w:szCs w:val="24"/>
        </w:rPr>
        <w:t xml:space="preserve"> </w:t>
      </w:r>
      <w:r w:rsidR="00212223">
        <w:rPr>
          <w:rFonts w:ascii="Source Sans Pro" w:hAnsi="Source Sans Pro" w:cstheme="majorHAnsi"/>
          <w:sz w:val="24"/>
          <w:szCs w:val="24"/>
        </w:rPr>
        <w:t xml:space="preserve"> An example of this can be seen in the beginning of the </w:t>
      </w:r>
      <w:r w:rsidR="007C6A54">
        <w:rPr>
          <w:rFonts w:ascii="Source Sans Pro" w:hAnsi="Source Sans Pro" w:cstheme="majorHAnsi"/>
          <w:sz w:val="24"/>
          <w:szCs w:val="24"/>
        </w:rPr>
        <w:t>struggle with Grendel. The hero lies</w:t>
      </w:r>
      <w:r w:rsidR="00212223">
        <w:rPr>
          <w:rFonts w:ascii="Source Sans Pro" w:hAnsi="Source Sans Pro" w:cstheme="majorHAnsi"/>
          <w:sz w:val="24"/>
          <w:szCs w:val="24"/>
        </w:rPr>
        <w:t xml:space="preserve"> awake whilst on the watch for Grendel, and after Grendel enters, ‘Hygelac’s kinsman watched for how the wicked ravage would set about his sudden onslaughts</w:t>
      </w:r>
      <w:r w:rsidR="00C63B37">
        <w:rPr>
          <w:rFonts w:ascii="Source Sans Pro" w:hAnsi="Source Sans Pro" w:cstheme="majorHAnsi"/>
          <w:sz w:val="24"/>
          <w:szCs w:val="24"/>
        </w:rPr>
        <w:t>.</w:t>
      </w:r>
      <w:r w:rsidR="00212223">
        <w:rPr>
          <w:rFonts w:ascii="Source Sans Pro" w:hAnsi="Source Sans Pro" w:cstheme="majorHAnsi"/>
          <w:sz w:val="24"/>
          <w:szCs w:val="24"/>
        </w:rPr>
        <w:t>’</w:t>
      </w:r>
      <w:r w:rsidR="00C63B37">
        <w:rPr>
          <w:rStyle w:val="FootnoteReference"/>
          <w:rFonts w:ascii="Source Sans Pro" w:hAnsi="Source Sans Pro" w:cstheme="majorHAnsi"/>
          <w:sz w:val="24"/>
          <w:szCs w:val="24"/>
        </w:rPr>
        <w:footnoteReference w:id="113"/>
      </w:r>
      <w:r w:rsidR="00C63B37">
        <w:rPr>
          <w:rFonts w:ascii="Source Sans Pro" w:hAnsi="Source Sans Pro" w:cstheme="majorHAnsi"/>
          <w:sz w:val="24"/>
          <w:szCs w:val="24"/>
        </w:rPr>
        <w:t xml:space="preserve"> It seems strange, and often unmentioned by scholars, that Beowulf watches this without any immediate reaction or issue, and doe</w:t>
      </w:r>
      <w:r w:rsidR="00267517">
        <w:rPr>
          <w:rFonts w:ascii="Source Sans Pro" w:hAnsi="Source Sans Pro" w:cstheme="majorHAnsi"/>
          <w:sz w:val="24"/>
          <w:szCs w:val="24"/>
        </w:rPr>
        <w:t>s not fight Grendel until he finishes eating</w:t>
      </w:r>
      <w:r w:rsidR="00C63B37">
        <w:rPr>
          <w:rFonts w:ascii="Source Sans Pro" w:hAnsi="Source Sans Pro" w:cstheme="majorHAnsi"/>
          <w:sz w:val="24"/>
          <w:szCs w:val="24"/>
        </w:rPr>
        <w:t xml:space="preserve"> the man and</w:t>
      </w:r>
      <w:r w:rsidR="00267517">
        <w:rPr>
          <w:rFonts w:ascii="Source Sans Pro" w:hAnsi="Source Sans Pro" w:cstheme="majorHAnsi"/>
          <w:sz w:val="24"/>
          <w:szCs w:val="24"/>
        </w:rPr>
        <w:t xml:space="preserve"> then</w:t>
      </w:r>
      <w:r w:rsidR="00C63B37">
        <w:rPr>
          <w:rFonts w:ascii="Source Sans Pro" w:hAnsi="Source Sans Pro" w:cstheme="majorHAnsi"/>
          <w:sz w:val="24"/>
          <w:szCs w:val="24"/>
        </w:rPr>
        <w:t xml:space="preserve"> ‘stepped forward closer, then clutched with his hand the stout-hearted warrior on his couch.’</w:t>
      </w:r>
      <w:r w:rsidR="00C63B37">
        <w:rPr>
          <w:rStyle w:val="FootnoteReference"/>
          <w:rFonts w:ascii="Source Sans Pro" w:hAnsi="Source Sans Pro" w:cstheme="majorHAnsi"/>
          <w:sz w:val="24"/>
          <w:szCs w:val="24"/>
        </w:rPr>
        <w:footnoteReference w:id="114"/>
      </w:r>
      <w:r w:rsidR="00C63B37">
        <w:rPr>
          <w:rFonts w:ascii="Source Sans Pro" w:hAnsi="Source Sans Pro" w:cstheme="majorHAnsi"/>
          <w:sz w:val="24"/>
          <w:szCs w:val="24"/>
        </w:rPr>
        <w:t xml:space="preserve"> Beowulf therefore doesn’t actually initiate the </w:t>
      </w:r>
      <w:r w:rsidR="007C6A54">
        <w:rPr>
          <w:rFonts w:ascii="Source Sans Pro" w:hAnsi="Source Sans Pro" w:cstheme="majorHAnsi"/>
          <w:sz w:val="24"/>
          <w:szCs w:val="24"/>
        </w:rPr>
        <w:t>fight as you would expect</w:t>
      </w:r>
      <w:r w:rsidR="00C63B37">
        <w:rPr>
          <w:rFonts w:ascii="Source Sans Pro" w:hAnsi="Source Sans Pro" w:cstheme="majorHAnsi"/>
          <w:sz w:val="24"/>
          <w:szCs w:val="24"/>
        </w:rPr>
        <w:t>, especially after witnessing a sleeping man be eaten before his ver</w:t>
      </w:r>
      <w:r w:rsidR="007C6A54">
        <w:rPr>
          <w:rFonts w:ascii="Source Sans Pro" w:hAnsi="Source Sans Pro" w:cstheme="majorHAnsi"/>
          <w:sz w:val="24"/>
          <w:szCs w:val="24"/>
        </w:rPr>
        <w:t>y eyes’</w:t>
      </w:r>
      <w:r w:rsidR="00C63B37">
        <w:rPr>
          <w:rFonts w:ascii="Source Sans Pro" w:hAnsi="Source Sans Pro" w:cstheme="majorHAnsi"/>
          <w:sz w:val="24"/>
          <w:szCs w:val="24"/>
        </w:rPr>
        <w:t xml:space="preserve"> you would ther</w:t>
      </w:r>
      <w:r w:rsidR="00267517">
        <w:rPr>
          <w:rFonts w:ascii="Source Sans Pro" w:hAnsi="Source Sans Pro" w:cstheme="majorHAnsi"/>
          <w:sz w:val="24"/>
          <w:szCs w:val="24"/>
        </w:rPr>
        <w:t xml:space="preserve">efore </w:t>
      </w:r>
      <w:r w:rsidR="007C6A54">
        <w:rPr>
          <w:rFonts w:ascii="Source Sans Pro" w:hAnsi="Source Sans Pro" w:cstheme="majorHAnsi"/>
          <w:sz w:val="24"/>
          <w:szCs w:val="24"/>
        </w:rPr>
        <w:t>be justified in assuming</w:t>
      </w:r>
      <w:r w:rsidR="00267517">
        <w:rPr>
          <w:rFonts w:ascii="Source Sans Pro" w:hAnsi="Source Sans Pro" w:cstheme="majorHAnsi"/>
          <w:sz w:val="24"/>
          <w:szCs w:val="24"/>
        </w:rPr>
        <w:t xml:space="preserve"> he was not entirely willing to fight</w:t>
      </w:r>
      <w:r w:rsidR="00C63B37">
        <w:rPr>
          <w:rFonts w:ascii="Source Sans Pro" w:hAnsi="Source Sans Pro" w:cstheme="majorHAnsi"/>
          <w:sz w:val="24"/>
          <w:szCs w:val="24"/>
        </w:rPr>
        <w:t xml:space="preserve">. The </w:t>
      </w:r>
      <w:r w:rsidR="007C6A54">
        <w:rPr>
          <w:rFonts w:ascii="Source Sans Pro" w:hAnsi="Source Sans Pro" w:cstheme="majorHAnsi"/>
          <w:sz w:val="24"/>
          <w:szCs w:val="24"/>
        </w:rPr>
        <w:t>poet indicates</w:t>
      </w:r>
      <w:r w:rsidR="00C63B37">
        <w:rPr>
          <w:rFonts w:ascii="Source Sans Pro" w:hAnsi="Source Sans Pro" w:cstheme="majorHAnsi"/>
          <w:sz w:val="24"/>
          <w:szCs w:val="24"/>
        </w:rPr>
        <w:t xml:space="preserve"> </w:t>
      </w:r>
      <w:r w:rsidR="00C63B37">
        <w:rPr>
          <w:rFonts w:ascii="Source Sans Pro" w:hAnsi="Source Sans Pro" w:cstheme="majorHAnsi"/>
          <w:sz w:val="24"/>
          <w:szCs w:val="24"/>
        </w:rPr>
        <w:lastRenderedPageBreak/>
        <w:t>that Beowulf does not initially fight back full-force until he ‘reca</w:t>
      </w:r>
      <w:r w:rsidR="00EE12E8">
        <w:rPr>
          <w:rFonts w:ascii="Source Sans Pro" w:hAnsi="Source Sans Pro" w:cstheme="majorHAnsi"/>
          <w:sz w:val="24"/>
          <w:szCs w:val="24"/>
        </w:rPr>
        <w:t>lled his speech of that evening,</w:t>
      </w:r>
      <w:r w:rsidR="00C63B37">
        <w:rPr>
          <w:rFonts w:ascii="Source Sans Pro" w:hAnsi="Source Sans Pro" w:cstheme="majorHAnsi"/>
          <w:sz w:val="24"/>
          <w:szCs w:val="24"/>
        </w:rPr>
        <w:t>’</w:t>
      </w:r>
      <w:r w:rsidR="00C63B37">
        <w:rPr>
          <w:rStyle w:val="FootnoteReference"/>
          <w:rFonts w:ascii="Source Sans Pro" w:hAnsi="Source Sans Pro" w:cstheme="majorHAnsi"/>
          <w:sz w:val="24"/>
          <w:szCs w:val="24"/>
        </w:rPr>
        <w:footnoteReference w:id="115"/>
      </w:r>
      <w:r w:rsidR="00EE12E8">
        <w:rPr>
          <w:rFonts w:ascii="Source Sans Pro" w:hAnsi="Source Sans Pro" w:cstheme="majorHAnsi"/>
          <w:sz w:val="24"/>
          <w:szCs w:val="24"/>
        </w:rPr>
        <w:t xml:space="preserve"> which seems to give him the courage an</w:t>
      </w:r>
      <w:r w:rsidR="00267517">
        <w:rPr>
          <w:rFonts w:ascii="Source Sans Pro" w:hAnsi="Source Sans Pro" w:cstheme="majorHAnsi"/>
          <w:sz w:val="24"/>
          <w:szCs w:val="24"/>
        </w:rPr>
        <w:t>d morale he needs</w:t>
      </w:r>
      <w:r w:rsidR="00EE12E8">
        <w:rPr>
          <w:rFonts w:ascii="Source Sans Pro" w:hAnsi="Source Sans Pro" w:cstheme="majorHAnsi"/>
          <w:sz w:val="24"/>
          <w:szCs w:val="24"/>
        </w:rPr>
        <w:t xml:space="preserve"> in order to summon the strength to defeat Cain’s-kinsman</w:t>
      </w:r>
      <w:r w:rsidR="007C6A54">
        <w:rPr>
          <w:rFonts w:ascii="Source Sans Pro" w:hAnsi="Source Sans Pro" w:cstheme="majorHAnsi"/>
          <w:sz w:val="24"/>
          <w:szCs w:val="24"/>
        </w:rPr>
        <w:t xml:space="preserve">; </w:t>
      </w:r>
      <w:r w:rsidR="00267517">
        <w:rPr>
          <w:rFonts w:ascii="Source Sans Pro" w:hAnsi="Source Sans Pro" w:cstheme="majorHAnsi"/>
          <w:sz w:val="24"/>
          <w:szCs w:val="24"/>
        </w:rPr>
        <w:t>thus altering his fate and cementing his Fame in the memory of future generations.</w:t>
      </w:r>
      <w:r w:rsidR="00EE12E8">
        <w:rPr>
          <w:rFonts w:ascii="Source Sans Pro" w:hAnsi="Source Sans Pro" w:cstheme="majorHAnsi"/>
          <w:sz w:val="24"/>
          <w:szCs w:val="24"/>
        </w:rPr>
        <w:t xml:space="preserve"> </w:t>
      </w:r>
      <w:r w:rsidR="00C63B37">
        <w:rPr>
          <w:rFonts w:ascii="Source Sans Pro" w:hAnsi="Source Sans Pro" w:cstheme="majorHAnsi"/>
          <w:sz w:val="24"/>
          <w:szCs w:val="24"/>
        </w:rPr>
        <w:t xml:space="preserve"> </w:t>
      </w:r>
    </w:p>
    <w:p w14:paraId="1D2E224A" w14:textId="21566998" w:rsidR="008561CC" w:rsidRDefault="008561CC" w:rsidP="00F50EC1">
      <w:pPr>
        <w:rPr>
          <w:rFonts w:ascii="Source Sans Pro" w:hAnsi="Source Sans Pro" w:cstheme="majorHAnsi"/>
          <w:sz w:val="24"/>
          <w:szCs w:val="24"/>
        </w:rPr>
      </w:pPr>
    </w:p>
    <w:p w14:paraId="0B1DAE29" w14:textId="0CAF0861" w:rsidR="00B07CE1" w:rsidRDefault="00B07CE1" w:rsidP="00F50EC1">
      <w:pPr>
        <w:rPr>
          <w:rFonts w:ascii="Source Sans Pro" w:hAnsi="Source Sans Pro" w:cstheme="majorHAnsi"/>
          <w:sz w:val="24"/>
          <w:szCs w:val="24"/>
        </w:rPr>
      </w:pPr>
    </w:p>
    <w:p w14:paraId="31E12E88" w14:textId="26C2E136" w:rsidR="00B07CE1" w:rsidRDefault="00B07CE1" w:rsidP="00F50EC1">
      <w:pPr>
        <w:rPr>
          <w:rFonts w:ascii="Source Sans Pro" w:hAnsi="Source Sans Pro" w:cstheme="majorHAnsi"/>
          <w:sz w:val="24"/>
          <w:szCs w:val="24"/>
        </w:rPr>
      </w:pPr>
    </w:p>
    <w:p w14:paraId="1D46AB3D" w14:textId="3B23F5BD" w:rsidR="00B07CE1" w:rsidRDefault="00B07CE1" w:rsidP="00F50EC1">
      <w:pPr>
        <w:rPr>
          <w:rFonts w:ascii="Source Sans Pro" w:hAnsi="Source Sans Pro" w:cstheme="majorHAnsi"/>
          <w:sz w:val="24"/>
          <w:szCs w:val="24"/>
        </w:rPr>
      </w:pPr>
    </w:p>
    <w:p w14:paraId="6D971E70" w14:textId="5977932A" w:rsidR="00B07CE1" w:rsidRDefault="00B07CE1" w:rsidP="00F50EC1">
      <w:pPr>
        <w:rPr>
          <w:rFonts w:ascii="Source Sans Pro" w:hAnsi="Source Sans Pro" w:cstheme="majorHAnsi"/>
          <w:sz w:val="24"/>
          <w:szCs w:val="24"/>
        </w:rPr>
      </w:pPr>
    </w:p>
    <w:p w14:paraId="5B55A26D" w14:textId="7F450636" w:rsidR="00B07CE1" w:rsidRDefault="00B07CE1" w:rsidP="00F50EC1">
      <w:pPr>
        <w:rPr>
          <w:rFonts w:ascii="Source Sans Pro" w:hAnsi="Source Sans Pro" w:cstheme="majorHAnsi"/>
          <w:sz w:val="24"/>
          <w:szCs w:val="24"/>
        </w:rPr>
      </w:pPr>
    </w:p>
    <w:p w14:paraId="160C44EC" w14:textId="77777777" w:rsidR="00B07CE1" w:rsidRDefault="00B07CE1" w:rsidP="00F50EC1">
      <w:pPr>
        <w:rPr>
          <w:rFonts w:ascii="Source Sans Pro" w:hAnsi="Source Sans Pro" w:cstheme="majorHAnsi"/>
          <w:sz w:val="24"/>
          <w:szCs w:val="24"/>
        </w:rPr>
      </w:pPr>
    </w:p>
    <w:p w14:paraId="0DE6282F" w14:textId="77C73B12" w:rsidR="008561CC" w:rsidRDefault="008561CC" w:rsidP="00F50EC1">
      <w:pPr>
        <w:rPr>
          <w:rFonts w:ascii="Source Sans Pro" w:hAnsi="Source Sans Pro" w:cstheme="majorHAnsi"/>
          <w:sz w:val="24"/>
          <w:szCs w:val="24"/>
        </w:rPr>
      </w:pPr>
    </w:p>
    <w:p w14:paraId="3132111C" w14:textId="68C7247A" w:rsidR="00567001" w:rsidRDefault="00567001" w:rsidP="00F50EC1">
      <w:pPr>
        <w:rPr>
          <w:rFonts w:ascii="Source Sans Pro" w:hAnsi="Source Sans Pro" w:cstheme="majorHAnsi"/>
          <w:sz w:val="24"/>
          <w:szCs w:val="24"/>
        </w:rPr>
      </w:pPr>
    </w:p>
    <w:p w14:paraId="3ACF5D33" w14:textId="40373130" w:rsidR="00567001" w:rsidRDefault="00567001" w:rsidP="00F50EC1">
      <w:pPr>
        <w:rPr>
          <w:rFonts w:ascii="Source Sans Pro" w:hAnsi="Source Sans Pro" w:cstheme="majorHAnsi"/>
          <w:sz w:val="24"/>
          <w:szCs w:val="24"/>
        </w:rPr>
      </w:pPr>
    </w:p>
    <w:p w14:paraId="2066D91A" w14:textId="77777777" w:rsidR="00567001" w:rsidRDefault="00567001" w:rsidP="00F50EC1">
      <w:pPr>
        <w:rPr>
          <w:rFonts w:ascii="Source Sans Pro" w:hAnsi="Source Sans Pro" w:cstheme="majorHAnsi"/>
          <w:sz w:val="24"/>
          <w:szCs w:val="24"/>
        </w:rPr>
      </w:pPr>
    </w:p>
    <w:p w14:paraId="3D11AA7E" w14:textId="77777777" w:rsidR="008561CC" w:rsidRPr="00A32896" w:rsidRDefault="008561CC" w:rsidP="00F50EC1">
      <w:pPr>
        <w:rPr>
          <w:rFonts w:ascii="Source Sans Pro" w:hAnsi="Source Sans Pro" w:cstheme="majorHAnsi"/>
          <w:sz w:val="24"/>
          <w:szCs w:val="24"/>
        </w:rPr>
      </w:pPr>
    </w:p>
    <w:p w14:paraId="08E35570" w14:textId="51AB76BD" w:rsidR="00C909F3" w:rsidRPr="00390C46" w:rsidRDefault="00DE5B0A" w:rsidP="00390C46">
      <w:pPr>
        <w:pStyle w:val="Heading1"/>
        <w:rPr>
          <w:b/>
          <w:color w:val="auto"/>
          <w:sz w:val="26"/>
          <w:szCs w:val="26"/>
          <w:u w:val="single"/>
        </w:rPr>
      </w:pPr>
      <w:bookmarkStart w:id="4" w:name="_Toc40131059"/>
      <w:r>
        <w:rPr>
          <w:b/>
          <w:color w:val="auto"/>
          <w:sz w:val="26"/>
          <w:szCs w:val="26"/>
          <w:u w:val="single"/>
        </w:rPr>
        <w:lastRenderedPageBreak/>
        <w:t>Fixing</w:t>
      </w:r>
      <w:r w:rsidR="00D86DCA">
        <w:rPr>
          <w:b/>
          <w:color w:val="auto"/>
          <w:sz w:val="26"/>
          <w:szCs w:val="26"/>
          <w:u w:val="single"/>
        </w:rPr>
        <w:t xml:space="preserve"> and Preventing Issues</w:t>
      </w:r>
      <w:r>
        <w:rPr>
          <w:b/>
          <w:color w:val="auto"/>
          <w:sz w:val="26"/>
          <w:szCs w:val="26"/>
          <w:u w:val="single"/>
        </w:rPr>
        <w:t xml:space="preserve"> with </w:t>
      </w:r>
      <w:r w:rsidR="00C909F3" w:rsidRPr="00390C46">
        <w:rPr>
          <w:b/>
          <w:color w:val="auto"/>
          <w:sz w:val="26"/>
          <w:szCs w:val="26"/>
          <w:u w:val="single"/>
        </w:rPr>
        <w:t>Peace Weaving</w:t>
      </w:r>
      <w:r w:rsidR="003935C8">
        <w:rPr>
          <w:b/>
          <w:color w:val="auto"/>
          <w:sz w:val="26"/>
          <w:szCs w:val="26"/>
          <w:u w:val="single"/>
        </w:rPr>
        <w:t xml:space="preserve"> and Fostering ties</w:t>
      </w:r>
      <w:bookmarkEnd w:id="4"/>
    </w:p>
    <w:p w14:paraId="009C32B0" w14:textId="43C62986" w:rsidR="00B50AA2" w:rsidRPr="00E8563E" w:rsidRDefault="00DE5B0A" w:rsidP="00F50EC1">
      <w:pPr>
        <w:rPr>
          <w:rFonts w:ascii="Source Sans Pro" w:hAnsi="Source Sans Pro" w:cstheme="majorHAnsi"/>
          <w:sz w:val="24"/>
          <w:szCs w:val="24"/>
        </w:rPr>
      </w:pPr>
      <w:r>
        <w:rPr>
          <w:rFonts w:ascii="Source Sans Pro" w:hAnsi="Source Sans Pro" w:cstheme="majorHAnsi"/>
          <w:sz w:val="24"/>
          <w:szCs w:val="24"/>
        </w:rPr>
        <w:t>The</w:t>
      </w:r>
      <w:r w:rsidR="00EC26A0">
        <w:rPr>
          <w:rFonts w:ascii="Source Sans Pro" w:hAnsi="Source Sans Pro" w:cstheme="majorHAnsi"/>
          <w:sz w:val="24"/>
          <w:szCs w:val="24"/>
        </w:rPr>
        <w:t xml:space="preserve"> irony</w:t>
      </w:r>
      <w:r w:rsidR="00C909F3">
        <w:rPr>
          <w:rFonts w:ascii="Source Sans Pro" w:hAnsi="Source Sans Pro" w:cstheme="majorHAnsi"/>
          <w:sz w:val="24"/>
          <w:szCs w:val="24"/>
        </w:rPr>
        <w:t xml:space="preserve"> Day describes</w:t>
      </w:r>
      <w:r w:rsidR="00EC26A0">
        <w:rPr>
          <w:rFonts w:ascii="Source Sans Pro" w:hAnsi="Source Sans Pro" w:cstheme="majorHAnsi"/>
          <w:sz w:val="24"/>
          <w:szCs w:val="24"/>
        </w:rPr>
        <w:t xml:space="preserve"> is also felt when attempts to fix problems that cause revenge are made</w:t>
      </w:r>
      <w:r w:rsidR="008657D2">
        <w:rPr>
          <w:rFonts w:ascii="Source Sans Pro" w:hAnsi="Source Sans Pro" w:cstheme="majorHAnsi"/>
          <w:sz w:val="24"/>
          <w:szCs w:val="24"/>
        </w:rPr>
        <w:t>,</w:t>
      </w:r>
      <w:r w:rsidR="00EC26A0">
        <w:rPr>
          <w:rFonts w:ascii="Source Sans Pro" w:hAnsi="Source Sans Pro" w:cstheme="majorHAnsi"/>
          <w:sz w:val="24"/>
          <w:szCs w:val="24"/>
        </w:rPr>
        <w:t xml:space="preserve"> </w:t>
      </w:r>
      <w:r w:rsidR="008657D2">
        <w:rPr>
          <w:rFonts w:ascii="Source Sans Pro" w:hAnsi="Source Sans Pro" w:cstheme="majorHAnsi"/>
          <w:sz w:val="24"/>
          <w:szCs w:val="24"/>
        </w:rPr>
        <w:t xml:space="preserve">an </w:t>
      </w:r>
      <w:r w:rsidR="00EC26A0">
        <w:rPr>
          <w:rFonts w:ascii="Source Sans Pro" w:hAnsi="Source Sans Pro" w:cstheme="majorHAnsi"/>
          <w:sz w:val="24"/>
          <w:szCs w:val="24"/>
        </w:rPr>
        <w:t>example</w:t>
      </w:r>
      <w:r w:rsidR="008657D2">
        <w:rPr>
          <w:rFonts w:ascii="Source Sans Pro" w:hAnsi="Source Sans Pro" w:cstheme="majorHAnsi"/>
          <w:sz w:val="24"/>
          <w:szCs w:val="24"/>
        </w:rPr>
        <w:t xml:space="preserve"> of attempts of reparation within the poem is within</w:t>
      </w:r>
      <w:r w:rsidR="00EC26A0">
        <w:rPr>
          <w:rFonts w:ascii="Source Sans Pro" w:hAnsi="Source Sans Pro" w:cstheme="majorHAnsi"/>
          <w:sz w:val="24"/>
          <w:szCs w:val="24"/>
        </w:rPr>
        <w:t xml:space="preserve"> peace-weaving marriages.</w:t>
      </w:r>
      <w:r w:rsidR="001E34FF">
        <w:rPr>
          <w:rFonts w:ascii="Source Sans Pro" w:hAnsi="Source Sans Pro" w:cstheme="majorHAnsi"/>
          <w:sz w:val="24"/>
          <w:szCs w:val="24"/>
        </w:rPr>
        <w:t xml:space="preserve"> The literature on the practice of women being peace-weavers in </w:t>
      </w:r>
      <w:r w:rsidR="001E34FF">
        <w:rPr>
          <w:rFonts w:ascii="Source Sans Pro" w:hAnsi="Source Sans Pro" w:cstheme="majorHAnsi"/>
          <w:i/>
          <w:sz w:val="24"/>
          <w:szCs w:val="24"/>
        </w:rPr>
        <w:t>Beowulf</w:t>
      </w:r>
      <w:r w:rsidR="001E34FF">
        <w:rPr>
          <w:rFonts w:ascii="Source Sans Pro" w:hAnsi="Source Sans Pro" w:cstheme="majorHAnsi"/>
          <w:sz w:val="24"/>
          <w:szCs w:val="24"/>
        </w:rPr>
        <w:t xml:space="preserve"> is extensive and as such this essay will not attempt to cover the subject in-depth due to limited space.</w:t>
      </w:r>
      <w:r w:rsidR="001E34FF">
        <w:rPr>
          <w:rStyle w:val="FootnoteReference"/>
          <w:rFonts w:ascii="Source Sans Pro" w:hAnsi="Source Sans Pro" w:cstheme="majorHAnsi"/>
          <w:sz w:val="24"/>
          <w:szCs w:val="24"/>
        </w:rPr>
        <w:footnoteReference w:id="116"/>
      </w:r>
      <w:r w:rsidR="00417F6E">
        <w:rPr>
          <w:rFonts w:ascii="Source Sans Pro" w:hAnsi="Source Sans Pro" w:cstheme="majorHAnsi"/>
          <w:sz w:val="24"/>
          <w:szCs w:val="24"/>
        </w:rPr>
        <w:t xml:space="preserve"> The term peace-weaving in itself is of interest, as it was the women who weaved the clothes of which the men would need to be safe and warm and as such it was only a woman who could be a peace-weaver in the way they were </w:t>
      </w:r>
      <w:r w:rsidR="00BF5E7E">
        <w:rPr>
          <w:rFonts w:ascii="Source Sans Pro" w:hAnsi="Source Sans Pro" w:cstheme="majorHAnsi"/>
          <w:sz w:val="24"/>
          <w:szCs w:val="24"/>
        </w:rPr>
        <w:t>made</w:t>
      </w:r>
      <w:r w:rsidR="00417F6E">
        <w:rPr>
          <w:rFonts w:ascii="Source Sans Pro" w:hAnsi="Source Sans Pro" w:cstheme="majorHAnsi"/>
          <w:sz w:val="24"/>
          <w:szCs w:val="24"/>
        </w:rPr>
        <w:t xml:space="preserve"> to.</w:t>
      </w:r>
      <w:r w:rsidR="00BF5E7E">
        <w:rPr>
          <w:rFonts w:ascii="Source Sans Pro" w:hAnsi="Source Sans Pro" w:cstheme="majorHAnsi"/>
          <w:sz w:val="24"/>
          <w:szCs w:val="24"/>
        </w:rPr>
        <w:t xml:space="preserve"> Thus having a woman do this job was </w:t>
      </w:r>
      <w:r w:rsidR="00AB4BE2">
        <w:rPr>
          <w:rFonts w:ascii="Source Sans Pro" w:hAnsi="Source Sans Pro" w:cstheme="majorHAnsi"/>
          <w:sz w:val="24"/>
          <w:szCs w:val="24"/>
        </w:rPr>
        <w:t>of utmost importance, however the act</w:t>
      </w:r>
      <w:r w:rsidR="00BF5E7E">
        <w:rPr>
          <w:rFonts w:ascii="Source Sans Pro" w:hAnsi="Source Sans Pro" w:cstheme="majorHAnsi"/>
          <w:sz w:val="24"/>
          <w:szCs w:val="24"/>
        </w:rPr>
        <w:t xml:space="preserve"> was</w:t>
      </w:r>
      <w:r w:rsidR="00AB4BE2">
        <w:rPr>
          <w:rFonts w:ascii="Source Sans Pro" w:hAnsi="Source Sans Pro" w:cstheme="majorHAnsi"/>
          <w:sz w:val="24"/>
          <w:szCs w:val="24"/>
        </w:rPr>
        <w:t xml:space="preserve"> also</w:t>
      </w:r>
      <w:r w:rsidR="00BF5E7E">
        <w:rPr>
          <w:rFonts w:ascii="Source Sans Pro" w:hAnsi="Source Sans Pro" w:cstheme="majorHAnsi"/>
          <w:sz w:val="24"/>
          <w:szCs w:val="24"/>
        </w:rPr>
        <w:t xml:space="preserve"> often known to be of complete disregard when it came to the issues of men</w:t>
      </w:r>
      <w:r w:rsidR="00AB4BE2">
        <w:rPr>
          <w:rFonts w:ascii="Source Sans Pro" w:hAnsi="Source Sans Pro" w:cstheme="majorHAnsi"/>
          <w:sz w:val="24"/>
          <w:szCs w:val="24"/>
        </w:rPr>
        <w:t>; if a man’s honour-bound duties of feud and violence came in to play, the act of weaving the peace through marriage would then become forfeit to their needs</w:t>
      </w:r>
      <w:r w:rsidR="00BF5E7E">
        <w:rPr>
          <w:rFonts w:ascii="Source Sans Pro" w:hAnsi="Source Sans Pro" w:cstheme="majorHAnsi"/>
          <w:sz w:val="24"/>
          <w:szCs w:val="24"/>
        </w:rPr>
        <w:t>.</w:t>
      </w:r>
      <w:r w:rsidR="006D0AC0">
        <w:rPr>
          <w:rFonts w:ascii="Source Sans Pro" w:hAnsi="Source Sans Pro" w:cstheme="majorHAnsi"/>
          <w:sz w:val="24"/>
          <w:szCs w:val="24"/>
        </w:rPr>
        <w:t xml:space="preserve"> There are many examples of weddings being arranged to encourage peace between warring lords and enemies, but they have not always worked, as we can see within the </w:t>
      </w:r>
      <w:r w:rsidR="006D0AC0">
        <w:rPr>
          <w:rFonts w:ascii="Source Sans Pro" w:hAnsi="Source Sans Pro" w:cstheme="majorHAnsi"/>
          <w:i/>
          <w:iCs/>
          <w:sz w:val="24"/>
          <w:szCs w:val="24"/>
        </w:rPr>
        <w:t xml:space="preserve">Lay of Finn’s </w:t>
      </w:r>
      <w:r w:rsidR="006D0AC0">
        <w:rPr>
          <w:rFonts w:ascii="Source Sans Pro" w:hAnsi="Source Sans Pro" w:cstheme="majorHAnsi"/>
          <w:sz w:val="24"/>
          <w:szCs w:val="24"/>
        </w:rPr>
        <w:t>Hildeburh</w:t>
      </w:r>
      <w:r w:rsidR="006D0AC0">
        <w:rPr>
          <w:rFonts w:ascii="Source Sans Pro" w:hAnsi="Source Sans Pro" w:cstheme="majorHAnsi"/>
          <w:i/>
          <w:iCs/>
          <w:sz w:val="24"/>
          <w:szCs w:val="24"/>
        </w:rPr>
        <w:t xml:space="preserve"> </w:t>
      </w:r>
      <w:r w:rsidR="006D0AC0">
        <w:rPr>
          <w:rFonts w:ascii="Source Sans Pro" w:hAnsi="Source Sans Pro" w:cstheme="majorHAnsi"/>
          <w:sz w:val="24"/>
          <w:szCs w:val="24"/>
        </w:rPr>
        <w:t>and amongst other stories within Beowulf and throughout the world’s history.</w:t>
      </w:r>
      <w:r w:rsidR="00054306">
        <w:rPr>
          <w:rFonts w:ascii="Source Sans Pro" w:hAnsi="Source Sans Pro" w:cstheme="majorHAnsi"/>
          <w:sz w:val="24"/>
          <w:szCs w:val="24"/>
        </w:rPr>
        <w:t xml:space="preserve"> When they do not work, it is often the </w:t>
      </w:r>
      <w:r w:rsidR="00054306">
        <w:rPr>
          <w:rFonts w:ascii="Source Sans Pro" w:hAnsi="Source Sans Pro" w:cstheme="majorHAnsi"/>
          <w:sz w:val="24"/>
          <w:szCs w:val="24"/>
        </w:rPr>
        <w:lastRenderedPageBreak/>
        <w:t>peace-weaver who is worse affected, being torn between her new home and husband, and her old home and kin; neither choice one which would have a positive outcome on the situation or relationships she cherishes.</w:t>
      </w:r>
      <w:r w:rsidR="006D0AC0">
        <w:rPr>
          <w:rFonts w:ascii="Source Sans Pro" w:hAnsi="Source Sans Pro" w:cstheme="majorHAnsi"/>
          <w:sz w:val="24"/>
          <w:szCs w:val="24"/>
        </w:rPr>
        <w:t xml:space="preserve"> Beowulf himself does not seem to encourage the practice, even saying himself that ‘</w:t>
      </w:r>
      <w:r w:rsidR="00797CC5">
        <w:rPr>
          <w:rFonts w:ascii="Source Sans Pro" w:hAnsi="Source Sans Pro" w:cstheme="majorHAnsi"/>
          <w:bCs/>
          <w:sz w:val="24"/>
          <w:szCs w:val="24"/>
        </w:rPr>
        <w:t>It seldom happens after the fall of a prince that the deadly spear rests even a little while—worthy though the bride may be,’</w:t>
      </w:r>
      <w:r w:rsidR="00037056" w:rsidRPr="00D147DD">
        <w:rPr>
          <w:rStyle w:val="FootnoteReference"/>
          <w:rFonts w:ascii="Source Sans Pro" w:hAnsi="Source Sans Pro" w:cstheme="majorHAnsi"/>
          <w:sz w:val="24"/>
          <w:szCs w:val="24"/>
        </w:rPr>
        <w:footnoteReference w:id="117"/>
      </w:r>
      <w:r w:rsidR="006D0AC0">
        <w:rPr>
          <w:rFonts w:ascii="Source Sans Pro" w:hAnsi="Source Sans Pro" w:cstheme="majorHAnsi"/>
          <w:b/>
          <w:bCs/>
          <w:sz w:val="24"/>
          <w:szCs w:val="24"/>
        </w:rPr>
        <w:t xml:space="preserve"> </w:t>
      </w:r>
      <w:r w:rsidR="00337505">
        <w:rPr>
          <w:rFonts w:ascii="Source Sans Pro" w:hAnsi="Source Sans Pro" w:cstheme="majorHAnsi"/>
          <w:sz w:val="24"/>
          <w:szCs w:val="24"/>
        </w:rPr>
        <w:t>whilst</w:t>
      </w:r>
      <w:r w:rsidR="006D0AC0">
        <w:rPr>
          <w:rFonts w:ascii="Source Sans Pro" w:hAnsi="Source Sans Pro" w:cstheme="majorHAnsi"/>
          <w:sz w:val="24"/>
          <w:szCs w:val="24"/>
        </w:rPr>
        <w:t xml:space="preserve"> recounting </w:t>
      </w:r>
      <w:r w:rsidR="00037056">
        <w:rPr>
          <w:rFonts w:ascii="Source Sans Pro" w:hAnsi="Source Sans Pro" w:cstheme="majorHAnsi"/>
          <w:sz w:val="24"/>
          <w:szCs w:val="24"/>
        </w:rPr>
        <w:t xml:space="preserve">the peace-weaving marriage of Hrothgar’s daughter Freawaru to </w:t>
      </w:r>
      <w:r w:rsidR="004B7821">
        <w:rPr>
          <w:rFonts w:ascii="Source Sans Pro" w:hAnsi="Source Sans Pro" w:cstheme="majorHAnsi"/>
          <w:sz w:val="24"/>
          <w:szCs w:val="24"/>
        </w:rPr>
        <w:t>Ingeld, the Heathobardish prince.</w:t>
      </w:r>
      <w:r w:rsidR="0063071C">
        <w:rPr>
          <w:rFonts w:ascii="Source Sans Pro" w:hAnsi="Source Sans Pro" w:cstheme="majorHAnsi"/>
          <w:sz w:val="24"/>
          <w:szCs w:val="24"/>
        </w:rPr>
        <w:t xml:space="preserve"> </w:t>
      </w:r>
      <w:r w:rsidR="00B50AA2">
        <w:rPr>
          <w:rFonts w:ascii="Source Sans Pro" w:hAnsi="Source Sans Pro" w:cstheme="majorHAnsi"/>
          <w:sz w:val="24"/>
          <w:szCs w:val="24"/>
        </w:rPr>
        <w:t xml:space="preserve">Thus the marriage-bed as the home of restoring peace between warring clans was not unknown to those in </w:t>
      </w:r>
      <w:r w:rsidR="00B50AA2">
        <w:rPr>
          <w:rFonts w:ascii="Source Sans Pro" w:hAnsi="Source Sans Pro" w:cstheme="majorHAnsi"/>
          <w:i/>
          <w:sz w:val="24"/>
          <w:szCs w:val="24"/>
        </w:rPr>
        <w:t>Beowulf</w:t>
      </w:r>
      <w:r w:rsidR="00B50AA2">
        <w:rPr>
          <w:rFonts w:ascii="Source Sans Pro" w:hAnsi="Source Sans Pro" w:cstheme="majorHAnsi"/>
          <w:sz w:val="24"/>
          <w:szCs w:val="24"/>
        </w:rPr>
        <w:t>, nor in the Anglo-Saxon realm of thought.</w:t>
      </w:r>
      <w:r w:rsidR="006A6C69">
        <w:rPr>
          <w:rFonts w:ascii="Source Sans Pro" w:hAnsi="Source Sans Pro" w:cstheme="majorHAnsi"/>
          <w:sz w:val="24"/>
          <w:szCs w:val="24"/>
        </w:rPr>
        <w:t xml:space="preserve"> The offspring of a child made through a peace-weaving marriage would often bind two nations together more strongly than the marriage itself, as the child is a symbol of the unity of two warring factions through blood and kinship ties,</w:t>
      </w:r>
      <w:r w:rsidR="006A6C69">
        <w:rPr>
          <w:rStyle w:val="FootnoteReference"/>
          <w:rFonts w:ascii="Source Sans Pro" w:hAnsi="Source Sans Pro" w:cstheme="majorHAnsi"/>
          <w:sz w:val="24"/>
          <w:szCs w:val="24"/>
        </w:rPr>
        <w:footnoteReference w:id="118"/>
      </w:r>
      <w:r w:rsidR="006A6C69">
        <w:rPr>
          <w:rFonts w:ascii="Source Sans Pro" w:hAnsi="Source Sans Pro" w:cstheme="majorHAnsi"/>
          <w:sz w:val="24"/>
          <w:szCs w:val="24"/>
        </w:rPr>
        <w:t xml:space="preserve"> and not simply through marriage which does not make the kin of the woman or man into blood-kin. However, as the </w:t>
      </w:r>
      <w:r w:rsidR="006A6C69">
        <w:rPr>
          <w:rFonts w:ascii="Source Sans Pro" w:hAnsi="Source Sans Pro" w:cstheme="majorHAnsi"/>
          <w:i/>
          <w:sz w:val="24"/>
          <w:szCs w:val="24"/>
        </w:rPr>
        <w:t>Lay of Finn</w:t>
      </w:r>
      <w:r w:rsidR="006A6C69">
        <w:rPr>
          <w:rFonts w:ascii="Source Sans Pro" w:hAnsi="Source Sans Pro" w:cstheme="majorHAnsi"/>
          <w:sz w:val="24"/>
          <w:szCs w:val="24"/>
        </w:rPr>
        <w:t xml:space="preserve"> demonstrates, once the child of the marriage dies, so does the tie of blood which helps to keep the peace.</w:t>
      </w:r>
      <w:r w:rsidR="00E8563E">
        <w:rPr>
          <w:rFonts w:ascii="Source Sans Pro" w:hAnsi="Source Sans Pro" w:cstheme="majorHAnsi"/>
          <w:sz w:val="24"/>
          <w:szCs w:val="24"/>
        </w:rPr>
        <w:t xml:space="preserve"> It seems as though the woman had no choice in whether to marry or not, both in </w:t>
      </w:r>
      <w:r w:rsidR="00E8563E">
        <w:rPr>
          <w:rFonts w:ascii="Source Sans Pro" w:hAnsi="Source Sans Pro" w:cstheme="majorHAnsi"/>
          <w:i/>
          <w:iCs/>
          <w:sz w:val="24"/>
          <w:szCs w:val="24"/>
        </w:rPr>
        <w:t xml:space="preserve">Beowulf </w:t>
      </w:r>
      <w:r w:rsidR="00E8563E">
        <w:rPr>
          <w:rFonts w:ascii="Source Sans Pro" w:hAnsi="Source Sans Pro" w:cstheme="majorHAnsi"/>
          <w:sz w:val="24"/>
          <w:szCs w:val="24"/>
        </w:rPr>
        <w:t xml:space="preserve">and in Anglo-Saxon culture, as can be seen from the lack of voice given on the subject as well as cases such as </w:t>
      </w:r>
      <w:r w:rsidR="00E8563E" w:rsidRPr="00B9313A">
        <w:rPr>
          <w:rFonts w:ascii="Source Sans Pro" w:hAnsi="Source Sans Pro" w:cs="Arial"/>
          <w:sz w:val="24"/>
          <w:szCs w:val="24"/>
          <w:shd w:val="clear" w:color="auto" w:fill="FFFFFF"/>
        </w:rPr>
        <w:t>Æt</w:t>
      </w:r>
      <w:r w:rsidR="00E8563E">
        <w:rPr>
          <w:rFonts w:ascii="Source Sans Pro" w:hAnsi="Source Sans Pro" w:cs="Arial"/>
          <w:sz w:val="24"/>
          <w:szCs w:val="24"/>
          <w:shd w:val="clear" w:color="auto" w:fill="FFFFFF"/>
        </w:rPr>
        <w:t>helthryth</w:t>
      </w:r>
      <w:r w:rsidR="002E0E6D">
        <w:rPr>
          <w:rFonts w:ascii="Source Sans Pro" w:hAnsi="Source Sans Pro" w:cs="Arial"/>
          <w:sz w:val="24"/>
          <w:szCs w:val="24"/>
          <w:shd w:val="clear" w:color="auto" w:fill="FFFFFF"/>
        </w:rPr>
        <w:t xml:space="preserve"> in popular culture</w:t>
      </w:r>
      <w:r w:rsidR="00E8563E">
        <w:rPr>
          <w:rFonts w:ascii="Source Sans Pro" w:hAnsi="Source Sans Pro" w:cs="Arial"/>
          <w:sz w:val="24"/>
          <w:szCs w:val="24"/>
          <w:shd w:val="clear" w:color="auto" w:fill="FFFFFF"/>
        </w:rPr>
        <w:t>.</w:t>
      </w:r>
      <w:r w:rsidR="00E8563E">
        <w:rPr>
          <w:rStyle w:val="FootnoteReference"/>
          <w:rFonts w:ascii="Source Sans Pro" w:hAnsi="Source Sans Pro" w:cs="Arial"/>
          <w:sz w:val="24"/>
          <w:szCs w:val="24"/>
          <w:shd w:val="clear" w:color="auto" w:fill="FFFFFF"/>
        </w:rPr>
        <w:footnoteReference w:id="119"/>
      </w:r>
      <w:r w:rsidR="00E8563E">
        <w:rPr>
          <w:rFonts w:ascii="Source Sans Pro" w:hAnsi="Source Sans Pro" w:cs="Arial"/>
          <w:sz w:val="24"/>
          <w:szCs w:val="24"/>
          <w:shd w:val="clear" w:color="auto" w:fill="FFFFFF"/>
        </w:rPr>
        <w:t xml:space="preserve"> </w:t>
      </w:r>
    </w:p>
    <w:p w14:paraId="29DB1087" w14:textId="48D3827C" w:rsidR="00EC26A0" w:rsidRPr="005843C5" w:rsidRDefault="0063071C" w:rsidP="00F50EC1">
      <w:pPr>
        <w:rPr>
          <w:rFonts w:ascii="Source Sans Pro" w:hAnsi="Source Sans Pro" w:cstheme="majorHAnsi"/>
          <w:sz w:val="24"/>
          <w:szCs w:val="24"/>
        </w:rPr>
      </w:pPr>
      <w:r>
        <w:rPr>
          <w:rFonts w:ascii="Source Sans Pro" w:hAnsi="Source Sans Pro" w:cstheme="majorHAnsi"/>
          <w:sz w:val="24"/>
          <w:szCs w:val="24"/>
        </w:rPr>
        <w:lastRenderedPageBreak/>
        <w:t xml:space="preserve">Marriages were made primarily for alliance purposes in </w:t>
      </w:r>
      <w:r w:rsidR="001D5DFD">
        <w:rPr>
          <w:rFonts w:ascii="Source Sans Pro" w:hAnsi="Source Sans Pro" w:cstheme="majorHAnsi"/>
          <w:sz w:val="24"/>
          <w:szCs w:val="24"/>
        </w:rPr>
        <w:t xml:space="preserve">early </w:t>
      </w:r>
      <w:r>
        <w:rPr>
          <w:rFonts w:ascii="Source Sans Pro" w:hAnsi="Source Sans Pro" w:cstheme="majorHAnsi"/>
          <w:sz w:val="24"/>
          <w:szCs w:val="24"/>
        </w:rPr>
        <w:t>Anglo-Saxon England,</w:t>
      </w:r>
      <w:r w:rsidR="004C7EE0">
        <w:rPr>
          <w:rFonts w:ascii="Source Sans Pro" w:hAnsi="Source Sans Pro" w:cstheme="majorHAnsi"/>
          <w:sz w:val="24"/>
          <w:szCs w:val="24"/>
        </w:rPr>
        <w:t xml:space="preserve"> as the</w:t>
      </w:r>
      <w:r>
        <w:rPr>
          <w:rFonts w:ascii="Source Sans Pro" w:hAnsi="Source Sans Pro" w:cstheme="majorHAnsi"/>
          <w:sz w:val="24"/>
          <w:szCs w:val="24"/>
        </w:rPr>
        <w:t xml:space="preserve"> </w:t>
      </w:r>
      <w:r w:rsidR="004C7EE0">
        <w:rPr>
          <w:rFonts w:ascii="Source Sans Pro" w:hAnsi="Source Sans Pro" w:cstheme="majorHAnsi"/>
          <w:sz w:val="24"/>
          <w:szCs w:val="24"/>
        </w:rPr>
        <w:t>succession of a kingdom</w:t>
      </w:r>
      <w:r>
        <w:rPr>
          <w:rFonts w:ascii="Source Sans Pro" w:hAnsi="Source Sans Pro" w:cstheme="majorHAnsi"/>
          <w:sz w:val="24"/>
          <w:szCs w:val="24"/>
        </w:rPr>
        <w:t xml:space="preserve"> was applicable to illegitimate</w:t>
      </w:r>
      <w:r w:rsidR="004C7EE0">
        <w:rPr>
          <w:rFonts w:ascii="Source Sans Pro" w:hAnsi="Source Sans Pro" w:cstheme="majorHAnsi"/>
          <w:sz w:val="24"/>
          <w:szCs w:val="24"/>
        </w:rPr>
        <w:t xml:space="preserve"> </w:t>
      </w:r>
      <w:r>
        <w:rPr>
          <w:rFonts w:ascii="Source Sans Pro" w:hAnsi="Source Sans Pro" w:cstheme="majorHAnsi"/>
          <w:sz w:val="24"/>
          <w:szCs w:val="24"/>
        </w:rPr>
        <w:t>and legitimate heirs alike.</w:t>
      </w:r>
      <w:r w:rsidR="004C7EE0">
        <w:rPr>
          <w:rStyle w:val="FootnoteReference"/>
          <w:rFonts w:ascii="Source Sans Pro" w:hAnsi="Source Sans Pro" w:cstheme="majorHAnsi"/>
          <w:sz w:val="24"/>
          <w:szCs w:val="24"/>
        </w:rPr>
        <w:footnoteReference w:id="120"/>
      </w:r>
      <w:r>
        <w:rPr>
          <w:rFonts w:ascii="Source Sans Pro" w:hAnsi="Source Sans Pro" w:cstheme="majorHAnsi"/>
          <w:sz w:val="24"/>
          <w:szCs w:val="24"/>
        </w:rPr>
        <w:t xml:space="preserve"> It was the status of the mother which mattered when considering these lines of inheritance</w:t>
      </w:r>
      <w:r w:rsidR="004C7EE0">
        <w:rPr>
          <w:rFonts w:ascii="Source Sans Pro" w:hAnsi="Source Sans Pro" w:cstheme="majorHAnsi"/>
          <w:sz w:val="24"/>
          <w:szCs w:val="24"/>
        </w:rPr>
        <w:t xml:space="preserve"> and how they apply to a succession of power</w:t>
      </w:r>
      <w:r>
        <w:rPr>
          <w:rFonts w:ascii="Source Sans Pro" w:hAnsi="Source Sans Pro" w:cstheme="majorHAnsi"/>
          <w:sz w:val="24"/>
          <w:szCs w:val="24"/>
        </w:rPr>
        <w:t>,</w:t>
      </w:r>
      <w:r w:rsidR="004C7EE0">
        <w:rPr>
          <w:rStyle w:val="FootnoteReference"/>
          <w:rFonts w:ascii="Source Sans Pro" w:hAnsi="Source Sans Pro" w:cstheme="majorHAnsi"/>
          <w:sz w:val="24"/>
          <w:szCs w:val="24"/>
        </w:rPr>
        <w:footnoteReference w:id="121"/>
      </w:r>
      <w:r>
        <w:rPr>
          <w:rFonts w:ascii="Source Sans Pro" w:hAnsi="Source Sans Pro" w:cstheme="majorHAnsi"/>
          <w:sz w:val="24"/>
          <w:szCs w:val="24"/>
        </w:rPr>
        <w:t xml:space="preserve"> as in Beowulf when he claimed </w:t>
      </w:r>
      <w:r w:rsidR="004C7EE0">
        <w:rPr>
          <w:rFonts w:ascii="Source Sans Pro" w:hAnsi="Source Sans Pro" w:cstheme="majorHAnsi"/>
          <w:sz w:val="24"/>
          <w:szCs w:val="24"/>
        </w:rPr>
        <w:t>his power through his mother, not his father Echtheow</w:t>
      </w:r>
      <w:r>
        <w:rPr>
          <w:rFonts w:ascii="Source Sans Pro" w:hAnsi="Source Sans Pro" w:cstheme="majorHAnsi"/>
          <w:sz w:val="24"/>
          <w:szCs w:val="24"/>
        </w:rPr>
        <w:t>.</w:t>
      </w:r>
      <w:r w:rsidR="004C7EE0">
        <w:rPr>
          <w:rFonts w:ascii="Source Sans Pro" w:hAnsi="Source Sans Pro" w:cstheme="majorHAnsi"/>
          <w:sz w:val="24"/>
          <w:szCs w:val="24"/>
        </w:rPr>
        <w:t xml:space="preserve"> Therefore, a king could have an illegitimate child follow him if he was worthy without issue, but the opportunity would be more likely to be given to a child who came from a mother with a higher status.</w:t>
      </w:r>
      <w:r w:rsidR="00DC609B">
        <w:rPr>
          <w:rFonts w:ascii="Source Sans Pro" w:hAnsi="Source Sans Pro" w:cstheme="majorHAnsi"/>
          <w:sz w:val="24"/>
          <w:szCs w:val="24"/>
        </w:rPr>
        <w:t xml:space="preserve"> Marriage then was considered as an alliance forging event with great political significance, but not solely for the purpose of producing sons who were legitimate to rule after their father dies.</w:t>
      </w:r>
      <w:r w:rsidR="00230C1A">
        <w:rPr>
          <w:rFonts w:ascii="Source Sans Pro" w:hAnsi="Source Sans Pro" w:cstheme="majorHAnsi"/>
          <w:sz w:val="24"/>
          <w:szCs w:val="24"/>
        </w:rPr>
        <w:t xml:space="preserve"> However it was also used as a way to prevent fornication or adultery from the early middle-ages, which would lead to one having to undertake specified times of penance, as can be seen by the Penitentials of Theodore (668-690 AD), Archbishop of Canterbury.</w:t>
      </w:r>
      <w:r w:rsidR="00230C1A">
        <w:rPr>
          <w:rStyle w:val="FootnoteReference"/>
          <w:rFonts w:ascii="Source Sans Pro" w:hAnsi="Source Sans Pro" w:cstheme="majorHAnsi"/>
          <w:sz w:val="24"/>
          <w:szCs w:val="24"/>
        </w:rPr>
        <w:footnoteReference w:id="122"/>
      </w:r>
      <w:r w:rsidR="005843C5">
        <w:rPr>
          <w:rFonts w:ascii="Source Sans Pro" w:hAnsi="Source Sans Pro" w:cstheme="majorHAnsi"/>
          <w:sz w:val="24"/>
          <w:szCs w:val="24"/>
        </w:rPr>
        <w:t xml:space="preserve"> This issue does not seem to be in the forefront of the </w:t>
      </w:r>
      <w:r w:rsidR="005843C5">
        <w:rPr>
          <w:rFonts w:ascii="Source Sans Pro" w:hAnsi="Source Sans Pro" w:cstheme="majorHAnsi"/>
          <w:i/>
          <w:iCs/>
          <w:sz w:val="24"/>
          <w:szCs w:val="24"/>
        </w:rPr>
        <w:t>Beowulf</w:t>
      </w:r>
      <w:r w:rsidR="005843C5">
        <w:rPr>
          <w:rFonts w:ascii="Source Sans Pro" w:hAnsi="Source Sans Pro" w:cstheme="majorHAnsi"/>
          <w:sz w:val="24"/>
          <w:szCs w:val="24"/>
        </w:rPr>
        <w:t>-poet’s mind though and therefore does not need further investigation for the purposes of this study</w:t>
      </w:r>
      <w:r w:rsidR="00065ECB">
        <w:rPr>
          <w:rFonts w:ascii="Source Sans Pro" w:hAnsi="Source Sans Pro" w:cstheme="majorHAnsi"/>
          <w:sz w:val="24"/>
          <w:szCs w:val="24"/>
        </w:rPr>
        <w:t xml:space="preserve"> as it would be </w:t>
      </w:r>
      <w:r w:rsidR="00084EFE">
        <w:rPr>
          <w:rFonts w:ascii="Source Sans Pro" w:hAnsi="Source Sans Pro" w:cstheme="majorHAnsi"/>
          <w:sz w:val="24"/>
          <w:szCs w:val="24"/>
        </w:rPr>
        <w:t>un-</w:t>
      </w:r>
      <w:r w:rsidR="00065ECB">
        <w:rPr>
          <w:rFonts w:ascii="Source Sans Pro" w:hAnsi="Source Sans Pro" w:cstheme="majorHAnsi"/>
          <w:sz w:val="24"/>
          <w:szCs w:val="24"/>
        </w:rPr>
        <w:t xml:space="preserve">constructive to the </w:t>
      </w:r>
      <w:r w:rsidR="00475CA1">
        <w:rPr>
          <w:rFonts w:ascii="Source Sans Pro" w:hAnsi="Source Sans Pro" w:cstheme="majorHAnsi"/>
          <w:sz w:val="24"/>
          <w:szCs w:val="24"/>
        </w:rPr>
        <w:t xml:space="preserve">purpose of exploring a </w:t>
      </w:r>
      <w:r w:rsidR="009516B5">
        <w:rPr>
          <w:rFonts w:ascii="Source Sans Pro" w:hAnsi="Source Sans Pro" w:cstheme="majorHAnsi"/>
          <w:sz w:val="24"/>
          <w:szCs w:val="24"/>
        </w:rPr>
        <w:t>revenge</w:t>
      </w:r>
      <w:r w:rsidR="00475CA1">
        <w:rPr>
          <w:rFonts w:ascii="Source Sans Pro" w:hAnsi="Source Sans Pro" w:cstheme="majorHAnsi"/>
          <w:sz w:val="24"/>
          <w:szCs w:val="24"/>
        </w:rPr>
        <w:t xml:space="preserve"> culture</w:t>
      </w:r>
      <w:r w:rsidR="005843C5">
        <w:rPr>
          <w:rFonts w:ascii="Source Sans Pro" w:hAnsi="Source Sans Pro" w:cstheme="majorHAnsi"/>
          <w:sz w:val="24"/>
          <w:szCs w:val="24"/>
        </w:rPr>
        <w:t>.</w:t>
      </w:r>
    </w:p>
    <w:p w14:paraId="29F1C757" w14:textId="7A1B42DC" w:rsidR="005D1A2D" w:rsidRDefault="003935C8" w:rsidP="00F50EC1">
      <w:pPr>
        <w:rPr>
          <w:rFonts w:ascii="Source Sans Pro" w:hAnsi="Source Sans Pro" w:cstheme="majorHAnsi"/>
          <w:sz w:val="24"/>
          <w:szCs w:val="24"/>
        </w:rPr>
      </w:pPr>
      <w:r>
        <w:rPr>
          <w:rFonts w:ascii="Source Sans Pro" w:hAnsi="Source Sans Pro" w:cstheme="majorHAnsi"/>
          <w:sz w:val="24"/>
          <w:szCs w:val="24"/>
        </w:rPr>
        <w:t>Another commonality with</w:t>
      </w:r>
      <w:r w:rsidR="00B07CE1">
        <w:rPr>
          <w:rFonts w:ascii="Source Sans Pro" w:hAnsi="Source Sans Pro" w:cstheme="majorHAnsi"/>
          <w:sz w:val="24"/>
          <w:szCs w:val="24"/>
        </w:rPr>
        <w:t xml:space="preserve"> preventing and solving feuds within</w:t>
      </w:r>
      <w:r>
        <w:rPr>
          <w:rFonts w:ascii="Source Sans Pro" w:hAnsi="Source Sans Pro" w:cstheme="majorHAnsi"/>
          <w:sz w:val="24"/>
          <w:szCs w:val="24"/>
        </w:rPr>
        <w:t xml:space="preserve"> </w:t>
      </w:r>
      <w:r>
        <w:rPr>
          <w:rFonts w:ascii="Source Sans Pro" w:hAnsi="Source Sans Pro" w:cstheme="majorHAnsi"/>
          <w:i/>
          <w:sz w:val="24"/>
          <w:szCs w:val="24"/>
        </w:rPr>
        <w:t xml:space="preserve">Beowulf </w:t>
      </w:r>
      <w:r>
        <w:rPr>
          <w:rFonts w:ascii="Source Sans Pro" w:hAnsi="Source Sans Pro" w:cstheme="majorHAnsi"/>
          <w:sz w:val="24"/>
          <w:szCs w:val="24"/>
        </w:rPr>
        <w:t>and the Anglo-Saxon world is that of fostering your kin</w:t>
      </w:r>
      <w:r w:rsidR="004B76C5">
        <w:rPr>
          <w:rFonts w:ascii="Source Sans Pro" w:hAnsi="Source Sans Pro" w:cstheme="majorHAnsi"/>
          <w:sz w:val="24"/>
          <w:szCs w:val="24"/>
        </w:rPr>
        <w:t>’</w:t>
      </w:r>
      <w:r>
        <w:rPr>
          <w:rFonts w:ascii="Source Sans Pro" w:hAnsi="Source Sans Pro" w:cstheme="majorHAnsi"/>
          <w:sz w:val="24"/>
          <w:szCs w:val="24"/>
        </w:rPr>
        <w:t xml:space="preserve">s children to strengthen </w:t>
      </w:r>
      <w:r w:rsidR="00B07CE1">
        <w:rPr>
          <w:rFonts w:ascii="Source Sans Pro" w:hAnsi="Source Sans Pro" w:cstheme="majorHAnsi"/>
          <w:sz w:val="24"/>
          <w:szCs w:val="24"/>
        </w:rPr>
        <w:t xml:space="preserve">kinship </w:t>
      </w:r>
      <w:r>
        <w:rPr>
          <w:rFonts w:ascii="Source Sans Pro" w:hAnsi="Source Sans Pro" w:cstheme="majorHAnsi"/>
          <w:sz w:val="24"/>
          <w:szCs w:val="24"/>
        </w:rPr>
        <w:t xml:space="preserve">bonds. Beowulf </w:t>
      </w:r>
      <w:r>
        <w:rPr>
          <w:rFonts w:ascii="Source Sans Pro" w:hAnsi="Source Sans Pro" w:cstheme="majorHAnsi"/>
          <w:sz w:val="24"/>
          <w:szCs w:val="24"/>
        </w:rPr>
        <w:lastRenderedPageBreak/>
        <w:t>himself is fostered as a child of seven years by his</w:t>
      </w:r>
      <w:r w:rsidR="004B7821">
        <w:rPr>
          <w:rFonts w:ascii="Source Sans Pro" w:hAnsi="Source Sans Pro" w:cstheme="majorHAnsi"/>
          <w:sz w:val="24"/>
          <w:szCs w:val="24"/>
        </w:rPr>
        <w:t xml:space="preserve"> maternal</w:t>
      </w:r>
      <w:r>
        <w:rPr>
          <w:rFonts w:ascii="Source Sans Pro" w:hAnsi="Source Sans Pro" w:cstheme="majorHAnsi"/>
          <w:sz w:val="24"/>
          <w:szCs w:val="24"/>
        </w:rPr>
        <w:t xml:space="preserve"> </w:t>
      </w:r>
      <w:r w:rsidR="004B7821">
        <w:rPr>
          <w:rFonts w:ascii="Source Sans Pro" w:hAnsi="Source Sans Pro" w:cstheme="majorHAnsi"/>
          <w:sz w:val="24"/>
          <w:szCs w:val="24"/>
        </w:rPr>
        <w:t>grandfather</w:t>
      </w:r>
      <w:r>
        <w:rPr>
          <w:rFonts w:ascii="Source Sans Pro" w:hAnsi="Source Sans Pro" w:cstheme="majorHAnsi"/>
          <w:sz w:val="24"/>
          <w:szCs w:val="24"/>
        </w:rPr>
        <w:t xml:space="preserve"> </w:t>
      </w:r>
      <w:r w:rsidR="004B7821">
        <w:rPr>
          <w:rFonts w:ascii="Source Sans Pro" w:hAnsi="Source Sans Pro" w:cstheme="majorHAnsi"/>
          <w:sz w:val="24"/>
          <w:szCs w:val="24"/>
        </w:rPr>
        <w:t>Hrethel</w:t>
      </w:r>
      <w:r w:rsidR="008561CC">
        <w:rPr>
          <w:rFonts w:ascii="Source Sans Pro" w:hAnsi="Source Sans Pro" w:cstheme="majorHAnsi"/>
          <w:sz w:val="24"/>
          <w:szCs w:val="24"/>
        </w:rPr>
        <w:t>.</w:t>
      </w:r>
      <w:r>
        <w:rPr>
          <w:rStyle w:val="FootnoteReference"/>
          <w:rFonts w:ascii="Source Sans Pro" w:hAnsi="Source Sans Pro" w:cstheme="majorHAnsi"/>
          <w:sz w:val="24"/>
          <w:szCs w:val="24"/>
        </w:rPr>
        <w:footnoteReference w:id="123"/>
      </w:r>
      <w:r w:rsidR="008561CC">
        <w:rPr>
          <w:rFonts w:ascii="Source Sans Pro" w:hAnsi="Source Sans Pro" w:cstheme="majorHAnsi"/>
          <w:sz w:val="24"/>
          <w:szCs w:val="24"/>
        </w:rPr>
        <w:t xml:space="preserve"> Th</w:t>
      </w:r>
      <w:r w:rsidR="004B76C5">
        <w:rPr>
          <w:rFonts w:ascii="Source Sans Pro" w:hAnsi="Source Sans Pro" w:cstheme="majorHAnsi"/>
          <w:sz w:val="24"/>
          <w:szCs w:val="24"/>
        </w:rPr>
        <w:t>is fostering may have happened due to the fact that at age seven it seems as though Beowulf had no brothers, and may have been safer with Hrethel because of this, as well as the fact that he was older and could educate his grandson well.</w:t>
      </w:r>
      <w:r w:rsidR="004B76C5">
        <w:rPr>
          <w:rStyle w:val="FootnoteReference"/>
          <w:rFonts w:ascii="Source Sans Pro" w:hAnsi="Source Sans Pro" w:cstheme="majorHAnsi"/>
          <w:sz w:val="24"/>
          <w:szCs w:val="24"/>
        </w:rPr>
        <w:footnoteReference w:id="124"/>
      </w:r>
      <w:r w:rsidR="00B72DCE">
        <w:rPr>
          <w:rFonts w:ascii="Source Sans Pro" w:hAnsi="Source Sans Pro" w:cstheme="majorHAnsi"/>
          <w:sz w:val="24"/>
          <w:szCs w:val="24"/>
        </w:rPr>
        <w:t xml:space="preserve"> Also, Beowulf’s father </w:t>
      </w:r>
      <w:r w:rsidR="00B72DCE" w:rsidRPr="009704C1">
        <w:rPr>
          <w:rFonts w:ascii="Source Sans Pro" w:hAnsi="Source Sans Pro" w:cstheme="majorHAnsi"/>
          <w:sz w:val="24"/>
          <w:szCs w:val="24"/>
        </w:rPr>
        <w:t>Ecgtheow</w:t>
      </w:r>
      <w:r w:rsidR="00B72DCE">
        <w:rPr>
          <w:rFonts w:ascii="Source Sans Pro" w:hAnsi="Source Sans Pro" w:cstheme="majorHAnsi"/>
          <w:sz w:val="24"/>
          <w:szCs w:val="24"/>
        </w:rPr>
        <w:t xml:space="preserve"> may have been exiled at this point, the feud from his kin-slaying still an issue could have put the you Beowulf at risk.</w:t>
      </w:r>
      <w:r w:rsidR="00EC6C5D">
        <w:rPr>
          <w:rFonts w:ascii="Source Sans Pro" w:hAnsi="Source Sans Pro" w:cstheme="majorHAnsi"/>
          <w:sz w:val="24"/>
          <w:szCs w:val="24"/>
        </w:rPr>
        <w:t xml:space="preserve"> Fosterage was in essence a means of moral education for the fosterling</w:t>
      </w:r>
      <w:r w:rsidR="00596CC6">
        <w:rPr>
          <w:rFonts w:ascii="Source Sans Pro" w:hAnsi="Source Sans Pro" w:cstheme="majorHAnsi"/>
          <w:sz w:val="24"/>
          <w:szCs w:val="24"/>
        </w:rPr>
        <w:t xml:space="preserve"> as</w:t>
      </w:r>
      <w:r w:rsidR="00EC6C5D">
        <w:rPr>
          <w:rFonts w:ascii="Source Sans Pro" w:hAnsi="Source Sans Pro" w:cstheme="majorHAnsi"/>
          <w:sz w:val="24"/>
          <w:szCs w:val="24"/>
        </w:rPr>
        <w:t>, like the family unit’s veneration in Anglo-Saxon times, so was the promotion of positive behaviours through good and appropriate role-models.</w:t>
      </w:r>
      <w:r w:rsidR="00EC6C5D">
        <w:rPr>
          <w:rStyle w:val="FootnoteReference"/>
          <w:rFonts w:ascii="Source Sans Pro" w:hAnsi="Source Sans Pro" w:cstheme="majorHAnsi"/>
          <w:sz w:val="24"/>
          <w:szCs w:val="24"/>
        </w:rPr>
        <w:footnoteReference w:id="125"/>
      </w:r>
      <w:r w:rsidR="008561CC">
        <w:rPr>
          <w:rFonts w:ascii="Source Sans Pro" w:hAnsi="Source Sans Pro" w:cstheme="majorHAnsi"/>
          <w:sz w:val="24"/>
          <w:szCs w:val="24"/>
        </w:rPr>
        <w:t xml:space="preserve"> There were three types of fosterage historically; ‘crisis fostering,’ that is the fostering of orphans by close kin; ‘milk-kinship’ where fostered children are bonded with those through the sharing of milk; and lastly ‘allegiance-fostering.’</w:t>
      </w:r>
      <w:r w:rsidR="008561CC">
        <w:rPr>
          <w:rStyle w:val="FootnoteReference"/>
          <w:rFonts w:ascii="Source Sans Pro" w:hAnsi="Source Sans Pro" w:cstheme="majorHAnsi"/>
          <w:sz w:val="24"/>
          <w:szCs w:val="24"/>
        </w:rPr>
        <w:footnoteReference w:id="126"/>
      </w:r>
      <w:r w:rsidR="002651E9">
        <w:rPr>
          <w:rFonts w:ascii="Source Sans Pro" w:hAnsi="Source Sans Pro" w:cstheme="majorHAnsi"/>
          <w:sz w:val="24"/>
          <w:szCs w:val="24"/>
        </w:rPr>
        <w:t xml:space="preserve"> </w:t>
      </w:r>
      <w:r w:rsidR="008561CC">
        <w:rPr>
          <w:rFonts w:ascii="Source Sans Pro" w:hAnsi="Source Sans Pro" w:cstheme="majorHAnsi"/>
          <w:sz w:val="24"/>
          <w:szCs w:val="24"/>
        </w:rPr>
        <w:t xml:space="preserve">A normal age of fostering would be from some point in early childhood up to marriageable age and </w:t>
      </w:r>
      <w:r w:rsidR="00BB26FB">
        <w:rPr>
          <w:rFonts w:ascii="Source Sans Pro" w:hAnsi="Source Sans Pro" w:cstheme="majorHAnsi"/>
          <w:sz w:val="24"/>
          <w:szCs w:val="24"/>
        </w:rPr>
        <w:t>hand</w:t>
      </w:r>
      <w:r w:rsidR="008561CC">
        <w:rPr>
          <w:rFonts w:ascii="Source Sans Pro" w:hAnsi="Source Sans Pro" w:cstheme="majorHAnsi"/>
          <w:sz w:val="24"/>
          <w:szCs w:val="24"/>
        </w:rPr>
        <w:t xml:space="preserve"> the duties of educating and rearing the child entirely in </w:t>
      </w:r>
      <w:r w:rsidR="009A432E">
        <w:rPr>
          <w:rFonts w:ascii="Source Sans Pro" w:hAnsi="Source Sans Pro" w:cstheme="majorHAnsi"/>
          <w:sz w:val="24"/>
          <w:szCs w:val="24"/>
        </w:rPr>
        <w:t>the hands of the foster-parents;</w:t>
      </w:r>
      <w:r w:rsidR="00BB26FB">
        <w:rPr>
          <w:rStyle w:val="FootnoteReference"/>
          <w:rFonts w:ascii="Source Sans Pro" w:hAnsi="Source Sans Pro" w:cstheme="majorHAnsi"/>
          <w:sz w:val="24"/>
          <w:szCs w:val="24"/>
        </w:rPr>
        <w:footnoteReference w:id="127"/>
      </w:r>
      <w:r w:rsidR="00054306">
        <w:rPr>
          <w:rFonts w:ascii="Source Sans Pro" w:hAnsi="Source Sans Pro" w:cstheme="majorHAnsi"/>
          <w:sz w:val="24"/>
          <w:szCs w:val="24"/>
        </w:rPr>
        <w:t xml:space="preserve"> </w:t>
      </w:r>
      <w:r w:rsidR="009A432E">
        <w:rPr>
          <w:rFonts w:ascii="Source Sans Pro" w:hAnsi="Source Sans Pro" w:cstheme="majorHAnsi"/>
          <w:sz w:val="24"/>
          <w:szCs w:val="24"/>
        </w:rPr>
        <w:t xml:space="preserve">parents would often pay a fee to get their children fostered in their chosen households but this could also be done </w:t>
      </w:r>
      <w:r w:rsidR="009A432E">
        <w:rPr>
          <w:rFonts w:ascii="Source Sans Pro" w:hAnsi="Source Sans Pro" w:cstheme="majorHAnsi"/>
          <w:i/>
          <w:sz w:val="24"/>
          <w:szCs w:val="24"/>
        </w:rPr>
        <w:t xml:space="preserve">altram </w:t>
      </w:r>
      <w:r w:rsidR="009A432E" w:rsidRPr="009A432E">
        <w:rPr>
          <w:rFonts w:ascii="Source Sans Pro" w:hAnsi="Source Sans Pro" w:cstheme="majorHAnsi"/>
          <w:i/>
          <w:sz w:val="24"/>
          <w:szCs w:val="24"/>
        </w:rPr>
        <w:t>serce</w:t>
      </w:r>
      <w:r w:rsidR="009A432E">
        <w:rPr>
          <w:rFonts w:ascii="Source Sans Pro" w:hAnsi="Source Sans Pro" w:cstheme="majorHAnsi"/>
          <w:sz w:val="24"/>
          <w:szCs w:val="24"/>
        </w:rPr>
        <w:t>, with no payment, if it was done out of affection or obligation towards the child or their parents.</w:t>
      </w:r>
      <w:r w:rsidR="009A432E">
        <w:rPr>
          <w:rStyle w:val="FootnoteReference"/>
          <w:rFonts w:ascii="Source Sans Pro" w:hAnsi="Source Sans Pro" w:cstheme="majorHAnsi"/>
          <w:sz w:val="24"/>
          <w:szCs w:val="24"/>
        </w:rPr>
        <w:footnoteReference w:id="128"/>
      </w:r>
      <w:r w:rsidR="00687135">
        <w:rPr>
          <w:rFonts w:ascii="Source Sans Pro" w:hAnsi="Source Sans Pro" w:cstheme="majorHAnsi"/>
          <w:sz w:val="24"/>
          <w:szCs w:val="24"/>
        </w:rPr>
        <w:t xml:space="preserve"> An issue which could arise from creating fosterlings is the intermingling of different status individuals and their children, which could be considered as shameful to both sides of the spectrum in certain circumstances, such as a poor family </w:t>
      </w:r>
      <w:r w:rsidR="00687135">
        <w:rPr>
          <w:rFonts w:ascii="Source Sans Pro" w:hAnsi="Source Sans Pro" w:cstheme="majorHAnsi"/>
          <w:sz w:val="24"/>
          <w:szCs w:val="24"/>
        </w:rPr>
        <w:lastRenderedPageBreak/>
        <w:t>fostering a rich family’s child and vice versa.</w:t>
      </w:r>
      <w:r w:rsidR="00687135">
        <w:rPr>
          <w:rStyle w:val="FootnoteReference"/>
          <w:rFonts w:ascii="Source Sans Pro" w:hAnsi="Source Sans Pro" w:cstheme="majorHAnsi"/>
          <w:sz w:val="24"/>
          <w:szCs w:val="24"/>
        </w:rPr>
        <w:footnoteReference w:id="129"/>
      </w:r>
      <w:r w:rsidR="00BF1BF1">
        <w:rPr>
          <w:rFonts w:ascii="Source Sans Pro" w:hAnsi="Source Sans Pro" w:cstheme="majorHAnsi"/>
          <w:sz w:val="24"/>
          <w:szCs w:val="24"/>
        </w:rPr>
        <w:t xml:space="preserve"> </w:t>
      </w:r>
      <w:r w:rsidR="002651E9">
        <w:rPr>
          <w:rFonts w:ascii="Source Sans Pro" w:hAnsi="Source Sans Pro" w:cstheme="majorHAnsi"/>
          <w:sz w:val="24"/>
          <w:szCs w:val="24"/>
        </w:rPr>
        <w:t>The fosterling would still claim his/her lineage from their birth parents, as well as sometimes be sponsored by them, but would receive tutorage and nurture from the foster-parents</w:t>
      </w:r>
      <w:r w:rsidR="004F3680">
        <w:rPr>
          <w:rFonts w:ascii="Source Sans Pro" w:hAnsi="Source Sans Pro" w:cstheme="majorHAnsi"/>
          <w:sz w:val="24"/>
          <w:szCs w:val="24"/>
        </w:rPr>
        <w:t xml:space="preserve">; this is different to adoption which would put succession and lineage lines at risk (as we could see from </w:t>
      </w:r>
      <w:r w:rsidR="004F3680" w:rsidRPr="00FC6187">
        <w:rPr>
          <w:rFonts w:ascii="Source Sans Pro" w:hAnsi="Source Sans Pro"/>
          <w:sz w:val="24"/>
          <w:szCs w:val="24"/>
        </w:rPr>
        <w:t>Wealhþeow</w:t>
      </w:r>
      <w:r w:rsidR="004F3680">
        <w:rPr>
          <w:rFonts w:ascii="Source Sans Pro" w:hAnsi="Source Sans Pro"/>
          <w:sz w:val="24"/>
          <w:szCs w:val="24"/>
        </w:rPr>
        <w:t>’s discontent with the possible adoption of Beowulf by Hrothgar after Grendel’s defeat)</w:t>
      </w:r>
      <w:r w:rsidR="002651E9">
        <w:rPr>
          <w:rFonts w:ascii="Source Sans Pro" w:hAnsi="Source Sans Pro" w:cstheme="majorHAnsi"/>
          <w:sz w:val="24"/>
          <w:szCs w:val="24"/>
        </w:rPr>
        <w:t xml:space="preserve">. </w:t>
      </w:r>
      <w:r w:rsidR="00BF1BF1">
        <w:rPr>
          <w:rFonts w:ascii="Source Sans Pro" w:hAnsi="Source Sans Pro" w:cstheme="majorHAnsi"/>
          <w:sz w:val="24"/>
          <w:szCs w:val="24"/>
        </w:rPr>
        <w:t>Some believe that it was preferred for the foster-kin to be related to the matrilineal line of the family rather than the father’s kin, this seems true from Germanic stories but not as true for the British Isles.</w:t>
      </w:r>
      <w:r w:rsidR="00BF1BF1">
        <w:rPr>
          <w:rStyle w:val="FootnoteReference"/>
          <w:rFonts w:ascii="Source Sans Pro" w:hAnsi="Source Sans Pro" w:cstheme="majorHAnsi"/>
          <w:sz w:val="24"/>
          <w:szCs w:val="24"/>
        </w:rPr>
        <w:footnoteReference w:id="130"/>
      </w:r>
      <w:r w:rsidR="00BF1BF1">
        <w:rPr>
          <w:rFonts w:ascii="Source Sans Pro" w:hAnsi="Source Sans Pro" w:cstheme="majorHAnsi"/>
          <w:sz w:val="24"/>
          <w:szCs w:val="24"/>
        </w:rPr>
        <w:t xml:space="preserve"> This theory of fosterage being preferably done by the mothers side of the family seems true from the lens of </w:t>
      </w:r>
      <w:r w:rsidR="00BF1BF1">
        <w:rPr>
          <w:rFonts w:ascii="Source Sans Pro" w:hAnsi="Source Sans Pro" w:cstheme="majorHAnsi"/>
          <w:i/>
          <w:sz w:val="24"/>
          <w:szCs w:val="24"/>
        </w:rPr>
        <w:t>Beowulf</w:t>
      </w:r>
      <w:r w:rsidR="00BF1BF1">
        <w:rPr>
          <w:rFonts w:ascii="Source Sans Pro" w:hAnsi="Source Sans Pro" w:cstheme="majorHAnsi"/>
          <w:sz w:val="24"/>
          <w:szCs w:val="24"/>
        </w:rPr>
        <w:t>, but we must remain unsure of whether this would have been true for the Anglo-Saxons; for the Irish, which we seem to have more records of early fosterage and its laws, it seems as though there was not as much differentiation between which side of the family the child would go to for fostering.</w:t>
      </w:r>
      <w:r w:rsidR="00BF1BF1">
        <w:rPr>
          <w:rStyle w:val="FootnoteReference"/>
          <w:rFonts w:ascii="Source Sans Pro" w:hAnsi="Source Sans Pro" w:cstheme="majorHAnsi"/>
          <w:sz w:val="24"/>
          <w:szCs w:val="24"/>
        </w:rPr>
        <w:footnoteReference w:id="131"/>
      </w:r>
      <w:r w:rsidR="001F4EAA">
        <w:rPr>
          <w:rFonts w:ascii="Source Sans Pro" w:hAnsi="Source Sans Pro" w:cstheme="majorHAnsi"/>
          <w:sz w:val="24"/>
          <w:szCs w:val="24"/>
        </w:rPr>
        <w:t xml:space="preserve"> </w:t>
      </w:r>
    </w:p>
    <w:p w14:paraId="74758E40" w14:textId="7A71D1CF" w:rsidR="003935C8" w:rsidRPr="00694788" w:rsidRDefault="00054306" w:rsidP="00F50EC1">
      <w:pPr>
        <w:rPr>
          <w:rFonts w:ascii="Source Sans Pro" w:hAnsi="Source Sans Pro" w:cstheme="majorHAnsi"/>
          <w:sz w:val="24"/>
          <w:szCs w:val="24"/>
        </w:rPr>
      </w:pPr>
      <w:r w:rsidRPr="009A432E">
        <w:rPr>
          <w:rFonts w:ascii="Source Sans Pro" w:hAnsi="Source Sans Pro" w:cstheme="majorHAnsi"/>
          <w:sz w:val="24"/>
          <w:szCs w:val="24"/>
        </w:rPr>
        <w:t>Fosterage</w:t>
      </w:r>
      <w:r>
        <w:rPr>
          <w:rFonts w:ascii="Source Sans Pro" w:hAnsi="Source Sans Pro" w:cstheme="majorHAnsi"/>
          <w:sz w:val="24"/>
          <w:szCs w:val="24"/>
        </w:rPr>
        <w:t xml:space="preserve"> was not always seen as a positive thing, as Gerald of Wales and Sir John Davies both agreed.</w:t>
      </w:r>
      <w:r>
        <w:rPr>
          <w:rStyle w:val="FootnoteReference"/>
          <w:rFonts w:ascii="Source Sans Pro" w:hAnsi="Source Sans Pro" w:cstheme="majorHAnsi"/>
          <w:sz w:val="24"/>
          <w:szCs w:val="24"/>
        </w:rPr>
        <w:footnoteReference w:id="132"/>
      </w:r>
      <w:r>
        <w:rPr>
          <w:rFonts w:ascii="Source Sans Pro" w:hAnsi="Source Sans Pro" w:cstheme="majorHAnsi"/>
          <w:sz w:val="24"/>
          <w:szCs w:val="24"/>
        </w:rPr>
        <w:t xml:space="preserve"> </w:t>
      </w:r>
      <w:r w:rsidR="00E2327F">
        <w:rPr>
          <w:rFonts w:ascii="Source Sans Pro" w:hAnsi="Source Sans Pro" w:cstheme="majorHAnsi"/>
          <w:sz w:val="24"/>
          <w:szCs w:val="24"/>
        </w:rPr>
        <w:t>These ties created by milk-sharing or through child-rearing did not always end well, with milk/foster-brothers turning on one another once they had grown</w:t>
      </w:r>
      <w:r w:rsidR="004B76C5">
        <w:rPr>
          <w:rFonts w:ascii="Source Sans Pro" w:hAnsi="Source Sans Pro" w:cstheme="majorHAnsi"/>
          <w:sz w:val="24"/>
          <w:szCs w:val="24"/>
        </w:rPr>
        <w:t xml:space="preserve"> as well as rules of </w:t>
      </w:r>
      <w:r w:rsidR="004847AB">
        <w:rPr>
          <w:rFonts w:ascii="Source Sans Pro" w:hAnsi="Source Sans Pro" w:cstheme="majorHAnsi"/>
          <w:sz w:val="24"/>
          <w:szCs w:val="24"/>
        </w:rPr>
        <w:t xml:space="preserve">kinship </w:t>
      </w:r>
      <w:r w:rsidR="004B76C5">
        <w:rPr>
          <w:rFonts w:ascii="Source Sans Pro" w:hAnsi="Source Sans Pro" w:cstheme="majorHAnsi"/>
          <w:sz w:val="24"/>
          <w:szCs w:val="24"/>
        </w:rPr>
        <w:t>not</w:t>
      </w:r>
      <w:r w:rsidR="004847AB">
        <w:rPr>
          <w:rFonts w:ascii="Source Sans Pro" w:hAnsi="Source Sans Pro" w:cstheme="majorHAnsi"/>
          <w:sz w:val="24"/>
          <w:szCs w:val="24"/>
        </w:rPr>
        <w:t xml:space="preserve"> always</w:t>
      </w:r>
      <w:r w:rsidR="004B76C5">
        <w:rPr>
          <w:rFonts w:ascii="Source Sans Pro" w:hAnsi="Source Sans Pro" w:cstheme="majorHAnsi"/>
          <w:sz w:val="24"/>
          <w:szCs w:val="24"/>
        </w:rPr>
        <w:t xml:space="preserve"> entirely fitting with the practice</w:t>
      </w:r>
      <w:r w:rsidR="005D1A2D">
        <w:rPr>
          <w:rFonts w:ascii="Source Sans Pro" w:hAnsi="Source Sans Pro" w:cstheme="majorHAnsi"/>
          <w:sz w:val="24"/>
          <w:szCs w:val="24"/>
        </w:rPr>
        <w:t>.</w:t>
      </w:r>
      <w:r w:rsidR="00E2327F">
        <w:rPr>
          <w:rStyle w:val="FootnoteReference"/>
          <w:rFonts w:ascii="Source Sans Pro" w:hAnsi="Source Sans Pro" w:cstheme="majorHAnsi"/>
          <w:sz w:val="24"/>
          <w:szCs w:val="24"/>
        </w:rPr>
        <w:footnoteReference w:id="133"/>
      </w:r>
      <w:r w:rsidR="004847AB">
        <w:rPr>
          <w:rFonts w:ascii="Source Sans Pro" w:hAnsi="Source Sans Pro" w:cstheme="majorHAnsi"/>
          <w:sz w:val="24"/>
          <w:szCs w:val="24"/>
        </w:rPr>
        <w:t xml:space="preserve"> The relationship of kinship-ties and vengeance were often the same for individuals who were tied through </w:t>
      </w:r>
      <w:r w:rsidR="004847AB">
        <w:rPr>
          <w:rFonts w:ascii="Source Sans Pro" w:hAnsi="Source Sans Pro" w:cstheme="majorHAnsi"/>
          <w:sz w:val="24"/>
          <w:szCs w:val="24"/>
        </w:rPr>
        <w:lastRenderedPageBreak/>
        <w:t>fosterage.</w:t>
      </w:r>
      <w:r w:rsidR="009B57B6">
        <w:rPr>
          <w:rStyle w:val="FootnoteReference"/>
          <w:rFonts w:ascii="Source Sans Pro" w:hAnsi="Source Sans Pro" w:cstheme="majorHAnsi"/>
          <w:sz w:val="24"/>
          <w:szCs w:val="24"/>
        </w:rPr>
        <w:footnoteReference w:id="134"/>
      </w:r>
      <w:r w:rsidR="004847AB">
        <w:rPr>
          <w:rFonts w:ascii="Source Sans Pro" w:hAnsi="Source Sans Pro" w:cstheme="majorHAnsi"/>
          <w:sz w:val="24"/>
          <w:szCs w:val="24"/>
        </w:rPr>
        <w:t xml:space="preserve"> Though now we have a lack of known law which covered these relationships in England we have many from Ireland and Scandinavia, and therefore can assume that to some extent Anglo-Saxons followed similar customs and also incorporated foster-ties into vengeance </w:t>
      </w:r>
      <w:r w:rsidR="009B57B6">
        <w:rPr>
          <w:rFonts w:ascii="Source Sans Pro" w:hAnsi="Source Sans Pro" w:cstheme="majorHAnsi"/>
          <w:sz w:val="24"/>
          <w:szCs w:val="24"/>
        </w:rPr>
        <w:t>where required</w:t>
      </w:r>
      <w:r w:rsidR="004847AB">
        <w:rPr>
          <w:rFonts w:ascii="Source Sans Pro" w:hAnsi="Source Sans Pro" w:cstheme="majorHAnsi"/>
          <w:sz w:val="24"/>
          <w:szCs w:val="24"/>
        </w:rPr>
        <w:t xml:space="preserve">. </w:t>
      </w:r>
      <w:r w:rsidR="00B3413A">
        <w:rPr>
          <w:rFonts w:ascii="Source Sans Pro" w:hAnsi="Source Sans Pro" w:cstheme="majorHAnsi"/>
          <w:sz w:val="24"/>
          <w:szCs w:val="24"/>
        </w:rPr>
        <w:t>Like with hostageship, t</w:t>
      </w:r>
      <w:r w:rsidR="005D1A2D">
        <w:rPr>
          <w:rFonts w:ascii="Source Sans Pro" w:hAnsi="Source Sans Pro" w:cstheme="majorHAnsi"/>
          <w:sz w:val="24"/>
          <w:szCs w:val="24"/>
        </w:rPr>
        <w:t>here was also the po</w:t>
      </w:r>
      <w:r w:rsidR="009B57B6">
        <w:rPr>
          <w:rFonts w:ascii="Source Sans Pro" w:hAnsi="Source Sans Pro" w:cstheme="majorHAnsi"/>
          <w:sz w:val="24"/>
          <w:szCs w:val="24"/>
        </w:rPr>
        <w:t>ssibility of a fosterling to be</w:t>
      </w:r>
      <w:r w:rsidR="004B76C5">
        <w:rPr>
          <w:rFonts w:ascii="Source Sans Pro" w:hAnsi="Source Sans Pro" w:cstheme="majorHAnsi"/>
          <w:sz w:val="24"/>
          <w:szCs w:val="24"/>
        </w:rPr>
        <w:t xml:space="preserve"> </w:t>
      </w:r>
      <w:r w:rsidR="005D1A2D">
        <w:rPr>
          <w:rFonts w:ascii="Source Sans Pro" w:hAnsi="Source Sans Pro" w:cstheme="majorHAnsi"/>
          <w:sz w:val="24"/>
          <w:szCs w:val="24"/>
        </w:rPr>
        <w:t xml:space="preserve">used as leverage against a parent if relationships between the parents </w:t>
      </w:r>
      <w:r w:rsidR="00B3413A">
        <w:rPr>
          <w:rFonts w:ascii="Source Sans Pro" w:hAnsi="Source Sans Pro" w:cstheme="majorHAnsi"/>
          <w:sz w:val="24"/>
          <w:szCs w:val="24"/>
        </w:rPr>
        <w:t>do not go to plan,</w:t>
      </w:r>
      <w:r w:rsidR="005D1A2D">
        <w:rPr>
          <w:rFonts w:ascii="Source Sans Pro" w:hAnsi="Source Sans Pro" w:cstheme="majorHAnsi"/>
          <w:sz w:val="24"/>
          <w:szCs w:val="24"/>
        </w:rPr>
        <w:t xml:space="preserve"> due to</w:t>
      </w:r>
      <w:r w:rsidR="00B3413A">
        <w:rPr>
          <w:rFonts w:ascii="Source Sans Pro" w:hAnsi="Source Sans Pro" w:cstheme="majorHAnsi"/>
          <w:sz w:val="24"/>
          <w:szCs w:val="24"/>
        </w:rPr>
        <w:t xml:space="preserve"> disputes between the families</w:t>
      </w:r>
      <w:r w:rsidR="005D1A2D">
        <w:rPr>
          <w:rFonts w:ascii="Source Sans Pro" w:hAnsi="Source Sans Pro" w:cstheme="majorHAnsi"/>
          <w:sz w:val="24"/>
          <w:szCs w:val="24"/>
        </w:rPr>
        <w:t xml:space="preserve"> or economic</w:t>
      </w:r>
      <w:r w:rsidR="00B3413A">
        <w:rPr>
          <w:rFonts w:ascii="Source Sans Pro" w:hAnsi="Source Sans Pro" w:cstheme="majorHAnsi"/>
          <w:sz w:val="24"/>
          <w:szCs w:val="24"/>
        </w:rPr>
        <w:t xml:space="preserve"> issues</w:t>
      </w:r>
      <w:r w:rsidR="005D1A2D">
        <w:rPr>
          <w:rFonts w:ascii="Source Sans Pro" w:hAnsi="Source Sans Pro" w:cstheme="majorHAnsi"/>
          <w:sz w:val="24"/>
          <w:szCs w:val="24"/>
        </w:rPr>
        <w:t>.</w:t>
      </w:r>
      <w:r w:rsidR="005D1A2D">
        <w:rPr>
          <w:rStyle w:val="FootnoteReference"/>
          <w:rFonts w:ascii="Source Sans Pro" w:hAnsi="Source Sans Pro" w:cstheme="majorHAnsi"/>
          <w:sz w:val="24"/>
          <w:szCs w:val="24"/>
        </w:rPr>
        <w:footnoteReference w:id="135"/>
      </w:r>
      <w:r w:rsidR="00694788">
        <w:rPr>
          <w:rFonts w:ascii="Source Sans Pro" w:hAnsi="Source Sans Pro" w:cstheme="majorHAnsi"/>
          <w:sz w:val="24"/>
          <w:szCs w:val="24"/>
        </w:rPr>
        <w:t xml:space="preserve"> It seems as though for Beowulf his fosterage was seen as a positive experience from the warmth with which he expresses it, and by highlighting it thus the </w:t>
      </w:r>
      <w:r w:rsidR="00694788">
        <w:rPr>
          <w:rFonts w:ascii="Source Sans Pro" w:hAnsi="Source Sans Pro" w:cstheme="majorHAnsi"/>
          <w:i/>
          <w:sz w:val="24"/>
          <w:szCs w:val="24"/>
        </w:rPr>
        <w:t xml:space="preserve">Beowulf </w:t>
      </w:r>
      <w:r w:rsidR="00694788">
        <w:rPr>
          <w:rFonts w:ascii="Source Sans Pro" w:hAnsi="Source Sans Pro" w:cstheme="majorHAnsi"/>
          <w:sz w:val="24"/>
          <w:szCs w:val="24"/>
        </w:rPr>
        <w:t>poet gives us a glimpse into the Germanic and Anglo-Saxon custom which was used as a bond of allegiance. However, by the brief invocation of this divulgenc</w:t>
      </w:r>
      <w:r w:rsidR="00B50AA2">
        <w:rPr>
          <w:rFonts w:ascii="Source Sans Pro" w:hAnsi="Source Sans Pro" w:cstheme="majorHAnsi"/>
          <w:sz w:val="24"/>
          <w:szCs w:val="24"/>
        </w:rPr>
        <w:t>e as well as the placement of the revelation</w:t>
      </w:r>
      <w:r w:rsidR="00694788">
        <w:rPr>
          <w:rFonts w:ascii="Source Sans Pro" w:hAnsi="Source Sans Pro" w:cstheme="majorHAnsi"/>
          <w:sz w:val="24"/>
          <w:szCs w:val="24"/>
        </w:rPr>
        <w:t>, the significance of its revealing is numbed to the reader by the grief of his maternal grandsire.</w:t>
      </w:r>
      <w:r w:rsidR="00B50AA2">
        <w:rPr>
          <w:rFonts w:ascii="Source Sans Pro" w:hAnsi="Source Sans Pro" w:cstheme="majorHAnsi"/>
          <w:sz w:val="24"/>
          <w:szCs w:val="24"/>
        </w:rPr>
        <w:t xml:space="preserve"> Whether the poet did this for dramatic affect or simply because the occurrence of fosterage between kin was so commonplace and therefore in</w:t>
      </w:r>
      <w:r w:rsidR="00123485">
        <w:rPr>
          <w:rFonts w:ascii="Source Sans Pro" w:hAnsi="Source Sans Pro" w:cstheme="majorHAnsi"/>
          <w:sz w:val="24"/>
          <w:szCs w:val="24"/>
        </w:rPr>
        <w:t xml:space="preserve">significant we will never know. But </w:t>
      </w:r>
      <w:r w:rsidR="00B50AA2">
        <w:rPr>
          <w:rFonts w:ascii="Source Sans Pro" w:hAnsi="Source Sans Pro" w:cstheme="majorHAnsi"/>
          <w:sz w:val="24"/>
          <w:szCs w:val="24"/>
        </w:rPr>
        <w:t xml:space="preserve">by it being there we can surmise that fosterage was indeed a well-known custom worthy even of a heroic </w:t>
      </w:r>
      <w:r w:rsidR="00123485">
        <w:rPr>
          <w:rFonts w:ascii="Source Sans Pro" w:hAnsi="Source Sans Pro" w:cstheme="majorHAnsi"/>
          <w:sz w:val="24"/>
          <w:szCs w:val="24"/>
        </w:rPr>
        <w:t>figure and also worth a mention; as those who fostered him reared and educated him in the culture and ideals he holds dear, and therefore this is worthy of mention no matter how brief.</w:t>
      </w:r>
    </w:p>
    <w:p w14:paraId="39F71630" w14:textId="77777777" w:rsidR="00D86DCA" w:rsidRDefault="00D86DCA" w:rsidP="00D86DCA">
      <w:pPr>
        <w:rPr>
          <w:rFonts w:ascii="Source Sans Pro" w:hAnsi="Source Sans Pro" w:cstheme="majorHAnsi"/>
          <w:b/>
          <w:sz w:val="24"/>
          <w:szCs w:val="24"/>
        </w:rPr>
      </w:pPr>
    </w:p>
    <w:p w14:paraId="504CBD84" w14:textId="77777777" w:rsidR="00D86DCA" w:rsidRDefault="00D86DCA" w:rsidP="00D86DCA">
      <w:pPr>
        <w:rPr>
          <w:rFonts w:ascii="Source Sans Pro" w:hAnsi="Source Sans Pro" w:cstheme="majorHAnsi"/>
          <w:b/>
          <w:sz w:val="24"/>
          <w:szCs w:val="24"/>
        </w:rPr>
      </w:pPr>
    </w:p>
    <w:p w14:paraId="577FAD74" w14:textId="77777777" w:rsidR="0068480F" w:rsidRPr="00D87366" w:rsidRDefault="0068480F" w:rsidP="00D87366"/>
    <w:p w14:paraId="7CC5B18C" w14:textId="7988F6D6" w:rsidR="0017345A" w:rsidRPr="00390C46" w:rsidRDefault="0017345A" w:rsidP="00390C46">
      <w:pPr>
        <w:pStyle w:val="Heading1"/>
        <w:rPr>
          <w:b/>
          <w:color w:val="auto"/>
          <w:sz w:val="26"/>
          <w:szCs w:val="26"/>
        </w:rPr>
      </w:pPr>
      <w:bookmarkStart w:id="5" w:name="_Toc40131060"/>
      <w:r w:rsidRPr="00390C46">
        <w:rPr>
          <w:b/>
          <w:color w:val="auto"/>
          <w:sz w:val="26"/>
          <w:szCs w:val="26"/>
        </w:rPr>
        <w:lastRenderedPageBreak/>
        <w:t>Conclusion</w:t>
      </w:r>
      <w:bookmarkEnd w:id="5"/>
    </w:p>
    <w:p w14:paraId="65B1C4B1" w14:textId="77777777" w:rsidR="00B07CE1" w:rsidRDefault="0017345A" w:rsidP="00B07CE1">
      <w:pPr>
        <w:rPr>
          <w:rFonts w:ascii="Source Sans Pro" w:hAnsi="Source Sans Pro" w:cstheme="majorHAnsi"/>
          <w:sz w:val="24"/>
          <w:szCs w:val="24"/>
        </w:rPr>
      </w:pPr>
      <w:r>
        <w:rPr>
          <w:rFonts w:ascii="Source Sans Pro" w:hAnsi="Source Sans Pro" w:cstheme="majorHAnsi"/>
          <w:sz w:val="24"/>
          <w:szCs w:val="24"/>
        </w:rPr>
        <w:t xml:space="preserve">The epic-poem of </w:t>
      </w:r>
      <w:r>
        <w:rPr>
          <w:rFonts w:ascii="Source Sans Pro" w:hAnsi="Source Sans Pro" w:cstheme="majorHAnsi"/>
          <w:i/>
          <w:sz w:val="24"/>
          <w:szCs w:val="24"/>
        </w:rPr>
        <w:t xml:space="preserve">Beowulf </w:t>
      </w:r>
      <w:r>
        <w:rPr>
          <w:rFonts w:ascii="Source Sans Pro" w:hAnsi="Source Sans Pro" w:cstheme="majorHAnsi"/>
          <w:sz w:val="24"/>
          <w:szCs w:val="24"/>
        </w:rPr>
        <w:t>is a cannon English text that has had many critiques and a lot o</w:t>
      </w:r>
      <w:r w:rsidR="002341B4">
        <w:rPr>
          <w:rFonts w:ascii="Source Sans Pro" w:hAnsi="Source Sans Pro" w:cstheme="majorHAnsi"/>
          <w:sz w:val="24"/>
          <w:szCs w:val="24"/>
        </w:rPr>
        <w:t>f interest throughout history, it can be studied separate to other texts simply because it doesn’t have a</w:t>
      </w:r>
      <w:r w:rsidR="00505A81">
        <w:rPr>
          <w:rFonts w:ascii="Source Sans Pro" w:hAnsi="Source Sans Pro" w:cstheme="majorHAnsi"/>
          <w:sz w:val="24"/>
          <w:szCs w:val="24"/>
        </w:rPr>
        <w:t>ny surviving</w:t>
      </w:r>
      <w:r w:rsidR="002341B4">
        <w:rPr>
          <w:rFonts w:ascii="Source Sans Pro" w:hAnsi="Source Sans Pro" w:cstheme="majorHAnsi"/>
          <w:sz w:val="24"/>
          <w:szCs w:val="24"/>
        </w:rPr>
        <w:t xml:space="preserve"> contemporary form which it can be</w:t>
      </w:r>
      <w:r w:rsidR="00505A81">
        <w:rPr>
          <w:rFonts w:ascii="Source Sans Pro" w:hAnsi="Source Sans Pro" w:cstheme="majorHAnsi"/>
          <w:sz w:val="24"/>
          <w:szCs w:val="24"/>
        </w:rPr>
        <w:t xml:space="preserve"> applied to in a comparison</w:t>
      </w:r>
      <w:r w:rsidR="002341B4">
        <w:rPr>
          <w:rFonts w:ascii="Source Sans Pro" w:hAnsi="Source Sans Pro" w:cstheme="majorHAnsi"/>
          <w:sz w:val="24"/>
          <w:szCs w:val="24"/>
        </w:rPr>
        <w:t xml:space="preserve">. When studying the text, there are not only translational issues but also the issue of discontent amongst dating the text and the possible time and place of writing is an issue when trying to place </w:t>
      </w:r>
      <w:r w:rsidR="002341B4">
        <w:rPr>
          <w:rFonts w:ascii="Source Sans Pro" w:hAnsi="Source Sans Pro" w:cstheme="majorHAnsi"/>
          <w:i/>
          <w:sz w:val="24"/>
          <w:szCs w:val="24"/>
        </w:rPr>
        <w:t xml:space="preserve">Beowulf </w:t>
      </w:r>
      <w:r w:rsidR="002341B4">
        <w:rPr>
          <w:rFonts w:ascii="Source Sans Pro" w:hAnsi="Source Sans Pro" w:cstheme="majorHAnsi"/>
          <w:sz w:val="24"/>
          <w:szCs w:val="24"/>
        </w:rPr>
        <w:t xml:space="preserve">into a wider literary tradition. </w:t>
      </w:r>
      <w:r w:rsidR="00B07CE1">
        <w:rPr>
          <w:rFonts w:ascii="Source Sans Pro" w:hAnsi="Source Sans Pro" w:cstheme="majorHAnsi"/>
          <w:sz w:val="24"/>
          <w:szCs w:val="24"/>
        </w:rPr>
        <w:t xml:space="preserve">From all readings it is clear that the author of </w:t>
      </w:r>
      <w:r w:rsidR="00B07CE1">
        <w:rPr>
          <w:rFonts w:ascii="Source Sans Pro" w:hAnsi="Source Sans Pro" w:cstheme="majorHAnsi"/>
          <w:i/>
          <w:sz w:val="24"/>
          <w:szCs w:val="24"/>
        </w:rPr>
        <w:t xml:space="preserve">Beowulf </w:t>
      </w:r>
      <w:r w:rsidR="00B07CE1">
        <w:rPr>
          <w:rFonts w:ascii="Source Sans Pro" w:hAnsi="Source Sans Pro" w:cstheme="majorHAnsi"/>
          <w:sz w:val="24"/>
          <w:szCs w:val="24"/>
        </w:rPr>
        <w:t>was a learned man influenced by Christian ideals of peace and a dislike for pagan practices; possibly explaining why he did not glorify Heroic vengeance as much as would have been expected of the genre. The most accepted theory is that the author was a monk, previously thought to be West-Saxon but now no longer thought to be a Southerner.</w:t>
      </w:r>
      <w:r w:rsidR="00B07CE1">
        <w:rPr>
          <w:rStyle w:val="FootnoteReference"/>
          <w:rFonts w:ascii="Source Sans Pro" w:hAnsi="Source Sans Pro" w:cstheme="majorHAnsi"/>
          <w:sz w:val="24"/>
          <w:szCs w:val="24"/>
        </w:rPr>
        <w:footnoteReference w:id="136"/>
      </w:r>
      <w:r w:rsidR="00B07CE1">
        <w:rPr>
          <w:rFonts w:ascii="Source Sans Pro" w:hAnsi="Source Sans Pro" w:cstheme="majorHAnsi"/>
          <w:sz w:val="24"/>
          <w:szCs w:val="24"/>
        </w:rPr>
        <w:t xml:space="preserve"> He was definitely a literary individual, quite possibly ingenious,</w:t>
      </w:r>
      <w:r w:rsidR="00B07CE1">
        <w:rPr>
          <w:rStyle w:val="FootnoteReference"/>
          <w:rFonts w:ascii="Source Sans Pro" w:hAnsi="Source Sans Pro" w:cstheme="majorHAnsi"/>
          <w:sz w:val="24"/>
          <w:szCs w:val="24"/>
        </w:rPr>
        <w:footnoteReference w:id="137"/>
      </w:r>
      <w:r w:rsidR="00B07CE1">
        <w:rPr>
          <w:rFonts w:ascii="Source Sans Pro" w:hAnsi="Source Sans Pro" w:cstheme="majorHAnsi"/>
          <w:sz w:val="24"/>
          <w:szCs w:val="24"/>
        </w:rPr>
        <w:t xml:space="preserve"> as can be seen in his way with words and names. An example of this can be seen in the name of </w:t>
      </w:r>
      <w:r w:rsidR="00B07CE1" w:rsidRPr="00FC6187">
        <w:rPr>
          <w:rFonts w:ascii="Source Sans Pro" w:hAnsi="Source Sans Pro"/>
          <w:sz w:val="24"/>
          <w:szCs w:val="24"/>
        </w:rPr>
        <w:t>Wealhþeow</w:t>
      </w:r>
      <w:r w:rsidR="00B07CE1">
        <w:rPr>
          <w:rFonts w:ascii="Source Sans Pro" w:hAnsi="Source Sans Pro"/>
          <w:sz w:val="24"/>
          <w:szCs w:val="24"/>
        </w:rPr>
        <w:t>, a</w:t>
      </w:r>
      <w:r w:rsidR="00B07CE1">
        <w:rPr>
          <w:rFonts w:ascii="Source Sans Pro" w:hAnsi="Source Sans Pro" w:cstheme="majorHAnsi"/>
          <w:sz w:val="24"/>
          <w:szCs w:val="24"/>
        </w:rPr>
        <w:t xml:space="preserve"> </w:t>
      </w:r>
      <w:r w:rsidR="00B07CE1" w:rsidRPr="00FC6187">
        <w:rPr>
          <w:rFonts w:ascii="Source Sans Pro" w:hAnsi="Source Sans Pro" w:cstheme="majorHAnsi"/>
          <w:sz w:val="24"/>
          <w:szCs w:val="24"/>
        </w:rPr>
        <w:t xml:space="preserve">conglomeration of </w:t>
      </w:r>
      <w:r w:rsidR="00B07CE1" w:rsidRPr="00FC6187">
        <w:rPr>
          <w:rFonts w:ascii="Source Sans Pro" w:hAnsi="Source Sans Pro"/>
          <w:sz w:val="24"/>
          <w:szCs w:val="24"/>
        </w:rPr>
        <w:t>a dithematic form consisting of wealh-, ‘foreigner,’ and -þēow, ‘slave</w:t>
      </w:r>
      <w:r w:rsidR="00B07CE1">
        <w:rPr>
          <w:rFonts w:ascii="Source Sans Pro" w:hAnsi="Source Sans Pro"/>
          <w:sz w:val="24"/>
          <w:szCs w:val="24"/>
        </w:rPr>
        <w:t>;</w:t>
      </w:r>
      <w:r w:rsidR="00B07CE1" w:rsidRPr="00FC6187">
        <w:rPr>
          <w:rFonts w:ascii="Source Sans Pro" w:hAnsi="Source Sans Pro"/>
          <w:sz w:val="24"/>
          <w:szCs w:val="24"/>
        </w:rPr>
        <w:t>’</w:t>
      </w:r>
      <w:r w:rsidR="00B07CE1" w:rsidRPr="00FC6187">
        <w:rPr>
          <w:rStyle w:val="FootnoteReference"/>
          <w:rFonts w:ascii="Source Sans Pro" w:hAnsi="Source Sans Pro"/>
          <w:sz w:val="24"/>
          <w:szCs w:val="24"/>
        </w:rPr>
        <w:footnoteReference w:id="138"/>
      </w:r>
      <w:r w:rsidR="00B07CE1">
        <w:rPr>
          <w:rFonts w:ascii="Source Sans Pro" w:hAnsi="Source Sans Pro"/>
          <w:sz w:val="24"/>
          <w:szCs w:val="24"/>
        </w:rPr>
        <w:t xml:space="preserve"> that the poet took these compounds from Ine’s laws and merged them to create the name of the Queen shows his literary inventiveness.</w:t>
      </w:r>
      <w:r w:rsidR="00B07CE1">
        <w:rPr>
          <w:rStyle w:val="FootnoteReference"/>
        </w:rPr>
        <w:footnoteReference w:id="139"/>
      </w:r>
      <w:r w:rsidR="00B07CE1">
        <w:rPr>
          <w:rFonts w:ascii="Source Sans Pro" w:hAnsi="Source Sans Pro" w:cstheme="majorHAnsi"/>
          <w:sz w:val="24"/>
          <w:szCs w:val="24"/>
        </w:rPr>
        <w:t xml:space="preserve"> This conflict with religious ideals can be observed through the omission of pagan god-names,</w:t>
      </w:r>
      <w:r w:rsidR="00B07CE1" w:rsidRPr="005611E3">
        <w:rPr>
          <w:rStyle w:val="FootnoteReference"/>
          <w:rFonts w:ascii="Source Sans Pro" w:hAnsi="Source Sans Pro" w:cstheme="majorHAnsi"/>
          <w:sz w:val="24"/>
          <w:szCs w:val="24"/>
        </w:rPr>
        <w:t xml:space="preserve"> </w:t>
      </w:r>
      <w:r w:rsidR="00B07CE1">
        <w:rPr>
          <w:rStyle w:val="FootnoteReference"/>
          <w:rFonts w:ascii="Source Sans Pro" w:hAnsi="Source Sans Pro" w:cstheme="majorHAnsi"/>
          <w:sz w:val="24"/>
          <w:szCs w:val="24"/>
        </w:rPr>
        <w:footnoteReference w:id="140"/>
      </w:r>
      <w:r w:rsidR="00B07CE1">
        <w:rPr>
          <w:rFonts w:ascii="Source Sans Pro" w:hAnsi="Source Sans Pro" w:cstheme="majorHAnsi"/>
          <w:sz w:val="24"/>
          <w:szCs w:val="24"/>
        </w:rPr>
        <w:t xml:space="preserve"> and the inclusion of the influence of omnipotent Christian God who influences the actions of those in </w:t>
      </w:r>
      <w:r w:rsidR="00B07CE1">
        <w:rPr>
          <w:rFonts w:ascii="Source Sans Pro" w:hAnsi="Source Sans Pro" w:cstheme="majorHAnsi"/>
          <w:i/>
          <w:iCs/>
          <w:sz w:val="24"/>
          <w:szCs w:val="24"/>
        </w:rPr>
        <w:t>Beowulf</w:t>
      </w:r>
      <w:r w:rsidR="00B07CE1">
        <w:rPr>
          <w:rFonts w:ascii="Source Sans Pro" w:hAnsi="Source Sans Pro" w:cstheme="majorHAnsi"/>
          <w:sz w:val="24"/>
          <w:szCs w:val="24"/>
        </w:rPr>
        <w:t xml:space="preserve"> without them even considering that He is doing so. However it seems </w:t>
      </w:r>
      <w:r w:rsidR="00B07CE1">
        <w:rPr>
          <w:rFonts w:ascii="Source Sans Pro" w:hAnsi="Source Sans Pro" w:cstheme="majorHAnsi"/>
          <w:sz w:val="24"/>
          <w:szCs w:val="24"/>
        </w:rPr>
        <w:lastRenderedPageBreak/>
        <w:t>reasonable to argue that perhaps the author was an admirer of the pagan traditions, as he did take the time to preserve them when he could have equally used those three-thousand lines to adapt another work of Christian content. Perhaps the author was attempting to preserve the tales of his ancestors in a way which could not be destroyed or attacked by the new religion, or perhaps he was trying to make an example of how even pagan works could be controlled by the Christian God. The fact that the author managed to do this work at all without offending either party has been cited as one of his most ‘defining strokes of genius.’</w:t>
      </w:r>
      <w:r w:rsidR="00B07CE1">
        <w:rPr>
          <w:rStyle w:val="FootnoteReference"/>
          <w:rFonts w:ascii="Source Sans Pro" w:hAnsi="Source Sans Pro" w:cstheme="majorHAnsi"/>
          <w:sz w:val="24"/>
          <w:szCs w:val="24"/>
        </w:rPr>
        <w:footnoteReference w:id="141"/>
      </w:r>
      <w:r w:rsidR="00B07CE1">
        <w:rPr>
          <w:rFonts w:ascii="Source Sans Pro" w:hAnsi="Source Sans Pro" w:cstheme="majorHAnsi"/>
          <w:sz w:val="24"/>
          <w:szCs w:val="24"/>
        </w:rPr>
        <w:t xml:space="preserve"> Regardless, as Tolkien said in 1936, if the pagan God’s names were suppressed, equally the Christian God was, as He did not have an entirely legitimate place within the poem due to the stories lack of recognition towards him (since the time-frame and place of its supposed base was not yet converted).</w:t>
      </w:r>
      <w:r w:rsidR="00B07CE1">
        <w:rPr>
          <w:rStyle w:val="FootnoteReference"/>
          <w:rFonts w:ascii="Source Sans Pro" w:hAnsi="Source Sans Pro" w:cstheme="majorHAnsi"/>
          <w:sz w:val="24"/>
          <w:szCs w:val="24"/>
        </w:rPr>
        <w:footnoteReference w:id="142"/>
      </w:r>
      <w:r w:rsidR="00B07CE1">
        <w:rPr>
          <w:rFonts w:ascii="Source Sans Pro" w:hAnsi="Source Sans Pro" w:cstheme="majorHAnsi"/>
          <w:sz w:val="24"/>
          <w:szCs w:val="24"/>
        </w:rPr>
        <w:t xml:space="preserve"> It also seems impossible to disregard the paganism within the poem without completely re-writing it, which further enforces that the author had created the two religious beliefs inseparability within the poem, whether this was intentional or unavoidable however can only be speculated on.</w:t>
      </w:r>
    </w:p>
    <w:p w14:paraId="136B70BA" w14:textId="1478E737" w:rsidR="00D86DCA" w:rsidRPr="00B91719" w:rsidRDefault="002341B4" w:rsidP="00A32896">
      <w:pPr>
        <w:rPr>
          <w:rFonts w:ascii="Source Sans Pro" w:hAnsi="Source Sans Pro" w:cstheme="majorHAnsi"/>
          <w:sz w:val="24"/>
          <w:szCs w:val="24"/>
        </w:rPr>
      </w:pPr>
      <w:r>
        <w:rPr>
          <w:rFonts w:ascii="Source Sans Pro" w:hAnsi="Source Sans Pro" w:cstheme="majorHAnsi"/>
          <w:sz w:val="24"/>
          <w:szCs w:val="24"/>
        </w:rPr>
        <w:t>By studying the poem through the eyes of gender and revenge these issues can somewhat be put to</w:t>
      </w:r>
      <w:r w:rsidR="00D616E3">
        <w:rPr>
          <w:rFonts w:ascii="Source Sans Pro" w:hAnsi="Source Sans Pro" w:cstheme="majorHAnsi"/>
          <w:sz w:val="24"/>
          <w:szCs w:val="24"/>
        </w:rPr>
        <w:t xml:space="preserve"> the side once acknowledged. However trying to view them through Anglo-Saxon history can be difficult</w:t>
      </w:r>
      <w:r>
        <w:rPr>
          <w:rFonts w:ascii="Source Sans Pro" w:hAnsi="Source Sans Pro" w:cstheme="majorHAnsi"/>
          <w:sz w:val="24"/>
          <w:szCs w:val="24"/>
        </w:rPr>
        <w:t xml:space="preserve">, as it is hard to analyse how </w:t>
      </w:r>
      <w:r w:rsidR="00234EF0">
        <w:rPr>
          <w:rFonts w:ascii="Source Sans Pro" w:hAnsi="Source Sans Pro" w:cstheme="majorHAnsi"/>
          <w:sz w:val="24"/>
          <w:szCs w:val="24"/>
        </w:rPr>
        <w:t>a text is related to a culture</w:t>
      </w:r>
      <w:r>
        <w:rPr>
          <w:rFonts w:ascii="Source Sans Pro" w:hAnsi="Source Sans Pro" w:cstheme="majorHAnsi"/>
          <w:sz w:val="24"/>
          <w:szCs w:val="24"/>
        </w:rPr>
        <w:t xml:space="preserve"> without knowing when or where it was written</w:t>
      </w:r>
      <w:r w:rsidR="00234EF0">
        <w:rPr>
          <w:rFonts w:ascii="Source Sans Pro" w:hAnsi="Source Sans Pro" w:cstheme="majorHAnsi"/>
          <w:sz w:val="24"/>
          <w:szCs w:val="24"/>
        </w:rPr>
        <w:t xml:space="preserve"> with certainty</w:t>
      </w:r>
      <w:r>
        <w:rPr>
          <w:rFonts w:ascii="Source Sans Pro" w:hAnsi="Source Sans Pro" w:cstheme="majorHAnsi"/>
          <w:sz w:val="24"/>
          <w:szCs w:val="24"/>
        </w:rPr>
        <w:t>.</w:t>
      </w:r>
      <w:r w:rsidR="00A41FCE">
        <w:rPr>
          <w:rFonts w:ascii="Source Sans Pro" w:hAnsi="Source Sans Pro" w:cstheme="majorHAnsi"/>
          <w:sz w:val="24"/>
          <w:szCs w:val="24"/>
        </w:rPr>
        <w:t xml:space="preserve"> Also, due to the contradictory nature of </w:t>
      </w:r>
      <w:r w:rsidR="00A41FCE">
        <w:rPr>
          <w:rFonts w:ascii="Source Sans Pro" w:hAnsi="Source Sans Pro" w:cstheme="majorHAnsi"/>
          <w:i/>
          <w:sz w:val="24"/>
          <w:szCs w:val="24"/>
        </w:rPr>
        <w:t>Beowulf</w:t>
      </w:r>
      <w:r w:rsidR="00A41FCE">
        <w:rPr>
          <w:rFonts w:ascii="Source Sans Pro" w:hAnsi="Source Sans Pro" w:cstheme="majorHAnsi"/>
          <w:sz w:val="24"/>
          <w:szCs w:val="24"/>
        </w:rPr>
        <w:t xml:space="preserve">, it sometimes seems as though through the act of praising some of vengeance driven acts, the Beowulf-poet is also ironically disagreeing with them, making it harder to </w:t>
      </w:r>
      <w:r w:rsidR="00A41FCE">
        <w:rPr>
          <w:rFonts w:ascii="Source Sans Pro" w:hAnsi="Source Sans Pro" w:cstheme="majorHAnsi"/>
          <w:sz w:val="24"/>
          <w:szCs w:val="24"/>
        </w:rPr>
        <w:lastRenderedPageBreak/>
        <w:t>determine whether the act of vengeance was seen positively or not.</w:t>
      </w:r>
      <w:r w:rsidR="001C070C">
        <w:rPr>
          <w:rFonts w:ascii="Source Sans Pro" w:hAnsi="Source Sans Pro" w:cstheme="majorHAnsi"/>
          <w:sz w:val="24"/>
          <w:szCs w:val="24"/>
        </w:rPr>
        <w:t xml:space="preserve"> </w:t>
      </w:r>
      <w:r w:rsidR="00F162D7">
        <w:rPr>
          <w:rFonts w:ascii="Source Sans Pro" w:hAnsi="Source Sans Pro" w:cstheme="majorHAnsi"/>
          <w:sz w:val="24"/>
          <w:szCs w:val="24"/>
        </w:rPr>
        <w:t xml:space="preserve">It seems to lean more towards the negative view though, as in the end it is laws of vengeance and inheritance issues which lead the the destruction of the Geatish kingdom. Beowulfs lack of </w:t>
      </w:r>
      <w:r w:rsidR="00C90B59">
        <w:rPr>
          <w:rFonts w:ascii="Source Sans Pro" w:hAnsi="Source Sans Pro" w:cstheme="majorHAnsi"/>
          <w:sz w:val="24"/>
          <w:szCs w:val="24"/>
        </w:rPr>
        <w:t>heir</w:t>
      </w:r>
      <w:r w:rsidR="00F162D7">
        <w:rPr>
          <w:rFonts w:ascii="Source Sans Pro" w:hAnsi="Source Sans Pro" w:cstheme="majorHAnsi"/>
          <w:sz w:val="24"/>
          <w:szCs w:val="24"/>
        </w:rPr>
        <w:t xml:space="preserve"> as well as the Swedish-Geatish feud which were put on hold whilst he lived are immediately brought to the surface in his death and the lament of the Geatish woman.</w:t>
      </w:r>
      <w:r w:rsidR="00C90B59">
        <w:rPr>
          <w:rFonts w:ascii="Source Sans Pro" w:hAnsi="Source Sans Pro" w:cstheme="majorHAnsi"/>
          <w:sz w:val="24"/>
          <w:szCs w:val="24"/>
        </w:rPr>
        <w:t xml:space="preserve"> This could be seen as either a lack of foresight on the hero’s part, or a display of the inevitability of war as a result of feuding; either option does not seem to be a positive representation of a feuding culture.</w:t>
      </w:r>
      <w:r w:rsidR="00F162D7">
        <w:rPr>
          <w:rFonts w:ascii="Source Sans Pro" w:hAnsi="Source Sans Pro" w:cstheme="majorHAnsi"/>
          <w:sz w:val="24"/>
          <w:szCs w:val="24"/>
        </w:rPr>
        <w:t xml:space="preserve"> </w:t>
      </w:r>
      <w:r w:rsidR="001C070C">
        <w:rPr>
          <w:rFonts w:ascii="Source Sans Pro" w:hAnsi="Source Sans Pro" w:cstheme="majorHAnsi"/>
          <w:sz w:val="24"/>
          <w:szCs w:val="24"/>
        </w:rPr>
        <w:t>The intricate and allegoric world which this poem of contradictions inhabits is somewhat out of reach to the reader due to the loss of knowledge of the era (hence the term, the Dark Ages) and lack of written records before the Norman Conquest of the British Isles and after Alfred the Great.</w:t>
      </w:r>
      <w:r w:rsidR="00F87715">
        <w:rPr>
          <w:rFonts w:ascii="Source Sans Pro" w:hAnsi="Source Sans Pro" w:cstheme="majorHAnsi"/>
          <w:sz w:val="24"/>
          <w:szCs w:val="24"/>
        </w:rPr>
        <w:t xml:space="preserve"> What we </w:t>
      </w:r>
      <w:r w:rsidR="00F87715">
        <w:rPr>
          <w:rFonts w:ascii="Source Sans Pro" w:hAnsi="Source Sans Pro" w:cstheme="majorHAnsi"/>
          <w:i/>
          <w:sz w:val="24"/>
          <w:szCs w:val="24"/>
        </w:rPr>
        <w:t>do</w:t>
      </w:r>
      <w:r w:rsidR="00F87715">
        <w:rPr>
          <w:rFonts w:ascii="Source Sans Pro" w:hAnsi="Source Sans Pro" w:cstheme="majorHAnsi"/>
          <w:sz w:val="24"/>
          <w:szCs w:val="24"/>
        </w:rPr>
        <w:t xml:space="preserve"> have however indicates that the world of gender and revenge in Anglo-Saxon Britain around the approximate date of the writing of </w:t>
      </w:r>
      <w:r w:rsidR="00F87715">
        <w:rPr>
          <w:rFonts w:ascii="Source Sans Pro" w:hAnsi="Source Sans Pro" w:cstheme="majorHAnsi"/>
          <w:i/>
          <w:sz w:val="24"/>
          <w:szCs w:val="24"/>
        </w:rPr>
        <w:t>Beowulf</w:t>
      </w:r>
      <w:r w:rsidR="00F87715">
        <w:rPr>
          <w:rFonts w:ascii="Source Sans Pro" w:hAnsi="Source Sans Pro" w:cstheme="majorHAnsi"/>
          <w:sz w:val="24"/>
          <w:szCs w:val="24"/>
        </w:rPr>
        <w:t xml:space="preserve"> </w:t>
      </w:r>
      <w:r w:rsidR="00D86DCA">
        <w:rPr>
          <w:rFonts w:ascii="Source Sans Pro" w:hAnsi="Source Sans Pro" w:cstheme="majorHAnsi"/>
          <w:sz w:val="24"/>
          <w:szCs w:val="24"/>
        </w:rPr>
        <w:t>were very much intertwined</w:t>
      </w:r>
      <w:r w:rsidR="009516B5">
        <w:rPr>
          <w:rFonts w:ascii="Source Sans Pro" w:hAnsi="Source Sans Pro" w:cstheme="majorHAnsi"/>
          <w:sz w:val="24"/>
          <w:szCs w:val="24"/>
        </w:rPr>
        <w:t xml:space="preserve"> and real both materialistically and in thought.</w:t>
      </w:r>
      <w:r w:rsidR="00D86DCA">
        <w:rPr>
          <w:rFonts w:ascii="Source Sans Pro" w:hAnsi="Source Sans Pro" w:cstheme="majorHAnsi"/>
          <w:sz w:val="24"/>
          <w:szCs w:val="24"/>
        </w:rPr>
        <w:t xml:space="preserve"> </w:t>
      </w:r>
      <w:r w:rsidR="009516B5">
        <w:rPr>
          <w:rFonts w:ascii="Source Sans Pro" w:hAnsi="Source Sans Pro" w:cstheme="majorHAnsi"/>
          <w:sz w:val="24"/>
          <w:szCs w:val="24"/>
        </w:rPr>
        <w:t>B</w:t>
      </w:r>
      <w:r w:rsidR="00D86DCA">
        <w:rPr>
          <w:rFonts w:ascii="Source Sans Pro" w:hAnsi="Source Sans Pro" w:cstheme="majorHAnsi"/>
          <w:sz w:val="24"/>
          <w:szCs w:val="24"/>
        </w:rPr>
        <w:t>oth genders had a role to play through warring</w:t>
      </w:r>
      <w:r w:rsidR="00306149">
        <w:rPr>
          <w:rFonts w:ascii="Source Sans Pro" w:hAnsi="Source Sans Pro" w:cstheme="majorHAnsi"/>
          <w:sz w:val="24"/>
          <w:szCs w:val="24"/>
        </w:rPr>
        <w:t>, diplomacy, cunning, heiring</w:t>
      </w:r>
      <w:r w:rsidR="00D86DCA">
        <w:rPr>
          <w:rFonts w:ascii="Source Sans Pro" w:hAnsi="Source Sans Pro" w:cstheme="majorHAnsi"/>
          <w:sz w:val="24"/>
          <w:szCs w:val="24"/>
        </w:rPr>
        <w:t xml:space="preserve"> and weaving. Gendered expectations were enforced by</w:t>
      </w:r>
      <w:r w:rsidR="0094119C">
        <w:rPr>
          <w:rFonts w:ascii="Source Sans Pro" w:hAnsi="Source Sans Pro" w:cstheme="majorHAnsi"/>
          <w:sz w:val="24"/>
          <w:szCs w:val="24"/>
        </w:rPr>
        <w:t xml:space="preserve"> a</w:t>
      </w:r>
      <w:r w:rsidR="00D86DCA">
        <w:rPr>
          <w:rFonts w:ascii="Source Sans Pro" w:hAnsi="Source Sans Pro" w:cstheme="majorHAnsi"/>
          <w:sz w:val="24"/>
          <w:szCs w:val="24"/>
        </w:rPr>
        <w:t xml:space="preserve"> strict</w:t>
      </w:r>
      <w:r w:rsidR="0094119C">
        <w:rPr>
          <w:rFonts w:ascii="Source Sans Pro" w:hAnsi="Source Sans Pro" w:cstheme="majorHAnsi"/>
          <w:sz w:val="24"/>
          <w:szCs w:val="24"/>
        </w:rPr>
        <w:t xml:space="preserve"> control</w:t>
      </w:r>
      <w:r w:rsidR="00D86DCA">
        <w:rPr>
          <w:rFonts w:ascii="Source Sans Pro" w:hAnsi="Source Sans Pro" w:cstheme="majorHAnsi"/>
          <w:sz w:val="24"/>
          <w:szCs w:val="24"/>
        </w:rPr>
        <w:t xml:space="preserve"> </w:t>
      </w:r>
      <w:r w:rsidR="0094119C">
        <w:rPr>
          <w:rFonts w:ascii="Source Sans Pro" w:hAnsi="Source Sans Pro" w:cstheme="majorHAnsi"/>
          <w:sz w:val="24"/>
          <w:szCs w:val="24"/>
        </w:rPr>
        <w:t>on masculinity</w:t>
      </w:r>
      <w:r w:rsidR="00D86DCA">
        <w:rPr>
          <w:rFonts w:ascii="Source Sans Pro" w:hAnsi="Source Sans Pro" w:cstheme="majorHAnsi"/>
          <w:sz w:val="24"/>
          <w:szCs w:val="24"/>
        </w:rPr>
        <w:t xml:space="preserve"> as well as institutionalised marriage to encourage peace-weaving, if not the production of heirs. Femininity however seems to be a more complicated subject, one not entirely known to most scholars and in need of much further research as there seem to be many contradictions and assumptions on the matter of what was proper and improper for women in the age of </w:t>
      </w:r>
      <w:r w:rsidR="00D86DCA">
        <w:rPr>
          <w:rFonts w:ascii="Source Sans Pro" w:hAnsi="Source Sans Pro" w:cstheme="majorHAnsi"/>
          <w:i/>
          <w:sz w:val="24"/>
          <w:szCs w:val="24"/>
        </w:rPr>
        <w:t>Beowulf</w:t>
      </w:r>
      <w:r w:rsidR="00D86DCA">
        <w:rPr>
          <w:rFonts w:ascii="Source Sans Pro" w:hAnsi="Source Sans Pro" w:cstheme="majorHAnsi"/>
          <w:sz w:val="24"/>
          <w:szCs w:val="24"/>
        </w:rPr>
        <w:t>, as we can see from the women-rulers around the possible time-period and location of writing. Judgement and custom also played a part</w:t>
      </w:r>
      <w:r w:rsidR="00B91719">
        <w:rPr>
          <w:rFonts w:ascii="Source Sans Pro" w:hAnsi="Source Sans Pro" w:cstheme="majorHAnsi"/>
          <w:sz w:val="24"/>
          <w:szCs w:val="24"/>
        </w:rPr>
        <w:t xml:space="preserve"> in regulating feuds and vengeance</w:t>
      </w:r>
      <w:r w:rsidR="00D86DCA">
        <w:rPr>
          <w:rFonts w:ascii="Source Sans Pro" w:hAnsi="Source Sans Pro" w:cstheme="majorHAnsi"/>
          <w:sz w:val="24"/>
          <w:szCs w:val="24"/>
        </w:rPr>
        <w:t xml:space="preserve">, as </w:t>
      </w:r>
      <w:r w:rsidR="00D86DCA">
        <w:rPr>
          <w:rFonts w:ascii="Source Sans Pro" w:hAnsi="Source Sans Pro" w:cstheme="majorHAnsi"/>
          <w:i/>
          <w:sz w:val="24"/>
          <w:szCs w:val="24"/>
        </w:rPr>
        <w:t>wergild</w:t>
      </w:r>
      <w:r w:rsidR="00175900">
        <w:rPr>
          <w:rFonts w:ascii="Source Sans Pro" w:hAnsi="Source Sans Pro" w:cstheme="majorHAnsi"/>
          <w:iCs/>
          <w:sz w:val="24"/>
          <w:szCs w:val="24"/>
        </w:rPr>
        <w:t>, inheritance</w:t>
      </w:r>
      <w:r w:rsidR="00D86DCA">
        <w:rPr>
          <w:rFonts w:ascii="Source Sans Pro" w:hAnsi="Source Sans Pro" w:cstheme="majorHAnsi"/>
          <w:sz w:val="24"/>
          <w:szCs w:val="24"/>
        </w:rPr>
        <w:t xml:space="preserve"> and marriage were controlled and enforced under the laws of men in both the Germanic world of </w:t>
      </w:r>
      <w:r w:rsidR="00D86DCA">
        <w:rPr>
          <w:rFonts w:ascii="Source Sans Pro" w:hAnsi="Source Sans Pro" w:cstheme="majorHAnsi"/>
          <w:i/>
          <w:sz w:val="24"/>
          <w:szCs w:val="24"/>
        </w:rPr>
        <w:t xml:space="preserve">Beowulf </w:t>
      </w:r>
      <w:r w:rsidR="00D86DCA">
        <w:rPr>
          <w:rFonts w:ascii="Source Sans Pro" w:hAnsi="Source Sans Pro" w:cstheme="majorHAnsi"/>
          <w:sz w:val="24"/>
          <w:szCs w:val="24"/>
        </w:rPr>
        <w:t xml:space="preserve">as well as in the </w:t>
      </w:r>
      <w:r w:rsidR="00D86DCA">
        <w:rPr>
          <w:rFonts w:ascii="Source Sans Pro" w:hAnsi="Source Sans Pro" w:cstheme="majorHAnsi"/>
          <w:sz w:val="24"/>
          <w:szCs w:val="24"/>
        </w:rPr>
        <w:lastRenderedPageBreak/>
        <w:t xml:space="preserve">flesh and blood of Anglo-Saxons. It is a shame that many laws were passed orally and not committed to paper due to the ease of local transmission of changes and updates to the law which were generally known to locals and therefore unnecessary to waste ink and parchment. </w:t>
      </w:r>
      <w:r w:rsidR="00B91719">
        <w:rPr>
          <w:rFonts w:ascii="Source Sans Pro" w:hAnsi="Source Sans Pro" w:cstheme="majorHAnsi"/>
          <w:sz w:val="24"/>
          <w:szCs w:val="24"/>
        </w:rPr>
        <w:t xml:space="preserve">The Germanic code of honour rife within </w:t>
      </w:r>
      <w:r w:rsidR="00B91719">
        <w:rPr>
          <w:rFonts w:ascii="Source Sans Pro" w:hAnsi="Source Sans Pro" w:cstheme="majorHAnsi"/>
          <w:i/>
          <w:sz w:val="24"/>
          <w:szCs w:val="24"/>
        </w:rPr>
        <w:t>Beowulf</w:t>
      </w:r>
      <w:r w:rsidR="00B91719">
        <w:rPr>
          <w:rFonts w:ascii="Source Sans Pro" w:hAnsi="Source Sans Pro" w:cstheme="majorHAnsi"/>
          <w:sz w:val="24"/>
          <w:szCs w:val="24"/>
        </w:rPr>
        <w:t xml:space="preserve">, but betrayed within it too when the fight with the dragon approaches and his men flee, is reflected in the Battle of Maldon and Tacitus’ </w:t>
      </w:r>
      <w:r w:rsidR="00B91719">
        <w:rPr>
          <w:rFonts w:ascii="Source Sans Pro" w:hAnsi="Source Sans Pro" w:cstheme="majorHAnsi"/>
          <w:i/>
          <w:sz w:val="24"/>
          <w:szCs w:val="24"/>
        </w:rPr>
        <w:t>Britannica</w:t>
      </w:r>
      <w:r w:rsidR="00B91719">
        <w:rPr>
          <w:rFonts w:ascii="Source Sans Pro" w:hAnsi="Source Sans Pro" w:cstheme="majorHAnsi"/>
          <w:sz w:val="24"/>
          <w:szCs w:val="24"/>
        </w:rPr>
        <w:t xml:space="preserve"> and therefore probably had a place in the Anglo-Saxon world.</w:t>
      </w:r>
      <w:r w:rsidR="001D3CF0">
        <w:rPr>
          <w:rFonts w:ascii="Source Sans Pro" w:hAnsi="Source Sans Pro" w:cstheme="majorHAnsi"/>
          <w:sz w:val="24"/>
          <w:szCs w:val="24"/>
        </w:rPr>
        <w:t xml:space="preserve"> The use of fosterage as a tool to educate and forge alliances within nations through kin and payment were familiar to the Anglo-Saxons and was a practice both valued and disliked. </w:t>
      </w:r>
    </w:p>
    <w:p w14:paraId="10AF17DF" w14:textId="093BFCCE" w:rsidR="0068480F" w:rsidRDefault="00E824B5" w:rsidP="00A32896">
      <w:pPr>
        <w:rPr>
          <w:rFonts w:ascii="Source Sans Pro" w:hAnsi="Source Sans Pro" w:cstheme="majorHAnsi"/>
          <w:sz w:val="24"/>
          <w:szCs w:val="24"/>
        </w:rPr>
      </w:pPr>
      <w:r>
        <w:rPr>
          <w:rFonts w:ascii="Source Sans Pro" w:hAnsi="Source Sans Pro" w:cstheme="majorHAnsi"/>
          <w:sz w:val="24"/>
          <w:szCs w:val="24"/>
        </w:rPr>
        <w:t xml:space="preserve">The attempts of fostering peace in the </w:t>
      </w:r>
      <w:r>
        <w:rPr>
          <w:rFonts w:ascii="Source Sans Pro" w:hAnsi="Source Sans Pro" w:cstheme="majorHAnsi"/>
          <w:i/>
          <w:sz w:val="24"/>
          <w:szCs w:val="24"/>
        </w:rPr>
        <w:t>Beowulf</w:t>
      </w:r>
      <w:r>
        <w:rPr>
          <w:rFonts w:ascii="Source Sans Pro" w:hAnsi="Source Sans Pro" w:cstheme="majorHAnsi"/>
          <w:sz w:val="24"/>
          <w:szCs w:val="24"/>
        </w:rPr>
        <w:t xml:space="preserve"> was very much the same as the Anglo-Saxons own attempts, using kinship and fosterage ties to their advantage and by creating bonds of marriage</w:t>
      </w:r>
      <w:r w:rsidR="001D3CF0">
        <w:rPr>
          <w:rFonts w:ascii="Source Sans Pro" w:hAnsi="Source Sans Pro" w:cstheme="majorHAnsi"/>
          <w:sz w:val="24"/>
          <w:szCs w:val="24"/>
        </w:rPr>
        <w:t xml:space="preserve"> and blood-kin from these marriages in an attempt to apply a salve to feuding</w:t>
      </w:r>
      <w:r>
        <w:rPr>
          <w:rFonts w:ascii="Source Sans Pro" w:hAnsi="Source Sans Pro" w:cstheme="majorHAnsi"/>
          <w:sz w:val="24"/>
          <w:szCs w:val="24"/>
        </w:rPr>
        <w:t xml:space="preserve"> between warring factions. </w:t>
      </w:r>
      <w:r w:rsidR="00390C46">
        <w:rPr>
          <w:rFonts w:ascii="Source Sans Pro" w:hAnsi="Source Sans Pro" w:cstheme="majorHAnsi"/>
          <w:sz w:val="24"/>
          <w:szCs w:val="24"/>
        </w:rPr>
        <w:t xml:space="preserve">The evidence we can draw upon from Anglo-Saxon reality seems </w:t>
      </w:r>
      <w:r w:rsidR="00056D95">
        <w:rPr>
          <w:rFonts w:ascii="Source Sans Pro" w:hAnsi="Source Sans Pro" w:cstheme="majorHAnsi"/>
          <w:sz w:val="24"/>
          <w:szCs w:val="24"/>
        </w:rPr>
        <w:t>to have some</w:t>
      </w:r>
      <w:r w:rsidR="00390C46">
        <w:rPr>
          <w:rFonts w:ascii="Source Sans Pro" w:hAnsi="Source Sans Pro" w:cstheme="majorHAnsi"/>
          <w:sz w:val="24"/>
          <w:szCs w:val="24"/>
        </w:rPr>
        <w:t xml:space="preserve"> similar</w:t>
      </w:r>
      <w:r w:rsidR="00056D95">
        <w:rPr>
          <w:rFonts w:ascii="Source Sans Pro" w:hAnsi="Source Sans Pro" w:cstheme="majorHAnsi"/>
          <w:sz w:val="24"/>
          <w:szCs w:val="24"/>
        </w:rPr>
        <w:t>ities</w:t>
      </w:r>
      <w:r w:rsidR="00390C46">
        <w:rPr>
          <w:rFonts w:ascii="Source Sans Pro" w:hAnsi="Source Sans Pro" w:cstheme="majorHAnsi"/>
          <w:sz w:val="24"/>
          <w:szCs w:val="24"/>
        </w:rPr>
        <w:t xml:space="preserve"> to the world of </w:t>
      </w:r>
      <w:r w:rsidR="00390C46">
        <w:rPr>
          <w:rFonts w:ascii="Source Sans Pro" w:hAnsi="Source Sans Pro" w:cstheme="majorHAnsi"/>
          <w:i/>
          <w:sz w:val="24"/>
          <w:szCs w:val="24"/>
        </w:rPr>
        <w:t>Beowulf</w:t>
      </w:r>
      <w:r w:rsidR="00390C46">
        <w:rPr>
          <w:rFonts w:ascii="Source Sans Pro" w:hAnsi="Source Sans Pro" w:cstheme="majorHAnsi"/>
          <w:sz w:val="24"/>
          <w:szCs w:val="24"/>
        </w:rPr>
        <w:t xml:space="preserve"> in terms of basic morals</w:t>
      </w:r>
      <w:r w:rsidR="006E45F6">
        <w:rPr>
          <w:rFonts w:ascii="Source Sans Pro" w:hAnsi="Source Sans Pro" w:cstheme="majorHAnsi"/>
          <w:sz w:val="24"/>
          <w:szCs w:val="24"/>
        </w:rPr>
        <w:t xml:space="preserve"> and some customs</w:t>
      </w:r>
      <w:r w:rsidR="00390C46">
        <w:rPr>
          <w:rFonts w:ascii="Source Sans Pro" w:hAnsi="Source Sans Pro" w:cstheme="majorHAnsi"/>
          <w:sz w:val="24"/>
          <w:szCs w:val="24"/>
        </w:rPr>
        <w:t xml:space="preserve">, but it may simply seem this way as this is what </w:t>
      </w:r>
      <w:r w:rsidR="00056D95">
        <w:rPr>
          <w:rFonts w:ascii="Source Sans Pro" w:hAnsi="Source Sans Pro" w:cstheme="majorHAnsi"/>
          <w:sz w:val="24"/>
          <w:szCs w:val="24"/>
        </w:rPr>
        <w:t>this project aimed to determine. H</w:t>
      </w:r>
      <w:r w:rsidR="00390C46">
        <w:rPr>
          <w:rFonts w:ascii="Source Sans Pro" w:hAnsi="Source Sans Pro" w:cstheme="majorHAnsi"/>
          <w:sz w:val="24"/>
          <w:szCs w:val="24"/>
        </w:rPr>
        <w:t>owever the fact that it is</w:t>
      </w:r>
      <w:r w:rsidR="00056D95">
        <w:rPr>
          <w:rFonts w:ascii="Source Sans Pro" w:hAnsi="Source Sans Pro" w:cstheme="majorHAnsi"/>
          <w:sz w:val="24"/>
          <w:szCs w:val="24"/>
        </w:rPr>
        <w:t xml:space="preserve"> indeed</w:t>
      </w:r>
      <w:r w:rsidR="00390C46">
        <w:rPr>
          <w:rFonts w:ascii="Source Sans Pro" w:hAnsi="Source Sans Pro" w:cstheme="majorHAnsi"/>
          <w:sz w:val="24"/>
          <w:szCs w:val="24"/>
        </w:rPr>
        <w:t xml:space="preserve"> determinable indicates that it is possible to be so and therefore it seems reasonable to say that to some extent </w:t>
      </w:r>
      <w:r w:rsidR="00390C46">
        <w:rPr>
          <w:rFonts w:ascii="Source Sans Pro" w:hAnsi="Source Sans Pro" w:cstheme="majorHAnsi"/>
          <w:i/>
          <w:sz w:val="24"/>
          <w:szCs w:val="24"/>
        </w:rPr>
        <w:t>Beowulf</w:t>
      </w:r>
      <w:r w:rsidR="00390C46">
        <w:rPr>
          <w:rFonts w:ascii="Source Sans Pro" w:hAnsi="Source Sans Pro" w:cstheme="majorHAnsi"/>
          <w:sz w:val="24"/>
          <w:szCs w:val="24"/>
        </w:rPr>
        <w:t xml:space="preserve"> reflected a reality which Anglo-Saxons could somewhat recognise</w:t>
      </w:r>
      <w:r w:rsidR="00F075A4">
        <w:rPr>
          <w:rFonts w:ascii="Source Sans Pro" w:hAnsi="Source Sans Pro" w:cstheme="majorHAnsi"/>
          <w:sz w:val="24"/>
          <w:szCs w:val="24"/>
        </w:rPr>
        <w:t xml:space="preserve"> and relate to, if not entirely.</w:t>
      </w:r>
      <w:r w:rsidR="00A41FCE">
        <w:rPr>
          <w:rFonts w:ascii="Source Sans Pro" w:hAnsi="Source Sans Pro" w:cstheme="majorHAnsi"/>
          <w:sz w:val="24"/>
          <w:szCs w:val="24"/>
        </w:rPr>
        <w:t xml:space="preserve"> </w:t>
      </w:r>
    </w:p>
    <w:p w14:paraId="5D5E1804" w14:textId="57980234" w:rsidR="00C00F99" w:rsidRDefault="00C00F99" w:rsidP="00A32896">
      <w:pPr>
        <w:rPr>
          <w:rFonts w:ascii="Source Sans Pro" w:hAnsi="Source Sans Pro" w:cstheme="majorHAnsi"/>
          <w:sz w:val="24"/>
          <w:szCs w:val="24"/>
        </w:rPr>
      </w:pPr>
    </w:p>
    <w:p w14:paraId="7D9972E2" w14:textId="3E371275" w:rsidR="00C00F99" w:rsidRDefault="00C00F99" w:rsidP="00A32896">
      <w:pPr>
        <w:rPr>
          <w:rFonts w:ascii="Source Sans Pro" w:hAnsi="Source Sans Pro" w:cstheme="majorHAnsi"/>
          <w:sz w:val="24"/>
          <w:szCs w:val="24"/>
        </w:rPr>
      </w:pPr>
    </w:p>
    <w:p w14:paraId="1F0DAD64" w14:textId="77777777" w:rsidR="00C00F99" w:rsidRPr="00390C46" w:rsidRDefault="00C00F99" w:rsidP="00A32896">
      <w:pPr>
        <w:rPr>
          <w:rFonts w:ascii="Source Sans Pro" w:hAnsi="Source Sans Pro" w:cstheme="majorHAnsi"/>
          <w:sz w:val="24"/>
          <w:szCs w:val="24"/>
        </w:rPr>
      </w:pPr>
    </w:p>
    <w:bookmarkStart w:id="6" w:name="_Toc40131061" w:displacedByCustomXml="next"/>
    <w:sdt>
      <w:sdtPr>
        <w:id w:val="751475649"/>
        <w:docPartObj>
          <w:docPartGallery w:val="Bibliographies"/>
          <w:docPartUnique/>
        </w:docPartObj>
      </w:sdtPr>
      <w:sdtEndPr>
        <w:rPr>
          <w:rFonts w:asciiTheme="minorHAnsi" w:eastAsiaTheme="minorHAnsi" w:hAnsiTheme="minorHAnsi" w:cstheme="minorBidi"/>
          <w:color w:val="auto"/>
          <w:sz w:val="22"/>
          <w:szCs w:val="22"/>
        </w:rPr>
      </w:sdtEndPr>
      <w:sdtContent>
        <w:p w14:paraId="1A1E91EC" w14:textId="22EBF3F3" w:rsidR="007407F9" w:rsidRPr="00314B92" w:rsidRDefault="00665736" w:rsidP="00314B92">
          <w:pPr>
            <w:pStyle w:val="Heading1"/>
          </w:pPr>
          <w:r>
            <w:t>Works Cited</w:t>
          </w:r>
        </w:p>
      </w:sdtContent>
    </w:sdt>
    <w:bookmarkEnd w:id="6" w:displacedByCustomXml="prev"/>
    <w:p w14:paraId="7FAAE062" w14:textId="12001709" w:rsidR="00D24B03" w:rsidRPr="00DD1EF3" w:rsidRDefault="00D24B03" w:rsidP="000C000F">
      <w:pPr>
        <w:rPr>
          <w:rFonts w:asciiTheme="majorHAnsi" w:hAnsiTheme="majorHAnsi" w:cstheme="majorHAnsi"/>
        </w:rPr>
      </w:pPr>
      <w:r w:rsidRPr="00DD1EF3">
        <w:rPr>
          <w:rFonts w:asciiTheme="majorHAnsi" w:hAnsiTheme="majorHAnsi" w:cstheme="majorHAnsi"/>
        </w:rPr>
        <w:t xml:space="preserve">Alexander, Michael. </w:t>
      </w:r>
      <w:r w:rsidRPr="00DD1EF3">
        <w:rPr>
          <w:rFonts w:asciiTheme="majorHAnsi" w:hAnsiTheme="majorHAnsi" w:cstheme="majorHAnsi"/>
          <w:i/>
          <w:iCs/>
        </w:rPr>
        <w:t>Beowulf: A Glossed Text</w:t>
      </w:r>
      <w:r w:rsidRPr="00DD1EF3">
        <w:rPr>
          <w:rFonts w:asciiTheme="majorHAnsi" w:hAnsiTheme="majorHAnsi" w:cstheme="majorHAnsi"/>
        </w:rPr>
        <w:t xml:space="preserve"> (London: Penguin Group, 1995)</w:t>
      </w:r>
    </w:p>
    <w:p w14:paraId="28807F59" w14:textId="17EA9B28" w:rsidR="00DD1EF3" w:rsidRPr="00DD1EF3" w:rsidRDefault="00DD1EF3" w:rsidP="000C000F">
      <w:pPr>
        <w:rPr>
          <w:rFonts w:asciiTheme="majorHAnsi" w:hAnsiTheme="majorHAnsi" w:cstheme="majorHAnsi"/>
        </w:rPr>
      </w:pPr>
      <w:r w:rsidRPr="00DD1EF3">
        <w:rPr>
          <w:rFonts w:asciiTheme="majorHAnsi" w:hAnsiTheme="majorHAnsi" w:cstheme="majorHAnsi"/>
        </w:rPr>
        <w:t xml:space="preserve">Ayres, Harry Morgan. ‘The Tragedy of Hengest in “Beowulf”’ </w:t>
      </w:r>
      <w:r w:rsidRPr="00DD1EF3">
        <w:rPr>
          <w:rFonts w:asciiTheme="majorHAnsi" w:hAnsiTheme="majorHAnsi" w:cstheme="majorHAnsi"/>
          <w:i/>
        </w:rPr>
        <w:t>The Journal of Englishand Germanic Philology</w:t>
      </w:r>
      <w:r w:rsidRPr="00DD1EF3">
        <w:rPr>
          <w:rFonts w:asciiTheme="majorHAnsi" w:hAnsiTheme="majorHAnsi" w:cstheme="majorHAnsi"/>
        </w:rPr>
        <w:t>. Vol. 16.2 (1917) pp.282-292</w:t>
      </w:r>
    </w:p>
    <w:p w14:paraId="427E7705" w14:textId="0DA82AA2" w:rsidR="00517B44" w:rsidRPr="00437F20" w:rsidRDefault="000C000F" w:rsidP="000C000F">
      <w:pPr>
        <w:rPr>
          <w:rFonts w:asciiTheme="majorHAnsi" w:hAnsiTheme="majorHAnsi" w:cstheme="majorHAnsi"/>
        </w:rPr>
      </w:pPr>
      <w:r w:rsidRPr="00437F20">
        <w:rPr>
          <w:rFonts w:asciiTheme="majorHAnsi" w:hAnsiTheme="majorHAnsi" w:cstheme="majorHAnsi"/>
        </w:rPr>
        <w:t xml:space="preserve">Beggren, Kalle. ‘Sticky Masculinity: Post-structuralism, Phenomenology and Subjectivity in Critical Studies on Men’ </w:t>
      </w:r>
      <w:r w:rsidRPr="00437F20">
        <w:rPr>
          <w:rFonts w:asciiTheme="majorHAnsi" w:hAnsiTheme="majorHAnsi" w:cstheme="majorHAnsi"/>
          <w:i/>
        </w:rPr>
        <w:t>Men and Masculinities</w:t>
      </w:r>
      <w:r w:rsidRPr="00437F20">
        <w:rPr>
          <w:rFonts w:asciiTheme="majorHAnsi" w:hAnsiTheme="majorHAnsi" w:cstheme="majorHAnsi"/>
        </w:rPr>
        <w:t>. 17.3 (2014</w:t>
      </w:r>
      <w:r w:rsidR="00836E98">
        <w:rPr>
          <w:rFonts w:asciiTheme="majorHAnsi" w:hAnsiTheme="majorHAnsi" w:cstheme="majorHAnsi"/>
        </w:rPr>
        <w:t>):</w:t>
      </w:r>
      <w:r w:rsidRPr="00437F20">
        <w:rPr>
          <w:rFonts w:asciiTheme="majorHAnsi" w:hAnsiTheme="majorHAnsi" w:cstheme="majorHAnsi"/>
        </w:rPr>
        <w:t xml:space="preserve"> </w:t>
      </w:r>
      <w:r w:rsidR="00836E98">
        <w:rPr>
          <w:rFonts w:asciiTheme="majorHAnsi" w:hAnsiTheme="majorHAnsi" w:cstheme="majorHAnsi"/>
        </w:rPr>
        <w:t>p.</w:t>
      </w:r>
      <w:r w:rsidRPr="00437F20">
        <w:rPr>
          <w:rFonts w:asciiTheme="majorHAnsi" w:hAnsiTheme="majorHAnsi" w:cstheme="majorHAnsi"/>
        </w:rPr>
        <w:t>231-252</w:t>
      </w:r>
    </w:p>
    <w:p w14:paraId="014EAB5B" w14:textId="33D0873C" w:rsidR="00FC6187" w:rsidRDefault="007552A7" w:rsidP="000C000F">
      <w:pPr>
        <w:rPr>
          <w:rFonts w:asciiTheme="majorHAnsi" w:hAnsiTheme="majorHAnsi" w:cstheme="majorHAnsi"/>
        </w:rPr>
      </w:pPr>
      <w:r w:rsidRPr="00437F20">
        <w:rPr>
          <w:rFonts w:asciiTheme="majorHAnsi" w:hAnsiTheme="majorHAnsi" w:cstheme="majorHAnsi"/>
        </w:rPr>
        <w:t xml:space="preserve">Belanoff, Patricia A. "Judith: Sacred and Secular Heroine," in </w:t>
      </w:r>
      <w:r w:rsidRPr="00437F20">
        <w:rPr>
          <w:rFonts w:asciiTheme="majorHAnsi" w:hAnsiTheme="majorHAnsi" w:cstheme="majorHAnsi"/>
          <w:i/>
        </w:rPr>
        <w:t>Heroic Poetry in the Anglo-Saxon Period: Studies in Honour of Jess B. Bessinger</w:t>
      </w:r>
      <w:r w:rsidRPr="00437F20">
        <w:rPr>
          <w:rFonts w:asciiTheme="majorHAnsi" w:hAnsiTheme="majorHAnsi" w:cstheme="majorHAnsi"/>
        </w:rPr>
        <w:t>, ed. Helen Damico and John Leyerle (Kalamazoo, MI: Medieval Institute Publications, 1993) p.247-</w:t>
      </w:r>
      <w:r w:rsidR="00100DB2">
        <w:rPr>
          <w:rFonts w:asciiTheme="majorHAnsi" w:hAnsiTheme="majorHAnsi" w:cstheme="majorHAnsi"/>
        </w:rPr>
        <w:t>2</w:t>
      </w:r>
      <w:r w:rsidRPr="00437F20">
        <w:rPr>
          <w:rFonts w:asciiTheme="majorHAnsi" w:hAnsiTheme="majorHAnsi" w:cstheme="majorHAnsi"/>
        </w:rPr>
        <w:t>64</w:t>
      </w:r>
    </w:p>
    <w:p w14:paraId="2BF6A4EB" w14:textId="7E95AACC" w:rsidR="0006543B" w:rsidRPr="00AC6917" w:rsidRDefault="0006543B" w:rsidP="000C000F">
      <w:pPr>
        <w:rPr>
          <w:rFonts w:asciiTheme="majorHAnsi" w:hAnsiTheme="majorHAnsi" w:cstheme="majorHAnsi"/>
        </w:rPr>
      </w:pPr>
      <w:r w:rsidRPr="00AC6917">
        <w:rPr>
          <w:rFonts w:asciiTheme="majorHAnsi" w:hAnsiTheme="majorHAnsi" w:cstheme="majorHAnsi"/>
        </w:rPr>
        <w:t xml:space="preserve">Bollough, Vern L. ‘On Being Male in the Middle Ages’ </w:t>
      </w:r>
      <w:r w:rsidRPr="00AC6917">
        <w:rPr>
          <w:rFonts w:asciiTheme="majorHAnsi" w:hAnsiTheme="majorHAnsi" w:cstheme="majorHAnsi"/>
          <w:i/>
        </w:rPr>
        <w:t xml:space="preserve">Medieval masculinities: Regarding men in the Middle Ages </w:t>
      </w:r>
      <w:r w:rsidRPr="00AC6917">
        <w:rPr>
          <w:rFonts w:asciiTheme="majorHAnsi" w:hAnsiTheme="majorHAnsi" w:cstheme="majorHAnsi"/>
        </w:rPr>
        <w:t>Ed. Claire A. Lees (Minneapolis: University of Minnesota Press, 1994)</w:t>
      </w:r>
      <w:r w:rsidR="00AC6917">
        <w:rPr>
          <w:rFonts w:asciiTheme="majorHAnsi" w:hAnsiTheme="majorHAnsi" w:cstheme="majorHAnsi"/>
        </w:rPr>
        <w:t xml:space="preserve"> p.31-45</w:t>
      </w:r>
    </w:p>
    <w:p w14:paraId="09F8D749" w14:textId="00C9B541" w:rsidR="00FC6187" w:rsidRPr="00437F20" w:rsidRDefault="00FC6187" w:rsidP="000C000F">
      <w:pPr>
        <w:rPr>
          <w:rFonts w:asciiTheme="majorHAnsi" w:hAnsiTheme="majorHAnsi" w:cstheme="majorHAnsi"/>
        </w:rPr>
      </w:pPr>
      <w:r w:rsidRPr="00437F20">
        <w:rPr>
          <w:rFonts w:asciiTheme="majorHAnsi" w:hAnsiTheme="majorHAnsi" w:cstheme="majorHAnsi"/>
          <w:shd w:val="clear" w:color="auto" w:fill="FFFFFF"/>
        </w:rPr>
        <w:t>Breen, Nathan. "Beowulf's Wealhtheow and the Deowwealh: A Legal Source for the Queen's Name." </w:t>
      </w:r>
      <w:r w:rsidRPr="00437F20">
        <w:rPr>
          <w:rFonts w:asciiTheme="majorHAnsi" w:hAnsiTheme="majorHAnsi" w:cstheme="majorHAnsi"/>
          <w:i/>
          <w:iCs/>
          <w:shd w:val="clear" w:color="auto" w:fill="FFFFFF"/>
        </w:rPr>
        <w:t>ANQ</w:t>
      </w:r>
      <w:r w:rsidRPr="00437F20">
        <w:rPr>
          <w:rFonts w:asciiTheme="majorHAnsi" w:hAnsiTheme="majorHAnsi" w:cstheme="majorHAnsi"/>
          <w:shd w:val="clear" w:color="auto" w:fill="FFFFFF"/>
        </w:rPr>
        <w:t> 22.2 (2009) p.2-4.</w:t>
      </w:r>
    </w:p>
    <w:p w14:paraId="3B3341E8" w14:textId="38743161" w:rsidR="00D213AF" w:rsidRPr="00437F20" w:rsidRDefault="00D213AF" w:rsidP="000C000F">
      <w:pPr>
        <w:rPr>
          <w:rFonts w:asciiTheme="majorHAnsi" w:hAnsiTheme="majorHAnsi" w:cstheme="majorHAnsi"/>
        </w:rPr>
      </w:pPr>
      <w:r w:rsidRPr="00437F20">
        <w:rPr>
          <w:rFonts w:asciiTheme="majorHAnsi" w:hAnsiTheme="majorHAnsi" w:cstheme="majorHAnsi"/>
        </w:rPr>
        <w:t xml:space="preserve">British National Library, </w:t>
      </w:r>
      <w:r w:rsidRPr="00437F20">
        <w:rPr>
          <w:rFonts w:asciiTheme="majorHAnsi" w:hAnsiTheme="majorHAnsi" w:cstheme="majorHAnsi"/>
          <w:i/>
          <w:iCs/>
        </w:rPr>
        <w:t>Beowulf</w:t>
      </w:r>
      <w:r w:rsidRPr="00437F20">
        <w:rPr>
          <w:rFonts w:asciiTheme="majorHAnsi" w:hAnsiTheme="majorHAnsi" w:cstheme="majorHAnsi"/>
        </w:rPr>
        <w:t xml:space="preserve"> (2019) &lt;</w:t>
      </w:r>
      <w:hyperlink r:id="rId8" w:history="1">
        <w:r w:rsidRPr="00437F20">
          <w:rPr>
            <w:rStyle w:val="Hyperlink"/>
            <w:rFonts w:asciiTheme="majorHAnsi" w:hAnsiTheme="majorHAnsi" w:cstheme="majorHAnsi"/>
          </w:rPr>
          <w:t>https://www.bl.uk/collection-items/beowulf</w:t>
        </w:r>
      </w:hyperlink>
      <w:r w:rsidRPr="00437F20">
        <w:rPr>
          <w:rFonts w:asciiTheme="majorHAnsi" w:hAnsiTheme="majorHAnsi" w:cstheme="majorHAnsi"/>
        </w:rPr>
        <w:t>&gt; [Accessed 28</w:t>
      </w:r>
      <w:r w:rsidRPr="00437F20">
        <w:rPr>
          <w:rFonts w:asciiTheme="majorHAnsi" w:hAnsiTheme="majorHAnsi" w:cstheme="majorHAnsi"/>
          <w:vertAlign w:val="superscript"/>
        </w:rPr>
        <w:t>th</w:t>
      </w:r>
      <w:r w:rsidRPr="00437F20">
        <w:rPr>
          <w:rFonts w:asciiTheme="majorHAnsi" w:hAnsiTheme="majorHAnsi" w:cstheme="majorHAnsi"/>
        </w:rPr>
        <w:t xml:space="preserve"> November 2019]</w:t>
      </w:r>
    </w:p>
    <w:p w14:paraId="3EECC2E7" w14:textId="7263FC0F" w:rsidR="000F0C82" w:rsidRPr="00437F20" w:rsidRDefault="00517B44" w:rsidP="00E76BEE">
      <w:pPr>
        <w:rPr>
          <w:rFonts w:asciiTheme="majorHAnsi" w:hAnsiTheme="majorHAnsi" w:cstheme="majorHAnsi"/>
          <w:shd w:val="clear" w:color="auto" w:fill="FFFFFF"/>
        </w:rPr>
      </w:pPr>
      <w:r w:rsidRPr="00437F20">
        <w:rPr>
          <w:rFonts w:asciiTheme="majorHAnsi" w:hAnsiTheme="majorHAnsi" w:cstheme="majorHAnsi"/>
          <w:shd w:val="clear" w:color="auto" w:fill="FFFFFF"/>
        </w:rPr>
        <w:t>Camargo, Martin. "The Finn Episode and the Tragedy of Revenge in "Beowulf"." </w:t>
      </w:r>
      <w:r w:rsidRPr="00437F20">
        <w:rPr>
          <w:rFonts w:asciiTheme="majorHAnsi" w:hAnsiTheme="majorHAnsi" w:cstheme="majorHAnsi"/>
          <w:i/>
          <w:iCs/>
          <w:shd w:val="clear" w:color="auto" w:fill="FFFFFF"/>
        </w:rPr>
        <w:t>Studies in Philology</w:t>
      </w:r>
      <w:r w:rsidRPr="00437F20">
        <w:rPr>
          <w:rFonts w:asciiTheme="majorHAnsi" w:hAnsiTheme="majorHAnsi" w:cstheme="majorHAnsi"/>
          <w:shd w:val="clear" w:color="auto" w:fill="FFFFFF"/>
        </w:rPr>
        <w:t xml:space="preserve"> 78.5 (1981): </w:t>
      </w:r>
      <w:r w:rsidR="00836E98">
        <w:rPr>
          <w:rFonts w:asciiTheme="majorHAnsi" w:hAnsiTheme="majorHAnsi" w:cstheme="majorHAnsi"/>
          <w:shd w:val="clear" w:color="auto" w:fill="FFFFFF"/>
        </w:rPr>
        <w:t>p.</w:t>
      </w:r>
      <w:r w:rsidRPr="00437F20">
        <w:rPr>
          <w:rFonts w:asciiTheme="majorHAnsi" w:hAnsiTheme="majorHAnsi" w:cstheme="majorHAnsi"/>
          <w:shd w:val="clear" w:color="auto" w:fill="FFFFFF"/>
        </w:rPr>
        <w:t>120-134</w:t>
      </w:r>
    </w:p>
    <w:p w14:paraId="4A708B6F" w14:textId="3711C051" w:rsidR="00D821CA" w:rsidRPr="00836E98" w:rsidRDefault="00D821CA" w:rsidP="00260490">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Carr, Dorthy Porter. ‘The Social Centrality of Women in Beowulf: A New Context’ </w:t>
      </w:r>
      <w:r w:rsidRPr="00437F20">
        <w:rPr>
          <w:rFonts w:asciiTheme="majorHAnsi" w:hAnsiTheme="majorHAnsi" w:cstheme="majorHAnsi"/>
          <w:i/>
          <w:iCs/>
          <w:sz w:val="22"/>
          <w:szCs w:val="22"/>
        </w:rPr>
        <w:t>The Heroic Age</w:t>
      </w:r>
      <w:r w:rsidRPr="00437F20">
        <w:rPr>
          <w:rFonts w:asciiTheme="majorHAnsi" w:hAnsiTheme="majorHAnsi" w:cstheme="majorHAnsi"/>
          <w:sz w:val="22"/>
          <w:szCs w:val="22"/>
        </w:rPr>
        <w:t>, W</w:t>
      </w:r>
      <w:r w:rsidRPr="00836E98">
        <w:rPr>
          <w:rFonts w:asciiTheme="majorHAnsi" w:hAnsiTheme="majorHAnsi" w:cstheme="majorHAnsi"/>
          <w:sz w:val="22"/>
          <w:szCs w:val="22"/>
        </w:rPr>
        <w:t xml:space="preserve">estern Michigan University. Volume 5 (2001) </w:t>
      </w:r>
      <w:hyperlink r:id="rId9" w:history="1">
        <w:r w:rsidRPr="00836E98">
          <w:rPr>
            <w:rStyle w:val="Hyperlink"/>
            <w:rFonts w:asciiTheme="majorHAnsi" w:hAnsiTheme="majorHAnsi" w:cstheme="majorHAnsi"/>
            <w:color w:val="auto"/>
            <w:sz w:val="22"/>
            <w:szCs w:val="22"/>
          </w:rPr>
          <w:t>http://www.heroicage.org/issues/5/porter1.html</w:t>
        </w:r>
      </w:hyperlink>
      <w:r w:rsidRPr="00836E98">
        <w:rPr>
          <w:rFonts w:asciiTheme="majorHAnsi" w:hAnsiTheme="majorHAnsi" w:cstheme="majorHAnsi"/>
          <w:sz w:val="22"/>
          <w:szCs w:val="22"/>
        </w:rPr>
        <w:t xml:space="preserve"> [Accessed 10</w:t>
      </w:r>
      <w:r w:rsidRPr="00836E98">
        <w:rPr>
          <w:rFonts w:asciiTheme="majorHAnsi" w:hAnsiTheme="majorHAnsi" w:cstheme="majorHAnsi"/>
          <w:sz w:val="22"/>
          <w:szCs w:val="22"/>
          <w:vertAlign w:val="superscript"/>
        </w:rPr>
        <w:t>th</w:t>
      </w:r>
      <w:r w:rsidRPr="00836E98">
        <w:rPr>
          <w:rFonts w:asciiTheme="majorHAnsi" w:hAnsiTheme="majorHAnsi" w:cstheme="majorHAnsi"/>
          <w:sz w:val="22"/>
          <w:szCs w:val="22"/>
        </w:rPr>
        <w:t xml:space="preserve"> December 2019]</w:t>
      </w:r>
    </w:p>
    <w:p w14:paraId="3E14EA58" w14:textId="77777777" w:rsidR="00D821CA" w:rsidRPr="00836E98" w:rsidRDefault="00D821CA" w:rsidP="00260490">
      <w:pPr>
        <w:pStyle w:val="FootnoteText"/>
        <w:rPr>
          <w:rFonts w:asciiTheme="majorHAnsi" w:hAnsiTheme="majorHAnsi" w:cstheme="majorHAnsi"/>
          <w:sz w:val="22"/>
          <w:szCs w:val="22"/>
          <w:shd w:val="clear" w:color="auto" w:fill="FFFFFF"/>
        </w:rPr>
      </w:pPr>
    </w:p>
    <w:p w14:paraId="30FF357A" w14:textId="545DF6C3" w:rsidR="00836E98" w:rsidRPr="00836E98" w:rsidRDefault="00836E98" w:rsidP="00260490">
      <w:pPr>
        <w:pStyle w:val="FootnoteText"/>
        <w:rPr>
          <w:rFonts w:asciiTheme="majorHAnsi" w:hAnsiTheme="majorHAnsi" w:cstheme="majorHAnsi"/>
          <w:sz w:val="22"/>
          <w:szCs w:val="22"/>
          <w:shd w:val="clear" w:color="auto" w:fill="FFFFFF"/>
        </w:rPr>
      </w:pPr>
      <w:r w:rsidRPr="00836E98">
        <w:rPr>
          <w:rFonts w:asciiTheme="majorHAnsi" w:hAnsiTheme="majorHAnsi" w:cstheme="majorHAnsi"/>
          <w:sz w:val="22"/>
          <w:szCs w:val="22"/>
          <w:shd w:val="clear" w:color="auto" w:fill="FFFFFF"/>
        </w:rPr>
        <w:t>Cave, Christine M. and Marc F. Oxenham. "Sex and the Elderly: Attitudes to Long-lived Women and Men in Early Anglo-Saxon England." </w:t>
      </w:r>
      <w:r w:rsidRPr="00836E98">
        <w:rPr>
          <w:rFonts w:asciiTheme="majorHAnsi" w:hAnsiTheme="majorHAnsi" w:cstheme="majorHAnsi"/>
          <w:i/>
          <w:iCs/>
          <w:sz w:val="22"/>
          <w:szCs w:val="22"/>
          <w:shd w:val="clear" w:color="auto" w:fill="FFFFFF"/>
        </w:rPr>
        <w:t>Journal of Anthropological Archaeology</w:t>
      </w:r>
      <w:r w:rsidRPr="00836E98">
        <w:rPr>
          <w:rFonts w:asciiTheme="majorHAnsi" w:hAnsiTheme="majorHAnsi" w:cstheme="majorHAnsi"/>
          <w:sz w:val="22"/>
          <w:szCs w:val="22"/>
          <w:shd w:val="clear" w:color="auto" w:fill="FFFFFF"/>
        </w:rPr>
        <w:t xml:space="preserve"> 48 (2017) </w:t>
      </w:r>
      <w:r>
        <w:rPr>
          <w:rFonts w:asciiTheme="majorHAnsi" w:hAnsiTheme="majorHAnsi" w:cstheme="majorHAnsi"/>
          <w:sz w:val="22"/>
          <w:szCs w:val="22"/>
          <w:shd w:val="clear" w:color="auto" w:fill="FFFFFF"/>
        </w:rPr>
        <w:t>p.</w:t>
      </w:r>
      <w:r w:rsidRPr="00836E98">
        <w:rPr>
          <w:rFonts w:asciiTheme="majorHAnsi" w:hAnsiTheme="majorHAnsi" w:cstheme="majorHAnsi"/>
          <w:sz w:val="22"/>
          <w:szCs w:val="22"/>
          <w:shd w:val="clear" w:color="auto" w:fill="FFFFFF"/>
        </w:rPr>
        <w:t>207-</w:t>
      </w:r>
      <w:r w:rsidR="00100DB2">
        <w:rPr>
          <w:rFonts w:asciiTheme="majorHAnsi" w:hAnsiTheme="majorHAnsi" w:cstheme="majorHAnsi"/>
          <w:sz w:val="22"/>
          <w:szCs w:val="22"/>
          <w:shd w:val="clear" w:color="auto" w:fill="FFFFFF"/>
        </w:rPr>
        <w:t>2</w:t>
      </w:r>
      <w:r w:rsidRPr="00836E98">
        <w:rPr>
          <w:rFonts w:asciiTheme="majorHAnsi" w:hAnsiTheme="majorHAnsi" w:cstheme="majorHAnsi"/>
          <w:sz w:val="22"/>
          <w:szCs w:val="22"/>
          <w:shd w:val="clear" w:color="auto" w:fill="FFFFFF"/>
        </w:rPr>
        <w:t>16</w:t>
      </w:r>
    </w:p>
    <w:p w14:paraId="0223AB3E" w14:textId="77777777" w:rsidR="00836E98" w:rsidRDefault="00836E98" w:rsidP="00260490">
      <w:pPr>
        <w:pStyle w:val="FootnoteText"/>
        <w:rPr>
          <w:rFonts w:asciiTheme="majorHAnsi" w:hAnsiTheme="majorHAnsi" w:cstheme="majorHAnsi"/>
          <w:sz w:val="22"/>
          <w:szCs w:val="22"/>
          <w:shd w:val="clear" w:color="auto" w:fill="FFFFFF"/>
        </w:rPr>
      </w:pPr>
    </w:p>
    <w:p w14:paraId="686E7DE5" w14:textId="49B36482" w:rsidR="0045632A" w:rsidRPr="00437F20" w:rsidRDefault="0045632A" w:rsidP="00260490">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Clark, David. ‘Heroic Desire? Male Relations in Beowulf, The Battle of Maldon, and The Dream of the Rood.’ in </w:t>
      </w:r>
      <w:r w:rsidRPr="00437F20">
        <w:rPr>
          <w:rFonts w:asciiTheme="majorHAnsi" w:hAnsiTheme="majorHAnsi" w:cstheme="majorHAnsi"/>
          <w:i/>
          <w:iCs/>
          <w:sz w:val="22"/>
          <w:szCs w:val="22"/>
          <w:shd w:val="clear" w:color="auto" w:fill="FFFFFF"/>
        </w:rPr>
        <w:t>Between Medieval Men</w:t>
      </w:r>
      <w:r w:rsidRPr="00437F20">
        <w:rPr>
          <w:rFonts w:asciiTheme="majorHAnsi" w:hAnsiTheme="majorHAnsi" w:cstheme="majorHAnsi"/>
          <w:i/>
          <w:sz w:val="22"/>
          <w:szCs w:val="22"/>
          <w:shd w:val="clear" w:color="auto" w:fill="FFFFFF"/>
        </w:rPr>
        <w:t xml:space="preserve"> </w:t>
      </w:r>
      <w:r w:rsidRPr="00437F20">
        <w:rPr>
          <w:rFonts w:asciiTheme="majorHAnsi" w:hAnsiTheme="majorHAnsi" w:cstheme="majorHAnsi"/>
          <w:sz w:val="22"/>
          <w:szCs w:val="22"/>
          <w:shd w:val="clear" w:color="auto" w:fill="FFFFFF"/>
        </w:rPr>
        <w:t>by Clark, David (Oxford: Oxford University Press, 2009) p.130-152.</w:t>
      </w:r>
    </w:p>
    <w:p w14:paraId="19358143" w14:textId="77777777" w:rsidR="0045632A" w:rsidRPr="00437F20" w:rsidRDefault="0045632A" w:rsidP="00260490">
      <w:pPr>
        <w:pStyle w:val="FootnoteText"/>
        <w:rPr>
          <w:rFonts w:asciiTheme="majorHAnsi" w:hAnsiTheme="majorHAnsi" w:cstheme="majorHAnsi"/>
          <w:sz w:val="22"/>
          <w:szCs w:val="22"/>
          <w:shd w:val="clear" w:color="auto" w:fill="FFFFFF"/>
        </w:rPr>
      </w:pPr>
    </w:p>
    <w:p w14:paraId="311A1008" w14:textId="44F30E8E" w:rsidR="0045632A" w:rsidRPr="00437F20" w:rsidRDefault="0045632A" w:rsidP="0045632A">
      <w:pPr>
        <w:pStyle w:val="FootnoteText"/>
        <w:rPr>
          <w:rFonts w:asciiTheme="majorHAnsi" w:hAnsiTheme="majorHAnsi" w:cstheme="majorHAnsi"/>
          <w:sz w:val="22"/>
          <w:szCs w:val="22"/>
        </w:rPr>
      </w:pPr>
      <w:r w:rsidRPr="00437F20">
        <w:rPr>
          <w:rFonts w:asciiTheme="majorHAnsi" w:hAnsiTheme="majorHAnsi" w:cstheme="majorHAnsi"/>
          <w:sz w:val="22"/>
          <w:szCs w:val="22"/>
          <w:shd w:val="clear" w:color="auto" w:fill="FFFFFF"/>
        </w:rPr>
        <w:t>Coates, Richard. "Aethelflaed's Fortification of Weardburh." </w:t>
      </w:r>
      <w:r w:rsidRPr="00437F20">
        <w:rPr>
          <w:rFonts w:asciiTheme="majorHAnsi" w:hAnsiTheme="majorHAnsi" w:cstheme="majorHAnsi"/>
          <w:i/>
          <w:iCs/>
          <w:sz w:val="22"/>
          <w:szCs w:val="22"/>
          <w:shd w:val="clear" w:color="auto" w:fill="FFFFFF"/>
        </w:rPr>
        <w:t>Notes and Queries</w:t>
      </w:r>
      <w:r w:rsidRPr="00437F20">
        <w:rPr>
          <w:rFonts w:asciiTheme="majorHAnsi" w:hAnsiTheme="majorHAnsi" w:cstheme="majorHAnsi"/>
          <w:sz w:val="22"/>
          <w:szCs w:val="22"/>
          <w:shd w:val="clear" w:color="auto" w:fill="FFFFFF"/>
        </w:rPr>
        <w:t> (1998): p.8-11</w:t>
      </w:r>
    </w:p>
    <w:p w14:paraId="2FED23A0" w14:textId="77777777" w:rsidR="0045632A" w:rsidRPr="00437F20" w:rsidRDefault="0045632A" w:rsidP="00260490">
      <w:pPr>
        <w:pStyle w:val="FootnoteText"/>
        <w:rPr>
          <w:rFonts w:asciiTheme="majorHAnsi" w:hAnsiTheme="majorHAnsi" w:cstheme="majorHAnsi"/>
          <w:sz w:val="22"/>
          <w:szCs w:val="22"/>
        </w:rPr>
      </w:pPr>
    </w:p>
    <w:p w14:paraId="3B516650" w14:textId="3D9F6EB0" w:rsidR="00260490" w:rsidRPr="00437F20" w:rsidRDefault="00260490" w:rsidP="00260490">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Craig-Atkins, Elizebeth. ‘Chest burial: A middle anglo-saxon funerary rite from northern England.’ </w:t>
      </w:r>
      <w:r w:rsidRPr="00437F20">
        <w:rPr>
          <w:rFonts w:asciiTheme="majorHAnsi" w:hAnsiTheme="majorHAnsi" w:cstheme="majorHAnsi"/>
          <w:i/>
          <w:iCs/>
          <w:sz w:val="22"/>
          <w:szCs w:val="22"/>
        </w:rPr>
        <w:t>Oxford Journal of Archaeology</w:t>
      </w:r>
      <w:r w:rsidRPr="00437F20">
        <w:rPr>
          <w:rFonts w:asciiTheme="majorHAnsi" w:hAnsiTheme="majorHAnsi" w:cstheme="majorHAnsi"/>
          <w:sz w:val="22"/>
          <w:szCs w:val="22"/>
        </w:rPr>
        <w:t>, 31.3 (2012) p.317–337</w:t>
      </w:r>
    </w:p>
    <w:p w14:paraId="5842AF3B" w14:textId="77777777" w:rsidR="00E76BEE" w:rsidRPr="00437F20" w:rsidRDefault="00E76BEE" w:rsidP="00260490">
      <w:pPr>
        <w:pStyle w:val="FootnoteText"/>
        <w:rPr>
          <w:rFonts w:asciiTheme="majorHAnsi" w:hAnsiTheme="majorHAnsi" w:cstheme="majorHAnsi"/>
          <w:sz w:val="22"/>
          <w:szCs w:val="22"/>
          <w:shd w:val="clear" w:color="auto" w:fill="FFFFFF"/>
        </w:rPr>
      </w:pPr>
    </w:p>
    <w:p w14:paraId="4E7FC948" w14:textId="2130489A" w:rsidR="005611E3" w:rsidRPr="00437F20" w:rsidRDefault="005611E3" w:rsidP="00260490">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Davis, Craig. "Cultural Historicity in the Battle of Maldon." </w:t>
      </w:r>
      <w:r w:rsidRPr="00437F20">
        <w:rPr>
          <w:rFonts w:asciiTheme="majorHAnsi" w:hAnsiTheme="majorHAnsi" w:cstheme="majorHAnsi"/>
          <w:i/>
          <w:iCs/>
          <w:sz w:val="22"/>
          <w:szCs w:val="22"/>
          <w:shd w:val="clear" w:color="auto" w:fill="FFFFFF"/>
        </w:rPr>
        <w:t>Philological Quarterly</w:t>
      </w:r>
      <w:r w:rsidRPr="00437F20">
        <w:rPr>
          <w:rFonts w:asciiTheme="majorHAnsi" w:hAnsiTheme="majorHAnsi" w:cstheme="majorHAnsi"/>
          <w:sz w:val="22"/>
          <w:szCs w:val="22"/>
          <w:shd w:val="clear" w:color="auto" w:fill="FFFFFF"/>
        </w:rPr>
        <w:t xml:space="preserve"> 78.1/2 (1999): </w:t>
      </w:r>
      <w:r w:rsidR="00836E98">
        <w:rPr>
          <w:rFonts w:asciiTheme="majorHAnsi" w:hAnsiTheme="majorHAnsi" w:cstheme="majorHAnsi"/>
          <w:sz w:val="22"/>
          <w:szCs w:val="22"/>
          <w:shd w:val="clear" w:color="auto" w:fill="FFFFFF"/>
        </w:rPr>
        <w:t>p.</w:t>
      </w:r>
      <w:r w:rsidRPr="00437F20">
        <w:rPr>
          <w:rFonts w:asciiTheme="majorHAnsi" w:hAnsiTheme="majorHAnsi" w:cstheme="majorHAnsi"/>
          <w:sz w:val="22"/>
          <w:szCs w:val="22"/>
          <w:shd w:val="clear" w:color="auto" w:fill="FFFFFF"/>
        </w:rPr>
        <w:t>151-</w:t>
      </w:r>
      <w:r w:rsidR="00100DB2">
        <w:rPr>
          <w:rFonts w:asciiTheme="majorHAnsi" w:hAnsiTheme="majorHAnsi" w:cstheme="majorHAnsi"/>
          <w:sz w:val="22"/>
          <w:szCs w:val="22"/>
          <w:shd w:val="clear" w:color="auto" w:fill="FFFFFF"/>
        </w:rPr>
        <w:t>1</w:t>
      </w:r>
      <w:r w:rsidRPr="00437F20">
        <w:rPr>
          <w:rFonts w:asciiTheme="majorHAnsi" w:hAnsiTheme="majorHAnsi" w:cstheme="majorHAnsi"/>
          <w:sz w:val="22"/>
          <w:szCs w:val="22"/>
          <w:shd w:val="clear" w:color="auto" w:fill="FFFFFF"/>
        </w:rPr>
        <w:t>69</w:t>
      </w:r>
    </w:p>
    <w:p w14:paraId="63DDA584" w14:textId="52D51AFF" w:rsidR="005611E3" w:rsidRDefault="005611E3" w:rsidP="00260490">
      <w:pPr>
        <w:pStyle w:val="FootnoteText"/>
        <w:rPr>
          <w:rFonts w:asciiTheme="majorHAnsi" w:hAnsiTheme="majorHAnsi" w:cstheme="majorHAnsi"/>
          <w:sz w:val="22"/>
          <w:szCs w:val="22"/>
          <w:shd w:val="clear" w:color="auto" w:fill="FFFFFF"/>
        </w:rPr>
      </w:pPr>
    </w:p>
    <w:p w14:paraId="54798985" w14:textId="7EEA328B" w:rsidR="001436FE" w:rsidRPr="001436FE" w:rsidRDefault="001436FE" w:rsidP="00260490">
      <w:pPr>
        <w:pStyle w:val="FootnoteText"/>
        <w:rPr>
          <w:rFonts w:asciiTheme="majorHAnsi" w:hAnsiTheme="majorHAnsi" w:cstheme="majorHAnsi"/>
          <w:sz w:val="22"/>
          <w:szCs w:val="22"/>
          <w:shd w:val="clear" w:color="auto" w:fill="FFFFFF"/>
        </w:rPr>
      </w:pPr>
      <w:r w:rsidRPr="001436FE">
        <w:rPr>
          <w:rFonts w:asciiTheme="majorHAnsi" w:hAnsiTheme="majorHAnsi" w:cstheme="majorHAnsi"/>
          <w:sz w:val="22"/>
          <w:szCs w:val="22"/>
        </w:rPr>
        <w:t xml:space="preserve">Day, David. “Hwanan sio fæhð aras: Defining the Feud in Beowulf” </w:t>
      </w:r>
      <w:r w:rsidRPr="001436FE">
        <w:rPr>
          <w:rFonts w:asciiTheme="majorHAnsi" w:hAnsiTheme="majorHAnsi" w:cstheme="majorHAnsi"/>
          <w:i/>
          <w:iCs/>
          <w:sz w:val="22"/>
          <w:szCs w:val="22"/>
        </w:rPr>
        <w:t>Philological Quarterly</w:t>
      </w:r>
      <w:r w:rsidRPr="001436FE">
        <w:rPr>
          <w:rFonts w:asciiTheme="majorHAnsi" w:hAnsiTheme="majorHAnsi" w:cstheme="majorHAnsi"/>
          <w:sz w:val="22"/>
          <w:szCs w:val="22"/>
        </w:rPr>
        <w:t xml:space="preserve"> 78 (1999</w:t>
      </w:r>
      <w:r>
        <w:rPr>
          <w:rFonts w:asciiTheme="majorHAnsi" w:hAnsiTheme="majorHAnsi" w:cstheme="majorHAnsi"/>
          <w:sz w:val="22"/>
          <w:szCs w:val="22"/>
        </w:rPr>
        <w:t>) p.77-95</w:t>
      </w:r>
    </w:p>
    <w:p w14:paraId="614FF0C8" w14:textId="77777777" w:rsidR="001436FE" w:rsidRPr="00437F20" w:rsidRDefault="001436FE" w:rsidP="00260490">
      <w:pPr>
        <w:pStyle w:val="FootnoteText"/>
        <w:rPr>
          <w:rFonts w:asciiTheme="majorHAnsi" w:hAnsiTheme="majorHAnsi" w:cstheme="majorHAnsi"/>
          <w:sz w:val="22"/>
          <w:szCs w:val="22"/>
          <w:shd w:val="clear" w:color="auto" w:fill="FFFFFF"/>
        </w:rPr>
      </w:pPr>
    </w:p>
    <w:p w14:paraId="5229E9E7" w14:textId="071A81DB" w:rsidR="0045632A" w:rsidRDefault="0045632A" w:rsidP="00260490">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Dockray-Miller, Mary. "The Masculine Queen of Beowulf." </w:t>
      </w:r>
      <w:r w:rsidRPr="00437F20">
        <w:rPr>
          <w:rFonts w:asciiTheme="majorHAnsi" w:hAnsiTheme="majorHAnsi" w:cstheme="majorHAnsi"/>
          <w:i/>
          <w:iCs/>
          <w:sz w:val="22"/>
          <w:szCs w:val="22"/>
          <w:shd w:val="clear" w:color="auto" w:fill="FFFFFF"/>
        </w:rPr>
        <w:t>Women and Language</w:t>
      </w:r>
      <w:r w:rsidRPr="00437F20">
        <w:rPr>
          <w:rFonts w:asciiTheme="majorHAnsi" w:hAnsiTheme="majorHAnsi" w:cstheme="majorHAnsi"/>
          <w:sz w:val="22"/>
          <w:szCs w:val="22"/>
          <w:shd w:val="clear" w:color="auto" w:fill="FFFFFF"/>
        </w:rPr>
        <w:t xml:space="preserve"> 21.2 (1998): </w:t>
      </w:r>
      <w:r w:rsidR="00836E98">
        <w:rPr>
          <w:rFonts w:asciiTheme="majorHAnsi" w:hAnsiTheme="majorHAnsi" w:cstheme="majorHAnsi"/>
          <w:sz w:val="22"/>
          <w:szCs w:val="22"/>
          <w:shd w:val="clear" w:color="auto" w:fill="FFFFFF"/>
        </w:rPr>
        <w:t>p.</w:t>
      </w:r>
      <w:r w:rsidRPr="00437F20">
        <w:rPr>
          <w:rFonts w:asciiTheme="majorHAnsi" w:hAnsiTheme="majorHAnsi" w:cstheme="majorHAnsi"/>
          <w:sz w:val="22"/>
          <w:szCs w:val="22"/>
          <w:shd w:val="clear" w:color="auto" w:fill="FFFFFF"/>
        </w:rPr>
        <w:t>31-38</w:t>
      </w:r>
    </w:p>
    <w:p w14:paraId="746B5670" w14:textId="77777777" w:rsidR="004B76C5" w:rsidRDefault="004B76C5" w:rsidP="00260490">
      <w:pPr>
        <w:pStyle w:val="FootnoteText"/>
        <w:rPr>
          <w:rFonts w:asciiTheme="majorHAnsi" w:hAnsiTheme="majorHAnsi" w:cstheme="majorHAnsi"/>
          <w:sz w:val="22"/>
          <w:szCs w:val="22"/>
          <w:shd w:val="clear" w:color="auto" w:fill="FFFFFF"/>
        </w:rPr>
      </w:pPr>
    </w:p>
    <w:p w14:paraId="54DFF55B" w14:textId="57A47E4D" w:rsidR="004B76C5" w:rsidRPr="004B76C5" w:rsidRDefault="004B76C5" w:rsidP="00260490">
      <w:pPr>
        <w:pStyle w:val="FootnoteText"/>
        <w:rPr>
          <w:rFonts w:asciiTheme="majorHAnsi" w:hAnsiTheme="majorHAnsi" w:cstheme="majorHAnsi"/>
          <w:sz w:val="22"/>
          <w:szCs w:val="22"/>
          <w:shd w:val="clear" w:color="auto" w:fill="FFFFFF"/>
        </w:rPr>
      </w:pPr>
      <w:r w:rsidRPr="004B76C5">
        <w:rPr>
          <w:rFonts w:asciiTheme="majorHAnsi" w:hAnsiTheme="majorHAnsi" w:cstheme="majorHAnsi"/>
          <w:sz w:val="22"/>
          <w:szCs w:val="22"/>
        </w:rPr>
        <w:t xml:space="preserve">Drout, Michael D. C. “Blood and Deeds: The Inheritance Systems in "Beowulf"” </w:t>
      </w:r>
      <w:r w:rsidRPr="004B76C5">
        <w:rPr>
          <w:rFonts w:asciiTheme="majorHAnsi" w:hAnsiTheme="majorHAnsi" w:cstheme="majorHAnsi"/>
          <w:i/>
          <w:sz w:val="22"/>
          <w:szCs w:val="22"/>
        </w:rPr>
        <w:t xml:space="preserve">Studies in Philology </w:t>
      </w:r>
      <w:r w:rsidRPr="004B76C5">
        <w:rPr>
          <w:rFonts w:asciiTheme="majorHAnsi" w:hAnsiTheme="majorHAnsi" w:cstheme="majorHAnsi"/>
          <w:sz w:val="22"/>
          <w:szCs w:val="22"/>
        </w:rPr>
        <w:t>Vol.104.2 (2007) p.199-226</w:t>
      </w:r>
    </w:p>
    <w:p w14:paraId="4EC33593" w14:textId="77777777" w:rsidR="00976AC8" w:rsidRPr="00976AC8" w:rsidRDefault="00976AC8" w:rsidP="00260490">
      <w:pPr>
        <w:pStyle w:val="FootnoteText"/>
        <w:rPr>
          <w:rFonts w:asciiTheme="majorHAnsi" w:hAnsiTheme="majorHAnsi" w:cstheme="majorHAnsi"/>
          <w:sz w:val="22"/>
          <w:szCs w:val="22"/>
          <w:shd w:val="clear" w:color="auto" w:fill="FFFFFF"/>
        </w:rPr>
      </w:pPr>
    </w:p>
    <w:p w14:paraId="31EB1940" w14:textId="409A9387" w:rsidR="00976AC8" w:rsidRPr="00976AC8" w:rsidRDefault="00976AC8" w:rsidP="00260490">
      <w:pPr>
        <w:pStyle w:val="FootnoteText"/>
        <w:rPr>
          <w:rFonts w:asciiTheme="majorHAnsi" w:hAnsiTheme="majorHAnsi" w:cstheme="majorHAnsi"/>
          <w:sz w:val="22"/>
          <w:szCs w:val="22"/>
        </w:rPr>
      </w:pPr>
      <w:r w:rsidRPr="00976AC8">
        <w:rPr>
          <w:rFonts w:asciiTheme="majorHAnsi" w:hAnsiTheme="majorHAnsi" w:cstheme="majorHAnsi"/>
          <w:sz w:val="22"/>
          <w:szCs w:val="22"/>
        </w:rPr>
        <w:t xml:space="preserve">Earl, James W., "Beowulf and the Origins of Civilization," </w:t>
      </w:r>
      <w:r w:rsidRPr="00976AC8">
        <w:rPr>
          <w:rFonts w:asciiTheme="majorHAnsi" w:hAnsiTheme="majorHAnsi" w:cstheme="majorHAnsi"/>
          <w:i/>
          <w:sz w:val="22"/>
          <w:szCs w:val="22"/>
        </w:rPr>
        <w:t>in Speaking Two Languages: Traditional Disciplines and Contemporary Theory in Medieval Studies</w:t>
      </w:r>
      <w:r w:rsidRPr="00976AC8">
        <w:rPr>
          <w:rFonts w:asciiTheme="majorHAnsi" w:hAnsiTheme="majorHAnsi" w:cstheme="majorHAnsi"/>
          <w:sz w:val="22"/>
          <w:szCs w:val="22"/>
        </w:rPr>
        <w:t>, ed. Allen J. Frantzen (Albany: State University of New York Press, 1991) p.65-89.</w:t>
      </w:r>
    </w:p>
    <w:p w14:paraId="1E1812E6" w14:textId="77777777" w:rsidR="0045632A" w:rsidRPr="00437F20" w:rsidRDefault="0045632A" w:rsidP="00260490">
      <w:pPr>
        <w:pStyle w:val="FootnoteText"/>
        <w:rPr>
          <w:rFonts w:asciiTheme="majorHAnsi" w:hAnsiTheme="majorHAnsi" w:cstheme="majorHAnsi"/>
          <w:sz w:val="22"/>
          <w:szCs w:val="22"/>
        </w:rPr>
      </w:pPr>
    </w:p>
    <w:p w14:paraId="777180E5" w14:textId="44126717" w:rsidR="004E755F" w:rsidRPr="004E755F" w:rsidRDefault="004E755F" w:rsidP="00DC4560">
      <w:pPr>
        <w:pStyle w:val="FootnoteText"/>
        <w:rPr>
          <w:rFonts w:asciiTheme="majorHAnsi" w:hAnsiTheme="majorHAnsi" w:cstheme="majorHAnsi"/>
          <w:sz w:val="22"/>
          <w:szCs w:val="22"/>
        </w:rPr>
      </w:pPr>
      <w:r w:rsidRPr="004E755F">
        <w:rPr>
          <w:rFonts w:asciiTheme="majorHAnsi" w:hAnsiTheme="majorHAnsi" w:cstheme="majorHAnsi"/>
          <w:sz w:val="22"/>
          <w:szCs w:val="22"/>
        </w:rPr>
        <w:t xml:space="preserve">Earl, James W. “The Forbidden </w:t>
      </w:r>
      <w:r w:rsidRPr="004E755F">
        <w:rPr>
          <w:rFonts w:asciiTheme="majorHAnsi" w:hAnsiTheme="majorHAnsi" w:cstheme="majorHAnsi"/>
          <w:i/>
          <w:iCs/>
          <w:sz w:val="22"/>
          <w:szCs w:val="22"/>
        </w:rPr>
        <w:t>Beowulf</w:t>
      </w:r>
      <w:r w:rsidRPr="004E755F">
        <w:rPr>
          <w:rFonts w:asciiTheme="majorHAnsi" w:hAnsiTheme="majorHAnsi" w:cstheme="majorHAnsi"/>
          <w:sz w:val="22"/>
          <w:szCs w:val="22"/>
        </w:rPr>
        <w:t xml:space="preserve">: Haunted by Incest” </w:t>
      </w:r>
      <w:r w:rsidRPr="004E755F">
        <w:rPr>
          <w:rFonts w:asciiTheme="majorHAnsi" w:hAnsiTheme="majorHAnsi" w:cstheme="majorHAnsi"/>
          <w:i/>
          <w:iCs/>
          <w:sz w:val="22"/>
          <w:szCs w:val="22"/>
        </w:rPr>
        <w:t xml:space="preserve">PMLA </w:t>
      </w:r>
      <w:r w:rsidRPr="004E755F">
        <w:rPr>
          <w:rFonts w:asciiTheme="majorHAnsi" w:hAnsiTheme="majorHAnsi" w:cstheme="majorHAnsi"/>
          <w:sz w:val="22"/>
          <w:szCs w:val="22"/>
        </w:rPr>
        <w:t>125.2 p.2</w:t>
      </w:r>
      <w:r>
        <w:rPr>
          <w:rFonts w:asciiTheme="majorHAnsi" w:hAnsiTheme="majorHAnsi" w:cstheme="majorHAnsi"/>
          <w:sz w:val="22"/>
          <w:szCs w:val="22"/>
        </w:rPr>
        <w:t>89-305, 511</w:t>
      </w:r>
    </w:p>
    <w:p w14:paraId="11130DEE" w14:textId="77777777" w:rsidR="004E755F" w:rsidRDefault="004E755F" w:rsidP="00DC4560">
      <w:pPr>
        <w:pStyle w:val="FootnoteText"/>
        <w:rPr>
          <w:rFonts w:asciiTheme="majorHAnsi" w:hAnsiTheme="majorHAnsi" w:cstheme="majorHAnsi"/>
          <w:sz w:val="22"/>
          <w:szCs w:val="22"/>
        </w:rPr>
      </w:pPr>
    </w:p>
    <w:p w14:paraId="2DD79095" w14:textId="586AB79E" w:rsidR="004E755F" w:rsidRPr="00437F20" w:rsidRDefault="00E778FF" w:rsidP="00DC4560">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Earl, James W. </w:t>
      </w:r>
      <w:r w:rsidRPr="00437F20">
        <w:rPr>
          <w:rFonts w:asciiTheme="majorHAnsi" w:hAnsiTheme="majorHAnsi" w:cstheme="majorHAnsi"/>
          <w:i/>
          <w:iCs/>
          <w:sz w:val="22"/>
          <w:szCs w:val="22"/>
        </w:rPr>
        <w:t xml:space="preserve">Thinking About Beowulf </w:t>
      </w:r>
      <w:r w:rsidRPr="00437F20">
        <w:rPr>
          <w:rFonts w:asciiTheme="majorHAnsi" w:hAnsiTheme="majorHAnsi" w:cstheme="majorHAnsi"/>
          <w:sz w:val="22"/>
          <w:szCs w:val="22"/>
        </w:rPr>
        <w:t>(Stanford: Stanford University Press, 1994)</w:t>
      </w:r>
    </w:p>
    <w:p w14:paraId="396ED7D4" w14:textId="6C5AB369" w:rsidR="00261124" w:rsidRPr="00437F20" w:rsidRDefault="00261124" w:rsidP="00DC4560">
      <w:pPr>
        <w:pStyle w:val="FootnoteText"/>
        <w:rPr>
          <w:rFonts w:asciiTheme="majorHAnsi" w:hAnsiTheme="majorHAnsi" w:cstheme="majorHAnsi"/>
          <w:sz w:val="22"/>
          <w:szCs w:val="22"/>
        </w:rPr>
      </w:pPr>
    </w:p>
    <w:p w14:paraId="6EA1A35A" w14:textId="23F24AE7" w:rsidR="00261124" w:rsidRDefault="00261124" w:rsidP="00DC4560">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Echterhölter, Anna. "INJURY AND MEASUREMENT: Jacob Grimm on Blood Money and Concrete Quantification." </w:t>
      </w:r>
      <w:r w:rsidRPr="00437F20">
        <w:rPr>
          <w:rFonts w:asciiTheme="majorHAnsi" w:hAnsiTheme="majorHAnsi" w:cstheme="majorHAnsi"/>
          <w:i/>
          <w:iCs/>
          <w:sz w:val="22"/>
          <w:szCs w:val="22"/>
          <w:shd w:val="clear" w:color="auto" w:fill="FFFFFF"/>
        </w:rPr>
        <w:t>Social Analysis</w:t>
      </w:r>
      <w:r w:rsidRPr="00437F20">
        <w:rPr>
          <w:rFonts w:asciiTheme="majorHAnsi" w:hAnsiTheme="majorHAnsi" w:cstheme="majorHAnsi"/>
          <w:sz w:val="22"/>
          <w:szCs w:val="22"/>
          <w:shd w:val="clear" w:color="auto" w:fill="FFFFFF"/>
        </w:rPr>
        <w:t xml:space="preserve"> 61.4 (2017): </w:t>
      </w:r>
      <w:r w:rsidR="00100DB2">
        <w:rPr>
          <w:rFonts w:asciiTheme="majorHAnsi" w:hAnsiTheme="majorHAnsi" w:cstheme="majorHAnsi"/>
          <w:sz w:val="22"/>
          <w:szCs w:val="22"/>
          <w:shd w:val="clear" w:color="auto" w:fill="FFFFFF"/>
        </w:rPr>
        <w:t>p.</w:t>
      </w:r>
      <w:r w:rsidRPr="00437F20">
        <w:rPr>
          <w:rFonts w:asciiTheme="majorHAnsi" w:hAnsiTheme="majorHAnsi" w:cstheme="majorHAnsi"/>
          <w:sz w:val="22"/>
          <w:szCs w:val="22"/>
          <w:shd w:val="clear" w:color="auto" w:fill="FFFFFF"/>
        </w:rPr>
        <w:t>31-48.</w:t>
      </w:r>
    </w:p>
    <w:p w14:paraId="27CDE449" w14:textId="77777777" w:rsidR="00336B77" w:rsidRDefault="00336B77" w:rsidP="00DC4560">
      <w:pPr>
        <w:pStyle w:val="FootnoteText"/>
        <w:rPr>
          <w:rFonts w:asciiTheme="majorHAnsi" w:hAnsiTheme="majorHAnsi" w:cstheme="majorHAnsi"/>
          <w:sz w:val="22"/>
          <w:szCs w:val="22"/>
          <w:shd w:val="clear" w:color="auto" w:fill="FFFFFF"/>
        </w:rPr>
      </w:pPr>
    </w:p>
    <w:p w14:paraId="20BB8C01" w14:textId="49AADCB4" w:rsidR="00336B77" w:rsidRPr="00336B77" w:rsidRDefault="00336B77" w:rsidP="00DC4560">
      <w:pPr>
        <w:pStyle w:val="FootnoteText"/>
        <w:rPr>
          <w:rFonts w:asciiTheme="majorHAnsi" w:hAnsiTheme="majorHAnsi" w:cstheme="majorHAnsi"/>
          <w:sz w:val="22"/>
          <w:szCs w:val="22"/>
          <w:shd w:val="clear" w:color="auto" w:fill="FFFFFF"/>
        </w:rPr>
      </w:pPr>
      <w:r w:rsidRPr="00336B77">
        <w:rPr>
          <w:rFonts w:asciiTheme="majorHAnsi" w:hAnsiTheme="majorHAnsi" w:cstheme="majorHAnsi"/>
          <w:sz w:val="22"/>
          <w:szCs w:val="22"/>
        </w:rPr>
        <w:t xml:space="preserve">Fell, Christine. </w:t>
      </w:r>
      <w:r w:rsidRPr="00336B77">
        <w:rPr>
          <w:rFonts w:asciiTheme="majorHAnsi" w:hAnsiTheme="majorHAnsi" w:cstheme="majorHAnsi"/>
          <w:i/>
          <w:sz w:val="22"/>
          <w:szCs w:val="22"/>
        </w:rPr>
        <w:t xml:space="preserve">Women in Anglo-Saxon England </w:t>
      </w:r>
      <w:r w:rsidRPr="00336B77">
        <w:rPr>
          <w:rFonts w:asciiTheme="majorHAnsi" w:hAnsiTheme="majorHAnsi" w:cstheme="majorHAnsi"/>
          <w:sz w:val="22"/>
          <w:szCs w:val="22"/>
        </w:rPr>
        <w:t>(Oxford: Blackwell, 1986)</w:t>
      </w:r>
    </w:p>
    <w:p w14:paraId="1F9F7BA2" w14:textId="77777777" w:rsidR="002D6286" w:rsidRDefault="002D6286" w:rsidP="00DC4560">
      <w:pPr>
        <w:pStyle w:val="FootnoteText"/>
        <w:rPr>
          <w:rFonts w:asciiTheme="majorHAnsi" w:hAnsiTheme="majorHAnsi" w:cstheme="majorHAnsi"/>
          <w:sz w:val="22"/>
          <w:szCs w:val="22"/>
          <w:shd w:val="clear" w:color="auto" w:fill="FFFFFF"/>
        </w:rPr>
      </w:pPr>
    </w:p>
    <w:p w14:paraId="4456B025" w14:textId="303C7C70" w:rsidR="002D6286" w:rsidRPr="002D6286" w:rsidRDefault="002D6286" w:rsidP="00DC4560">
      <w:pPr>
        <w:pStyle w:val="FootnoteText"/>
        <w:rPr>
          <w:rFonts w:asciiTheme="majorHAnsi" w:hAnsiTheme="majorHAnsi" w:cstheme="majorHAnsi"/>
          <w:sz w:val="22"/>
          <w:szCs w:val="22"/>
        </w:rPr>
      </w:pPr>
      <w:r w:rsidRPr="002D6286">
        <w:rPr>
          <w:rFonts w:asciiTheme="majorHAnsi" w:hAnsiTheme="majorHAnsi" w:cstheme="majorHAnsi"/>
          <w:sz w:val="22"/>
          <w:szCs w:val="22"/>
        </w:rPr>
        <w:t xml:space="preserve">Frantzen, Allen J. ‘Prologue: Documents and monuments: Difference and interdisciplinary in the study of Medieval culture’  </w:t>
      </w:r>
      <w:r w:rsidRPr="002D6286">
        <w:rPr>
          <w:rFonts w:asciiTheme="majorHAnsi" w:hAnsiTheme="majorHAnsi" w:cstheme="majorHAnsi"/>
          <w:i/>
          <w:sz w:val="22"/>
          <w:szCs w:val="22"/>
        </w:rPr>
        <w:t xml:space="preserve">Speaking two languages: Traditional disciplines and contemporary theory in Medieval Studies </w:t>
      </w:r>
      <w:r w:rsidRPr="002D6286">
        <w:rPr>
          <w:rFonts w:asciiTheme="majorHAnsi" w:hAnsiTheme="majorHAnsi" w:cstheme="majorHAnsi"/>
          <w:sz w:val="22"/>
          <w:szCs w:val="22"/>
        </w:rPr>
        <w:t>(New York: New York Press, 1991)</w:t>
      </w:r>
    </w:p>
    <w:p w14:paraId="2ED66E49" w14:textId="7351A9F4" w:rsidR="000C000F" w:rsidRPr="00437F20" w:rsidRDefault="000C000F" w:rsidP="00DC4560">
      <w:pPr>
        <w:pStyle w:val="FootnoteText"/>
        <w:rPr>
          <w:rFonts w:asciiTheme="majorHAnsi" w:hAnsiTheme="majorHAnsi" w:cstheme="majorHAnsi"/>
          <w:sz w:val="22"/>
          <w:szCs w:val="22"/>
        </w:rPr>
      </w:pPr>
    </w:p>
    <w:p w14:paraId="1EF1E1C4" w14:textId="33AEBAA0" w:rsidR="000C000F" w:rsidRDefault="000C000F" w:rsidP="000C000F">
      <w:pPr>
        <w:rPr>
          <w:rFonts w:asciiTheme="majorHAnsi" w:hAnsiTheme="majorHAnsi" w:cstheme="majorHAnsi"/>
        </w:rPr>
      </w:pPr>
      <w:r w:rsidRPr="00437F20">
        <w:rPr>
          <w:rFonts w:asciiTheme="majorHAnsi" w:hAnsiTheme="majorHAnsi" w:cstheme="majorHAnsi"/>
        </w:rPr>
        <w:t xml:space="preserve">Gannon, Susanne &amp; Davies, Bronwyn. ‘Feminism/ Poststructuralism’ in Somekh, B. &amp; C. Lewin </w:t>
      </w:r>
      <w:r w:rsidRPr="00437F20">
        <w:rPr>
          <w:rFonts w:asciiTheme="majorHAnsi" w:hAnsiTheme="majorHAnsi" w:cstheme="majorHAnsi"/>
          <w:i/>
        </w:rPr>
        <w:t>Research Methods in the Social Sciences</w:t>
      </w:r>
      <w:r w:rsidRPr="00437F20">
        <w:rPr>
          <w:rFonts w:asciiTheme="majorHAnsi" w:hAnsiTheme="majorHAnsi" w:cstheme="majorHAnsi"/>
        </w:rPr>
        <w:t xml:space="preserve"> (London: SAGE Publications, 2005) </w:t>
      </w:r>
    </w:p>
    <w:p w14:paraId="5FD65573" w14:textId="0F76623F" w:rsidR="00692D0E" w:rsidRPr="00692D0E" w:rsidRDefault="00692D0E" w:rsidP="000C000F">
      <w:pPr>
        <w:rPr>
          <w:rFonts w:asciiTheme="majorHAnsi" w:hAnsiTheme="majorHAnsi" w:cstheme="majorHAnsi"/>
        </w:rPr>
      </w:pPr>
      <w:r w:rsidRPr="00692D0E">
        <w:rPr>
          <w:rFonts w:asciiTheme="majorHAnsi" w:hAnsiTheme="majorHAnsi" w:cstheme="majorHAnsi"/>
        </w:rPr>
        <w:t xml:space="preserve">Georgianna, Linda. “King Hrethel's Sorrow and the Limits of Heroic Action in Beowulf” </w:t>
      </w:r>
      <w:r w:rsidRPr="00692D0E">
        <w:rPr>
          <w:rFonts w:asciiTheme="majorHAnsi" w:hAnsiTheme="majorHAnsi" w:cstheme="majorHAnsi"/>
          <w:i/>
        </w:rPr>
        <w:t>Speculum</w:t>
      </w:r>
      <w:r w:rsidRPr="00692D0E">
        <w:rPr>
          <w:rFonts w:asciiTheme="majorHAnsi" w:hAnsiTheme="majorHAnsi" w:cstheme="majorHAnsi"/>
        </w:rPr>
        <w:t xml:space="preserve"> Vol.62.4 (1987) p.829-50</w:t>
      </w:r>
    </w:p>
    <w:p w14:paraId="02CAB34C" w14:textId="2073042B" w:rsidR="00703FF5" w:rsidRPr="00437F20" w:rsidRDefault="00703FF5" w:rsidP="000C000F">
      <w:pPr>
        <w:rPr>
          <w:rFonts w:asciiTheme="majorHAnsi" w:hAnsiTheme="majorHAnsi" w:cstheme="majorHAnsi"/>
          <w:shd w:val="clear" w:color="auto" w:fill="FFFFFF"/>
        </w:rPr>
      </w:pPr>
      <w:r w:rsidRPr="00437F20">
        <w:rPr>
          <w:rFonts w:asciiTheme="majorHAnsi" w:hAnsiTheme="majorHAnsi" w:cstheme="majorHAnsi"/>
          <w:shd w:val="clear" w:color="auto" w:fill="FFFFFF"/>
        </w:rPr>
        <w:t>Gordon, E. V. "The Date of Æthelred's Treaty with the Vikings: Olaf Tryggvason and the Battle of Maldon." </w:t>
      </w:r>
      <w:r w:rsidRPr="00437F20">
        <w:rPr>
          <w:rFonts w:asciiTheme="majorHAnsi" w:hAnsiTheme="majorHAnsi" w:cstheme="majorHAnsi"/>
          <w:i/>
          <w:iCs/>
          <w:shd w:val="clear" w:color="auto" w:fill="FFFFFF"/>
        </w:rPr>
        <w:t>The Modern Language Review</w:t>
      </w:r>
      <w:r w:rsidRPr="00437F20">
        <w:rPr>
          <w:rFonts w:asciiTheme="majorHAnsi" w:hAnsiTheme="majorHAnsi" w:cstheme="majorHAnsi"/>
          <w:shd w:val="clear" w:color="auto" w:fill="FFFFFF"/>
        </w:rPr>
        <w:t xml:space="preserve"> 32.1 (1937): </w:t>
      </w:r>
      <w:r w:rsidR="00836E98">
        <w:rPr>
          <w:rFonts w:asciiTheme="majorHAnsi" w:hAnsiTheme="majorHAnsi" w:cstheme="majorHAnsi"/>
          <w:shd w:val="clear" w:color="auto" w:fill="FFFFFF"/>
        </w:rPr>
        <w:t>p.</w:t>
      </w:r>
      <w:r w:rsidRPr="00437F20">
        <w:rPr>
          <w:rFonts w:asciiTheme="majorHAnsi" w:hAnsiTheme="majorHAnsi" w:cstheme="majorHAnsi"/>
          <w:shd w:val="clear" w:color="auto" w:fill="FFFFFF"/>
        </w:rPr>
        <w:t>24-32</w:t>
      </w:r>
    </w:p>
    <w:p w14:paraId="513A66CA" w14:textId="2433DEAF" w:rsidR="005F1C18" w:rsidRDefault="005F1C18" w:rsidP="000C000F">
      <w:pPr>
        <w:rPr>
          <w:rFonts w:asciiTheme="majorHAnsi" w:hAnsiTheme="majorHAnsi" w:cstheme="majorHAnsi"/>
          <w:shd w:val="clear" w:color="auto" w:fill="FFFFFF"/>
        </w:rPr>
      </w:pPr>
      <w:r w:rsidRPr="00437F20">
        <w:rPr>
          <w:rFonts w:asciiTheme="majorHAnsi" w:hAnsiTheme="majorHAnsi" w:cstheme="majorHAnsi"/>
          <w:shd w:val="clear" w:color="auto" w:fill="FFFFFF"/>
        </w:rPr>
        <w:t>Griffith, Mark. "The Battle of Maldon : The Guile of the Vikings Explained." </w:t>
      </w:r>
      <w:r w:rsidRPr="00437F20">
        <w:rPr>
          <w:rFonts w:asciiTheme="majorHAnsi" w:hAnsiTheme="majorHAnsi" w:cstheme="majorHAnsi"/>
          <w:i/>
          <w:iCs/>
          <w:shd w:val="clear" w:color="auto" w:fill="FFFFFF"/>
        </w:rPr>
        <w:t>Notes and Queries</w:t>
      </w:r>
      <w:r w:rsidRPr="00437F20">
        <w:rPr>
          <w:rFonts w:asciiTheme="majorHAnsi" w:hAnsiTheme="majorHAnsi" w:cstheme="majorHAnsi"/>
          <w:shd w:val="clear" w:color="auto" w:fill="FFFFFF"/>
        </w:rPr>
        <w:t xml:space="preserve"> 63.2 (2016): </w:t>
      </w:r>
      <w:r w:rsidR="00836E98">
        <w:rPr>
          <w:rFonts w:asciiTheme="majorHAnsi" w:hAnsiTheme="majorHAnsi" w:cstheme="majorHAnsi"/>
          <w:shd w:val="clear" w:color="auto" w:fill="FFFFFF"/>
        </w:rPr>
        <w:t>p.</w:t>
      </w:r>
      <w:r w:rsidRPr="00437F20">
        <w:rPr>
          <w:rFonts w:asciiTheme="majorHAnsi" w:hAnsiTheme="majorHAnsi" w:cstheme="majorHAnsi"/>
          <w:shd w:val="clear" w:color="auto" w:fill="FFFFFF"/>
        </w:rPr>
        <w:t>180-</w:t>
      </w:r>
      <w:r w:rsidR="00100DB2">
        <w:rPr>
          <w:rFonts w:asciiTheme="majorHAnsi" w:hAnsiTheme="majorHAnsi" w:cstheme="majorHAnsi"/>
          <w:shd w:val="clear" w:color="auto" w:fill="FFFFFF"/>
        </w:rPr>
        <w:t>1</w:t>
      </w:r>
      <w:r w:rsidRPr="00437F20">
        <w:rPr>
          <w:rFonts w:asciiTheme="majorHAnsi" w:hAnsiTheme="majorHAnsi" w:cstheme="majorHAnsi"/>
          <w:shd w:val="clear" w:color="auto" w:fill="FFFFFF"/>
        </w:rPr>
        <w:t>86</w:t>
      </w:r>
    </w:p>
    <w:p w14:paraId="0679F390" w14:textId="5C50D666" w:rsidR="002E0E6D" w:rsidRPr="002E0E6D" w:rsidRDefault="002E0E6D" w:rsidP="000C000F">
      <w:pPr>
        <w:rPr>
          <w:rFonts w:asciiTheme="majorHAnsi" w:hAnsiTheme="majorHAnsi" w:cstheme="majorHAnsi"/>
        </w:rPr>
      </w:pPr>
      <w:r w:rsidRPr="002E0E6D">
        <w:rPr>
          <w:rFonts w:asciiTheme="majorHAnsi" w:hAnsiTheme="majorHAnsi" w:cstheme="majorHAnsi"/>
        </w:rPr>
        <w:lastRenderedPageBreak/>
        <w:t xml:space="preserve">Griffiths, Gwen. “Reading Ælfric's Saint Æthelthryth as a woman” </w:t>
      </w:r>
      <w:r w:rsidRPr="002E0E6D">
        <w:rPr>
          <w:rFonts w:asciiTheme="majorHAnsi" w:hAnsiTheme="majorHAnsi" w:cstheme="majorHAnsi"/>
          <w:i/>
          <w:iCs/>
        </w:rPr>
        <w:t xml:space="preserve">Parergon </w:t>
      </w:r>
      <w:r w:rsidRPr="002E0E6D">
        <w:rPr>
          <w:rFonts w:asciiTheme="majorHAnsi" w:hAnsiTheme="majorHAnsi" w:cstheme="majorHAnsi"/>
        </w:rPr>
        <w:t>Vol.10.2 (1992) p.35-49</w:t>
      </w:r>
    </w:p>
    <w:p w14:paraId="4FE2F164" w14:textId="6F8A7817" w:rsidR="00504EFB" w:rsidRDefault="007C18C7" w:rsidP="00DC4560">
      <w:pPr>
        <w:pStyle w:val="FootnoteText"/>
        <w:rPr>
          <w:rFonts w:asciiTheme="majorHAnsi" w:hAnsiTheme="majorHAnsi" w:cstheme="majorHAnsi"/>
          <w:sz w:val="22"/>
          <w:szCs w:val="22"/>
        </w:rPr>
      </w:pPr>
      <w:r w:rsidRPr="007C18C7">
        <w:rPr>
          <w:rFonts w:asciiTheme="majorHAnsi" w:hAnsiTheme="majorHAnsi" w:cstheme="majorHAnsi"/>
          <w:sz w:val="22"/>
          <w:szCs w:val="22"/>
        </w:rPr>
        <w:t xml:space="preserve">Halsall. Guy </w:t>
      </w:r>
      <w:r w:rsidRPr="007C18C7">
        <w:rPr>
          <w:rFonts w:asciiTheme="majorHAnsi" w:hAnsiTheme="majorHAnsi" w:cstheme="majorHAnsi"/>
          <w:i/>
          <w:iCs/>
          <w:sz w:val="22"/>
          <w:szCs w:val="22"/>
        </w:rPr>
        <w:t>Violence and Society in the Early Medieval West</w:t>
      </w:r>
      <w:r w:rsidRPr="007C18C7">
        <w:rPr>
          <w:rFonts w:asciiTheme="majorHAnsi" w:hAnsiTheme="majorHAnsi" w:cstheme="majorHAnsi"/>
          <w:sz w:val="22"/>
          <w:szCs w:val="22"/>
        </w:rPr>
        <w:t xml:space="preserve"> (Woodbridge, Suffolk: Boydell, 1998)</w:t>
      </w:r>
    </w:p>
    <w:p w14:paraId="2E2DF14F" w14:textId="77777777" w:rsidR="007C18C7" w:rsidRPr="007C18C7" w:rsidRDefault="007C18C7" w:rsidP="00DC4560">
      <w:pPr>
        <w:pStyle w:val="FootnoteText"/>
        <w:rPr>
          <w:rFonts w:asciiTheme="majorHAnsi" w:hAnsiTheme="majorHAnsi" w:cstheme="majorHAnsi"/>
          <w:sz w:val="22"/>
          <w:szCs w:val="22"/>
        </w:rPr>
      </w:pPr>
    </w:p>
    <w:p w14:paraId="01BE09F0" w14:textId="2A6EF968" w:rsidR="00E778FF" w:rsidRPr="00723618" w:rsidRDefault="00224D60" w:rsidP="00DC4560">
      <w:pPr>
        <w:pStyle w:val="FootnoteText"/>
        <w:rPr>
          <w:rFonts w:asciiTheme="majorHAnsi" w:hAnsiTheme="majorHAnsi" w:cstheme="majorHAnsi"/>
          <w:sz w:val="22"/>
          <w:szCs w:val="22"/>
        </w:rPr>
      </w:pPr>
      <w:r w:rsidRPr="00723618">
        <w:rPr>
          <w:rFonts w:asciiTheme="majorHAnsi" w:hAnsiTheme="majorHAnsi" w:cstheme="majorHAnsi"/>
          <w:sz w:val="22"/>
          <w:szCs w:val="22"/>
        </w:rPr>
        <w:t xml:space="preserve">Heaney, </w:t>
      </w:r>
      <w:r w:rsidR="00FD756A" w:rsidRPr="00723618">
        <w:rPr>
          <w:rFonts w:asciiTheme="majorHAnsi" w:hAnsiTheme="majorHAnsi" w:cstheme="majorHAnsi"/>
          <w:sz w:val="22"/>
          <w:szCs w:val="22"/>
        </w:rPr>
        <w:t>Seamus</w:t>
      </w:r>
      <w:r w:rsidRPr="00723618">
        <w:rPr>
          <w:rFonts w:asciiTheme="majorHAnsi" w:hAnsiTheme="majorHAnsi" w:cstheme="majorHAnsi"/>
          <w:sz w:val="22"/>
          <w:szCs w:val="22"/>
        </w:rPr>
        <w:t>.</w:t>
      </w:r>
      <w:r w:rsidR="00FD756A" w:rsidRPr="00723618">
        <w:rPr>
          <w:rFonts w:asciiTheme="majorHAnsi" w:hAnsiTheme="majorHAnsi" w:cstheme="majorHAnsi"/>
          <w:sz w:val="22"/>
          <w:szCs w:val="22"/>
        </w:rPr>
        <w:t xml:space="preserve"> </w:t>
      </w:r>
      <w:r w:rsidR="00FD756A" w:rsidRPr="00723618">
        <w:rPr>
          <w:rFonts w:asciiTheme="majorHAnsi" w:hAnsiTheme="majorHAnsi" w:cstheme="majorHAnsi"/>
          <w:i/>
          <w:iCs/>
          <w:sz w:val="22"/>
          <w:szCs w:val="22"/>
        </w:rPr>
        <w:t xml:space="preserve">Beowulf: </w:t>
      </w:r>
      <w:r w:rsidR="00DF4ADA" w:rsidRPr="00723618">
        <w:rPr>
          <w:rFonts w:asciiTheme="majorHAnsi" w:hAnsiTheme="majorHAnsi" w:cstheme="majorHAnsi"/>
          <w:i/>
          <w:iCs/>
          <w:sz w:val="22"/>
          <w:szCs w:val="22"/>
        </w:rPr>
        <w:t>A</w:t>
      </w:r>
      <w:r w:rsidR="00FD756A" w:rsidRPr="00723618">
        <w:rPr>
          <w:rFonts w:asciiTheme="majorHAnsi" w:hAnsiTheme="majorHAnsi" w:cstheme="majorHAnsi"/>
          <w:i/>
          <w:iCs/>
          <w:sz w:val="22"/>
          <w:szCs w:val="22"/>
        </w:rPr>
        <w:t xml:space="preserve"> </w:t>
      </w:r>
      <w:r w:rsidR="00DF4ADA" w:rsidRPr="00723618">
        <w:rPr>
          <w:rFonts w:asciiTheme="majorHAnsi" w:hAnsiTheme="majorHAnsi" w:cstheme="majorHAnsi"/>
          <w:i/>
          <w:iCs/>
          <w:sz w:val="22"/>
          <w:szCs w:val="22"/>
        </w:rPr>
        <w:t>N</w:t>
      </w:r>
      <w:r w:rsidR="00FD756A" w:rsidRPr="00723618">
        <w:rPr>
          <w:rFonts w:asciiTheme="majorHAnsi" w:hAnsiTheme="majorHAnsi" w:cstheme="majorHAnsi"/>
          <w:i/>
          <w:iCs/>
          <w:sz w:val="22"/>
          <w:szCs w:val="22"/>
        </w:rPr>
        <w:t xml:space="preserve">ew </w:t>
      </w:r>
      <w:r w:rsidR="00DF4ADA" w:rsidRPr="00723618">
        <w:rPr>
          <w:rFonts w:asciiTheme="majorHAnsi" w:hAnsiTheme="majorHAnsi" w:cstheme="majorHAnsi"/>
          <w:i/>
          <w:iCs/>
          <w:sz w:val="22"/>
          <w:szCs w:val="22"/>
        </w:rPr>
        <w:t>T</w:t>
      </w:r>
      <w:r w:rsidR="00FD756A" w:rsidRPr="00723618">
        <w:rPr>
          <w:rFonts w:asciiTheme="majorHAnsi" w:hAnsiTheme="majorHAnsi" w:cstheme="majorHAnsi"/>
          <w:i/>
          <w:iCs/>
          <w:sz w:val="22"/>
          <w:szCs w:val="22"/>
        </w:rPr>
        <w:t>ranslation</w:t>
      </w:r>
      <w:r w:rsidR="00FD756A" w:rsidRPr="00723618">
        <w:rPr>
          <w:rFonts w:asciiTheme="majorHAnsi" w:hAnsiTheme="majorHAnsi" w:cstheme="majorHAnsi"/>
          <w:sz w:val="22"/>
          <w:szCs w:val="22"/>
        </w:rPr>
        <w:t xml:space="preserve"> (London: Faber and Faber: 1999)</w:t>
      </w:r>
    </w:p>
    <w:p w14:paraId="7E62E118" w14:textId="32625F83" w:rsidR="00723618" w:rsidRPr="00723618" w:rsidRDefault="00723618" w:rsidP="00DC4560">
      <w:pPr>
        <w:pStyle w:val="FootnoteText"/>
        <w:rPr>
          <w:rFonts w:asciiTheme="majorHAnsi" w:hAnsiTheme="majorHAnsi" w:cstheme="majorHAnsi"/>
          <w:sz w:val="22"/>
          <w:szCs w:val="22"/>
        </w:rPr>
      </w:pPr>
    </w:p>
    <w:p w14:paraId="02F6FFEE" w14:textId="39D827E3" w:rsidR="00723618" w:rsidRDefault="00723618" w:rsidP="00DC4560">
      <w:pPr>
        <w:pStyle w:val="FootnoteText"/>
        <w:rPr>
          <w:rFonts w:asciiTheme="majorHAnsi" w:hAnsiTheme="majorHAnsi" w:cstheme="majorHAnsi"/>
          <w:sz w:val="22"/>
          <w:szCs w:val="22"/>
        </w:rPr>
      </w:pPr>
      <w:r w:rsidRPr="00723618">
        <w:rPr>
          <w:rFonts w:asciiTheme="majorHAnsi" w:hAnsiTheme="majorHAnsi" w:cstheme="majorHAnsi"/>
          <w:sz w:val="22"/>
          <w:szCs w:val="22"/>
        </w:rPr>
        <w:t xml:space="preserve">Herbert, Kathleen. </w:t>
      </w:r>
      <w:r w:rsidRPr="00723618">
        <w:rPr>
          <w:rFonts w:asciiTheme="majorHAnsi" w:hAnsiTheme="majorHAnsi" w:cstheme="majorHAnsi"/>
          <w:i/>
          <w:iCs/>
          <w:sz w:val="22"/>
          <w:szCs w:val="22"/>
        </w:rPr>
        <w:t>Peace-Weavers &amp; Shield-Maidens: Women in Early English Society</w:t>
      </w:r>
      <w:r w:rsidRPr="00723618">
        <w:rPr>
          <w:rFonts w:asciiTheme="majorHAnsi" w:hAnsiTheme="majorHAnsi" w:cstheme="majorHAnsi"/>
          <w:sz w:val="22"/>
          <w:szCs w:val="22"/>
        </w:rPr>
        <w:t>. (England: Anglo-Saxon Books, 1997)</w:t>
      </w:r>
    </w:p>
    <w:p w14:paraId="673B2D62" w14:textId="77777777" w:rsidR="00EC6C5D" w:rsidRDefault="00EC6C5D" w:rsidP="00DC4560">
      <w:pPr>
        <w:pStyle w:val="FootnoteText"/>
        <w:rPr>
          <w:rFonts w:asciiTheme="majorHAnsi" w:hAnsiTheme="majorHAnsi" w:cstheme="majorHAnsi"/>
          <w:sz w:val="22"/>
          <w:szCs w:val="22"/>
        </w:rPr>
      </w:pPr>
    </w:p>
    <w:p w14:paraId="6448E476" w14:textId="0F1432E1" w:rsidR="00EC6C5D" w:rsidRPr="00EC6C5D" w:rsidRDefault="00EC6C5D" w:rsidP="00DC4560">
      <w:pPr>
        <w:pStyle w:val="FootnoteText"/>
        <w:rPr>
          <w:rFonts w:asciiTheme="majorHAnsi" w:hAnsiTheme="majorHAnsi" w:cstheme="majorHAnsi"/>
          <w:sz w:val="22"/>
          <w:szCs w:val="22"/>
        </w:rPr>
      </w:pPr>
      <w:r w:rsidRPr="00EC6C5D">
        <w:rPr>
          <w:rFonts w:asciiTheme="majorHAnsi" w:hAnsiTheme="majorHAnsi" w:cstheme="majorHAnsi"/>
          <w:sz w:val="22"/>
          <w:szCs w:val="22"/>
        </w:rPr>
        <w:t>Heyworth, M. 'Be rihtre cewe: Legislating and Regulating Marital Morality in Late Anglo-Saxon England' PhD dissertation (University of Sydney, 2005)</w:t>
      </w:r>
    </w:p>
    <w:p w14:paraId="16CBC4BE" w14:textId="77777777" w:rsidR="007C18C7" w:rsidRDefault="007C18C7" w:rsidP="007C18C7">
      <w:pPr>
        <w:pStyle w:val="FootnoteText"/>
        <w:rPr>
          <w:rFonts w:asciiTheme="majorHAnsi" w:hAnsiTheme="majorHAnsi" w:cstheme="majorHAnsi"/>
          <w:sz w:val="22"/>
          <w:szCs w:val="22"/>
        </w:rPr>
      </w:pPr>
    </w:p>
    <w:p w14:paraId="06DE04AF" w14:textId="338F2D5B" w:rsidR="007C18C7" w:rsidRPr="00437F20" w:rsidRDefault="007C18C7" w:rsidP="007C18C7">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Hill.  John M. </w:t>
      </w:r>
      <w:r w:rsidRPr="00437F20">
        <w:rPr>
          <w:rFonts w:asciiTheme="majorHAnsi" w:hAnsiTheme="majorHAnsi" w:cstheme="majorHAnsi"/>
          <w:i/>
          <w:sz w:val="22"/>
          <w:szCs w:val="22"/>
        </w:rPr>
        <w:t>The Anglo-Saxon Warrior Ethic: Reconstructing Lordship in Early English Literature</w:t>
      </w:r>
      <w:r w:rsidRPr="00437F20">
        <w:rPr>
          <w:rFonts w:asciiTheme="majorHAnsi" w:hAnsiTheme="majorHAnsi" w:cstheme="majorHAnsi"/>
          <w:sz w:val="22"/>
          <w:szCs w:val="22"/>
        </w:rPr>
        <w:t xml:space="preserve"> (Florida: University of Florida Press, 2000)</w:t>
      </w:r>
    </w:p>
    <w:p w14:paraId="41583FF2" w14:textId="1B7ED55A" w:rsidR="00FD756A" w:rsidRDefault="00FD756A" w:rsidP="00DC4560">
      <w:pPr>
        <w:pStyle w:val="FootnoteText"/>
        <w:rPr>
          <w:rFonts w:asciiTheme="majorHAnsi" w:hAnsiTheme="majorHAnsi" w:cstheme="majorHAnsi"/>
          <w:sz w:val="22"/>
          <w:szCs w:val="22"/>
        </w:rPr>
      </w:pPr>
    </w:p>
    <w:p w14:paraId="6BCB9D15" w14:textId="635C30A8" w:rsidR="0077669E" w:rsidRPr="0077669E" w:rsidRDefault="0077669E" w:rsidP="00DC4560">
      <w:pPr>
        <w:pStyle w:val="FootnoteText"/>
        <w:rPr>
          <w:rFonts w:asciiTheme="majorHAnsi" w:hAnsiTheme="majorHAnsi" w:cstheme="majorHAnsi"/>
          <w:sz w:val="22"/>
          <w:szCs w:val="22"/>
        </w:rPr>
      </w:pPr>
      <w:r w:rsidRPr="0077669E">
        <w:rPr>
          <w:rFonts w:asciiTheme="majorHAnsi" w:hAnsiTheme="majorHAnsi" w:cstheme="majorHAnsi"/>
          <w:sz w:val="22"/>
          <w:szCs w:val="22"/>
        </w:rPr>
        <w:t xml:space="preserve">Hyams, Paul R. </w:t>
      </w:r>
      <w:r w:rsidRPr="0077669E">
        <w:rPr>
          <w:rFonts w:asciiTheme="majorHAnsi" w:hAnsiTheme="majorHAnsi" w:cstheme="majorHAnsi"/>
          <w:i/>
          <w:iCs/>
          <w:sz w:val="22"/>
          <w:szCs w:val="22"/>
        </w:rPr>
        <w:t>Rancor and Reconciliation in Medieval England</w:t>
      </w:r>
      <w:r w:rsidRPr="0077669E">
        <w:rPr>
          <w:rFonts w:asciiTheme="majorHAnsi" w:hAnsiTheme="majorHAnsi" w:cstheme="majorHAnsi"/>
          <w:sz w:val="22"/>
          <w:szCs w:val="22"/>
        </w:rPr>
        <w:t xml:space="preserve"> (Ithaca: Cornell Univ. Press, 2003</w:t>
      </w:r>
      <w:r w:rsidR="009A2F11">
        <w:rPr>
          <w:rFonts w:asciiTheme="majorHAnsi" w:hAnsiTheme="majorHAnsi" w:cstheme="majorHAnsi"/>
          <w:sz w:val="22"/>
          <w:szCs w:val="22"/>
        </w:rPr>
        <w:t>)</w:t>
      </w:r>
    </w:p>
    <w:p w14:paraId="565F2798" w14:textId="77777777" w:rsidR="0077669E" w:rsidRPr="00723618" w:rsidRDefault="0077669E" w:rsidP="00DC4560">
      <w:pPr>
        <w:pStyle w:val="FootnoteText"/>
        <w:rPr>
          <w:rFonts w:asciiTheme="majorHAnsi" w:hAnsiTheme="majorHAnsi" w:cstheme="majorHAnsi"/>
          <w:sz w:val="22"/>
          <w:szCs w:val="22"/>
        </w:rPr>
      </w:pPr>
    </w:p>
    <w:p w14:paraId="5AED71B0" w14:textId="3BBCC174" w:rsidR="00236F91" w:rsidRPr="00723618" w:rsidRDefault="00236F91" w:rsidP="00DC4560">
      <w:pPr>
        <w:pStyle w:val="FootnoteText"/>
        <w:rPr>
          <w:rFonts w:asciiTheme="majorHAnsi" w:hAnsiTheme="majorHAnsi" w:cstheme="majorHAnsi"/>
          <w:sz w:val="22"/>
          <w:szCs w:val="22"/>
        </w:rPr>
      </w:pPr>
      <w:r w:rsidRPr="00723618">
        <w:rPr>
          <w:rFonts w:asciiTheme="majorHAnsi" w:hAnsiTheme="majorHAnsi" w:cstheme="majorHAnsi"/>
          <w:sz w:val="22"/>
          <w:szCs w:val="22"/>
        </w:rPr>
        <w:t xml:space="preserve">Ingham, Patricia Clare. “From Kinship to Kingship: Mourning, Gender, and Anglo-Saxon Community.” </w:t>
      </w:r>
      <w:r w:rsidRPr="00723618">
        <w:rPr>
          <w:rFonts w:asciiTheme="majorHAnsi" w:hAnsiTheme="majorHAnsi" w:cstheme="majorHAnsi"/>
          <w:i/>
          <w:iCs/>
          <w:sz w:val="22"/>
          <w:szCs w:val="22"/>
        </w:rPr>
        <w:t>Grief and Gender 700-1700</w:t>
      </w:r>
      <w:r w:rsidRPr="00723618">
        <w:rPr>
          <w:rFonts w:asciiTheme="majorHAnsi" w:hAnsiTheme="majorHAnsi" w:cstheme="majorHAnsi"/>
          <w:sz w:val="22"/>
          <w:szCs w:val="22"/>
        </w:rPr>
        <w:t xml:space="preserve">. Eds. Jennifer C. Vaught and Lynne Dickson Bruckner. </w:t>
      </w:r>
      <w:r w:rsidR="00836E98" w:rsidRPr="00723618">
        <w:rPr>
          <w:rFonts w:asciiTheme="majorHAnsi" w:hAnsiTheme="majorHAnsi" w:cstheme="majorHAnsi"/>
          <w:sz w:val="22"/>
          <w:szCs w:val="22"/>
        </w:rPr>
        <w:t>(</w:t>
      </w:r>
      <w:r w:rsidRPr="00723618">
        <w:rPr>
          <w:rFonts w:asciiTheme="majorHAnsi" w:hAnsiTheme="majorHAnsi" w:cstheme="majorHAnsi"/>
          <w:sz w:val="22"/>
          <w:szCs w:val="22"/>
        </w:rPr>
        <w:t>New York: Palgrave Macmillan, 2003</w:t>
      </w:r>
      <w:r w:rsidR="00836E98" w:rsidRPr="00723618">
        <w:rPr>
          <w:rFonts w:asciiTheme="majorHAnsi" w:hAnsiTheme="majorHAnsi" w:cstheme="majorHAnsi"/>
          <w:sz w:val="22"/>
          <w:szCs w:val="22"/>
        </w:rPr>
        <w:t>)</w:t>
      </w:r>
      <w:r w:rsidRPr="00723618">
        <w:rPr>
          <w:rFonts w:asciiTheme="majorHAnsi" w:hAnsiTheme="majorHAnsi" w:cstheme="majorHAnsi"/>
          <w:sz w:val="22"/>
          <w:szCs w:val="22"/>
        </w:rPr>
        <w:t xml:space="preserve"> </w:t>
      </w:r>
      <w:r w:rsidR="00836E98" w:rsidRPr="00723618">
        <w:rPr>
          <w:rFonts w:asciiTheme="majorHAnsi" w:hAnsiTheme="majorHAnsi" w:cstheme="majorHAnsi"/>
          <w:sz w:val="22"/>
          <w:szCs w:val="22"/>
        </w:rPr>
        <w:t>p.</w:t>
      </w:r>
      <w:r w:rsidRPr="00723618">
        <w:rPr>
          <w:rFonts w:asciiTheme="majorHAnsi" w:hAnsiTheme="majorHAnsi" w:cstheme="majorHAnsi"/>
          <w:sz w:val="22"/>
          <w:szCs w:val="22"/>
        </w:rPr>
        <w:t>17-31.</w:t>
      </w:r>
    </w:p>
    <w:p w14:paraId="070C5037" w14:textId="77777777" w:rsidR="00236F91" w:rsidRPr="00437F20" w:rsidRDefault="00236F91" w:rsidP="00DC4560">
      <w:pPr>
        <w:pStyle w:val="FootnoteText"/>
        <w:rPr>
          <w:rFonts w:asciiTheme="majorHAnsi" w:hAnsiTheme="majorHAnsi" w:cstheme="majorHAnsi"/>
          <w:sz w:val="22"/>
          <w:szCs w:val="22"/>
        </w:rPr>
      </w:pPr>
    </w:p>
    <w:p w14:paraId="74E60D4E" w14:textId="535654EF" w:rsidR="00E76BEE" w:rsidRPr="002E79DF" w:rsidRDefault="00E76BEE" w:rsidP="00E76BEE">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 xml:space="preserve">Insley, Charles. "Collapse, Reconfiguration or Renegotiation? The Strange End of the Mercian </w:t>
      </w:r>
      <w:r w:rsidRPr="002E79DF">
        <w:rPr>
          <w:rFonts w:asciiTheme="majorHAnsi" w:hAnsiTheme="majorHAnsi" w:cstheme="majorHAnsi"/>
          <w:sz w:val="22"/>
          <w:szCs w:val="22"/>
          <w:shd w:val="clear" w:color="auto" w:fill="FFFFFF"/>
        </w:rPr>
        <w:t>Kingdom, 850-924." </w:t>
      </w:r>
      <w:r w:rsidRPr="002E79DF">
        <w:rPr>
          <w:rFonts w:asciiTheme="majorHAnsi" w:hAnsiTheme="majorHAnsi" w:cstheme="majorHAnsi"/>
          <w:i/>
          <w:iCs/>
          <w:sz w:val="22"/>
          <w:szCs w:val="22"/>
          <w:shd w:val="clear" w:color="auto" w:fill="FFFFFF"/>
        </w:rPr>
        <w:t>Reti Medievali Rivista</w:t>
      </w:r>
      <w:r w:rsidRPr="002E79DF">
        <w:rPr>
          <w:rFonts w:asciiTheme="majorHAnsi" w:hAnsiTheme="majorHAnsi" w:cstheme="majorHAnsi"/>
          <w:sz w:val="22"/>
          <w:szCs w:val="22"/>
          <w:shd w:val="clear" w:color="auto" w:fill="FFFFFF"/>
        </w:rPr>
        <w:t> 17.2 (2016) p.231-249</w:t>
      </w:r>
    </w:p>
    <w:p w14:paraId="469C3511" w14:textId="77777777" w:rsidR="00E43A9B" w:rsidRPr="002E79DF" w:rsidRDefault="00E43A9B" w:rsidP="00E76BEE">
      <w:pPr>
        <w:pStyle w:val="FootnoteText"/>
        <w:rPr>
          <w:rFonts w:asciiTheme="majorHAnsi" w:hAnsiTheme="majorHAnsi" w:cstheme="majorHAnsi"/>
          <w:sz w:val="22"/>
          <w:szCs w:val="22"/>
          <w:shd w:val="clear" w:color="auto" w:fill="FFFFFF"/>
        </w:rPr>
      </w:pPr>
    </w:p>
    <w:p w14:paraId="054E5020" w14:textId="43FCB3A9" w:rsidR="00E43A9B" w:rsidRPr="002E79DF" w:rsidRDefault="00E43A9B" w:rsidP="00E43A9B">
      <w:pPr>
        <w:pStyle w:val="FootnoteText"/>
        <w:rPr>
          <w:rFonts w:asciiTheme="majorHAnsi" w:hAnsiTheme="majorHAnsi" w:cstheme="majorHAnsi"/>
          <w:sz w:val="22"/>
          <w:szCs w:val="22"/>
          <w:shd w:val="clear" w:color="auto" w:fill="FFFFFF"/>
        </w:rPr>
      </w:pPr>
      <w:r w:rsidRPr="002E79DF">
        <w:rPr>
          <w:rFonts w:asciiTheme="majorHAnsi" w:hAnsiTheme="majorHAnsi" w:cstheme="majorHAnsi"/>
          <w:sz w:val="22"/>
          <w:szCs w:val="22"/>
          <w:shd w:val="clear" w:color="auto" w:fill="FFFFFF"/>
        </w:rPr>
        <w:t>Kelly, Susan. “Cynethryth (fl. C. 770-798), Queen of the Mercians and Abbess of Cookham." </w:t>
      </w:r>
      <w:r w:rsidRPr="002E79DF">
        <w:rPr>
          <w:rFonts w:asciiTheme="majorHAnsi" w:hAnsiTheme="majorHAnsi" w:cstheme="majorHAnsi"/>
          <w:i/>
          <w:iCs/>
          <w:sz w:val="22"/>
          <w:szCs w:val="22"/>
          <w:shd w:val="clear" w:color="auto" w:fill="FFFFFF"/>
        </w:rPr>
        <w:t>Oxford Dictionary of National Biography</w:t>
      </w:r>
      <w:r w:rsidRPr="002E79DF">
        <w:rPr>
          <w:rFonts w:asciiTheme="majorHAnsi" w:hAnsiTheme="majorHAnsi" w:cstheme="majorHAnsi"/>
          <w:sz w:val="22"/>
          <w:szCs w:val="22"/>
          <w:shd w:val="clear" w:color="auto" w:fill="FFFFFF"/>
        </w:rPr>
        <w:t> (2004)</w:t>
      </w:r>
    </w:p>
    <w:p w14:paraId="71AC97F4" w14:textId="28647F11" w:rsidR="00E43A9B" w:rsidRPr="002E79DF" w:rsidRDefault="00E43A9B" w:rsidP="00E43A9B">
      <w:pPr>
        <w:pStyle w:val="FootnoteText"/>
        <w:rPr>
          <w:rFonts w:asciiTheme="majorHAnsi" w:hAnsiTheme="majorHAnsi" w:cstheme="majorHAnsi"/>
          <w:sz w:val="22"/>
          <w:szCs w:val="22"/>
        </w:rPr>
      </w:pPr>
      <w:r w:rsidRPr="002E79DF">
        <w:rPr>
          <w:rFonts w:asciiTheme="majorHAnsi" w:hAnsiTheme="majorHAnsi" w:cstheme="majorHAnsi"/>
          <w:sz w:val="22"/>
          <w:szCs w:val="22"/>
        </w:rPr>
        <w:t xml:space="preserve">&lt; </w:t>
      </w:r>
      <w:hyperlink r:id="rId10" w:history="1">
        <w:r w:rsidRPr="002E79DF">
          <w:rPr>
            <w:rStyle w:val="Hyperlink"/>
            <w:rFonts w:asciiTheme="majorHAnsi" w:hAnsiTheme="majorHAnsi" w:cstheme="majorHAnsi"/>
            <w:sz w:val="22"/>
            <w:szCs w:val="22"/>
          </w:rPr>
          <w:t>https://www-oxforddnb-com.ezproxy.uwtsd.ac.uk/view/10.1093/ref:odnb/9780198614128.001.0001/odnb-9780198614128-e-54442</w:t>
        </w:r>
      </w:hyperlink>
      <w:r w:rsidRPr="002E79DF">
        <w:rPr>
          <w:rFonts w:asciiTheme="majorHAnsi" w:hAnsiTheme="majorHAnsi" w:cstheme="majorHAnsi"/>
          <w:sz w:val="22"/>
          <w:szCs w:val="22"/>
        </w:rPr>
        <w:t>&gt; [accessed 2/4/2020]</w:t>
      </w:r>
    </w:p>
    <w:p w14:paraId="2A4E2EF0" w14:textId="77777777" w:rsidR="002E79DF" w:rsidRDefault="002E79DF" w:rsidP="00E43A9B">
      <w:pPr>
        <w:pStyle w:val="FootnoteText"/>
        <w:rPr>
          <w:rFonts w:asciiTheme="majorHAnsi" w:hAnsiTheme="majorHAnsi" w:cstheme="majorHAnsi"/>
          <w:sz w:val="22"/>
          <w:szCs w:val="22"/>
        </w:rPr>
      </w:pPr>
    </w:p>
    <w:p w14:paraId="3E30D737" w14:textId="24A1BB8C" w:rsidR="005D1A2D" w:rsidRPr="005D1A2D" w:rsidRDefault="005D1A2D" w:rsidP="005D1A2D">
      <w:pPr>
        <w:pStyle w:val="FootnoteText"/>
        <w:rPr>
          <w:rFonts w:asciiTheme="majorHAnsi" w:hAnsiTheme="majorHAnsi" w:cstheme="majorHAnsi"/>
          <w:sz w:val="22"/>
          <w:szCs w:val="22"/>
        </w:rPr>
      </w:pPr>
      <w:r w:rsidRPr="005D1A2D">
        <w:rPr>
          <w:rFonts w:asciiTheme="majorHAnsi" w:hAnsiTheme="majorHAnsi" w:cstheme="majorHAnsi"/>
          <w:sz w:val="22"/>
          <w:szCs w:val="22"/>
        </w:rPr>
        <w:t xml:space="preserve">Kosto, Adam J. “Hostages in the Early Middle Ages: Communication, Conversion, and Structures of Alliance” </w:t>
      </w:r>
      <w:r w:rsidRPr="005D1A2D">
        <w:rPr>
          <w:rFonts w:asciiTheme="majorHAnsi" w:hAnsiTheme="majorHAnsi" w:cstheme="majorHAnsi"/>
          <w:i/>
          <w:sz w:val="22"/>
          <w:szCs w:val="22"/>
        </w:rPr>
        <w:t xml:space="preserve">Hostages in the Middle Ages : </w:t>
      </w:r>
      <w:r w:rsidRPr="005D1A2D">
        <w:rPr>
          <w:rFonts w:asciiTheme="majorHAnsi" w:hAnsiTheme="majorHAnsi" w:cstheme="majorHAnsi"/>
          <w:sz w:val="22"/>
          <w:szCs w:val="22"/>
        </w:rPr>
        <w:t>(Oxford: Oxford University Press, 2012) p.75</w:t>
      </w:r>
    </w:p>
    <w:p w14:paraId="12A77B46" w14:textId="72BD27F4" w:rsidR="005D1A2D" w:rsidRPr="005D1A2D" w:rsidRDefault="005D1A2D" w:rsidP="005D1A2D">
      <w:pPr>
        <w:pStyle w:val="FootnoteText"/>
        <w:rPr>
          <w:rFonts w:asciiTheme="majorHAnsi" w:hAnsiTheme="majorHAnsi" w:cstheme="majorHAnsi"/>
          <w:sz w:val="22"/>
          <w:szCs w:val="22"/>
        </w:rPr>
      </w:pPr>
      <w:r w:rsidRPr="005D1A2D">
        <w:rPr>
          <w:rFonts w:asciiTheme="majorHAnsi" w:hAnsiTheme="majorHAnsi" w:cstheme="majorHAnsi"/>
          <w:color w:val="000000"/>
          <w:sz w:val="22"/>
          <w:szCs w:val="22"/>
          <w:shd w:val="clear" w:color="auto" w:fill="FFFFFF"/>
        </w:rPr>
        <w:t>&lt;https://www.oxfordscholarship.com/view/10.1093/acprof:oso/9780199651702.001.0001/acprof-9780199651702-chapter-3&gt;</w:t>
      </w:r>
      <w:r w:rsidRPr="005D1A2D">
        <w:rPr>
          <w:rFonts w:asciiTheme="majorHAnsi" w:hAnsiTheme="majorHAnsi" w:cstheme="majorHAnsi"/>
          <w:sz w:val="22"/>
          <w:szCs w:val="22"/>
        </w:rPr>
        <w:t xml:space="preserve"> [accessed 7/5/2020]</w:t>
      </w:r>
    </w:p>
    <w:p w14:paraId="09E0DDBE" w14:textId="77777777" w:rsidR="005D1A2D" w:rsidRPr="002E79DF" w:rsidRDefault="005D1A2D" w:rsidP="00E43A9B">
      <w:pPr>
        <w:pStyle w:val="FootnoteText"/>
        <w:rPr>
          <w:rFonts w:asciiTheme="majorHAnsi" w:hAnsiTheme="majorHAnsi" w:cstheme="majorHAnsi"/>
          <w:sz w:val="22"/>
          <w:szCs w:val="22"/>
        </w:rPr>
      </w:pPr>
    </w:p>
    <w:p w14:paraId="146B70ED" w14:textId="7FA3EB37" w:rsidR="002E79DF" w:rsidRPr="002E79DF" w:rsidRDefault="002E79DF" w:rsidP="00E43A9B">
      <w:pPr>
        <w:pStyle w:val="FootnoteText"/>
        <w:rPr>
          <w:rFonts w:asciiTheme="majorHAnsi" w:hAnsiTheme="majorHAnsi" w:cstheme="majorHAnsi"/>
          <w:sz w:val="22"/>
          <w:szCs w:val="22"/>
          <w:shd w:val="clear" w:color="auto" w:fill="FFFFFF"/>
        </w:rPr>
      </w:pPr>
      <w:r w:rsidRPr="002E79DF">
        <w:rPr>
          <w:rFonts w:asciiTheme="majorHAnsi" w:hAnsiTheme="majorHAnsi" w:cstheme="majorHAnsi"/>
          <w:sz w:val="22"/>
          <w:szCs w:val="22"/>
        </w:rPr>
        <w:t xml:space="preserve">Leneghan, Francis. ‘The Poetic Purpose of the Offa-digression in </w:t>
      </w:r>
      <w:r w:rsidRPr="002E79DF">
        <w:rPr>
          <w:rFonts w:asciiTheme="majorHAnsi" w:hAnsiTheme="majorHAnsi" w:cstheme="majorHAnsi"/>
          <w:i/>
          <w:sz w:val="22"/>
          <w:szCs w:val="22"/>
        </w:rPr>
        <w:t>Beowulf</w:t>
      </w:r>
      <w:r w:rsidRPr="002E79DF">
        <w:rPr>
          <w:rFonts w:asciiTheme="majorHAnsi" w:hAnsiTheme="majorHAnsi" w:cstheme="majorHAnsi"/>
          <w:sz w:val="22"/>
          <w:szCs w:val="22"/>
        </w:rPr>
        <w:t xml:space="preserve">’ </w:t>
      </w:r>
      <w:r w:rsidRPr="002E79DF">
        <w:rPr>
          <w:rFonts w:asciiTheme="majorHAnsi" w:hAnsiTheme="majorHAnsi" w:cstheme="majorHAnsi"/>
          <w:i/>
          <w:sz w:val="22"/>
          <w:szCs w:val="22"/>
        </w:rPr>
        <w:t>The Review of English Studies</w:t>
      </w:r>
      <w:r w:rsidRPr="002E79DF">
        <w:rPr>
          <w:rFonts w:asciiTheme="majorHAnsi" w:hAnsiTheme="majorHAnsi" w:cstheme="majorHAnsi"/>
          <w:sz w:val="22"/>
          <w:szCs w:val="22"/>
        </w:rPr>
        <w:t xml:space="preserve"> Vol. 60.246 (2009)</w:t>
      </w:r>
    </w:p>
    <w:p w14:paraId="0F313FAA" w14:textId="6F6408E3" w:rsidR="00B3447D" w:rsidRPr="002E79DF" w:rsidRDefault="00B3447D" w:rsidP="00E76BEE">
      <w:pPr>
        <w:pStyle w:val="FootnoteText"/>
        <w:rPr>
          <w:rFonts w:asciiTheme="majorHAnsi" w:hAnsiTheme="majorHAnsi" w:cstheme="majorHAnsi"/>
          <w:sz w:val="22"/>
          <w:szCs w:val="22"/>
          <w:shd w:val="clear" w:color="auto" w:fill="FFFFFF"/>
        </w:rPr>
      </w:pPr>
    </w:p>
    <w:p w14:paraId="6BB5EC24" w14:textId="32052DD7" w:rsidR="00B3447D" w:rsidRPr="002E79DF" w:rsidRDefault="00B3447D" w:rsidP="00E76BEE">
      <w:pPr>
        <w:pStyle w:val="FootnoteText"/>
        <w:rPr>
          <w:rFonts w:asciiTheme="majorHAnsi" w:hAnsiTheme="majorHAnsi" w:cstheme="majorHAnsi"/>
          <w:sz w:val="22"/>
          <w:szCs w:val="22"/>
          <w:shd w:val="clear" w:color="auto" w:fill="FFFFFF"/>
        </w:rPr>
      </w:pPr>
      <w:r w:rsidRPr="002E79DF">
        <w:rPr>
          <w:rFonts w:asciiTheme="majorHAnsi" w:hAnsiTheme="majorHAnsi" w:cstheme="majorHAnsi"/>
          <w:sz w:val="22"/>
          <w:szCs w:val="22"/>
        </w:rPr>
        <w:t xml:space="preserve">Litton, Alfred G. “The Heroine as Hero: Gender Reversal in the Anglo-Saxon Judith.” </w:t>
      </w:r>
      <w:r w:rsidRPr="002E79DF">
        <w:rPr>
          <w:rFonts w:asciiTheme="majorHAnsi" w:hAnsiTheme="majorHAnsi" w:cstheme="majorHAnsi"/>
          <w:i/>
          <w:iCs/>
          <w:sz w:val="22"/>
          <w:szCs w:val="22"/>
        </w:rPr>
        <w:t>CEA Critic: An Official Journal of the College English Association</w:t>
      </w:r>
      <w:r w:rsidRPr="002E79DF">
        <w:rPr>
          <w:rFonts w:asciiTheme="majorHAnsi" w:hAnsiTheme="majorHAnsi" w:cstheme="majorHAnsi"/>
          <w:sz w:val="22"/>
          <w:szCs w:val="22"/>
        </w:rPr>
        <w:t>. 56.1 (1993) p.35-44</w:t>
      </w:r>
    </w:p>
    <w:p w14:paraId="6C7ED266" w14:textId="646F82E3" w:rsidR="00E76BEE" w:rsidRPr="00437F20" w:rsidRDefault="00E76BEE" w:rsidP="00E76BEE">
      <w:pPr>
        <w:pStyle w:val="FootnoteText"/>
        <w:rPr>
          <w:rFonts w:asciiTheme="majorHAnsi" w:hAnsiTheme="majorHAnsi" w:cstheme="majorHAnsi"/>
          <w:sz w:val="22"/>
          <w:szCs w:val="22"/>
        </w:rPr>
      </w:pPr>
    </w:p>
    <w:p w14:paraId="24FD1875" w14:textId="78BDA9F7" w:rsidR="00AE4EAB" w:rsidRPr="00B639A5" w:rsidRDefault="004916CB" w:rsidP="00E76BEE">
      <w:pPr>
        <w:pStyle w:val="FootnoteText"/>
        <w:rPr>
          <w:rFonts w:asciiTheme="majorHAnsi" w:hAnsiTheme="majorHAnsi" w:cstheme="majorHAnsi"/>
          <w:sz w:val="22"/>
          <w:szCs w:val="22"/>
        </w:rPr>
      </w:pPr>
      <w:r>
        <w:rPr>
          <w:rFonts w:asciiTheme="majorHAnsi" w:hAnsiTheme="majorHAnsi" w:cstheme="majorHAnsi"/>
          <w:sz w:val="22"/>
          <w:szCs w:val="22"/>
        </w:rPr>
        <w:t>Lucas, Peter J.</w:t>
      </w:r>
      <w:r w:rsidR="00AE4EAB" w:rsidRPr="00B639A5">
        <w:rPr>
          <w:rFonts w:asciiTheme="majorHAnsi" w:hAnsiTheme="majorHAnsi" w:cstheme="majorHAnsi"/>
          <w:sz w:val="22"/>
          <w:szCs w:val="22"/>
        </w:rPr>
        <w:t xml:space="preserve"> “‘Judith’ and the Woman Hero</w:t>
      </w:r>
      <w:r w:rsidR="00AE4EAB" w:rsidRPr="00B639A5">
        <w:rPr>
          <w:rFonts w:asciiTheme="majorHAnsi" w:hAnsiTheme="majorHAnsi" w:cstheme="majorHAnsi"/>
          <w:i/>
          <w:iCs/>
          <w:sz w:val="22"/>
          <w:szCs w:val="22"/>
        </w:rPr>
        <w:t>.” The Yearbook of English Studies</w:t>
      </w:r>
      <w:r w:rsidR="00AE4EAB" w:rsidRPr="00B639A5">
        <w:rPr>
          <w:rFonts w:asciiTheme="majorHAnsi" w:hAnsiTheme="majorHAnsi" w:cstheme="majorHAnsi"/>
          <w:sz w:val="22"/>
          <w:szCs w:val="22"/>
        </w:rPr>
        <w:t>. 22 (1992) p.17-27</w:t>
      </w:r>
    </w:p>
    <w:p w14:paraId="436A8063" w14:textId="243ABDB4" w:rsidR="00B639A5" w:rsidRDefault="00B639A5" w:rsidP="00E76BEE">
      <w:pPr>
        <w:pStyle w:val="FootnoteText"/>
        <w:rPr>
          <w:rFonts w:asciiTheme="majorHAnsi" w:hAnsiTheme="majorHAnsi" w:cstheme="majorHAnsi"/>
          <w:sz w:val="22"/>
          <w:szCs w:val="22"/>
        </w:rPr>
      </w:pPr>
    </w:p>
    <w:p w14:paraId="7C8C57A9" w14:textId="375F9A37" w:rsidR="005843C5" w:rsidRPr="005843C5" w:rsidRDefault="005843C5" w:rsidP="00E76BEE">
      <w:pPr>
        <w:pStyle w:val="FootnoteText"/>
        <w:rPr>
          <w:rFonts w:asciiTheme="majorHAnsi" w:hAnsiTheme="majorHAnsi" w:cstheme="majorHAnsi"/>
          <w:sz w:val="22"/>
          <w:szCs w:val="22"/>
        </w:rPr>
      </w:pPr>
      <w:r w:rsidRPr="005843C5">
        <w:rPr>
          <w:rFonts w:asciiTheme="majorHAnsi" w:hAnsiTheme="majorHAnsi" w:cstheme="majorHAnsi"/>
          <w:sz w:val="22"/>
          <w:szCs w:val="22"/>
        </w:rPr>
        <w:t xml:space="preserve">McCarthy, Conor. </w:t>
      </w:r>
      <w:r w:rsidRPr="005843C5">
        <w:rPr>
          <w:rFonts w:asciiTheme="majorHAnsi" w:hAnsiTheme="majorHAnsi" w:cstheme="majorHAnsi"/>
          <w:i/>
          <w:iCs/>
          <w:sz w:val="22"/>
          <w:szCs w:val="22"/>
        </w:rPr>
        <w:t>Love, Sex and Marriage in the Middle Ages: A Sourcebook</w:t>
      </w:r>
      <w:r w:rsidRPr="005843C5">
        <w:rPr>
          <w:rFonts w:asciiTheme="majorHAnsi" w:hAnsiTheme="majorHAnsi" w:cstheme="majorHAnsi"/>
          <w:sz w:val="22"/>
          <w:szCs w:val="22"/>
        </w:rPr>
        <w:t>. (Oxon: Routledge, 2004)</w:t>
      </w:r>
    </w:p>
    <w:p w14:paraId="78A4CBB3" w14:textId="77777777" w:rsidR="005843C5" w:rsidRDefault="005843C5" w:rsidP="00E76BEE">
      <w:pPr>
        <w:pStyle w:val="FootnoteText"/>
        <w:rPr>
          <w:rFonts w:asciiTheme="majorHAnsi" w:hAnsiTheme="majorHAnsi" w:cstheme="majorHAnsi"/>
          <w:sz w:val="22"/>
          <w:szCs w:val="22"/>
        </w:rPr>
      </w:pPr>
    </w:p>
    <w:p w14:paraId="50712B37" w14:textId="47E20292" w:rsidR="00F50D51" w:rsidRPr="00F50D51" w:rsidRDefault="00F50D51" w:rsidP="00F50D51">
      <w:pPr>
        <w:pStyle w:val="FootnoteText"/>
        <w:rPr>
          <w:rFonts w:asciiTheme="majorHAnsi" w:hAnsiTheme="majorHAnsi" w:cstheme="majorHAnsi"/>
          <w:color w:val="000000"/>
          <w:sz w:val="22"/>
          <w:szCs w:val="22"/>
          <w:shd w:val="clear" w:color="auto" w:fill="FFFFFF"/>
        </w:rPr>
      </w:pPr>
      <w:r w:rsidRPr="00F50D51">
        <w:rPr>
          <w:rFonts w:asciiTheme="majorHAnsi" w:hAnsiTheme="majorHAnsi" w:cstheme="majorHAnsi"/>
          <w:color w:val="000000"/>
          <w:sz w:val="22"/>
          <w:szCs w:val="22"/>
          <w:shd w:val="clear" w:color="auto" w:fill="FFFFFF"/>
        </w:rPr>
        <w:t>McDougall, Sara. "Illegitimacy and the Making of Medieval Dynasties c.900–c.1050." </w:t>
      </w:r>
      <w:r w:rsidRPr="00F50D51">
        <w:rPr>
          <w:rFonts w:asciiTheme="majorHAnsi" w:hAnsiTheme="majorHAnsi" w:cstheme="majorHAnsi"/>
          <w:i/>
          <w:color w:val="000000"/>
          <w:sz w:val="22"/>
          <w:szCs w:val="22"/>
          <w:shd w:val="clear" w:color="auto" w:fill="FFFFFF"/>
        </w:rPr>
        <w:t>Royal Bastards: The Birth of Illegitimacy, 800-1230</w:t>
      </w:r>
      <w:r w:rsidRPr="00F50D51">
        <w:rPr>
          <w:rFonts w:asciiTheme="majorHAnsi" w:hAnsiTheme="majorHAnsi" w:cstheme="majorHAnsi"/>
          <w:color w:val="000000"/>
          <w:sz w:val="22"/>
          <w:szCs w:val="22"/>
          <w:shd w:val="clear" w:color="auto" w:fill="FFFFFF"/>
        </w:rPr>
        <w:t> (Oxford: Oxford University Press, 2016) p.108</w:t>
      </w:r>
    </w:p>
    <w:p w14:paraId="1EAF9198" w14:textId="2093C343" w:rsidR="00F50D51" w:rsidRPr="00F50D51" w:rsidRDefault="00F50D51" w:rsidP="00F50D51">
      <w:pPr>
        <w:pStyle w:val="FootnoteText"/>
        <w:rPr>
          <w:rFonts w:asciiTheme="majorHAnsi" w:hAnsiTheme="majorHAnsi" w:cstheme="majorHAnsi"/>
          <w:sz w:val="22"/>
          <w:szCs w:val="22"/>
        </w:rPr>
      </w:pPr>
      <w:r w:rsidRPr="00F50D51">
        <w:rPr>
          <w:rFonts w:asciiTheme="majorHAnsi" w:hAnsiTheme="majorHAnsi" w:cstheme="majorHAnsi"/>
          <w:color w:val="000000"/>
          <w:sz w:val="22"/>
          <w:szCs w:val="22"/>
          <w:u w:val="single"/>
          <w:shd w:val="clear" w:color="auto" w:fill="FFFFFF"/>
        </w:rPr>
        <w:t>Oxford Scholarship Online</w:t>
      </w:r>
      <w:r w:rsidRPr="00F50D51">
        <w:rPr>
          <w:rFonts w:asciiTheme="majorHAnsi" w:hAnsiTheme="majorHAnsi" w:cstheme="majorHAnsi"/>
          <w:color w:val="000000"/>
          <w:sz w:val="22"/>
          <w:szCs w:val="22"/>
          <w:shd w:val="clear" w:color="auto" w:fill="FFFFFF"/>
        </w:rPr>
        <w:t xml:space="preserve"> </w:t>
      </w:r>
      <w:hyperlink r:id="rId11" w:history="1">
        <w:r w:rsidRPr="00F50D51">
          <w:rPr>
            <w:rStyle w:val="Hyperlink"/>
            <w:rFonts w:asciiTheme="majorHAnsi" w:hAnsiTheme="majorHAnsi" w:cstheme="majorHAnsi"/>
            <w:sz w:val="22"/>
            <w:szCs w:val="22"/>
            <w:shd w:val="clear" w:color="auto" w:fill="FFFFFF"/>
          </w:rPr>
          <w:t>https://www-oxfordscholarship-com.ezproxy.uwtsd.ac.uk/view/10.1093/acprof:oso/9780198785828.001.0001/acprof-9780198785828-chapter-4</w:t>
        </w:r>
      </w:hyperlink>
      <w:r w:rsidRPr="00F50D51">
        <w:rPr>
          <w:rFonts w:asciiTheme="majorHAnsi" w:hAnsiTheme="majorHAnsi" w:cstheme="majorHAnsi"/>
          <w:color w:val="000000"/>
          <w:sz w:val="22"/>
          <w:szCs w:val="22"/>
          <w:shd w:val="clear" w:color="auto" w:fill="FFFFFF"/>
        </w:rPr>
        <w:t xml:space="preserve"> [accessed 5/5/2020]</w:t>
      </w:r>
    </w:p>
    <w:p w14:paraId="20A96C61" w14:textId="77777777" w:rsidR="00F50D51" w:rsidRPr="00B639A5" w:rsidRDefault="00F50D51" w:rsidP="00E76BEE">
      <w:pPr>
        <w:pStyle w:val="FootnoteText"/>
        <w:rPr>
          <w:rFonts w:asciiTheme="majorHAnsi" w:hAnsiTheme="majorHAnsi" w:cstheme="majorHAnsi"/>
          <w:sz w:val="22"/>
          <w:szCs w:val="22"/>
        </w:rPr>
      </w:pPr>
    </w:p>
    <w:p w14:paraId="67CC2011" w14:textId="7FB859C1" w:rsidR="00B639A5" w:rsidRPr="00B639A5" w:rsidRDefault="00B639A5" w:rsidP="00B639A5">
      <w:pPr>
        <w:spacing w:line="240" w:lineRule="auto"/>
        <w:rPr>
          <w:rFonts w:asciiTheme="majorHAnsi" w:hAnsiTheme="majorHAnsi" w:cstheme="majorHAnsi"/>
        </w:rPr>
      </w:pPr>
      <w:r w:rsidRPr="00B639A5">
        <w:rPr>
          <w:rFonts w:asciiTheme="majorHAnsi" w:hAnsiTheme="majorHAnsi" w:cstheme="majorHAnsi"/>
        </w:rPr>
        <w:lastRenderedPageBreak/>
        <w:t>McNamara</w:t>
      </w:r>
      <w:r w:rsidR="004916CB">
        <w:rPr>
          <w:rFonts w:asciiTheme="majorHAnsi" w:hAnsiTheme="majorHAnsi" w:cstheme="majorHAnsi"/>
        </w:rPr>
        <w:t>,</w:t>
      </w:r>
      <w:r w:rsidRPr="00B639A5">
        <w:rPr>
          <w:rFonts w:asciiTheme="majorHAnsi" w:hAnsiTheme="majorHAnsi" w:cstheme="majorHAnsi"/>
        </w:rPr>
        <w:t xml:space="preserve"> </w:t>
      </w:r>
      <w:r w:rsidR="004916CB" w:rsidRPr="00B639A5">
        <w:rPr>
          <w:rFonts w:asciiTheme="majorHAnsi" w:hAnsiTheme="majorHAnsi" w:cstheme="majorHAnsi"/>
        </w:rPr>
        <w:t>Jo Anne</w:t>
      </w:r>
      <w:r w:rsidR="004916CB">
        <w:rPr>
          <w:rFonts w:asciiTheme="majorHAnsi" w:hAnsiTheme="majorHAnsi" w:cstheme="majorHAnsi"/>
        </w:rPr>
        <w:t>.</w:t>
      </w:r>
      <w:r w:rsidR="004916CB" w:rsidRPr="00B639A5">
        <w:rPr>
          <w:rFonts w:asciiTheme="majorHAnsi" w:hAnsiTheme="majorHAnsi" w:cstheme="majorHAnsi"/>
        </w:rPr>
        <w:t xml:space="preserve"> </w:t>
      </w:r>
      <w:r w:rsidRPr="00B639A5">
        <w:rPr>
          <w:rFonts w:asciiTheme="majorHAnsi" w:hAnsiTheme="majorHAnsi" w:cstheme="majorHAnsi"/>
        </w:rPr>
        <w:t xml:space="preserve">‘The Herrenfrage: The Restructuring of the Gender System, 1050–1150’ </w:t>
      </w:r>
      <w:r w:rsidRPr="00B639A5">
        <w:rPr>
          <w:rFonts w:asciiTheme="majorHAnsi" w:hAnsiTheme="majorHAnsi" w:cstheme="majorHAnsi"/>
          <w:i/>
        </w:rPr>
        <w:t xml:space="preserve">Medieval masculinities: Regarding men in the Middle Ages </w:t>
      </w:r>
      <w:r w:rsidRPr="00B639A5">
        <w:rPr>
          <w:rFonts w:asciiTheme="majorHAnsi" w:hAnsiTheme="majorHAnsi" w:cstheme="majorHAnsi"/>
        </w:rPr>
        <w:t>Ed. Claire A. Lees (Minneapolis: University of Minnesota Press, 1994) p.3</w:t>
      </w:r>
      <w:r w:rsidR="004916CB">
        <w:rPr>
          <w:rFonts w:asciiTheme="majorHAnsi" w:hAnsiTheme="majorHAnsi" w:cstheme="majorHAnsi"/>
        </w:rPr>
        <w:t>-29</w:t>
      </w:r>
    </w:p>
    <w:p w14:paraId="655CB979" w14:textId="3144416E" w:rsidR="00A2428F" w:rsidRPr="00B639A5" w:rsidRDefault="00A2428F" w:rsidP="00E76BEE">
      <w:pPr>
        <w:pStyle w:val="FootnoteText"/>
        <w:rPr>
          <w:rFonts w:asciiTheme="majorHAnsi" w:hAnsiTheme="majorHAnsi" w:cstheme="majorHAnsi"/>
          <w:sz w:val="22"/>
          <w:szCs w:val="22"/>
        </w:rPr>
      </w:pPr>
    </w:p>
    <w:p w14:paraId="228EF713" w14:textId="4E1B6699" w:rsidR="00A2428F" w:rsidRPr="00B639A5" w:rsidRDefault="00A2428F" w:rsidP="00E76BEE">
      <w:pPr>
        <w:pStyle w:val="FootnoteText"/>
        <w:rPr>
          <w:rFonts w:asciiTheme="majorHAnsi" w:hAnsiTheme="majorHAnsi" w:cstheme="majorHAnsi"/>
          <w:sz w:val="22"/>
          <w:szCs w:val="22"/>
        </w:rPr>
      </w:pPr>
      <w:r w:rsidRPr="00B639A5">
        <w:rPr>
          <w:rFonts w:asciiTheme="majorHAnsi" w:hAnsiTheme="majorHAnsi" w:cstheme="majorHAnsi"/>
          <w:sz w:val="22"/>
          <w:szCs w:val="22"/>
        </w:rPr>
        <w:t xml:space="preserve">McNamee, M. B. ‘“Beowulf:” An Allegory of Salvation?’ </w:t>
      </w:r>
      <w:r w:rsidRPr="00B639A5">
        <w:rPr>
          <w:rFonts w:asciiTheme="majorHAnsi" w:hAnsiTheme="majorHAnsi" w:cstheme="majorHAnsi"/>
          <w:i/>
          <w:iCs/>
          <w:sz w:val="22"/>
          <w:szCs w:val="22"/>
        </w:rPr>
        <w:t xml:space="preserve">The Journal of English and Germanic Philology. </w:t>
      </w:r>
      <w:r w:rsidRPr="00B639A5">
        <w:rPr>
          <w:rFonts w:asciiTheme="majorHAnsi" w:hAnsiTheme="majorHAnsi" w:cstheme="majorHAnsi"/>
          <w:sz w:val="22"/>
          <w:szCs w:val="22"/>
        </w:rPr>
        <w:t>Vol.59.2 (1960) p.190-207</w:t>
      </w:r>
    </w:p>
    <w:p w14:paraId="35BE371E" w14:textId="77777777" w:rsidR="00AE4EAB" w:rsidRPr="00437F20" w:rsidRDefault="00AE4EAB" w:rsidP="00E76BEE">
      <w:pPr>
        <w:pStyle w:val="FootnoteText"/>
        <w:rPr>
          <w:rFonts w:asciiTheme="majorHAnsi" w:hAnsiTheme="majorHAnsi" w:cstheme="majorHAnsi"/>
          <w:sz w:val="22"/>
          <w:szCs w:val="22"/>
        </w:rPr>
      </w:pPr>
    </w:p>
    <w:p w14:paraId="126FC923" w14:textId="4ADCF3D4" w:rsidR="00C7602B" w:rsidRPr="00437F20" w:rsidRDefault="00C7602B" w:rsidP="00DC4560">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Neal, Derek. “Masculine Identity in Late Medieval English Society and Culture.” Writing Medieval History. Ed. Nancy Partner. </w:t>
      </w:r>
      <w:r w:rsidR="0034447C" w:rsidRPr="00437F20">
        <w:rPr>
          <w:rFonts w:asciiTheme="majorHAnsi" w:hAnsiTheme="majorHAnsi" w:cstheme="majorHAnsi"/>
          <w:sz w:val="22"/>
          <w:szCs w:val="22"/>
        </w:rPr>
        <w:t>(</w:t>
      </w:r>
      <w:r w:rsidRPr="00437F20">
        <w:rPr>
          <w:rFonts w:asciiTheme="majorHAnsi" w:hAnsiTheme="majorHAnsi" w:cstheme="majorHAnsi"/>
          <w:sz w:val="22"/>
          <w:szCs w:val="22"/>
        </w:rPr>
        <w:t>London: Hodder Arnold, 2005. 171-88</w:t>
      </w:r>
      <w:r w:rsidR="0034447C" w:rsidRPr="00437F20">
        <w:rPr>
          <w:rFonts w:asciiTheme="majorHAnsi" w:hAnsiTheme="majorHAnsi" w:cstheme="majorHAnsi"/>
          <w:sz w:val="22"/>
          <w:szCs w:val="22"/>
        </w:rPr>
        <w:t>)</w:t>
      </w:r>
      <w:r w:rsidRPr="00437F20">
        <w:rPr>
          <w:rFonts w:asciiTheme="majorHAnsi" w:hAnsiTheme="majorHAnsi" w:cstheme="majorHAnsi"/>
          <w:sz w:val="22"/>
          <w:szCs w:val="22"/>
        </w:rPr>
        <w:t xml:space="preserve"> Writing History Ser. Vol. 3.</w:t>
      </w:r>
    </w:p>
    <w:p w14:paraId="68BFAAEC" w14:textId="77777777" w:rsidR="0034447C" w:rsidRPr="00437F20" w:rsidRDefault="0034447C" w:rsidP="00DC4560">
      <w:pPr>
        <w:pStyle w:val="FootnoteText"/>
        <w:rPr>
          <w:rFonts w:asciiTheme="majorHAnsi" w:hAnsiTheme="majorHAnsi" w:cstheme="majorHAnsi"/>
          <w:sz w:val="22"/>
          <w:szCs w:val="22"/>
        </w:rPr>
      </w:pPr>
    </w:p>
    <w:p w14:paraId="6E2A1CD0" w14:textId="0B4F8784" w:rsidR="00EB7166" w:rsidRPr="00100DB2" w:rsidRDefault="00EB7166" w:rsidP="00DC4560">
      <w:pPr>
        <w:pStyle w:val="FootnoteText"/>
        <w:rPr>
          <w:rFonts w:asciiTheme="majorHAnsi" w:hAnsiTheme="majorHAnsi" w:cstheme="majorHAnsi"/>
          <w:sz w:val="22"/>
          <w:szCs w:val="22"/>
          <w:shd w:val="clear" w:color="auto" w:fill="FEFEFE"/>
        </w:rPr>
      </w:pPr>
      <w:r w:rsidRPr="00437F20">
        <w:rPr>
          <w:rFonts w:asciiTheme="majorHAnsi" w:hAnsiTheme="majorHAnsi" w:cstheme="majorHAnsi"/>
          <w:sz w:val="22"/>
          <w:szCs w:val="22"/>
        </w:rPr>
        <w:t>Neidorf, Leanord. ‘</w:t>
      </w:r>
      <w:r w:rsidRPr="00437F20">
        <w:rPr>
          <w:rFonts w:asciiTheme="majorHAnsi" w:hAnsiTheme="majorHAnsi" w:cstheme="majorHAnsi"/>
          <w:i/>
          <w:iCs/>
          <w:color w:val="0A0A0A"/>
          <w:sz w:val="22"/>
          <w:szCs w:val="22"/>
          <w:shd w:val="clear" w:color="auto" w:fill="FEFEFE"/>
        </w:rPr>
        <w:t>Beowulf</w:t>
      </w:r>
      <w:r w:rsidRPr="00437F20">
        <w:rPr>
          <w:rFonts w:asciiTheme="majorHAnsi" w:hAnsiTheme="majorHAnsi" w:cstheme="majorHAnsi"/>
          <w:color w:val="0A0A0A"/>
          <w:sz w:val="22"/>
          <w:szCs w:val="22"/>
          <w:shd w:val="clear" w:color="auto" w:fill="FEFEFE"/>
        </w:rPr>
        <w:t> as Pre-</w:t>
      </w:r>
      <w:r w:rsidRPr="00100DB2">
        <w:rPr>
          <w:rFonts w:asciiTheme="majorHAnsi" w:hAnsiTheme="majorHAnsi" w:cstheme="majorHAnsi"/>
          <w:sz w:val="22"/>
          <w:szCs w:val="22"/>
          <w:shd w:val="clear" w:color="auto" w:fill="FEFEFE"/>
        </w:rPr>
        <w:t xml:space="preserve">National Epic: Ethnocentrism in the Poem and its Criticism.’ </w:t>
      </w:r>
      <w:r w:rsidRPr="00100DB2">
        <w:rPr>
          <w:rFonts w:asciiTheme="majorHAnsi" w:hAnsiTheme="majorHAnsi" w:cstheme="majorHAnsi"/>
          <w:i/>
          <w:iCs/>
          <w:sz w:val="22"/>
          <w:szCs w:val="22"/>
          <w:shd w:val="clear" w:color="auto" w:fill="FEFEFE"/>
        </w:rPr>
        <w:t>ELH</w:t>
      </w:r>
      <w:r w:rsidRPr="00100DB2">
        <w:rPr>
          <w:rFonts w:asciiTheme="majorHAnsi" w:hAnsiTheme="majorHAnsi" w:cstheme="majorHAnsi"/>
          <w:sz w:val="22"/>
          <w:szCs w:val="22"/>
          <w:shd w:val="clear" w:color="auto" w:fill="FEFEFE"/>
        </w:rPr>
        <w:t>, Vol. 85.4 (2018) p.847-875</w:t>
      </w:r>
    </w:p>
    <w:p w14:paraId="2F349F99" w14:textId="77777777" w:rsidR="00481B2D" w:rsidRPr="00100DB2" w:rsidRDefault="00481B2D" w:rsidP="00DC4560">
      <w:pPr>
        <w:pStyle w:val="FootnoteText"/>
        <w:rPr>
          <w:rFonts w:asciiTheme="majorHAnsi" w:hAnsiTheme="majorHAnsi" w:cstheme="majorHAnsi"/>
          <w:sz w:val="22"/>
          <w:szCs w:val="22"/>
          <w:shd w:val="clear" w:color="auto" w:fill="FEFEFE"/>
        </w:rPr>
      </w:pPr>
    </w:p>
    <w:p w14:paraId="48589E90" w14:textId="09EDF067" w:rsidR="00FC6187" w:rsidRPr="00100DB2" w:rsidRDefault="00FC6187" w:rsidP="00DC4560">
      <w:pPr>
        <w:pStyle w:val="FootnoteText"/>
        <w:rPr>
          <w:rFonts w:asciiTheme="majorHAnsi" w:hAnsiTheme="majorHAnsi" w:cstheme="majorHAnsi"/>
          <w:sz w:val="22"/>
          <w:szCs w:val="22"/>
          <w:shd w:val="clear" w:color="auto" w:fill="FEFEFE"/>
        </w:rPr>
      </w:pPr>
      <w:r w:rsidRPr="00100DB2">
        <w:rPr>
          <w:rFonts w:asciiTheme="majorHAnsi" w:hAnsiTheme="majorHAnsi" w:cstheme="majorHAnsi"/>
          <w:sz w:val="22"/>
          <w:szCs w:val="22"/>
          <w:shd w:val="clear" w:color="auto" w:fill="FFFFFF"/>
        </w:rPr>
        <w:t>Neidorf, Leonard. "Wealhtheow and Her Name: Etymology, Characterization, and Textual Criticism." </w:t>
      </w:r>
      <w:r w:rsidRPr="00100DB2">
        <w:rPr>
          <w:rFonts w:asciiTheme="majorHAnsi" w:hAnsiTheme="majorHAnsi" w:cstheme="majorHAnsi"/>
          <w:i/>
          <w:iCs/>
          <w:sz w:val="22"/>
          <w:szCs w:val="22"/>
          <w:shd w:val="clear" w:color="auto" w:fill="FFFFFF"/>
        </w:rPr>
        <w:t>Neophilologus</w:t>
      </w:r>
      <w:r w:rsidRPr="00100DB2">
        <w:rPr>
          <w:rFonts w:asciiTheme="majorHAnsi" w:hAnsiTheme="majorHAnsi" w:cstheme="majorHAnsi"/>
          <w:sz w:val="22"/>
          <w:szCs w:val="22"/>
          <w:shd w:val="clear" w:color="auto" w:fill="FFFFFF"/>
        </w:rPr>
        <w:t> 102.1 (2018) p.75-89</w:t>
      </w:r>
    </w:p>
    <w:p w14:paraId="406D1AA7" w14:textId="77777777" w:rsidR="00EB7166" w:rsidRPr="00100DB2" w:rsidRDefault="00EB7166" w:rsidP="00DC4560">
      <w:pPr>
        <w:pStyle w:val="FootnoteText"/>
        <w:rPr>
          <w:rFonts w:asciiTheme="majorHAnsi" w:hAnsiTheme="majorHAnsi" w:cstheme="majorHAnsi"/>
          <w:sz w:val="22"/>
          <w:szCs w:val="22"/>
        </w:rPr>
      </w:pPr>
    </w:p>
    <w:p w14:paraId="4834491E" w14:textId="18E5E96E" w:rsidR="00FC6187" w:rsidRDefault="00D201CD" w:rsidP="00DC4560">
      <w:pPr>
        <w:pStyle w:val="FootnoteText"/>
        <w:rPr>
          <w:rFonts w:asciiTheme="majorHAnsi" w:hAnsiTheme="majorHAnsi" w:cstheme="majorHAnsi"/>
          <w:sz w:val="22"/>
          <w:szCs w:val="22"/>
        </w:rPr>
      </w:pPr>
      <w:r w:rsidRPr="00100DB2">
        <w:rPr>
          <w:rFonts w:asciiTheme="majorHAnsi" w:hAnsiTheme="majorHAnsi" w:cstheme="majorHAnsi"/>
          <w:sz w:val="22"/>
          <w:szCs w:val="22"/>
        </w:rPr>
        <w:t>Niles, John</w:t>
      </w:r>
      <w:r w:rsidR="00C7602B" w:rsidRPr="00100DB2">
        <w:rPr>
          <w:rFonts w:asciiTheme="majorHAnsi" w:hAnsiTheme="majorHAnsi" w:cstheme="majorHAnsi"/>
          <w:sz w:val="22"/>
          <w:szCs w:val="22"/>
        </w:rPr>
        <w:t>.</w:t>
      </w:r>
      <w:r w:rsidRPr="00100DB2">
        <w:rPr>
          <w:rFonts w:asciiTheme="majorHAnsi" w:hAnsiTheme="majorHAnsi" w:cstheme="majorHAnsi"/>
          <w:sz w:val="22"/>
          <w:szCs w:val="22"/>
        </w:rPr>
        <w:t xml:space="preserve"> ‘Locating Beowulf in Literary History’ in Joy, A. Eileen &amp; Mary K. Ramsay</w:t>
      </w:r>
      <w:r w:rsidRPr="00100DB2">
        <w:rPr>
          <w:rFonts w:asciiTheme="majorHAnsi" w:hAnsiTheme="majorHAnsi" w:cstheme="majorHAnsi"/>
          <w:i/>
          <w:iCs/>
          <w:sz w:val="22"/>
          <w:szCs w:val="22"/>
        </w:rPr>
        <w:t xml:space="preserve"> The Postmodern Beowulf: A Critical Casebook</w:t>
      </w:r>
      <w:r w:rsidRPr="00100DB2">
        <w:rPr>
          <w:rFonts w:asciiTheme="majorHAnsi" w:hAnsiTheme="majorHAnsi" w:cstheme="majorHAnsi"/>
          <w:sz w:val="22"/>
          <w:szCs w:val="22"/>
        </w:rPr>
        <w:t xml:space="preserve"> (Morgantown: West Virginia University Press, 2007) </w:t>
      </w:r>
    </w:p>
    <w:p w14:paraId="200B367A" w14:textId="77777777" w:rsidR="00C41290" w:rsidRDefault="00C41290" w:rsidP="00DC4560">
      <w:pPr>
        <w:pStyle w:val="FootnoteText"/>
        <w:rPr>
          <w:rFonts w:asciiTheme="majorHAnsi" w:hAnsiTheme="majorHAnsi" w:cstheme="majorHAnsi"/>
          <w:sz w:val="22"/>
          <w:szCs w:val="22"/>
        </w:rPr>
      </w:pPr>
    </w:p>
    <w:p w14:paraId="6935BBD0" w14:textId="0439DCC1" w:rsidR="00C41290" w:rsidRPr="009B6EB9" w:rsidRDefault="00C41290" w:rsidP="00DC4560">
      <w:pPr>
        <w:pStyle w:val="FootnoteText"/>
        <w:rPr>
          <w:rFonts w:asciiTheme="majorHAnsi" w:hAnsiTheme="majorHAnsi" w:cstheme="majorHAnsi"/>
          <w:sz w:val="22"/>
          <w:szCs w:val="22"/>
        </w:rPr>
      </w:pPr>
      <w:r w:rsidRPr="009B6EB9">
        <w:rPr>
          <w:rFonts w:asciiTheme="majorHAnsi" w:hAnsiTheme="majorHAnsi" w:cstheme="majorHAnsi"/>
          <w:sz w:val="22"/>
          <w:szCs w:val="22"/>
        </w:rPr>
        <w:t xml:space="preserve">North, Richard. ‘Thryth and the Reign of Offa’ in </w:t>
      </w:r>
      <w:r w:rsidRPr="009B6EB9">
        <w:rPr>
          <w:rFonts w:asciiTheme="majorHAnsi" w:hAnsiTheme="majorHAnsi" w:cstheme="majorHAnsi"/>
          <w:i/>
          <w:sz w:val="22"/>
          <w:szCs w:val="22"/>
        </w:rPr>
        <w:t>The Origins of Beowulf: From Virgil to Wiglaf</w:t>
      </w:r>
      <w:r w:rsidRPr="009B6EB9">
        <w:rPr>
          <w:rFonts w:asciiTheme="majorHAnsi" w:hAnsiTheme="majorHAnsi" w:cstheme="majorHAnsi"/>
          <w:sz w:val="22"/>
          <w:szCs w:val="22"/>
        </w:rPr>
        <w:t xml:space="preserve"> (Oxford: OUP, 2007)  </w:t>
      </w:r>
    </w:p>
    <w:p w14:paraId="7A1B76D4" w14:textId="09677BA9" w:rsidR="00FA265B" w:rsidRPr="00437F20" w:rsidRDefault="00FA265B" w:rsidP="00DC4560">
      <w:pPr>
        <w:pStyle w:val="FootnoteText"/>
        <w:rPr>
          <w:rFonts w:asciiTheme="majorHAnsi" w:hAnsiTheme="majorHAnsi" w:cstheme="majorHAnsi"/>
          <w:sz w:val="22"/>
          <w:szCs w:val="22"/>
        </w:rPr>
      </w:pPr>
    </w:p>
    <w:p w14:paraId="5A4788C2" w14:textId="216DD2DF" w:rsidR="0045632A" w:rsidRPr="00437F20" w:rsidRDefault="0045632A" w:rsidP="00DC4560">
      <w:pPr>
        <w:pStyle w:val="FootnoteText"/>
        <w:rPr>
          <w:rFonts w:asciiTheme="majorHAnsi" w:hAnsiTheme="majorHAnsi" w:cstheme="majorHAnsi"/>
          <w:sz w:val="22"/>
          <w:szCs w:val="22"/>
        </w:rPr>
      </w:pPr>
      <w:r w:rsidRPr="00437F20">
        <w:rPr>
          <w:rFonts w:asciiTheme="majorHAnsi" w:hAnsiTheme="majorHAnsi" w:cstheme="majorHAnsi"/>
          <w:sz w:val="22"/>
          <w:szCs w:val="22"/>
          <w:lang w:val="en-US" w:eastAsia="en-GB"/>
        </w:rPr>
        <w:t xml:space="preserve">Olesiejko, Jacek. “Wealtheow’s Peace Weaving: Diegesis and Genealogy Of Gender in Beowulf.” </w:t>
      </w:r>
      <w:r w:rsidRPr="00437F20">
        <w:rPr>
          <w:rFonts w:asciiTheme="majorHAnsi" w:hAnsiTheme="majorHAnsi" w:cstheme="majorHAnsi"/>
          <w:i/>
          <w:sz w:val="22"/>
          <w:szCs w:val="22"/>
          <w:lang w:val="en-US" w:eastAsia="en-GB"/>
        </w:rPr>
        <w:t>Studiea Anglica Posnaniensia</w:t>
      </w:r>
      <w:r w:rsidRPr="00437F20">
        <w:rPr>
          <w:rFonts w:asciiTheme="majorHAnsi" w:hAnsiTheme="majorHAnsi" w:cstheme="majorHAnsi"/>
          <w:sz w:val="22"/>
          <w:szCs w:val="22"/>
          <w:lang w:val="en-US" w:eastAsia="en-GB"/>
        </w:rPr>
        <w:t xml:space="preserve"> 49.1 (2014) </w:t>
      </w:r>
      <w:r w:rsidR="00100DB2">
        <w:rPr>
          <w:rFonts w:asciiTheme="majorHAnsi" w:hAnsiTheme="majorHAnsi" w:cstheme="majorHAnsi"/>
          <w:sz w:val="22"/>
          <w:szCs w:val="22"/>
          <w:lang w:val="en-US" w:eastAsia="en-GB"/>
        </w:rPr>
        <w:t>p.</w:t>
      </w:r>
      <w:r w:rsidRPr="00437F20">
        <w:rPr>
          <w:rFonts w:asciiTheme="majorHAnsi" w:hAnsiTheme="majorHAnsi" w:cstheme="majorHAnsi"/>
          <w:sz w:val="22"/>
          <w:szCs w:val="22"/>
          <w:lang w:val="en-US" w:eastAsia="en-GB"/>
        </w:rPr>
        <w:t>103-123</w:t>
      </w:r>
    </w:p>
    <w:p w14:paraId="56E48D00" w14:textId="77777777" w:rsidR="00086508" w:rsidRPr="00437F20" w:rsidRDefault="00086508" w:rsidP="00FA265B">
      <w:pPr>
        <w:spacing w:line="240" w:lineRule="auto"/>
        <w:rPr>
          <w:rFonts w:asciiTheme="majorHAnsi" w:hAnsiTheme="majorHAnsi" w:cstheme="majorHAnsi"/>
        </w:rPr>
      </w:pPr>
    </w:p>
    <w:p w14:paraId="1B720B82" w14:textId="28DF1588" w:rsidR="008561CC" w:rsidRDefault="00FA265B" w:rsidP="00FA265B">
      <w:pPr>
        <w:spacing w:line="240" w:lineRule="auto"/>
        <w:rPr>
          <w:rFonts w:asciiTheme="majorHAnsi" w:hAnsiTheme="majorHAnsi" w:cstheme="majorHAnsi"/>
          <w:shd w:val="clear" w:color="auto" w:fill="FFFFFF"/>
        </w:rPr>
      </w:pPr>
      <w:r w:rsidRPr="00437F20">
        <w:rPr>
          <w:rFonts w:asciiTheme="majorHAnsi" w:hAnsiTheme="majorHAnsi" w:cstheme="majorHAnsi"/>
        </w:rPr>
        <w:t xml:space="preserve">Overing. Gillian. </w:t>
      </w:r>
      <w:r w:rsidRPr="00437F20">
        <w:rPr>
          <w:rFonts w:asciiTheme="majorHAnsi" w:eastAsia="Times New Roman" w:hAnsiTheme="majorHAnsi" w:cstheme="majorHAnsi"/>
          <w:bCs/>
          <w:i/>
          <w:kern w:val="36"/>
          <w:lang w:eastAsia="en-GB"/>
        </w:rPr>
        <w:t>Language, Sign, and Gender in Beowulf</w:t>
      </w:r>
      <w:r w:rsidRPr="00437F20">
        <w:rPr>
          <w:rFonts w:asciiTheme="majorHAnsi" w:eastAsia="Times New Roman" w:hAnsiTheme="majorHAnsi" w:cstheme="majorHAnsi"/>
          <w:bCs/>
          <w:kern w:val="36"/>
          <w:lang w:eastAsia="en-GB"/>
        </w:rPr>
        <w:t> </w:t>
      </w:r>
      <w:r w:rsidRPr="00437F20">
        <w:rPr>
          <w:rFonts w:asciiTheme="majorHAnsi" w:hAnsiTheme="majorHAnsi" w:cstheme="majorHAnsi"/>
        </w:rPr>
        <w:t xml:space="preserve">(Illinois: </w:t>
      </w:r>
      <w:r w:rsidRPr="00437F20">
        <w:rPr>
          <w:rFonts w:asciiTheme="majorHAnsi" w:hAnsiTheme="majorHAnsi" w:cstheme="majorHAnsi"/>
          <w:shd w:val="clear" w:color="auto" w:fill="FFFFFF"/>
        </w:rPr>
        <w:t xml:space="preserve">Southern Illinois University Press, 1990) </w:t>
      </w:r>
    </w:p>
    <w:p w14:paraId="01302D7B" w14:textId="608E5090" w:rsidR="008561CC" w:rsidRPr="008561CC" w:rsidRDefault="008561CC" w:rsidP="00FA265B">
      <w:pPr>
        <w:spacing w:line="240" w:lineRule="auto"/>
        <w:rPr>
          <w:rFonts w:asciiTheme="majorHAnsi" w:hAnsiTheme="majorHAnsi" w:cstheme="majorHAnsi"/>
          <w:shd w:val="clear" w:color="auto" w:fill="FFFFFF"/>
        </w:rPr>
      </w:pPr>
      <w:r w:rsidRPr="008561CC">
        <w:rPr>
          <w:rFonts w:asciiTheme="majorHAnsi" w:hAnsiTheme="majorHAnsi" w:cstheme="majorHAnsi"/>
        </w:rPr>
        <w:t>Parkes</w:t>
      </w:r>
      <w:r>
        <w:rPr>
          <w:rFonts w:asciiTheme="majorHAnsi" w:hAnsiTheme="majorHAnsi" w:cstheme="majorHAnsi"/>
        </w:rPr>
        <w:t>,</w:t>
      </w:r>
      <w:r w:rsidRPr="008561CC">
        <w:rPr>
          <w:rFonts w:asciiTheme="majorHAnsi" w:hAnsiTheme="majorHAnsi" w:cstheme="majorHAnsi"/>
        </w:rPr>
        <w:t xml:space="preserve"> Peter. “Celtic Fosterage: Adoptive Kinship and Clientage in Northwest Europe” </w:t>
      </w:r>
      <w:r w:rsidRPr="008561CC">
        <w:rPr>
          <w:rFonts w:asciiTheme="majorHAnsi" w:hAnsiTheme="majorHAnsi" w:cstheme="majorHAnsi"/>
          <w:i/>
        </w:rPr>
        <w:t>Comparative Studies in Society and History</w:t>
      </w:r>
      <w:r w:rsidRPr="008561CC">
        <w:rPr>
          <w:rFonts w:asciiTheme="majorHAnsi" w:hAnsiTheme="majorHAnsi" w:cstheme="majorHAnsi"/>
        </w:rPr>
        <w:t xml:space="preserve"> Vol.48.2 (2006) p.359-</w:t>
      </w:r>
      <w:r>
        <w:rPr>
          <w:rFonts w:asciiTheme="majorHAnsi" w:hAnsiTheme="majorHAnsi" w:cstheme="majorHAnsi"/>
        </w:rPr>
        <w:t>395</w:t>
      </w:r>
    </w:p>
    <w:p w14:paraId="1D097A40" w14:textId="694D90FD" w:rsidR="00267517" w:rsidRPr="00054306" w:rsidRDefault="00054306" w:rsidP="00FA265B">
      <w:pPr>
        <w:spacing w:line="240" w:lineRule="auto"/>
        <w:rPr>
          <w:rFonts w:asciiTheme="majorHAnsi" w:hAnsiTheme="majorHAnsi" w:cstheme="majorHAnsi"/>
          <w:shd w:val="clear" w:color="auto" w:fill="FFFFFF"/>
        </w:rPr>
      </w:pPr>
      <w:r w:rsidRPr="00054306">
        <w:rPr>
          <w:rFonts w:asciiTheme="majorHAnsi" w:hAnsiTheme="majorHAnsi" w:cstheme="majorHAnsi"/>
        </w:rPr>
        <w:t xml:space="preserve">Parkes, Peter. “Fosterage, Kinship, and Legend: When Milk Was Thicker than Blood?” </w:t>
      </w:r>
      <w:r w:rsidRPr="00054306">
        <w:rPr>
          <w:rFonts w:asciiTheme="majorHAnsi" w:hAnsiTheme="majorHAnsi" w:cstheme="majorHAnsi"/>
          <w:i/>
        </w:rPr>
        <w:t>Comparative Studies in Society and History</w:t>
      </w:r>
      <w:r w:rsidRPr="00054306">
        <w:rPr>
          <w:rFonts w:asciiTheme="majorHAnsi" w:hAnsiTheme="majorHAnsi" w:cstheme="majorHAnsi"/>
        </w:rPr>
        <w:t xml:space="preserve"> Vol.46.3 (2004)</w:t>
      </w:r>
      <w:r>
        <w:rPr>
          <w:rFonts w:asciiTheme="majorHAnsi" w:hAnsiTheme="majorHAnsi" w:cstheme="majorHAnsi"/>
        </w:rPr>
        <w:t xml:space="preserve"> p.587-615</w:t>
      </w:r>
    </w:p>
    <w:p w14:paraId="0FA3AD96" w14:textId="25581E6F" w:rsidR="00267517" w:rsidRPr="00AF6B8A" w:rsidRDefault="00267517" w:rsidP="00FA265B">
      <w:pPr>
        <w:spacing w:line="240" w:lineRule="auto"/>
        <w:rPr>
          <w:rFonts w:asciiTheme="majorHAnsi" w:hAnsiTheme="majorHAnsi" w:cstheme="majorHAnsi"/>
          <w:shd w:val="clear" w:color="auto" w:fill="FFFFFF"/>
        </w:rPr>
      </w:pPr>
      <w:r w:rsidRPr="00AF6B8A">
        <w:rPr>
          <w:rFonts w:asciiTheme="majorHAnsi" w:hAnsiTheme="majorHAnsi" w:cstheme="majorHAnsi"/>
        </w:rPr>
        <w:t xml:space="preserve">Phillpotts, Bertha S. ‘Wyrd and Providence in Anglo-Saxon Thought’ in </w:t>
      </w:r>
      <w:r w:rsidRPr="00AF6B8A">
        <w:rPr>
          <w:rFonts w:asciiTheme="majorHAnsi" w:hAnsiTheme="majorHAnsi" w:cstheme="majorHAnsi"/>
          <w:i/>
        </w:rPr>
        <w:t xml:space="preserve">Interpretations of Beowulf: A Critical Anthology  </w:t>
      </w:r>
      <w:r w:rsidRPr="00AF6B8A">
        <w:rPr>
          <w:rFonts w:asciiTheme="majorHAnsi" w:hAnsiTheme="majorHAnsi" w:cstheme="majorHAnsi"/>
        </w:rPr>
        <w:t>ed. by R.D. Fulk (Indiana: Indiana University Press, 1991)</w:t>
      </w:r>
    </w:p>
    <w:p w14:paraId="642F9E16" w14:textId="77777777" w:rsidR="00D201CD" w:rsidRPr="00437F20" w:rsidRDefault="00D201CD" w:rsidP="00DC4560">
      <w:pPr>
        <w:pStyle w:val="FootnoteText"/>
        <w:rPr>
          <w:rFonts w:asciiTheme="majorHAnsi" w:hAnsiTheme="majorHAnsi" w:cstheme="majorHAnsi"/>
          <w:sz w:val="22"/>
          <w:szCs w:val="22"/>
        </w:rPr>
      </w:pPr>
    </w:p>
    <w:p w14:paraId="3ADE197A" w14:textId="5CA429E1" w:rsidR="00B752A7" w:rsidRPr="00437F20" w:rsidRDefault="00B752A7" w:rsidP="008B60CB">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Raffel, Burton, and Alexandra Hennessey Olsen, eds. </w:t>
      </w:r>
      <w:r w:rsidRPr="00437F20">
        <w:rPr>
          <w:rFonts w:asciiTheme="majorHAnsi" w:hAnsiTheme="majorHAnsi" w:cstheme="majorHAnsi"/>
          <w:i/>
          <w:iCs/>
          <w:sz w:val="22"/>
          <w:szCs w:val="22"/>
        </w:rPr>
        <w:t>Poems and Prose from the Old English</w:t>
      </w:r>
      <w:r w:rsidRPr="00437F20">
        <w:rPr>
          <w:rFonts w:asciiTheme="majorHAnsi" w:hAnsiTheme="majorHAnsi" w:cstheme="majorHAnsi"/>
          <w:sz w:val="22"/>
          <w:szCs w:val="22"/>
        </w:rPr>
        <w:t>. (New Haven: Yale University Press, 1998)</w:t>
      </w:r>
    </w:p>
    <w:p w14:paraId="6D3F0650" w14:textId="77777777" w:rsidR="00B752A7" w:rsidRPr="00437F20" w:rsidRDefault="00B752A7" w:rsidP="008B60CB">
      <w:pPr>
        <w:pStyle w:val="FootnoteText"/>
        <w:rPr>
          <w:rFonts w:asciiTheme="majorHAnsi" w:hAnsiTheme="majorHAnsi" w:cstheme="majorHAnsi"/>
          <w:sz w:val="22"/>
          <w:szCs w:val="22"/>
        </w:rPr>
      </w:pPr>
    </w:p>
    <w:p w14:paraId="32A1AE84" w14:textId="75843DAD" w:rsidR="00DC4560" w:rsidRPr="00437F20" w:rsidRDefault="00DC4560" w:rsidP="008B60CB">
      <w:pPr>
        <w:pStyle w:val="FootnoteText"/>
        <w:rPr>
          <w:rFonts w:asciiTheme="majorHAnsi" w:hAnsiTheme="majorHAnsi" w:cstheme="majorHAnsi"/>
          <w:sz w:val="22"/>
          <w:szCs w:val="22"/>
        </w:rPr>
      </w:pPr>
      <w:r w:rsidRPr="00437F20">
        <w:rPr>
          <w:rFonts w:asciiTheme="majorHAnsi" w:hAnsiTheme="majorHAnsi" w:cstheme="majorHAnsi"/>
          <w:sz w:val="22"/>
          <w:szCs w:val="22"/>
        </w:rPr>
        <w:t>Remein, Daniel C. ‘Locating Beowulf’, in Meyer, Thomas</w:t>
      </w:r>
      <w:r w:rsidRPr="00437F20">
        <w:rPr>
          <w:rFonts w:asciiTheme="majorHAnsi" w:hAnsiTheme="majorHAnsi" w:cstheme="majorHAnsi"/>
          <w:i/>
          <w:iCs/>
          <w:sz w:val="22"/>
          <w:szCs w:val="22"/>
        </w:rPr>
        <w:t xml:space="preserve"> Beowulf: A Translation</w:t>
      </w:r>
      <w:r w:rsidRPr="00437F20">
        <w:rPr>
          <w:rFonts w:asciiTheme="majorHAnsi" w:hAnsiTheme="majorHAnsi" w:cstheme="majorHAnsi"/>
          <w:sz w:val="22"/>
          <w:szCs w:val="22"/>
        </w:rPr>
        <w:t>, (New York: Punctum Books, 2012)</w:t>
      </w:r>
    </w:p>
    <w:p w14:paraId="201C3CFA" w14:textId="38435BFC" w:rsidR="0054770E" w:rsidRPr="00437F20" w:rsidRDefault="0054770E" w:rsidP="0054770E">
      <w:pPr>
        <w:pStyle w:val="FootnoteText"/>
        <w:rPr>
          <w:rFonts w:asciiTheme="majorHAnsi" w:hAnsiTheme="majorHAnsi" w:cstheme="majorHAnsi"/>
          <w:sz w:val="22"/>
          <w:szCs w:val="22"/>
        </w:rPr>
      </w:pPr>
    </w:p>
    <w:p w14:paraId="722E5362" w14:textId="526ABB15" w:rsidR="005D08F1" w:rsidRPr="00437F20" w:rsidRDefault="001E10B8" w:rsidP="0054770E">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Scragg</w:t>
      </w:r>
      <w:r>
        <w:rPr>
          <w:rFonts w:asciiTheme="majorHAnsi" w:hAnsiTheme="majorHAnsi" w:cstheme="majorHAnsi"/>
          <w:sz w:val="22"/>
          <w:szCs w:val="22"/>
          <w:shd w:val="clear" w:color="auto" w:fill="FFFFFF"/>
        </w:rPr>
        <w:t>,</w:t>
      </w:r>
      <w:r w:rsidRPr="00437F20">
        <w:rPr>
          <w:rFonts w:asciiTheme="majorHAnsi" w:hAnsiTheme="majorHAnsi" w:cstheme="majorHAnsi"/>
          <w:sz w:val="22"/>
          <w:szCs w:val="22"/>
          <w:shd w:val="clear" w:color="auto" w:fill="FFFFFF"/>
        </w:rPr>
        <w:t xml:space="preserve"> </w:t>
      </w:r>
      <w:r w:rsidR="005D08F1" w:rsidRPr="00437F20">
        <w:rPr>
          <w:rFonts w:asciiTheme="majorHAnsi" w:hAnsiTheme="majorHAnsi" w:cstheme="majorHAnsi"/>
          <w:sz w:val="22"/>
          <w:szCs w:val="22"/>
          <w:shd w:val="clear" w:color="auto" w:fill="FFFFFF"/>
        </w:rPr>
        <w:t xml:space="preserve">Donald G. </w:t>
      </w:r>
      <w:r w:rsidR="005D08F1" w:rsidRPr="00437F20">
        <w:rPr>
          <w:rFonts w:asciiTheme="majorHAnsi" w:hAnsiTheme="majorHAnsi" w:cstheme="majorHAnsi"/>
          <w:i/>
          <w:iCs/>
          <w:sz w:val="22"/>
          <w:szCs w:val="22"/>
          <w:shd w:val="clear" w:color="auto" w:fill="FFFFFF"/>
        </w:rPr>
        <w:t>The Battle of Maldon, AD 991</w:t>
      </w:r>
      <w:r w:rsidR="005D08F1" w:rsidRPr="00437F20">
        <w:rPr>
          <w:rFonts w:asciiTheme="majorHAnsi" w:hAnsiTheme="majorHAnsi" w:cstheme="majorHAnsi"/>
          <w:sz w:val="22"/>
          <w:szCs w:val="22"/>
          <w:shd w:val="clear" w:color="auto" w:fill="FFFFFF"/>
        </w:rPr>
        <w:t>. (Oxford: Basil Blackwell in Association with the Manchester Centre for Anglo-Saxon Studies, 1991)</w:t>
      </w:r>
    </w:p>
    <w:p w14:paraId="53668650" w14:textId="77777777" w:rsidR="005D08F1" w:rsidRPr="00437F20" w:rsidRDefault="005D08F1" w:rsidP="0054770E">
      <w:pPr>
        <w:pStyle w:val="FootnoteText"/>
        <w:rPr>
          <w:rFonts w:asciiTheme="majorHAnsi" w:hAnsiTheme="majorHAnsi" w:cstheme="majorHAnsi"/>
          <w:sz w:val="22"/>
          <w:szCs w:val="22"/>
          <w:shd w:val="clear" w:color="auto" w:fill="FFFFFF"/>
        </w:rPr>
      </w:pPr>
    </w:p>
    <w:p w14:paraId="0B2CA439" w14:textId="7641BFC3" w:rsidR="00086508" w:rsidRPr="00437F20" w:rsidRDefault="00086508" w:rsidP="0054770E">
      <w:pPr>
        <w:pStyle w:val="FootnoteText"/>
        <w:rPr>
          <w:rFonts w:asciiTheme="majorHAnsi" w:hAnsiTheme="majorHAnsi" w:cstheme="majorHAnsi"/>
          <w:sz w:val="22"/>
          <w:szCs w:val="22"/>
        </w:rPr>
      </w:pPr>
      <w:r w:rsidRPr="00437F20">
        <w:rPr>
          <w:rFonts w:asciiTheme="majorHAnsi" w:hAnsiTheme="majorHAnsi" w:cstheme="majorHAnsi"/>
          <w:sz w:val="22"/>
          <w:szCs w:val="22"/>
          <w:shd w:val="clear" w:color="auto" w:fill="FFFFFF"/>
        </w:rPr>
        <w:t>Sims, William Rice. "The Battle of Maldon." </w:t>
      </w:r>
      <w:r w:rsidRPr="00437F20">
        <w:rPr>
          <w:rFonts w:asciiTheme="majorHAnsi" w:hAnsiTheme="majorHAnsi" w:cstheme="majorHAnsi"/>
          <w:i/>
          <w:iCs/>
          <w:sz w:val="22"/>
          <w:szCs w:val="22"/>
          <w:shd w:val="clear" w:color="auto" w:fill="FFFFFF"/>
        </w:rPr>
        <w:t>Modern Language Notes</w:t>
      </w:r>
      <w:r w:rsidRPr="00437F20">
        <w:rPr>
          <w:rFonts w:asciiTheme="majorHAnsi" w:hAnsiTheme="majorHAnsi" w:cstheme="majorHAnsi"/>
          <w:sz w:val="22"/>
          <w:szCs w:val="22"/>
          <w:shd w:val="clear" w:color="auto" w:fill="FFFFFF"/>
        </w:rPr>
        <w:t> 7.5 (1892): pp.138-43.</w:t>
      </w:r>
    </w:p>
    <w:p w14:paraId="7B94CEFA" w14:textId="372FA44C" w:rsidR="009A0E03" w:rsidRDefault="009A0E03" w:rsidP="0054770E">
      <w:pPr>
        <w:pStyle w:val="FootnoteText"/>
        <w:rPr>
          <w:rFonts w:asciiTheme="majorHAnsi" w:hAnsiTheme="majorHAnsi" w:cstheme="majorHAnsi"/>
          <w:sz w:val="22"/>
          <w:szCs w:val="22"/>
          <w:shd w:val="clear" w:color="auto" w:fill="FFFFFF"/>
        </w:rPr>
      </w:pPr>
      <w:r w:rsidRPr="00437F20">
        <w:rPr>
          <w:rFonts w:asciiTheme="majorHAnsi" w:hAnsiTheme="majorHAnsi" w:cstheme="majorHAnsi"/>
          <w:sz w:val="22"/>
          <w:szCs w:val="22"/>
          <w:shd w:val="clear" w:color="auto" w:fill="FFFFFF"/>
        </w:rPr>
        <w:t>Stoodley, Nick. "From the Cradle to the Grave: Age Organization and the Early Anglo-Saxon Burial Rite." </w:t>
      </w:r>
      <w:r w:rsidRPr="00437F20">
        <w:rPr>
          <w:rFonts w:asciiTheme="majorHAnsi" w:hAnsiTheme="majorHAnsi" w:cstheme="majorHAnsi"/>
          <w:i/>
          <w:iCs/>
          <w:sz w:val="22"/>
          <w:szCs w:val="22"/>
          <w:shd w:val="clear" w:color="auto" w:fill="FFFFFF"/>
        </w:rPr>
        <w:t>World Archaeology</w:t>
      </w:r>
      <w:r w:rsidRPr="00437F20">
        <w:rPr>
          <w:rFonts w:asciiTheme="majorHAnsi" w:hAnsiTheme="majorHAnsi" w:cstheme="majorHAnsi"/>
          <w:sz w:val="22"/>
          <w:szCs w:val="22"/>
          <w:shd w:val="clear" w:color="auto" w:fill="FFFFFF"/>
        </w:rPr>
        <w:t xml:space="preserve"> 31.3 (2000): </w:t>
      </w:r>
      <w:r w:rsidR="00100DB2">
        <w:rPr>
          <w:rFonts w:asciiTheme="majorHAnsi" w:hAnsiTheme="majorHAnsi" w:cstheme="majorHAnsi"/>
          <w:sz w:val="22"/>
          <w:szCs w:val="22"/>
          <w:shd w:val="clear" w:color="auto" w:fill="FFFFFF"/>
        </w:rPr>
        <w:t>p.</w:t>
      </w:r>
      <w:r w:rsidRPr="00437F20">
        <w:rPr>
          <w:rFonts w:asciiTheme="majorHAnsi" w:hAnsiTheme="majorHAnsi" w:cstheme="majorHAnsi"/>
          <w:sz w:val="22"/>
          <w:szCs w:val="22"/>
          <w:shd w:val="clear" w:color="auto" w:fill="FFFFFF"/>
        </w:rPr>
        <w:t>456-</w:t>
      </w:r>
      <w:r w:rsidR="00100DB2">
        <w:rPr>
          <w:rFonts w:asciiTheme="majorHAnsi" w:hAnsiTheme="majorHAnsi" w:cstheme="majorHAnsi"/>
          <w:sz w:val="22"/>
          <w:szCs w:val="22"/>
          <w:shd w:val="clear" w:color="auto" w:fill="FFFFFF"/>
        </w:rPr>
        <w:t>4</w:t>
      </w:r>
      <w:r w:rsidRPr="00437F20">
        <w:rPr>
          <w:rFonts w:asciiTheme="majorHAnsi" w:hAnsiTheme="majorHAnsi" w:cstheme="majorHAnsi"/>
          <w:sz w:val="22"/>
          <w:szCs w:val="22"/>
          <w:shd w:val="clear" w:color="auto" w:fill="FFFFFF"/>
        </w:rPr>
        <w:t>72</w:t>
      </w:r>
    </w:p>
    <w:p w14:paraId="39BEBBCB" w14:textId="65373FD3" w:rsidR="00C87D70" w:rsidRDefault="00C87D70" w:rsidP="0054770E">
      <w:pPr>
        <w:pStyle w:val="FootnoteText"/>
        <w:rPr>
          <w:rFonts w:asciiTheme="majorHAnsi" w:hAnsiTheme="majorHAnsi" w:cstheme="majorHAnsi"/>
          <w:sz w:val="22"/>
          <w:szCs w:val="22"/>
          <w:shd w:val="clear" w:color="auto" w:fill="FFFFFF"/>
        </w:rPr>
      </w:pPr>
    </w:p>
    <w:p w14:paraId="13985CC5" w14:textId="18A9C94E" w:rsidR="00C87D70" w:rsidRPr="00C87D70" w:rsidRDefault="00C87D70" w:rsidP="0054770E">
      <w:pPr>
        <w:pStyle w:val="FootnoteText"/>
        <w:rPr>
          <w:rFonts w:asciiTheme="majorHAnsi" w:hAnsiTheme="majorHAnsi" w:cstheme="majorHAnsi"/>
          <w:sz w:val="22"/>
          <w:szCs w:val="22"/>
        </w:rPr>
      </w:pPr>
      <w:r w:rsidRPr="00C87D70">
        <w:rPr>
          <w:rFonts w:asciiTheme="majorHAnsi" w:hAnsiTheme="majorHAnsi" w:cstheme="majorHAnsi"/>
          <w:sz w:val="22"/>
          <w:szCs w:val="22"/>
        </w:rPr>
        <w:lastRenderedPageBreak/>
        <w:t>Storms</w:t>
      </w:r>
      <w:r>
        <w:rPr>
          <w:rFonts w:asciiTheme="majorHAnsi" w:hAnsiTheme="majorHAnsi" w:cstheme="majorHAnsi"/>
          <w:sz w:val="22"/>
          <w:szCs w:val="22"/>
        </w:rPr>
        <w:t xml:space="preserve">, </w:t>
      </w:r>
      <w:r w:rsidRPr="00C87D70">
        <w:rPr>
          <w:rFonts w:asciiTheme="majorHAnsi" w:hAnsiTheme="majorHAnsi" w:cstheme="majorHAnsi"/>
          <w:sz w:val="22"/>
          <w:szCs w:val="22"/>
        </w:rPr>
        <w:t>Godfrid</w:t>
      </w:r>
      <w:r>
        <w:rPr>
          <w:rFonts w:asciiTheme="majorHAnsi" w:hAnsiTheme="majorHAnsi" w:cstheme="majorHAnsi"/>
          <w:sz w:val="22"/>
          <w:szCs w:val="22"/>
        </w:rPr>
        <w:t>.</w:t>
      </w:r>
      <w:r w:rsidRPr="00C87D70">
        <w:rPr>
          <w:rFonts w:asciiTheme="majorHAnsi" w:hAnsiTheme="majorHAnsi" w:cstheme="majorHAnsi"/>
          <w:sz w:val="22"/>
          <w:szCs w:val="22"/>
        </w:rPr>
        <w:t xml:space="preserve"> “The Author of Beowulf.” </w:t>
      </w:r>
      <w:r w:rsidRPr="00C87D70">
        <w:rPr>
          <w:rFonts w:asciiTheme="majorHAnsi" w:hAnsiTheme="majorHAnsi" w:cstheme="majorHAnsi"/>
          <w:i/>
          <w:iCs/>
          <w:sz w:val="22"/>
          <w:szCs w:val="22"/>
        </w:rPr>
        <w:t>Neuphilologische Mitteilungen</w:t>
      </w:r>
      <w:r w:rsidRPr="00C87D70">
        <w:rPr>
          <w:rFonts w:asciiTheme="majorHAnsi" w:hAnsiTheme="majorHAnsi" w:cstheme="majorHAnsi"/>
          <w:sz w:val="22"/>
          <w:szCs w:val="22"/>
        </w:rPr>
        <w:t xml:space="preserve"> 75.1 (1974)</w:t>
      </w:r>
      <w:r>
        <w:rPr>
          <w:rFonts w:asciiTheme="majorHAnsi" w:hAnsiTheme="majorHAnsi" w:cstheme="majorHAnsi"/>
          <w:sz w:val="22"/>
          <w:szCs w:val="22"/>
        </w:rPr>
        <w:t xml:space="preserve"> p.11-39</w:t>
      </w:r>
    </w:p>
    <w:p w14:paraId="6370C0B5" w14:textId="77777777" w:rsidR="009A0E03" w:rsidRPr="00437F20" w:rsidRDefault="009A0E03" w:rsidP="008B60CB">
      <w:pPr>
        <w:pStyle w:val="FootnoteText"/>
        <w:rPr>
          <w:rFonts w:asciiTheme="majorHAnsi" w:hAnsiTheme="majorHAnsi" w:cstheme="majorHAnsi"/>
          <w:sz w:val="22"/>
          <w:szCs w:val="22"/>
        </w:rPr>
      </w:pPr>
    </w:p>
    <w:p w14:paraId="0C48329A" w14:textId="4E2956D4" w:rsidR="008B60CB" w:rsidRDefault="0054770E" w:rsidP="008B60CB">
      <w:pPr>
        <w:pStyle w:val="FootnoteText"/>
        <w:rPr>
          <w:rFonts w:asciiTheme="majorHAnsi" w:hAnsiTheme="majorHAnsi" w:cstheme="majorHAnsi"/>
          <w:sz w:val="22"/>
          <w:szCs w:val="22"/>
        </w:rPr>
      </w:pPr>
      <w:r w:rsidRPr="00437F20">
        <w:rPr>
          <w:rFonts w:asciiTheme="majorHAnsi" w:hAnsiTheme="majorHAnsi" w:cstheme="majorHAnsi"/>
          <w:sz w:val="22"/>
          <w:szCs w:val="22"/>
        </w:rPr>
        <w:t xml:space="preserve">Swanton, Michael. </w:t>
      </w:r>
      <w:r w:rsidRPr="00437F20">
        <w:rPr>
          <w:rFonts w:asciiTheme="majorHAnsi" w:hAnsiTheme="majorHAnsi" w:cstheme="majorHAnsi"/>
          <w:i/>
          <w:iCs/>
          <w:sz w:val="22"/>
          <w:szCs w:val="22"/>
        </w:rPr>
        <w:t>Beowulf: Revised Edition (Manchester Medieval Studies).</w:t>
      </w:r>
      <w:r w:rsidRPr="00437F20">
        <w:rPr>
          <w:rFonts w:asciiTheme="majorHAnsi" w:hAnsiTheme="majorHAnsi" w:cstheme="majorHAnsi"/>
          <w:sz w:val="22"/>
          <w:szCs w:val="22"/>
        </w:rPr>
        <w:t xml:space="preserve"> (Manchester: Manchester University Press, 1997)</w:t>
      </w:r>
    </w:p>
    <w:p w14:paraId="22F4E15A" w14:textId="77777777" w:rsidR="00C606A7" w:rsidRPr="00437F20" w:rsidRDefault="00C606A7" w:rsidP="008B60CB">
      <w:pPr>
        <w:pStyle w:val="FootnoteText"/>
        <w:rPr>
          <w:rFonts w:asciiTheme="majorHAnsi" w:hAnsiTheme="majorHAnsi" w:cstheme="majorHAnsi"/>
          <w:sz w:val="22"/>
          <w:szCs w:val="22"/>
        </w:rPr>
      </w:pPr>
    </w:p>
    <w:p w14:paraId="451A0A48" w14:textId="77777777" w:rsidR="0054770E" w:rsidRPr="00437F20" w:rsidRDefault="0054770E" w:rsidP="008B60CB">
      <w:pPr>
        <w:pStyle w:val="FootnoteText"/>
        <w:rPr>
          <w:rFonts w:asciiTheme="majorHAnsi" w:hAnsiTheme="majorHAnsi" w:cstheme="majorHAnsi"/>
          <w:sz w:val="22"/>
          <w:szCs w:val="22"/>
        </w:rPr>
      </w:pPr>
    </w:p>
    <w:p w14:paraId="33440CD5" w14:textId="0D93190A" w:rsidR="004671E5" w:rsidRDefault="00224D60" w:rsidP="00491978">
      <w:pPr>
        <w:rPr>
          <w:rFonts w:asciiTheme="majorHAnsi" w:hAnsiTheme="majorHAnsi" w:cstheme="majorHAnsi"/>
        </w:rPr>
      </w:pPr>
      <w:r w:rsidRPr="00437F20">
        <w:rPr>
          <w:rFonts w:asciiTheme="majorHAnsi" w:hAnsiTheme="majorHAnsi" w:cstheme="majorHAnsi"/>
        </w:rPr>
        <w:t xml:space="preserve">Tolkien, J. R. R. and Christian, Tolkien. </w:t>
      </w:r>
      <w:r w:rsidRPr="00437F20">
        <w:rPr>
          <w:rFonts w:asciiTheme="majorHAnsi" w:hAnsiTheme="majorHAnsi" w:cstheme="majorHAnsi"/>
          <w:i/>
          <w:iCs/>
        </w:rPr>
        <w:t>Beowulf: A Translation and Commentary, Together with Sellic Spell</w:t>
      </w:r>
      <w:r w:rsidRPr="00437F20">
        <w:rPr>
          <w:rFonts w:asciiTheme="majorHAnsi" w:hAnsiTheme="majorHAnsi" w:cstheme="majorHAnsi"/>
        </w:rPr>
        <w:t xml:space="preserve"> (London: Harper Collins, 2014)</w:t>
      </w:r>
    </w:p>
    <w:p w14:paraId="5F345DFC" w14:textId="1FA1B864" w:rsidR="004671E5" w:rsidRPr="00AF6B8A" w:rsidRDefault="004671E5" w:rsidP="00491978">
      <w:pPr>
        <w:rPr>
          <w:rFonts w:asciiTheme="majorHAnsi" w:hAnsiTheme="majorHAnsi" w:cstheme="majorHAnsi"/>
        </w:rPr>
      </w:pPr>
      <w:r w:rsidRPr="00AF6B8A">
        <w:rPr>
          <w:rFonts w:asciiTheme="majorHAnsi" w:hAnsiTheme="majorHAnsi" w:cstheme="majorHAnsi"/>
        </w:rPr>
        <w:t>Tolkien J. R. R. ‘</w:t>
      </w:r>
      <w:r w:rsidRPr="00AF6B8A">
        <w:rPr>
          <w:rFonts w:asciiTheme="majorHAnsi" w:hAnsiTheme="majorHAnsi" w:cstheme="majorHAnsi"/>
          <w:i/>
          <w:iCs/>
        </w:rPr>
        <w:t>Beowulf</w:t>
      </w:r>
      <w:r w:rsidRPr="00AF6B8A">
        <w:rPr>
          <w:rFonts w:asciiTheme="majorHAnsi" w:hAnsiTheme="majorHAnsi" w:cstheme="majorHAnsi"/>
        </w:rPr>
        <w:t xml:space="preserve">: The Monsters and the Critics’ in </w:t>
      </w:r>
      <w:r w:rsidRPr="00AF6B8A">
        <w:rPr>
          <w:rFonts w:asciiTheme="majorHAnsi" w:hAnsiTheme="majorHAnsi" w:cstheme="majorHAnsi"/>
          <w:i/>
          <w:iCs/>
        </w:rPr>
        <w:t>The Beowulf Poet: A Collection of Critical Essays</w:t>
      </w:r>
      <w:r w:rsidRPr="00AF6B8A">
        <w:rPr>
          <w:rFonts w:asciiTheme="majorHAnsi" w:hAnsiTheme="majorHAnsi" w:cstheme="majorHAnsi"/>
        </w:rPr>
        <w:t>. by Donald K. Fry (USA: Prentice-Hall Inc., 1968)</w:t>
      </w:r>
    </w:p>
    <w:p w14:paraId="10D9A589" w14:textId="2FEF6D72" w:rsidR="00F441CB" w:rsidRDefault="00F441CB" w:rsidP="00491978">
      <w:pPr>
        <w:rPr>
          <w:rFonts w:asciiTheme="majorHAnsi" w:hAnsiTheme="majorHAnsi" w:cstheme="majorHAnsi"/>
        </w:rPr>
      </w:pPr>
      <w:r w:rsidRPr="00437F20">
        <w:rPr>
          <w:rFonts w:asciiTheme="majorHAnsi" w:hAnsiTheme="majorHAnsi" w:cstheme="majorHAnsi"/>
        </w:rPr>
        <w:t xml:space="preserve">Wallace-Hadrill, John M. “The Bloodfeud of the Franks.” </w:t>
      </w:r>
      <w:r w:rsidRPr="00437F20">
        <w:rPr>
          <w:rFonts w:asciiTheme="majorHAnsi" w:hAnsiTheme="majorHAnsi" w:cstheme="majorHAnsi"/>
          <w:i/>
        </w:rPr>
        <w:t>Bulletin of the John Rylands Library</w:t>
      </w:r>
      <w:r w:rsidRPr="00437F20">
        <w:rPr>
          <w:rFonts w:asciiTheme="majorHAnsi" w:hAnsiTheme="majorHAnsi" w:cstheme="majorHAnsi"/>
        </w:rPr>
        <w:t xml:space="preserve"> 41 (1959) p.459–487</w:t>
      </w:r>
    </w:p>
    <w:p w14:paraId="2EF274A1" w14:textId="19949122" w:rsidR="0023508E" w:rsidRPr="00AF6B8A" w:rsidRDefault="0023508E" w:rsidP="00491978">
      <w:pPr>
        <w:rPr>
          <w:rFonts w:asciiTheme="majorHAnsi" w:hAnsiTheme="majorHAnsi" w:cstheme="majorHAnsi"/>
        </w:rPr>
      </w:pPr>
      <w:r w:rsidRPr="00AF6B8A">
        <w:rPr>
          <w:rFonts w:asciiTheme="majorHAnsi" w:hAnsiTheme="majorHAnsi" w:cstheme="majorHAnsi"/>
        </w:rPr>
        <w:t xml:space="preserve">Whitelock, Dorothy. </w:t>
      </w:r>
      <w:r w:rsidRPr="00AF6B8A">
        <w:rPr>
          <w:rFonts w:asciiTheme="majorHAnsi" w:hAnsiTheme="majorHAnsi" w:cstheme="majorHAnsi"/>
          <w:i/>
          <w:iCs/>
        </w:rPr>
        <w:t>The Audience of Beowulf</w:t>
      </w:r>
      <w:r w:rsidRPr="00AF6B8A">
        <w:rPr>
          <w:rFonts w:asciiTheme="majorHAnsi" w:hAnsiTheme="majorHAnsi" w:cstheme="majorHAnsi"/>
        </w:rPr>
        <w:t xml:space="preserve"> (Oxford: Oxford Univ. Press, 1951)</w:t>
      </w:r>
    </w:p>
    <w:p w14:paraId="1DA355A2" w14:textId="375C4496" w:rsidR="00470C40" w:rsidRPr="00AF6B8A" w:rsidRDefault="00470C40" w:rsidP="00491978">
      <w:pPr>
        <w:rPr>
          <w:rFonts w:asciiTheme="majorHAnsi" w:hAnsiTheme="majorHAnsi" w:cstheme="majorHAnsi"/>
        </w:rPr>
      </w:pPr>
      <w:r w:rsidRPr="00AF6B8A">
        <w:rPr>
          <w:rFonts w:asciiTheme="majorHAnsi" w:hAnsiTheme="majorHAnsi" w:cstheme="majorHAnsi"/>
        </w:rPr>
        <w:t xml:space="preserve">Wrenn. C. L. </w:t>
      </w:r>
      <w:r w:rsidRPr="00AF6B8A">
        <w:rPr>
          <w:rFonts w:asciiTheme="majorHAnsi" w:hAnsiTheme="majorHAnsi" w:cstheme="majorHAnsi"/>
          <w:i/>
          <w:iCs/>
        </w:rPr>
        <w:t>Beowulf with the Finnesburg Fragment</w:t>
      </w:r>
      <w:r w:rsidRPr="00AF6B8A">
        <w:rPr>
          <w:rFonts w:asciiTheme="majorHAnsi" w:hAnsiTheme="majorHAnsi" w:cstheme="majorHAnsi"/>
        </w:rPr>
        <w:t xml:space="preserve">. (Boston, 1953) </w:t>
      </w:r>
    </w:p>
    <w:p w14:paraId="7EEDF082" w14:textId="2E664C8F" w:rsidR="007407F9" w:rsidRPr="00437F20" w:rsidRDefault="007407F9" w:rsidP="00491978">
      <w:pPr>
        <w:rPr>
          <w:rFonts w:asciiTheme="majorHAnsi" w:hAnsiTheme="majorHAnsi" w:cstheme="majorHAnsi"/>
        </w:rPr>
      </w:pPr>
      <w:r w:rsidRPr="00437F20">
        <w:rPr>
          <w:rFonts w:asciiTheme="majorHAnsi" w:hAnsiTheme="majorHAnsi" w:cstheme="majorHAnsi"/>
          <w:bdr w:val="none" w:sz="0" w:space="0" w:color="auto" w:frame="1"/>
          <w:shd w:val="clear" w:color="auto" w:fill="FFFFFF"/>
        </w:rPr>
        <w:t xml:space="preserve">Wrenn. C. L. </w:t>
      </w:r>
      <w:r w:rsidRPr="00437F20">
        <w:rPr>
          <w:rFonts w:asciiTheme="majorHAnsi" w:hAnsiTheme="majorHAnsi" w:cstheme="majorHAnsi"/>
          <w:i/>
          <w:iCs/>
          <w:bdr w:val="none" w:sz="0" w:space="0" w:color="auto" w:frame="1"/>
          <w:shd w:val="clear" w:color="auto" w:fill="FFFFFF"/>
        </w:rPr>
        <w:t>Beowulf: With the Finnesburg Fragment</w:t>
      </w:r>
      <w:r w:rsidRPr="00437F20">
        <w:rPr>
          <w:rFonts w:asciiTheme="majorHAnsi" w:hAnsiTheme="majorHAnsi" w:cstheme="majorHAnsi"/>
          <w:bdr w:val="none" w:sz="0" w:space="0" w:color="auto" w:frame="1"/>
          <w:shd w:val="clear" w:color="auto" w:fill="FFFFFF"/>
        </w:rPr>
        <w:t xml:space="preserve"> (London: George G. Harrap &amp; Co. Ltd., 1958)</w:t>
      </w:r>
    </w:p>
    <w:sectPr w:rsidR="007407F9" w:rsidRPr="00437F2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9BEC6" w14:textId="77777777" w:rsidR="00A858B9" w:rsidRDefault="00A858B9" w:rsidP="00600385">
      <w:pPr>
        <w:spacing w:after="0" w:line="240" w:lineRule="auto"/>
      </w:pPr>
      <w:r>
        <w:separator/>
      </w:r>
    </w:p>
  </w:endnote>
  <w:endnote w:type="continuationSeparator" w:id="0">
    <w:p w14:paraId="749792EE" w14:textId="77777777" w:rsidR="00A858B9" w:rsidRDefault="00A858B9" w:rsidP="00600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altName w:val="Cambria Math"/>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024857"/>
      <w:docPartObj>
        <w:docPartGallery w:val="Page Numbers (Bottom of Page)"/>
        <w:docPartUnique/>
      </w:docPartObj>
    </w:sdtPr>
    <w:sdtEndPr>
      <w:rPr>
        <w:noProof/>
      </w:rPr>
    </w:sdtEndPr>
    <w:sdtContent>
      <w:p w14:paraId="0417F818" w14:textId="49B6606B" w:rsidR="001E34FF" w:rsidRDefault="001E34FF">
        <w:pPr>
          <w:pStyle w:val="Footer"/>
          <w:jc w:val="right"/>
        </w:pPr>
        <w:r>
          <w:fldChar w:fldCharType="begin"/>
        </w:r>
        <w:r>
          <w:instrText xml:space="preserve"> PAGE   \* MERGEFORMAT </w:instrText>
        </w:r>
        <w:r>
          <w:fldChar w:fldCharType="separate"/>
        </w:r>
        <w:r w:rsidR="00B72DCE">
          <w:rPr>
            <w:noProof/>
          </w:rPr>
          <w:t>34</w:t>
        </w:r>
        <w:r>
          <w:rPr>
            <w:noProof/>
          </w:rPr>
          <w:fldChar w:fldCharType="end"/>
        </w:r>
      </w:p>
    </w:sdtContent>
  </w:sdt>
  <w:p w14:paraId="1F68717E" w14:textId="77777777" w:rsidR="001E34FF" w:rsidRDefault="001E3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916E43" w14:textId="77777777" w:rsidR="00A858B9" w:rsidRDefault="00A858B9" w:rsidP="00600385">
      <w:pPr>
        <w:spacing w:after="0" w:line="240" w:lineRule="auto"/>
      </w:pPr>
      <w:r>
        <w:separator/>
      </w:r>
    </w:p>
  </w:footnote>
  <w:footnote w:type="continuationSeparator" w:id="0">
    <w:p w14:paraId="08311F64" w14:textId="77777777" w:rsidR="00A858B9" w:rsidRDefault="00A858B9" w:rsidP="00600385">
      <w:pPr>
        <w:spacing w:after="0" w:line="240" w:lineRule="auto"/>
      </w:pPr>
      <w:r>
        <w:continuationSeparator/>
      </w:r>
    </w:p>
  </w:footnote>
  <w:footnote w:id="1">
    <w:p w14:paraId="6CEC32C4" w14:textId="77777777" w:rsidR="001E34FF" w:rsidRPr="005C536A" w:rsidRDefault="001E34FF" w:rsidP="008A4079">
      <w:pPr>
        <w:pStyle w:val="FootnoteText"/>
      </w:pPr>
      <w:r>
        <w:rPr>
          <w:rStyle w:val="FootnoteReference"/>
        </w:rPr>
        <w:footnoteRef/>
      </w:r>
      <w:r>
        <w:t xml:space="preserve"> Michael Alexander. </w:t>
      </w:r>
      <w:r>
        <w:rPr>
          <w:i/>
          <w:iCs/>
        </w:rPr>
        <w:t>Beowulf: a new verse Translation</w:t>
      </w:r>
      <w:r>
        <w:t>. (London: Penguin Group, 2001). pp.1-2</w:t>
      </w:r>
    </w:p>
  </w:footnote>
  <w:footnote w:id="2">
    <w:p w14:paraId="6CE07161" w14:textId="704E6124" w:rsidR="001E34FF" w:rsidRDefault="001E34FF" w:rsidP="00013E9A">
      <w:pPr>
        <w:pStyle w:val="FootnoteText"/>
      </w:pPr>
      <w:r>
        <w:rPr>
          <w:rStyle w:val="FootnoteReference"/>
        </w:rPr>
        <w:footnoteRef/>
      </w:r>
      <w:r>
        <w:t xml:space="preserve"> </w:t>
      </w:r>
      <w:r w:rsidRPr="008672F7">
        <w:rPr>
          <w:rFonts w:asciiTheme="majorHAnsi" w:hAnsiTheme="majorHAnsi" w:cstheme="majorHAnsi"/>
          <w:bdr w:val="none" w:sz="0" w:space="0" w:color="auto" w:frame="1"/>
          <w:shd w:val="clear" w:color="auto" w:fill="FFFFFF"/>
        </w:rPr>
        <w:t xml:space="preserve">C. L. Wrenn. </w:t>
      </w:r>
      <w:r w:rsidRPr="008672F7">
        <w:rPr>
          <w:rFonts w:asciiTheme="majorHAnsi" w:hAnsiTheme="majorHAnsi" w:cstheme="majorHAnsi"/>
          <w:i/>
          <w:iCs/>
          <w:bdr w:val="none" w:sz="0" w:space="0" w:color="auto" w:frame="1"/>
          <w:shd w:val="clear" w:color="auto" w:fill="FFFFFF"/>
        </w:rPr>
        <w:t>Beowulf, With the Finnesburg Fragment</w:t>
      </w:r>
      <w:r w:rsidRPr="008672F7">
        <w:rPr>
          <w:rFonts w:asciiTheme="majorHAnsi" w:hAnsiTheme="majorHAnsi" w:cstheme="majorHAnsi"/>
          <w:bdr w:val="none" w:sz="0" w:space="0" w:color="auto" w:frame="1"/>
          <w:shd w:val="clear" w:color="auto" w:fill="FFFFFF"/>
        </w:rPr>
        <w:t xml:space="preserve"> (London: George G. Harrap &amp; Co. Ltd., 1958) p.9</w:t>
      </w:r>
      <w:r>
        <w:t>-10/15</w:t>
      </w:r>
    </w:p>
    <w:p w14:paraId="03016FFD" w14:textId="008BAE0E" w:rsidR="001E34FF" w:rsidRDefault="001E34FF" w:rsidP="00013E9A">
      <w:pPr>
        <w:pStyle w:val="FootnoteText"/>
      </w:pPr>
      <w:r>
        <w:t>It is mentioned that there may be two authors, but this is a point of contention between some authors and other editions and analyses fail to mention this; this is why the presence of two authors remains only a possibility, and one which will not be delved in to in this essay.</w:t>
      </w:r>
    </w:p>
    <w:p w14:paraId="7E20A713" w14:textId="48ACA364" w:rsidR="001E34FF" w:rsidRPr="001859C5" w:rsidRDefault="001E34FF" w:rsidP="00013E9A">
      <w:pPr>
        <w:pStyle w:val="FootnoteText"/>
      </w:pPr>
      <w:r>
        <w:t xml:space="preserve">Wrenn’s edition, p.37, also includes further possible locations of writing, introducing the possibility of Mercia as being such a place. However, some of this does seem to be mere speculation and therefore, though it may be entirely possible, could also be false speculation. It seems as though Northumbria still remains the primarily accepted location for the writing of </w:t>
      </w:r>
      <w:r>
        <w:rPr>
          <w:i/>
          <w:iCs/>
        </w:rPr>
        <w:t>Beowulf</w:t>
      </w:r>
      <w:r>
        <w:t>.</w:t>
      </w:r>
    </w:p>
  </w:footnote>
  <w:footnote w:id="3">
    <w:p w14:paraId="5ED57021" w14:textId="77777777" w:rsidR="001E34FF" w:rsidRPr="00600385" w:rsidRDefault="001E34FF" w:rsidP="005E0EF6">
      <w:pPr>
        <w:pStyle w:val="FootnoteText"/>
      </w:pPr>
      <w:r>
        <w:rPr>
          <w:rStyle w:val="FootnoteReference"/>
        </w:rPr>
        <w:footnoteRef/>
      </w:r>
      <w:r>
        <w:t xml:space="preserve"> Daniel C. Remein, ‘Locating Beowulf’ in </w:t>
      </w:r>
      <w:r>
        <w:rPr>
          <w:i/>
          <w:iCs/>
        </w:rPr>
        <w:t>Beowulf: A Translation</w:t>
      </w:r>
      <w:r>
        <w:t>, By Thomas Meyer</w:t>
      </w:r>
      <w:r>
        <w:rPr>
          <w:i/>
          <w:iCs/>
        </w:rPr>
        <w:t xml:space="preserve"> </w:t>
      </w:r>
      <w:r>
        <w:t>(New York: Punctum Books, 2012) p.6</w:t>
      </w:r>
    </w:p>
  </w:footnote>
  <w:footnote w:id="4">
    <w:p w14:paraId="59E810C8" w14:textId="77777777" w:rsidR="001E34FF" w:rsidRPr="008672F7" w:rsidRDefault="001E34FF" w:rsidP="00D27F0B">
      <w:pPr>
        <w:pStyle w:val="FootnoteText"/>
      </w:pPr>
      <w:r w:rsidRPr="008672F7">
        <w:rPr>
          <w:rStyle w:val="FootnoteReference"/>
        </w:rPr>
        <w:footnoteRef/>
      </w:r>
      <w:r w:rsidRPr="008672F7">
        <w:t xml:space="preserve"> </w:t>
      </w:r>
      <w:r w:rsidRPr="008672F7">
        <w:rPr>
          <w:rFonts w:asciiTheme="majorHAnsi" w:hAnsiTheme="majorHAnsi" w:cstheme="majorHAnsi"/>
          <w:bdr w:val="none" w:sz="0" w:space="0" w:color="auto" w:frame="1"/>
          <w:shd w:val="clear" w:color="auto" w:fill="FFFFFF"/>
        </w:rPr>
        <w:t>Wrenn. p.9</w:t>
      </w:r>
    </w:p>
  </w:footnote>
  <w:footnote w:id="5">
    <w:p w14:paraId="0C2BE695" w14:textId="0B39AAF6" w:rsidR="001E34FF" w:rsidRDefault="001E34FF">
      <w:pPr>
        <w:pStyle w:val="FootnoteText"/>
      </w:pPr>
      <w:r>
        <w:rPr>
          <w:rStyle w:val="FootnoteReference"/>
        </w:rPr>
        <w:footnoteRef/>
      </w:r>
      <w:r>
        <w:t xml:space="preserve"> Michael Swanton. </w:t>
      </w:r>
      <w:r>
        <w:rPr>
          <w:i/>
          <w:iCs/>
        </w:rPr>
        <w:t>Beowulf: Revised Edition (Manchester Medieval Studies).</w:t>
      </w:r>
      <w:r>
        <w:t xml:space="preserve"> (Manchester: Manchester University Press, 1997) p.2</w:t>
      </w:r>
    </w:p>
  </w:footnote>
  <w:footnote w:id="6">
    <w:p w14:paraId="3A227CD2" w14:textId="77777777" w:rsidR="001E34FF" w:rsidRDefault="001E34FF" w:rsidP="00820ACB">
      <w:pPr>
        <w:pStyle w:val="FootnoteText"/>
      </w:pPr>
      <w:r>
        <w:rPr>
          <w:rStyle w:val="FootnoteReference"/>
        </w:rPr>
        <w:footnoteRef/>
      </w:r>
      <w:r>
        <w:t xml:space="preserve"> James W. Earl, </w:t>
      </w:r>
      <w:r w:rsidRPr="00E778FF">
        <w:rPr>
          <w:i/>
          <w:iCs/>
        </w:rPr>
        <w:t xml:space="preserve">Thinking About Beowulf </w:t>
      </w:r>
      <w:r>
        <w:t>(Stanford: Stanford University Press, 1994) p.11</w:t>
      </w:r>
    </w:p>
  </w:footnote>
  <w:footnote w:id="7">
    <w:p w14:paraId="581B5BF4" w14:textId="77777777" w:rsidR="001E34FF" w:rsidRPr="00D3485A" w:rsidRDefault="001E34FF" w:rsidP="00820ACB">
      <w:pPr>
        <w:pStyle w:val="FootnoteText"/>
      </w:pPr>
      <w:r>
        <w:rPr>
          <w:rStyle w:val="FootnoteReference"/>
        </w:rPr>
        <w:footnoteRef/>
      </w:r>
      <w:r>
        <w:t xml:space="preserve"> Earl.</w:t>
      </w:r>
    </w:p>
  </w:footnote>
  <w:footnote w:id="8">
    <w:p w14:paraId="1C810BB8" w14:textId="62DC1EA9" w:rsidR="001E34FF" w:rsidRPr="00D201CD" w:rsidRDefault="001E34FF">
      <w:pPr>
        <w:pStyle w:val="FootnoteText"/>
      </w:pPr>
      <w:r>
        <w:rPr>
          <w:rStyle w:val="FootnoteReference"/>
        </w:rPr>
        <w:footnoteRef/>
      </w:r>
      <w:r>
        <w:t xml:space="preserve"> John Niles, ‘Locating Beowulf in Literary History’ in </w:t>
      </w:r>
      <w:r>
        <w:rPr>
          <w:i/>
          <w:iCs/>
        </w:rPr>
        <w:t>The Postmodern Beowulf: A Critical Casebook</w:t>
      </w:r>
      <w:r>
        <w:t>, by Eileen A. Joy &amp; Mary K. Ramsay (Morgantown: West Virginia University Press, 2007) p.143</w:t>
      </w:r>
    </w:p>
  </w:footnote>
  <w:footnote w:id="9">
    <w:p w14:paraId="4FD3983E" w14:textId="02B719C0" w:rsidR="001E34FF" w:rsidRPr="00820ACB" w:rsidRDefault="001E34FF">
      <w:pPr>
        <w:pStyle w:val="FootnoteText"/>
        <w:rPr>
          <w:sz w:val="18"/>
          <w:szCs w:val="18"/>
        </w:rPr>
      </w:pPr>
      <w:r w:rsidRPr="00820ACB">
        <w:rPr>
          <w:rStyle w:val="FootnoteReference"/>
          <w:sz w:val="18"/>
          <w:szCs w:val="18"/>
        </w:rPr>
        <w:footnoteRef/>
      </w:r>
      <w:r w:rsidRPr="00820ACB">
        <w:rPr>
          <w:sz w:val="18"/>
          <w:szCs w:val="18"/>
        </w:rPr>
        <w:t xml:space="preserve"> Leanord Neidorf. ‘</w:t>
      </w:r>
      <w:r w:rsidRPr="00820ACB">
        <w:rPr>
          <w:rFonts w:ascii="Source Sans Pro" w:hAnsi="Source Sans Pro"/>
          <w:i/>
          <w:iCs/>
          <w:color w:val="0A0A0A"/>
          <w:sz w:val="18"/>
          <w:szCs w:val="18"/>
          <w:shd w:val="clear" w:color="auto" w:fill="FEFEFE"/>
        </w:rPr>
        <w:t>Beowulf</w:t>
      </w:r>
      <w:r w:rsidRPr="00820ACB">
        <w:rPr>
          <w:rFonts w:ascii="Source Sans Pro" w:hAnsi="Source Sans Pro"/>
          <w:color w:val="0A0A0A"/>
          <w:sz w:val="18"/>
          <w:szCs w:val="18"/>
          <w:shd w:val="clear" w:color="auto" w:fill="FEFEFE"/>
        </w:rPr>
        <w:t> as Pre-National Epic: Ethnocentrism in the Poem and its Criticism.’</w:t>
      </w:r>
      <w:r>
        <w:rPr>
          <w:rFonts w:ascii="Source Sans Pro" w:hAnsi="Source Sans Pro"/>
          <w:color w:val="0A0A0A"/>
          <w:sz w:val="18"/>
          <w:szCs w:val="18"/>
          <w:shd w:val="clear" w:color="auto" w:fill="FEFEFE"/>
        </w:rPr>
        <w:t xml:space="preserve"> </w:t>
      </w:r>
      <w:r>
        <w:rPr>
          <w:rFonts w:ascii="Source Sans Pro" w:hAnsi="Source Sans Pro"/>
          <w:i/>
          <w:iCs/>
          <w:color w:val="0A0A0A"/>
          <w:sz w:val="18"/>
          <w:szCs w:val="18"/>
          <w:shd w:val="clear" w:color="auto" w:fill="FEFEFE"/>
        </w:rPr>
        <w:t>ELH</w:t>
      </w:r>
      <w:r>
        <w:rPr>
          <w:rFonts w:ascii="Source Sans Pro" w:hAnsi="Source Sans Pro"/>
          <w:color w:val="0A0A0A"/>
          <w:sz w:val="18"/>
          <w:szCs w:val="18"/>
          <w:shd w:val="clear" w:color="auto" w:fill="FEFEFE"/>
        </w:rPr>
        <w:t>, Vol. 85.4 (2018) pp.849-850</w:t>
      </w:r>
    </w:p>
  </w:footnote>
  <w:footnote w:id="10">
    <w:p w14:paraId="5E65A6CF" w14:textId="16A8B360" w:rsidR="001E34FF" w:rsidRPr="00260490" w:rsidRDefault="001E34FF" w:rsidP="00334289">
      <w:pPr>
        <w:pStyle w:val="FootnoteText"/>
        <w:rPr>
          <w:rFonts w:asciiTheme="majorHAnsi" w:hAnsiTheme="majorHAnsi" w:cstheme="majorHAnsi"/>
        </w:rPr>
      </w:pPr>
      <w:r w:rsidRPr="00260490">
        <w:rPr>
          <w:rStyle w:val="FootnoteReference"/>
          <w:rFonts w:asciiTheme="majorHAnsi" w:hAnsiTheme="majorHAnsi" w:cstheme="majorHAnsi"/>
        </w:rPr>
        <w:footnoteRef/>
      </w:r>
      <w:r w:rsidRPr="00260490">
        <w:rPr>
          <w:rFonts w:asciiTheme="majorHAnsi" w:hAnsiTheme="majorHAnsi" w:cstheme="majorHAnsi"/>
        </w:rPr>
        <w:t xml:space="preserve"> </w:t>
      </w:r>
      <w:r>
        <w:rPr>
          <w:rFonts w:asciiTheme="majorHAnsi" w:hAnsiTheme="majorHAnsi" w:cstheme="majorHAnsi"/>
        </w:rPr>
        <w:t xml:space="preserve">John E. </w:t>
      </w:r>
      <w:r w:rsidRPr="00260490">
        <w:rPr>
          <w:rFonts w:asciiTheme="majorHAnsi" w:hAnsiTheme="majorHAnsi" w:cstheme="majorHAnsi"/>
          <w:shd w:val="clear" w:color="auto" w:fill="FFFFFF"/>
        </w:rPr>
        <w:t>Morby. "Anglo-Saxon Kingdoms." </w:t>
      </w:r>
      <w:r w:rsidRPr="00260490">
        <w:rPr>
          <w:rFonts w:asciiTheme="majorHAnsi" w:hAnsiTheme="majorHAnsi" w:cstheme="majorHAnsi"/>
          <w:i/>
          <w:iCs/>
          <w:shd w:val="clear" w:color="auto" w:fill="FFFFFF"/>
        </w:rPr>
        <w:t>Dynasties of the World</w:t>
      </w:r>
      <w:r w:rsidRPr="00260490">
        <w:rPr>
          <w:rFonts w:asciiTheme="majorHAnsi" w:hAnsiTheme="majorHAnsi" w:cstheme="majorHAnsi"/>
          <w:shd w:val="clear" w:color="auto" w:fill="FFFFFF"/>
        </w:rPr>
        <w:t> (2002): Dynasties of the World.</w:t>
      </w:r>
      <w:r>
        <w:rPr>
          <w:rFonts w:asciiTheme="majorHAnsi" w:hAnsiTheme="majorHAnsi" w:cstheme="majorHAnsi"/>
          <w:shd w:val="clear" w:color="auto" w:fill="FFFFFF"/>
        </w:rPr>
        <w:t xml:space="preserve"> (Oxford: </w:t>
      </w:r>
      <w:r w:rsidRPr="00260490">
        <w:rPr>
          <w:rFonts w:asciiTheme="majorHAnsi" w:hAnsiTheme="majorHAnsi" w:cstheme="majorHAnsi"/>
          <w:shd w:val="clear" w:color="auto" w:fill="FFFFFF"/>
        </w:rPr>
        <w:t xml:space="preserve">oxford University Press, 2002) </w:t>
      </w:r>
    </w:p>
  </w:footnote>
  <w:footnote w:id="11">
    <w:p w14:paraId="04CB3864" w14:textId="33A18CA0" w:rsidR="001E34FF" w:rsidRPr="00260490" w:rsidRDefault="001E34FF">
      <w:pPr>
        <w:pStyle w:val="FootnoteText"/>
        <w:rPr>
          <w:rFonts w:asciiTheme="majorHAnsi" w:hAnsiTheme="majorHAnsi" w:cstheme="majorHAnsi"/>
        </w:rPr>
      </w:pPr>
      <w:r w:rsidRPr="00260490">
        <w:rPr>
          <w:rStyle w:val="FootnoteReference"/>
          <w:rFonts w:asciiTheme="majorHAnsi" w:hAnsiTheme="majorHAnsi" w:cstheme="majorHAnsi"/>
        </w:rPr>
        <w:footnoteRef/>
      </w:r>
      <w:r w:rsidRPr="00260490">
        <w:rPr>
          <w:rFonts w:asciiTheme="majorHAnsi" w:hAnsiTheme="majorHAnsi" w:cstheme="majorHAnsi"/>
        </w:rPr>
        <w:t xml:space="preserve"> This isn’t only true for possible literary trends, but also for other societal customs such as burial rites. These differences show that the differences in Anglo-Saxon kingdoms were not only geographical but also societal. Elizebeth Craig-Atkins. ‘Chest burial: A middle Anglo-Saxon funerary rite from northern England.’ </w:t>
      </w:r>
      <w:r w:rsidRPr="00260490">
        <w:rPr>
          <w:rFonts w:asciiTheme="majorHAnsi" w:hAnsiTheme="majorHAnsi" w:cstheme="majorHAnsi"/>
          <w:i/>
          <w:iCs/>
        </w:rPr>
        <w:t>Oxford Journal of Archaeology</w:t>
      </w:r>
      <w:r w:rsidRPr="00260490">
        <w:rPr>
          <w:rFonts w:asciiTheme="majorHAnsi" w:hAnsiTheme="majorHAnsi" w:cstheme="majorHAnsi"/>
        </w:rPr>
        <w:t>, 31</w:t>
      </w:r>
      <w:r>
        <w:rPr>
          <w:rFonts w:asciiTheme="majorHAnsi" w:hAnsiTheme="majorHAnsi" w:cstheme="majorHAnsi"/>
        </w:rPr>
        <w:t>.3 (2012)</w:t>
      </w:r>
      <w:r w:rsidRPr="00260490">
        <w:rPr>
          <w:rFonts w:asciiTheme="majorHAnsi" w:hAnsiTheme="majorHAnsi" w:cstheme="majorHAnsi"/>
        </w:rPr>
        <w:t xml:space="preserve"> pp.317–337</w:t>
      </w:r>
    </w:p>
  </w:footnote>
  <w:footnote w:id="12">
    <w:p w14:paraId="3F00FA11" w14:textId="28D353F9" w:rsidR="001E34FF" w:rsidRPr="00BA19F6" w:rsidRDefault="001E34FF" w:rsidP="00BA19F6">
      <w:pPr>
        <w:spacing w:line="240" w:lineRule="auto"/>
        <w:rPr>
          <w:sz w:val="20"/>
          <w:szCs w:val="20"/>
        </w:rPr>
      </w:pPr>
      <w:r>
        <w:rPr>
          <w:rStyle w:val="FootnoteReference"/>
        </w:rPr>
        <w:footnoteRef/>
      </w:r>
      <w:r w:rsidRPr="004671E5">
        <w:rPr>
          <w:sz w:val="20"/>
          <w:szCs w:val="20"/>
        </w:rPr>
        <w:t>J. R. R.</w:t>
      </w:r>
      <w:r>
        <w:rPr>
          <w:sz w:val="20"/>
          <w:szCs w:val="20"/>
        </w:rPr>
        <w:t xml:space="preserve"> Tolkien</w:t>
      </w:r>
      <w:r w:rsidRPr="004671E5">
        <w:rPr>
          <w:sz w:val="20"/>
          <w:szCs w:val="20"/>
        </w:rPr>
        <w:t xml:space="preserve"> ‘</w:t>
      </w:r>
      <w:r w:rsidRPr="004671E5">
        <w:rPr>
          <w:i/>
          <w:iCs/>
          <w:sz w:val="20"/>
          <w:szCs w:val="20"/>
        </w:rPr>
        <w:t>Beowulf</w:t>
      </w:r>
      <w:r w:rsidRPr="004671E5">
        <w:rPr>
          <w:sz w:val="20"/>
          <w:szCs w:val="20"/>
        </w:rPr>
        <w:t xml:space="preserve">: The Monsters and the Critics’ in </w:t>
      </w:r>
      <w:r w:rsidRPr="004671E5">
        <w:rPr>
          <w:i/>
          <w:iCs/>
          <w:sz w:val="20"/>
          <w:szCs w:val="20"/>
        </w:rPr>
        <w:t>The Beowulf Poet: A Collection of Critical Essays</w:t>
      </w:r>
      <w:r w:rsidRPr="004671E5">
        <w:rPr>
          <w:sz w:val="20"/>
          <w:szCs w:val="20"/>
        </w:rPr>
        <w:t>. by Donald K. Fry (USA: Prentice-Hall Inc., 1968)</w:t>
      </w:r>
    </w:p>
  </w:footnote>
  <w:footnote w:id="13">
    <w:p w14:paraId="046DC1D9" w14:textId="17E8384E" w:rsidR="001E34FF" w:rsidRPr="004671E5" w:rsidRDefault="001E34FF" w:rsidP="004671E5">
      <w:pPr>
        <w:pStyle w:val="FootnoteText"/>
      </w:pPr>
      <w:r>
        <w:rPr>
          <w:rStyle w:val="FootnoteReference"/>
        </w:rPr>
        <w:footnoteRef/>
      </w:r>
      <w:r>
        <w:t xml:space="preserve"> The subject of the monsters of </w:t>
      </w:r>
      <w:r>
        <w:rPr>
          <w:i/>
          <w:iCs/>
        </w:rPr>
        <w:t xml:space="preserve">Beowulf </w:t>
      </w:r>
      <w:r>
        <w:t xml:space="preserve">have long been an issue of contention and intrigue for many scholars, most notably in the works cited below, and are too large an issue to cover in contrast to gender and </w:t>
      </w:r>
      <w:r w:rsidRPr="004671E5">
        <w:t>revenge for an undergraduate dissertation, even if it is a worthwhile subject whic</w:t>
      </w:r>
      <w:r>
        <w:t>h needs more modern expansions</w:t>
      </w:r>
      <w:r w:rsidRPr="004671E5">
        <w:t>.</w:t>
      </w:r>
    </w:p>
    <w:p w14:paraId="16BC75CA" w14:textId="7381348E" w:rsidR="001E34FF" w:rsidRPr="004671E5" w:rsidRDefault="001E34FF" w:rsidP="004671E5">
      <w:pPr>
        <w:spacing w:line="240" w:lineRule="auto"/>
        <w:rPr>
          <w:sz w:val="20"/>
          <w:szCs w:val="20"/>
        </w:rPr>
      </w:pPr>
      <w:r w:rsidRPr="004671E5">
        <w:rPr>
          <w:sz w:val="20"/>
          <w:szCs w:val="20"/>
        </w:rPr>
        <w:t>J. R. R.</w:t>
      </w:r>
      <w:r>
        <w:rPr>
          <w:sz w:val="20"/>
          <w:szCs w:val="20"/>
        </w:rPr>
        <w:t xml:space="preserve"> Tolkien</w:t>
      </w:r>
      <w:r w:rsidRPr="004671E5">
        <w:rPr>
          <w:sz w:val="20"/>
          <w:szCs w:val="20"/>
        </w:rPr>
        <w:t xml:space="preserve"> ‘</w:t>
      </w:r>
      <w:r w:rsidRPr="004671E5">
        <w:rPr>
          <w:i/>
          <w:iCs/>
          <w:sz w:val="20"/>
          <w:szCs w:val="20"/>
        </w:rPr>
        <w:t>Beowulf</w:t>
      </w:r>
      <w:r w:rsidRPr="004671E5">
        <w:rPr>
          <w:sz w:val="20"/>
          <w:szCs w:val="20"/>
        </w:rPr>
        <w:t xml:space="preserve">: The Monsters and the Critics’ in </w:t>
      </w:r>
      <w:r w:rsidRPr="004671E5">
        <w:rPr>
          <w:i/>
          <w:iCs/>
          <w:sz w:val="20"/>
          <w:szCs w:val="20"/>
        </w:rPr>
        <w:t>The Beowulf Poet: A Collection of Critical Essays</w:t>
      </w:r>
      <w:r w:rsidRPr="004671E5">
        <w:rPr>
          <w:sz w:val="20"/>
          <w:szCs w:val="20"/>
        </w:rPr>
        <w:t>. by Donald K. Fry (USA: Prentice-Hall Inc., 1968)</w:t>
      </w:r>
    </w:p>
    <w:p w14:paraId="2DB368F0" w14:textId="77777777" w:rsidR="001E34FF" w:rsidRPr="004671E5" w:rsidRDefault="001E34FF" w:rsidP="004671E5">
      <w:pPr>
        <w:spacing w:line="240" w:lineRule="auto"/>
        <w:rPr>
          <w:sz w:val="20"/>
          <w:szCs w:val="20"/>
        </w:rPr>
      </w:pPr>
      <w:r w:rsidRPr="004671E5">
        <w:rPr>
          <w:sz w:val="20"/>
          <w:szCs w:val="20"/>
        </w:rPr>
        <w:t>Where Tolkien defends a case for the worthiness of the monsters in the poem as primarily used to depict the protagonist’s mortality and weakness to time. He states that a poet of such calibre would not bother putting so much high-quality work ‘on matter that is really not worth serious attention.’ Tolkien, like McNamee below considers the purpose of the relation between Grendel and Cain.</w:t>
      </w:r>
    </w:p>
    <w:p w14:paraId="2B89ED39" w14:textId="21EA1EFC" w:rsidR="001E34FF" w:rsidRPr="004671E5" w:rsidRDefault="001E34FF" w:rsidP="004671E5">
      <w:pPr>
        <w:spacing w:line="240" w:lineRule="auto"/>
        <w:rPr>
          <w:sz w:val="20"/>
          <w:szCs w:val="20"/>
        </w:rPr>
      </w:pPr>
      <w:r w:rsidRPr="004671E5">
        <w:rPr>
          <w:sz w:val="20"/>
          <w:szCs w:val="20"/>
        </w:rPr>
        <w:t xml:space="preserve">M. B. McNamee. ‘“Beowulf:” An Allegory of Salvation?’ </w:t>
      </w:r>
      <w:r w:rsidRPr="004671E5">
        <w:rPr>
          <w:i/>
          <w:iCs/>
          <w:sz w:val="20"/>
          <w:szCs w:val="20"/>
        </w:rPr>
        <w:t xml:space="preserve">The Journal of English and Germanic Philology. </w:t>
      </w:r>
      <w:r w:rsidRPr="004671E5">
        <w:rPr>
          <w:sz w:val="20"/>
          <w:szCs w:val="20"/>
        </w:rPr>
        <w:t>Vol.59.2 (1960) p.190-207</w:t>
      </w:r>
    </w:p>
    <w:p w14:paraId="686C5751" w14:textId="6C9EFA16" w:rsidR="001E34FF" w:rsidRPr="00491411" w:rsidRDefault="001E34FF">
      <w:pPr>
        <w:pStyle w:val="FootnoteText"/>
      </w:pPr>
      <w:r w:rsidRPr="004671E5">
        <w:t>In this article McNamee argues that the monsters are used to solidify Christianity and Jesus’ death and resurrection of Jesus Christ within the pagan mindset, likening Beowulf jumping into the</w:t>
      </w:r>
      <w:r>
        <w:t xml:space="preserve"> glen to baptism and the depiction of a flood on Beowulf’s sword as an image which purpose is to provoke thoughts of the flood killing the Giants, as Jesus had done beforehand. McNamee regards the defeat of Grendel as the defeat of original sin (though he does not expand much on what the death of his mother means to his argument) and the use of dragon and serpent imagery is used to signify the work of devil and evil within the glen. He also uses the death by the dragon in a way similar to Jesus’ own sacrifice for mankind; likening his 12 followers as the original 13 (including Judas though there is also no Judas-like figure) and Wiglaf therefore as a St. Paul equivalent. Though the case McNamee puts forward is of interest and definitely worth keeping in mind, it does seem as though he ignores or passes over things which do </w:t>
      </w:r>
      <w:r>
        <w:rPr>
          <w:i/>
          <w:iCs/>
        </w:rPr>
        <w:t>not</w:t>
      </w:r>
      <w:r>
        <w:t xml:space="preserve"> fit in with it (like the lack of Judas and what the purpose of Grendels Mother is). </w:t>
      </w:r>
    </w:p>
  </w:footnote>
  <w:footnote w:id="14">
    <w:p w14:paraId="6F28EBDA" w14:textId="0DC69393" w:rsidR="001E34FF" w:rsidRDefault="001E34FF">
      <w:pPr>
        <w:pStyle w:val="FootnoteText"/>
      </w:pPr>
      <w:r>
        <w:rPr>
          <w:rStyle w:val="FootnoteReference"/>
        </w:rPr>
        <w:footnoteRef/>
      </w:r>
      <w:r>
        <w:t xml:space="preserve"> Swanton. pp.126-27 (lines 1931b-2934)</w:t>
      </w:r>
    </w:p>
  </w:footnote>
  <w:footnote w:id="15">
    <w:p w14:paraId="2BBCA74B" w14:textId="77777777" w:rsidR="001E34FF" w:rsidRDefault="001E34FF" w:rsidP="0045632A">
      <w:pPr>
        <w:pStyle w:val="FootnoteText"/>
      </w:pPr>
      <w:r>
        <w:rPr>
          <w:rStyle w:val="FootnoteReference"/>
        </w:rPr>
        <w:footnoteRef/>
      </w:r>
      <w:r>
        <w:t xml:space="preserve"> This was noticed whilst finding supporting material to conduct this thesis, some examples include:</w:t>
      </w:r>
    </w:p>
    <w:p w14:paraId="7F6AAADB" w14:textId="21DBACAA" w:rsidR="001E34FF" w:rsidRPr="0045632A" w:rsidRDefault="001E34FF" w:rsidP="0045632A">
      <w:pPr>
        <w:spacing w:line="240" w:lineRule="auto"/>
        <w:rPr>
          <w:rFonts w:ascii="Source Sans Pro" w:hAnsi="Source Sans Pro" w:cs="Arial"/>
          <w:sz w:val="18"/>
          <w:szCs w:val="18"/>
          <w:shd w:val="clear" w:color="auto" w:fill="FFFFFF"/>
        </w:rPr>
      </w:pPr>
      <w:r w:rsidRPr="00D53157">
        <w:rPr>
          <w:rFonts w:ascii="Source Sans Pro" w:hAnsi="Source Sans Pro" w:cs="Arial"/>
          <w:sz w:val="18"/>
          <w:szCs w:val="18"/>
        </w:rPr>
        <w:t xml:space="preserve">Gillian Overing. </w:t>
      </w:r>
      <w:r w:rsidRPr="00D53157">
        <w:rPr>
          <w:rFonts w:ascii="Source Sans Pro" w:eastAsia="Times New Roman" w:hAnsi="Source Sans Pro" w:cs="Arial"/>
          <w:bCs/>
          <w:i/>
          <w:kern w:val="36"/>
          <w:sz w:val="18"/>
          <w:szCs w:val="18"/>
          <w:lang w:eastAsia="en-GB"/>
        </w:rPr>
        <w:t>Language, Sign, and Gender in Beowulf</w:t>
      </w:r>
      <w:r w:rsidRPr="00D53157">
        <w:rPr>
          <w:rFonts w:ascii="Source Sans Pro" w:eastAsia="Times New Roman" w:hAnsi="Source Sans Pro" w:cs="Arial"/>
          <w:bCs/>
          <w:kern w:val="36"/>
          <w:sz w:val="18"/>
          <w:szCs w:val="18"/>
          <w:lang w:eastAsia="en-GB"/>
        </w:rPr>
        <w:t> </w:t>
      </w:r>
      <w:r w:rsidRPr="00D53157">
        <w:rPr>
          <w:rFonts w:ascii="Source Sans Pro" w:hAnsi="Source Sans Pro" w:cs="Arial"/>
          <w:sz w:val="18"/>
          <w:szCs w:val="18"/>
        </w:rPr>
        <w:t xml:space="preserve">(Illinois: </w:t>
      </w:r>
      <w:r w:rsidRPr="00D53157">
        <w:rPr>
          <w:rFonts w:ascii="Source Sans Pro" w:hAnsi="Source Sans Pro" w:cs="Arial"/>
          <w:sz w:val="18"/>
          <w:szCs w:val="18"/>
          <w:shd w:val="clear" w:color="auto" w:fill="FFFFFF"/>
        </w:rPr>
        <w:t>Southern Illinois University Press, 1990)</w:t>
      </w:r>
      <w:r>
        <w:rPr>
          <w:rFonts w:ascii="Source Sans Pro" w:hAnsi="Source Sans Pro" w:cs="Arial"/>
          <w:sz w:val="18"/>
          <w:szCs w:val="18"/>
          <w:shd w:val="clear" w:color="auto" w:fill="FFFFFF"/>
        </w:rPr>
        <w:t>.</w:t>
      </w:r>
      <w:r w:rsidRPr="00D53157">
        <w:rPr>
          <w:rFonts w:ascii="Source Sans Pro" w:hAnsi="Source Sans Pro" w:cs="Arial"/>
          <w:sz w:val="18"/>
          <w:szCs w:val="18"/>
          <w:shd w:val="clear" w:color="auto" w:fill="FFFFFF"/>
        </w:rPr>
        <w:t xml:space="preserve"> </w:t>
      </w:r>
      <w:r>
        <w:rPr>
          <w:rFonts w:ascii="Source Sans Pro" w:hAnsi="Source Sans Pro"/>
          <w:sz w:val="18"/>
          <w:szCs w:val="18"/>
          <w:lang w:val="en-US" w:eastAsia="en-GB"/>
        </w:rPr>
        <w:t>This</w:t>
      </w:r>
      <w:r w:rsidRPr="00D53157">
        <w:rPr>
          <w:rFonts w:ascii="Source Sans Pro" w:hAnsi="Source Sans Pro"/>
          <w:sz w:val="18"/>
          <w:szCs w:val="18"/>
          <w:lang w:val="en-US" w:eastAsia="en-GB"/>
        </w:rPr>
        <w:t xml:space="preserve"> is a feminist post-modern interpretation of “not what it means (…) but how it means” (p.26). The book focuses mainly on the females of </w:t>
      </w:r>
      <w:r w:rsidRPr="00D53157">
        <w:rPr>
          <w:rFonts w:ascii="Source Sans Pro" w:hAnsi="Source Sans Pro"/>
          <w:i/>
          <w:sz w:val="18"/>
          <w:szCs w:val="18"/>
          <w:lang w:val="en-US" w:eastAsia="en-GB"/>
        </w:rPr>
        <w:t>Beowulf</w:t>
      </w:r>
      <w:r w:rsidRPr="00D53157">
        <w:rPr>
          <w:rFonts w:ascii="Source Sans Pro" w:hAnsi="Source Sans Pro"/>
          <w:sz w:val="18"/>
          <w:szCs w:val="18"/>
          <w:lang w:val="en-US" w:eastAsia="en-GB"/>
        </w:rPr>
        <w:t xml:space="preserve"> and how they are portrayed to us, and what this is supposed to mean to us as the modern reader.</w:t>
      </w:r>
      <w:r w:rsidRPr="00FA265B">
        <w:rPr>
          <w:rFonts w:ascii="Source Sans Pro" w:hAnsi="Source Sans Pro"/>
          <w:sz w:val="18"/>
          <w:szCs w:val="18"/>
          <w:lang w:val="en-US" w:eastAsia="en-GB"/>
        </w:rPr>
        <w:t xml:space="preserve"> </w:t>
      </w:r>
    </w:p>
    <w:p w14:paraId="3A297FC1" w14:textId="77777777" w:rsidR="001E34FF" w:rsidRPr="00D53157" w:rsidRDefault="001E34FF" w:rsidP="0045632A">
      <w:pPr>
        <w:spacing w:line="240" w:lineRule="auto"/>
        <w:rPr>
          <w:rFonts w:ascii="Source Sans Pro" w:hAnsi="Source Sans Pro"/>
          <w:sz w:val="18"/>
          <w:szCs w:val="18"/>
          <w:lang w:val="en-US" w:eastAsia="en-GB"/>
        </w:rPr>
      </w:pPr>
      <w:r w:rsidRPr="00D53157">
        <w:rPr>
          <w:rFonts w:ascii="Source Sans Pro" w:hAnsi="Source Sans Pro"/>
          <w:sz w:val="18"/>
          <w:szCs w:val="18"/>
          <w:lang w:val="en-US" w:eastAsia="en-GB"/>
        </w:rPr>
        <w:t>Jacek, Olesiejko. “</w:t>
      </w:r>
      <w:r>
        <w:rPr>
          <w:rFonts w:ascii="Source Sans Pro" w:hAnsi="Source Sans Pro"/>
          <w:sz w:val="18"/>
          <w:szCs w:val="18"/>
          <w:lang w:val="en-US" w:eastAsia="en-GB"/>
        </w:rPr>
        <w:t>Wealtheow’s</w:t>
      </w:r>
      <w:r w:rsidRPr="00D53157">
        <w:rPr>
          <w:rFonts w:ascii="Source Sans Pro" w:hAnsi="Source Sans Pro"/>
          <w:sz w:val="18"/>
          <w:szCs w:val="18"/>
          <w:lang w:val="en-US" w:eastAsia="en-GB"/>
        </w:rPr>
        <w:t xml:space="preserve"> P</w:t>
      </w:r>
      <w:r>
        <w:rPr>
          <w:rFonts w:ascii="Source Sans Pro" w:hAnsi="Source Sans Pro"/>
          <w:sz w:val="18"/>
          <w:szCs w:val="18"/>
          <w:lang w:val="en-US" w:eastAsia="en-GB"/>
        </w:rPr>
        <w:t>eace Weaving</w:t>
      </w:r>
      <w:r w:rsidRPr="00D53157">
        <w:rPr>
          <w:rFonts w:ascii="Source Sans Pro" w:hAnsi="Source Sans Pro"/>
          <w:sz w:val="18"/>
          <w:szCs w:val="18"/>
          <w:lang w:val="en-US" w:eastAsia="en-GB"/>
        </w:rPr>
        <w:t>: D</w:t>
      </w:r>
      <w:r>
        <w:rPr>
          <w:rFonts w:ascii="Source Sans Pro" w:hAnsi="Source Sans Pro"/>
          <w:sz w:val="18"/>
          <w:szCs w:val="18"/>
          <w:lang w:val="en-US" w:eastAsia="en-GB"/>
        </w:rPr>
        <w:t>iegesis</w:t>
      </w:r>
      <w:r w:rsidRPr="00D53157">
        <w:rPr>
          <w:rFonts w:ascii="Source Sans Pro" w:hAnsi="Source Sans Pro"/>
          <w:sz w:val="18"/>
          <w:szCs w:val="18"/>
          <w:lang w:val="en-US" w:eastAsia="en-GB"/>
        </w:rPr>
        <w:t xml:space="preserve"> </w:t>
      </w:r>
      <w:r>
        <w:rPr>
          <w:rFonts w:ascii="Source Sans Pro" w:hAnsi="Source Sans Pro"/>
          <w:sz w:val="18"/>
          <w:szCs w:val="18"/>
          <w:lang w:val="en-US" w:eastAsia="en-GB"/>
        </w:rPr>
        <w:t>and</w:t>
      </w:r>
      <w:r w:rsidRPr="00D53157">
        <w:rPr>
          <w:rFonts w:ascii="Source Sans Pro" w:hAnsi="Source Sans Pro"/>
          <w:sz w:val="18"/>
          <w:szCs w:val="18"/>
          <w:lang w:val="en-US" w:eastAsia="en-GB"/>
        </w:rPr>
        <w:t xml:space="preserve"> </w:t>
      </w:r>
      <w:r>
        <w:rPr>
          <w:rFonts w:ascii="Source Sans Pro" w:hAnsi="Source Sans Pro"/>
          <w:sz w:val="18"/>
          <w:szCs w:val="18"/>
          <w:lang w:val="en-US" w:eastAsia="en-GB"/>
        </w:rPr>
        <w:t>Genealogy</w:t>
      </w:r>
      <w:r w:rsidRPr="00D53157">
        <w:rPr>
          <w:rFonts w:ascii="Source Sans Pro" w:hAnsi="Source Sans Pro"/>
          <w:sz w:val="18"/>
          <w:szCs w:val="18"/>
          <w:lang w:val="en-US" w:eastAsia="en-GB"/>
        </w:rPr>
        <w:t xml:space="preserve"> </w:t>
      </w:r>
      <w:r>
        <w:rPr>
          <w:rFonts w:ascii="Source Sans Pro" w:hAnsi="Source Sans Pro"/>
          <w:sz w:val="18"/>
          <w:szCs w:val="18"/>
          <w:lang w:val="en-US" w:eastAsia="en-GB"/>
        </w:rPr>
        <w:t>Of</w:t>
      </w:r>
      <w:r w:rsidRPr="00D53157">
        <w:rPr>
          <w:rFonts w:ascii="Source Sans Pro" w:hAnsi="Source Sans Pro"/>
          <w:sz w:val="18"/>
          <w:szCs w:val="18"/>
          <w:lang w:val="en-US" w:eastAsia="en-GB"/>
        </w:rPr>
        <w:t xml:space="preserve"> G</w:t>
      </w:r>
      <w:r>
        <w:rPr>
          <w:rFonts w:ascii="Source Sans Pro" w:hAnsi="Source Sans Pro"/>
          <w:sz w:val="18"/>
          <w:szCs w:val="18"/>
          <w:lang w:val="en-US" w:eastAsia="en-GB"/>
        </w:rPr>
        <w:t>ender in</w:t>
      </w:r>
      <w:r w:rsidRPr="00D53157">
        <w:rPr>
          <w:rFonts w:ascii="Source Sans Pro" w:hAnsi="Source Sans Pro"/>
          <w:sz w:val="18"/>
          <w:szCs w:val="18"/>
          <w:lang w:val="en-US" w:eastAsia="en-GB"/>
        </w:rPr>
        <w:t xml:space="preserve"> </w:t>
      </w:r>
      <w:r>
        <w:rPr>
          <w:rFonts w:ascii="Source Sans Pro" w:hAnsi="Source Sans Pro"/>
          <w:sz w:val="18"/>
          <w:szCs w:val="18"/>
          <w:lang w:val="en-US" w:eastAsia="en-GB"/>
        </w:rPr>
        <w:t>Beowulf</w:t>
      </w:r>
      <w:r w:rsidRPr="00D53157">
        <w:rPr>
          <w:rFonts w:ascii="Source Sans Pro" w:hAnsi="Source Sans Pro"/>
          <w:sz w:val="18"/>
          <w:szCs w:val="18"/>
          <w:lang w:val="en-US" w:eastAsia="en-GB"/>
        </w:rPr>
        <w:t xml:space="preserve">.” </w:t>
      </w:r>
      <w:r w:rsidRPr="00D53157">
        <w:rPr>
          <w:rFonts w:ascii="Source Sans Pro" w:hAnsi="Source Sans Pro"/>
          <w:i/>
          <w:sz w:val="18"/>
          <w:szCs w:val="18"/>
          <w:lang w:val="en-US" w:eastAsia="en-GB"/>
        </w:rPr>
        <w:t>Studiea Anglica Posnaniensia</w:t>
      </w:r>
      <w:r w:rsidRPr="00D53157">
        <w:rPr>
          <w:rFonts w:ascii="Source Sans Pro" w:hAnsi="Source Sans Pro"/>
          <w:sz w:val="18"/>
          <w:szCs w:val="18"/>
          <w:lang w:val="en-US" w:eastAsia="en-GB"/>
        </w:rPr>
        <w:t xml:space="preserve"> 49.1 (2014) 103-123. This is an analysis of gender in </w:t>
      </w:r>
      <w:r w:rsidRPr="00D53157">
        <w:rPr>
          <w:rFonts w:ascii="Source Sans Pro" w:hAnsi="Source Sans Pro"/>
          <w:i/>
          <w:sz w:val="18"/>
          <w:szCs w:val="18"/>
          <w:lang w:val="en-US" w:eastAsia="en-GB"/>
        </w:rPr>
        <w:t>Beowulf</w:t>
      </w:r>
      <w:r w:rsidRPr="00D53157">
        <w:rPr>
          <w:rFonts w:ascii="Source Sans Pro" w:hAnsi="Source Sans Pro"/>
          <w:sz w:val="18"/>
          <w:szCs w:val="18"/>
          <w:lang w:val="en-US" w:eastAsia="en-GB"/>
        </w:rPr>
        <w:t xml:space="preserve"> which focuses on the role of the females</w:t>
      </w:r>
      <w:r>
        <w:rPr>
          <w:rFonts w:ascii="Source Sans Pro" w:hAnsi="Source Sans Pro"/>
          <w:sz w:val="18"/>
          <w:szCs w:val="18"/>
          <w:lang w:val="en-US" w:eastAsia="en-GB"/>
        </w:rPr>
        <w:t xml:space="preserve"> and peace-weaving</w:t>
      </w:r>
      <w:r w:rsidRPr="00D53157">
        <w:rPr>
          <w:rFonts w:ascii="Source Sans Pro" w:hAnsi="Source Sans Pro"/>
          <w:sz w:val="18"/>
          <w:szCs w:val="18"/>
          <w:lang w:val="en-US" w:eastAsia="en-GB"/>
        </w:rPr>
        <w:t>.</w:t>
      </w:r>
    </w:p>
    <w:p w14:paraId="6516F40A" w14:textId="77777777" w:rsidR="001E34FF" w:rsidRDefault="001E34FF" w:rsidP="0045632A">
      <w:pPr>
        <w:spacing w:line="240" w:lineRule="auto"/>
        <w:rPr>
          <w:rFonts w:ascii="Source Sans Pro" w:hAnsi="Source Sans Pro"/>
          <w:sz w:val="18"/>
          <w:szCs w:val="18"/>
          <w:shd w:val="clear" w:color="auto" w:fill="FFFFFF"/>
        </w:rPr>
      </w:pPr>
      <w:r w:rsidRPr="00D53157">
        <w:rPr>
          <w:rFonts w:ascii="Source Sans Pro" w:hAnsi="Source Sans Pro"/>
          <w:sz w:val="18"/>
          <w:szCs w:val="18"/>
          <w:shd w:val="clear" w:color="auto" w:fill="FFFFFF"/>
        </w:rPr>
        <w:t>Mary Dockray-Miller. "The Masculine Queen of Beowulf." </w:t>
      </w:r>
      <w:r w:rsidRPr="00D53157">
        <w:rPr>
          <w:rFonts w:ascii="Source Sans Pro" w:hAnsi="Source Sans Pro"/>
          <w:i/>
          <w:iCs/>
          <w:sz w:val="18"/>
          <w:szCs w:val="18"/>
          <w:shd w:val="clear" w:color="auto" w:fill="FFFFFF"/>
        </w:rPr>
        <w:t>Women and Language</w:t>
      </w:r>
      <w:r w:rsidRPr="00D53157">
        <w:rPr>
          <w:rFonts w:ascii="Source Sans Pro" w:hAnsi="Source Sans Pro"/>
          <w:sz w:val="18"/>
          <w:szCs w:val="18"/>
          <w:shd w:val="clear" w:color="auto" w:fill="FFFFFF"/>
        </w:rPr>
        <w:t xml:space="preserve"> 21.2 (1998): 31-38. This focuses on Modthryth and the significance of her gender inversion in the poem. </w:t>
      </w:r>
    </w:p>
    <w:p w14:paraId="3C9D172C" w14:textId="36332AA4" w:rsidR="001E34FF" w:rsidRPr="0045632A" w:rsidRDefault="001E34FF" w:rsidP="0045632A">
      <w:pPr>
        <w:spacing w:line="240" w:lineRule="auto"/>
        <w:rPr>
          <w:rFonts w:ascii="Source Sans Pro" w:hAnsi="Source Sans Pro" w:cstheme="majorHAnsi"/>
          <w:sz w:val="24"/>
          <w:szCs w:val="24"/>
        </w:rPr>
      </w:pPr>
      <w:r>
        <w:rPr>
          <w:rFonts w:ascii="Source Sans Pro" w:hAnsi="Source Sans Pro"/>
          <w:sz w:val="18"/>
          <w:szCs w:val="18"/>
          <w:shd w:val="clear" w:color="auto" w:fill="FFFFFF"/>
        </w:rPr>
        <w:t xml:space="preserve">David </w:t>
      </w:r>
      <w:r w:rsidRPr="00D53157">
        <w:rPr>
          <w:rFonts w:ascii="Source Sans Pro" w:hAnsi="Source Sans Pro"/>
          <w:sz w:val="18"/>
          <w:szCs w:val="18"/>
          <w:shd w:val="clear" w:color="auto" w:fill="FFFFFF"/>
        </w:rPr>
        <w:t>Clark</w:t>
      </w:r>
      <w:r>
        <w:rPr>
          <w:rFonts w:ascii="Source Sans Pro" w:hAnsi="Source Sans Pro"/>
          <w:sz w:val="18"/>
          <w:szCs w:val="18"/>
          <w:shd w:val="clear" w:color="auto" w:fill="FFFFFF"/>
        </w:rPr>
        <w:t>.</w:t>
      </w:r>
      <w:r w:rsidRPr="00D53157">
        <w:rPr>
          <w:rFonts w:ascii="Source Sans Pro" w:hAnsi="Source Sans Pro"/>
          <w:sz w:val="18"/>
          <w:szCs w:val="18"/>
          <w:shd w:val="clear" w:color="auto" w:fill="FFFFFF"/>
        </w:rPr>
        <w:t xml:space="preserve"> </w:t>
      </w:r>
      <w:r>
        <w:rPr>
          <w:rFonts w:ascii="Source Sans Pro" w:hAnsi="Source Sans Pro"/>
          <w:sz w:val="18"/>
          <w:szCs w:val="18"/>
          <w:shd w:val="clear" w:color="auto" w:fill="FFFFFF"/>
        </w:rPr>
        <w:t>‘</w:t>
      </w:r>
      <w:r w:rsidRPr="00D53157">
        <w:rPr>
          <w:rFonts w:ascii="Source Sans Pro" w:hAnsi="Source Sans Pro"/>
          <w:sz w:val="18"/>
          <w:szCs w:val="18"/>
          <w:shd w:val="clear" w:color="auto" w:fill="FFFFFF"/>
        </w:rPr>
        <w:t>Heroic Desire? Male Relations in Beowulf, The Battle of Maldon, and The Dream of the Rood.</w:t>
      </w:r>
      <w:r>
        <w:rPr>
          <w:rFonts w:ascii="Source Sans Pro" w:hAnsi="Source Sans Pro"/>
          <w:sz w:val="18"/>
          <w:szCs w:val="18"/>
          <w:shd w:val="clear" w:color="auto" w:fill="FFFFFF"/>
        </w:rPr>
        <w:t>’ in</w:t>
      </w:r>
      <w:r w:rsidRPr="00D53157">
        <w:rPr>
          <w:rFonts w:ascii="Source Sans Pro" w:hAnsi="Source Sans Pro"/>
          <w:sz w:val="18"/>
          <w:szCs w:val="18"/>
          <w:shd w:val="clear" w:color="auto" w:fill="FFFFFF"/>
        </w:rPr>
        <w:t> </w:t>
      </w:r>
      <w:r w:rsidRPr="00D53157">
        <w:rPr>
          <w:rFonts w:ascii="Source Sans Pro" w:hAnsi="Source Sans Pro"/>
          <w:i/>
          <w:iCs/>
          <w:sz w:val="18"/>
          <w:szCs w:val="18"/>
          <w:shd w:val="clear" w:color="auto" w:fill="FFFFFF"/>
        </w:rPr>
        <w:t>Between Medieval Men</w:t>
      </w:r>
      <w:r>
        <w:rPr>
          <w:rFonts w:ascii="Source Sans Pro" w:hAnsi="Source Sans Pro"/>
          <w:i/>
          <w:sz w:val="18"/>
          <w:szCs w:val="18"/>
          <w:shd w:val="clear" w:color="auto" w:fill="FFFFFF"/>
        </w:rPr>
        <w:t xml:space="preserve"> </w:t>
      </w:r>
      <w:r>
        <w:rPr>
          <w:rFonts w:ascii="Source Sans Pro" w:hAnsi="Source Sans Pro"/>
          <w:sz w:val="18"/>
          <w:szCs w:val="18"/>
          <w:shd w:val="clear" w:color="auto" w:fill="FFFFFF"/>
        </w:rPr>
        <w:t>by David</w:t>
      </w:r>
      <w:r w:rsidRPr="00D53157">
        <w:rPr>
          <w:rFonts w:ascii="Source Sans Pro" w:hAnsi="Source Sans Pro"/>
          <w:sz w:val="18"/>
          <w:szCs w:val="18"/>
          <w:shd w:val="clear" w:color="auto" w:fill="FFFFFF"/>
        </w:rPr>
        <w:t xml:space="preserve"> </w:t>
      </w:r>
      <w:r>
        <w:rPr>
          <w:rFonts w:ascii="Source Sans Pro" w:hAnsi="Source Sans Pro"/>
          <w:sz w:val="18"/>
          <w:szCs w:val="18"/>
          <w:shd w:val="clear" w:color="auto" w:fill="FFFFFF"/>
        </w:rPr>
        <w:t>Clark (</w:t>
      </w:r>
      <w:r w:rsidRPr="00D53157">
        <w:rPr>
          <w:rFonts w:ascii="Source Sans Pro" w:hAnsi="Source Sans Pro"/>
          <w:sz w:val="18"/>
          <w:szCs w:val="18"/>
          <w:shd w:val="clear" w:color="auto" w:fill="FFFFFF"/>
        </w:rPr>
        <w:t>Oxford</w:t>
      </w:r>
      <w:r>
        <w:rPr>
          <w:rFonts w:ascii="Source Sans Pro" w:hAnsi="Source Sans Pro"/>
          <w:sz w:val="18"/>
          <w:szCs w:val="18"/>
          <w:shd w:val="clear" w:color="auto" w:fill="FFFFFF"/>
        </w:rPr>
        <w:t>: Oxford University Press</w:t>
      </w:r>
      <w:r w:rsidRPr="00D53157">
        <w:rPr>
          <w:rFonts w:ascii="Source Sans Pro" w:hAnsi="Source Sans Pro"/>
          <w:sz w:val="18"/>
          <w:szCs w:val="18"/>
          <w:shd w:val="clear" w:color="auto" w:fill="FFFFFF"/>
        </w:rPr>
        <w:t>, 2009</w:t>
      </w:r>
      <w:r>
        <w:rPr>
          <w:rFonts w:ascii="Source Sans Pro" w:hAnsi="Source Sans Pro"/>
          <w:sz w:val="18"/>
          <w:szCs w:val="18"/>
          <w:shd w:val="clear" w:color="auto" w:fill="FFFFFF"/>
        </w:rPr>
        <w:t>)</w:t>
      </w:r>
      <w:r w:rsidRPr="00D53157">
        <w:rPr>
          <w:rFonts w:ascii="Source Sans Pro" w:hAnsi="Source Sans Pro"/>
          <w:sz w:val="18"/>
          <w:szCs w:val="18"/>
          <w:shd w:val="clear" w:color="auto" w:fill="FFFFFF"/>
        </w:rPr>
        <w:t xml:space="preserve"> </w:t>
      </w:r>
      <w:r>
        <w:rPr>
          <w:rFonts w:ascii="Source Sans Pro" w:hAnsi="Source Sans Pro"/>
          <w:sz w:val="18"/>
          <w:szCs w:val="18"/>
          <w:shd w:val="clear" w:color="auto" w:fill="FFFFFF"/>
        </w:rPr>
        <w:t xml:space="preserve">p.130-152. This article looks at male relations in </w:t>
      </w:r>
      <w:r>
        <w:rPr>
          <w:rFonts w:ascii="Source Sans Pro" w:hAnsi="Source Sans Pro"/>
          <w:i/>
          <w:sz w:val="18"/>
          <w:szCs w:val="18"/>
          <w:shd w:val="clear" w:color="auto" w:fill="FFFFFF"/>
        </w:rPr>
        <w:t>Beowulf</w:t>
      </w:r>
      <w:r>
        <w:rPr>
          <w:rFonts w:ascii="Source Sans Pro" w:hAnsi="Source Sans Pro"/>
          <w:sz w:val="18"/>
          <w:szCs w:val="18"/>
          <w:shd w:val="clear" w:color="auto" w:fill="FFFFFF"/>
        </w:rPr>
        <w:t>.</w:t>
      </w:r>
    </w:p>
  </w:footnote>
  <w:footnote w:id="16">
    <w:p w14:paraId="2294817B" w14:textId="77777777" w:rsidR="001E34FF" w:rsidRPr="00260490" w:rsidRDefault="001E34FF" w:rsidP="0016733F">
      <w:pPr>
        <w:pStyle w:val="NoSpacing"/>
        <w:rPr>
          <w:rFonts w:asciiTheme="majorHAnsi" w:hAnsiTheme="majorHAnsi" w:cstheme="majorHAnsi"/>
          <w:sz w:val="20"/>
          <w:szCs w:val="20"/>
        </w:rPr>
      </w:pPr>
      <w:r w:rsidRPr="00260490">
        <w:rPr>
          <w:rStyle w:val="FootnoteReference"/>
          <w:rFonts w:asciiTheme="majorHAnsi" w:hAnsiTheme="majorHAnsi" w:cstheme="majorHAnsi"/>
          <w:sz w:val="20"/>
          <w:szCs w:val="20"/>
        </w:rPr>
        <w:footnoteRef/>
      </w:r>
      <w:r w:rsidRPr="00260490">
        <w:rPr>
          <w:rFonts w:asciiTheme="majorHAnsi" w:hAnsiTheme="majorHAnsi" w:cstheme="majorHAnsi"/>
          <w:sz w:val="20"/>
          <w:szCs w:val="20"/>
        </w:rPr>
        <w:t xml:space="preserve"> For more information on what post structural feminism is, look at:</w:t>
      </w:r>
    </w:p>
    <w:p w14:paraId="363806E1" w14:textId="77777777" w:rsidR="001E34FF" w:rsidRPr="001042FB" w:rsidRDefault="001E34FF" w:rsidP="0016733F">
      <w:pPr>
        <w:pStyle w:val="NoSpacing"/>
        <w:rPr>
          <w:rFonts w:asciiTheme="majorHAnsi" w:hAnsiTheme="majorHAnsi" w:cstheme="majorHAnsi"/>
          <w:sz w:val="20"/>
          <w:szCs w:val="20"/>
        </w:rPr>
      </w:pPr>
      <w:r w:rsidRPr="001042FB">
        <w:rPr>
          <w:rFonts w:asciiTheme="majorHAnsi" w:hAnsiTheme="majorHAnsi" w:cstheme="majorHAnsi"/>
          <w:sz w:val="20"/>
          <w:szCs w:val="20"/>
        </w:rPr>
        <w:t xml:space="preserve">Susanne Gannon &amp; B. Davies. ‘Feminism/ Poststructuralism’ in Somekh, B. &amp; C. Lewin </w:t>
      </w:r>
      <w:r w:rsidRPr="001042FB">
        <w:rPr>
          <w:rFonts w:asciiTheme="majorHAnsi" w:hAnsiTheme="majorHAnsi" w:cstheme="majorHAnsi"/>
          <w:i/>
          <w:sz w:val="20"/>
          <w:szCs w:val="20"/>
        </w:rPr>
        <w:t>Research Methods in the Social Sciences</w:t>
      </w:r>
      <w:r w:rsidRPr="001042FB">
        <w:rPr>
          <w:rFonts w:asciiTheme="majorHAnsi" w:hAnsiTheme="majorHAnsi" w:cstheme="majorHAnsi"/>
          <w:sz w:val="20"/>
          <w:szCs w:val="20"/>
        </w:rPr>
        <w:t xml:space="preserve"> (London: SAGE Publications, 2005) </w:t>
      </w:r>
    </w:p>
    <w:p w14:paraId="1E6CAC40" w14:textId="77777777" w:rsidR="001E34FF" w:rsidRPr="001042FB" w:rsidRDefault="001E34FF" w:rsidP="0016733F">
      <w:pPr>
        <w:pStyle w:val="NoSpacing"/>
        <w:rPr>
          <w:rFonts w:asciiTheme="majorHAnsi" w:hAnsiTheme="majorHAnsi" w:cstheme="majorHAnsi"/>
          <w:sz w:val="20"/>
          <w:szCs w:val="20"/>
        </w:rPr>
      </w:pPr>
      <w:r w:rsidRPr="001042FB">
        <w:rPr>
          <w:rFonts w:asciiTheme="majorHAnsi" w:hAnsiTheme="majorHAnsi" w:cstheme="majorHAnsi"/>
          <w:sz w:val="20"/>
          <w:szCs w:val="20"/>
        </w:rPr>
        <w:t>For further research on how post-structural feminism applies to men, as it will be applied to both male and female throughout this study, look at:</w:t>
      </w:r>
    </w:p>
    <w:p w14:paraId="4A18C3CE" w14:textId="77777777" w:rsidR="001E34FF" w:rsidRPr="001042FB" w:rsidRDefault="001E34FF" w:rsidP="0016733F">
      <w:pPr>
        <w:pStyle w:val="NoSpacing"/>
        <w:rPr>
          <w:rFonts w:asciiTheme="majorHAnsi" w:hAnsiTheme="majorHAnsi" w:cstheme="majorHAnsi"/>
        </w:rPr>
      </w:pPr>
      <w:r w:rsidRPr="001042FB">
        <w:rPr>
          <w:rFonts w:asciiTheme="majorHAnsi" w:hAnsiTheme="majorHAnsi" w:cstheme="majorHAnsi"/>
          <w:sz w:val="20"/>
          <w:szCs w:val="20"/>
        </w:rPr>
        <w:t xml:space="preserve">Kalle Beggren. ‘Sticky Masculinity: Post-structuralism, Phenomenology and Subjectivity in Critical Studies on Men’ </w:t>
      </w:r>
      <w:r w:rsidRPr="001042FB">
        <w:rPr>
          <w:rFonts w:asciiTheme="majorHAnsi" w:hAnsiTheme="majorHAnsi" w:cstheme="majorHAnsi"/>
          <w:i/>
          <w:sz w:val="20"/>
          <w:szCs w:val="20"/>
        </w:rPr>
        <w:t>Men and Masculinities</w:t>
      </w:r>
      <w:r w:rsidRPr="001042FB">
        <w:rPr>
          <w:rFonts w:asciiTheme="majorHAnsi" w:hAnsiTheme="majorHAnsi" w:cstheme="majorHAnsi"/>
          <w:sz w:val="20"/>
          <w:szCs w:val="20"/>
        </w:rPr>
        <w:t>. 17.3 (2014), 231-252</w:t>
      </w:r>
    </w:p>
  </w:footnote>
  <w:footnote w:id="17">
    <w:p w14:paraId="58DFDB35" w14:textId="50401BD3" w:rsidR="001E34FF" w:rsidRPr="001042FB" w:rsidRDefault="001E34FF" w:rsidP="00AA01A4">
      <w:pPr>
        <w:pStyle w:val="FootnoteText"/>
        <w:rPr>
          <w:rFonts w:asciiTheme="majorHAnsi" w:hAnsiTheme="majorHAnsi" w:cstheme="majorHAnsi"/>
        </w:rPr>
      </w:pPr>
      <w:r w:rsidRPr="001042FB">
        <w:rPr>
          <w:rStyle w:val="FootnoteReference"/>
          <w:rFonts w:asciiTheme="majorHAnsi" w:hAnsiTheme="majorHAnsi" w:cstheme="majorHAnsi"/>
        </w:rPr>
        <w:footnoteRef/>
      </w:r>
      <w:r w:rsidRPr="001042FB">
        <w:rPr>
          <w:rFonts w:asciiTheme="majorHAnsi" w:hAnsiTheme="majorHAnsi" w:cstheme="majorHAnsi"/>
        </w:rPr>
        <w:t>Alexander. p.20</w:t>
      </w:r>
    </w:p>
  </w:footnote>
  <w:footnote w:id="18">
    <w:p w14:paraId="14B4F5B8" w14:textId="3553F14A" w:rsidR="001E34FF" w:rsidRDefault="001E34FF" w:rsidP="00AA01A4">
      <w:pPr>
        <w:pStyle w:val="FootnoteText"/>
        <w:rPr>
          <w:rFonts w:asciiTheme="majorHAnsi" w:hAnsiTheme="majorHAnsi" w:cstheme="majorHAnsi"/>
        </w:rPr>
      </w:pPr>
      <w:r w:rsidRPr="001042FB">
        <w:rPr>
          <w:rStyle w:val="FootnoteReference"/>
          <w:rFonts w:asciiTheme="majorHAnsi" w:hAnsiTheme="majorHAnsi" w:cstheme="majorHAnsi"/>
        </w:rPr>
        <w:footnoteRef/>
      </w:r>
      <w:r w:rsidRPr="001042FB">
        <w:rPr>
          <w:rFonts w:asciiTheme="majorHAnsi" w:hAnsiTheme="majorHAnsi" w:cstheme="majorHAnsi"/>
        </w:rPr>
        <w:t xml:space="preserve"> Examples of this can be seen in many lines throughout the text. Presented here are four excerpts of the same line, line 1384</w:t>
      </w:r>
      <w:r>
        <w:rPr>
          <w:rFonts w:asciiTheme="majorHAnsi" w:hAnsiTheme="majorHAnsi" w:cstheme="majorHAnsi"/>
        </w:rPr>
        <w:t>, within four different published editions:</w:t>
      </w:r>
      <w:r w:rsidRPr="001042FB">
        <w:rPr>
          <w:rFonts w:asciiTheme="majorHAnsi" w:hAnsiTheme="majorHAnsi" w:cstheme="majorHAnsi"/>
        </w:rPr>
        <w:t xml:space="preserve"> </w:t>
      </w:r>
    </w:p>
    <w:p w14:paraId="2A24780F" w14:textId="23EFFA1B" w:rsidR="001E34FF" w:rsidRDefault="001E34FF" w:rsidP="00AA01A4">
      <w:pPr>
        <w:pStyle w:val="FootnoteText"/>
        <w:rPr>
          <w:rFonts w:asciiTheme="majorHAnsi" w:hAnsiTheme="majorHAnsi" w:cstheme="majorHAnsi"/>
        </w:rPr>
      </w:pPr>
    </w:p>
    <w:p w14:paraId="485A99C0" w14:textId="12F0AD53" w:rsidR="001E34FF" w:rsidRPr="001042FB" w:rsidRDefault="001E34FF" w:rsidP="00AA01A4">
      <w:pPr>
        <w:pStyle w:val="FootnoteText"/>
        <w:rPr>
          <w:rFonts w:asciiTheme="majorHAnsi" w:hAnsiTheme="majorHAnsi" w:cstheme="majorHAnsi"/>
        </w:rPr>
      </w:pPr>
      <w:r>
        <w:rPr>
          <w:rFonts w:asciiTheme="majorHAnsi" w:hAnsiTheme="majorHAnsi" w:cstheme="majorHAnsi"/>
        </w:rPr>
        <w:t>‘he should avenge his friend, rather than mourn greatly.’ –Swanton p.101</w:t>
      </w:r>
    </w:p>
    <w:p w14:paraId="69C43031" w14:textId="4F9FD206" w:rsidR="001E34FF" w:rsidRDefault="001E34FF" w:rsidP="00AA01A4">
      <w:pPr>
        <w:pStyle w:val="FootnoteText"/>
        <w:rPr>
          <w:rFonts w:asciiTheme="majorHAnsi" w:hAnsiTheme="majorHAnsi" w:cstheme="majorHAnsi"/>
        </w:rPr>
      </w:pPr>
      <w:r w:rsidRPr="001042FB">
        <w:rPr>
          <w:rFonts w:asciiTheme="majorHAnsi" w:hAnsiTheme="majorHAnsi" w:cstheme="majorHAnsi"/>
        </w:rPr>
        <w:t xml:space="preserve">‘hideous in the sight of men and of the lady in their midst, a marvellous thing to look upon with eyes’ - J. R. R. Tolkien and Christian Tolkien. </w:t>
      </w:r>
      <w:r w:rsidRPr="001042FB">
        <w:rPr>
          <w:rFonts w:asciiTheme="majorHAnsi" w:hAnsiTheme="majorHAnsi" w:cstheme="majorHAnsi"/>
          <w:i/>
          <w:iCs/>
        </w:rPr>
        <w:t>Beowulf: A Translation and Commentary, Together with Sellic Spell</w:t>
      </w:r>
      <w:r w:rsidRPr="001042FB">
        <w:rPr>
          <w:rFonts w:asciiTheme="majorHAnsi" w:hAnsiTheme="majorHAnsi" w:cstheme="majorHAnsi"/>
        </w:rPr>
        <w:t xml:space="preserve"> (London: Harper Collins, 2014) p.61</w:t>
      </w:r>
    </w:p>
    <w:p w14:paraId="4E9CD002" w14:textId="74CA4AB6" w:rsidR="001E34FF" w:rsidRPr="00BA19F6" w:rsidRDefault="001E34FF" w:rsidP="00AA01A4">
      <w:pPr>
        <w:pStyle w:val="FootnoteText"/>
        <w:rPr>
          <w:rFonts w:asciiTheme="majorHAnsi" w:hAnsiTheme="majorHAnsi" w:cstheme="majorHAnsi"/>
        </w:rPr>
      </w:pPr>
      <w:r>
        <w:rPr>
          <w:rFonts w:asciiTheme="majorHAnsi" w:hAnsiTheme="majorHAnsi" w:cstheme="majorHAnsi"/>
        </w:rPr>
        <w:t>‘</w:t>
      </w:r>
      <w:r w:rsidRPr="00BA19F6">
        <w:rPr>
          <w:rFonts w:asciiTheme="majorHAnsi" w:hAnsiTheme="majorHAnsi" w:cstheme="majorHAnsi"/>
          <w:b/>
          <w:bCs/>
        </w:rPr>
        <w:t>ma</w:t>
      </w:r>
      <w:r w:rsidRPr="00BA19F6">
        <w:rPr>
          <w:rFonts w:asciiTheme="majorHAnsi" w:hAnsiTheme="majorHAnsi" w:cstheme="majorHAnsi"/>
          <w:b/>
          <w:bCs/>
          <w:shd w:val="clear" w:color="auto" w:fill="FFFFFF"/>
        </w:rPr>
        <w:t>þelian</w:t>
      </w:r>
      <w:r>
        <w:rPr>
          <w:rFonts w:asciiTheme="majorHAnsi" w:hAnsiTheme="majorHAnsi" w:cstheme="majorHAnsi"/>
          <w:b/>
          <w:bCs/>
          <w:shd w:val="clear" w:color="auto" w:fill="FFFFFF"/>
        </w:rPr>
        <w:t xml:space="preserve"> </w:t>
      </w:r>
      <w:r>
        <w:rPr>
          <w:rFonts w:asciiTheme="majorHAnsi" w:hAnsiTheme="majorHAnsi" w:cstheme="majorHAnsi"/>
        </w:rPr>
        <w:t xml:space="preserve">speak  </w:t>
      </w:r>
      <w:r>
        <w:rPr>
          <w:rFonts w:asciiTheme="majorHAnsi" w:hAnsiTheme="majorHAnsi" w:cstheme="majorHAnsi"/>
          <w:b/>
          <w:bCs/>
        </w:rPr>
        <w:t>bearn</w:t>
      </w:r>
      <w:r>
        <w:rPr>
          <w:rFonts w:asciiTheme="majorHAnsi" w:hAnsiTheme="majorHAnsi" w:cstheme="majorHAnsi"/>
        </w:rPr>
        <w:t xml:space="preserve"> son  </w:t>
      </w:r>
      <w:r>
        <w:rPr>
          <w:rFonts w:asciiTheme="majorHAnsi" w:hAnsiTheme="majorHAnsi" w:cstheme="majorHAnsi"/>
          <w:b/>
          <w:bCs/>
        </w:rPr>
        <w:t>sorgian</w:t>
      </w:r>
      <w:r>
        <w:rPr>
          <w:rFonts w:asciiTheme="majorHAnsi" w:hAnsiTheme="majorHAnsi" w:cstheme="majorHAnsi"/>
        </w:rPr>
        <w:t xml:space="preserve"> grieve  </w:t>
      </w:r>
      <w:r>
        <w:rPr>
          <w:rFonts w:asciiTheme="majorHAnsi" w:hAnsiTheme="majorHAnsi" w:cstheme="majorHAnsi"/>
          <w:b/>
          <w:bCs/>
        </w:rPr>
        <w:t>snotor</w:t>
      </w:r>
      <w:r>
        <w:rPr>
          <w:rFonts w:asciiTheme="majorHAnsi" w:hAnsiTheme="majorHAnsi" w:cstheme="majorHAnsi"/>
        </w:rPr>
        <w:t xml:space="preserve"> wise  </w:t>
      </w:r>
      <w:r w:rsidRPr="00BA19F6">
        <w:rPr>
          <w:rFonts w:asciiTheme="majorHAnsi" w:hAnsiTheme="majorHAnsi" w:cstheme="majorHAnsi"/>
          <w:b/>
          <w:bCs/>
        </w:rPr>
        <w:t>guma</w:t>
      </w:r>
      <w:r>
        <w:rPr>
          <w:rFonts w:asciiTheme="majorHAnsi" w:hAnsiTheme="majorHAnsi" w:cstheme="majorHAnsi"/>
          <w:b/>
          <w:bCs/>
        </w:rPr>
        <w:t xml:space="preserve"> </w:t>
      </w:r>
      <w:r>
        <w:rPr>
          <w:rFonts w:asciiTheme="majorHAnsi" w:hAnsiTheme="majorHAnsi" w:cstheme="majorHAnsi"/>
        </w:rPr>
        <w:t xml:space="preserve">man  </w:t>
      </w:r>
      <w:r w:rsidRPr="00BA19F6">
        <w:rPr>
          <w:rFonts w:asciiTheme="majorHAnsi" w:hAnsiTheme="majorHAnsi" w:cstheme="majorHAnsi"/>
          <w:b/>
          <w:bCs/>
        </w:rPr>
        <w:t>s</w:t>
      </w:r>
      <w:r w:rsidRPr="00BA19F6">
        <w:rPr>
          <w:rStyle w:val="Strong"/>
          <w:rFonts w:asciiTheme="majorHAnsi" w:hAnsiTheme="majorHAnsi" w:cstheme="majorHAnsi"/>
          <w:color w:val="222222"/>
          <w:shd w:val="clear" w:color="auto" w:fill="FFFFFF"/>
          <w:lang w:val="en"/>
        </w:rPr>
        <w:t>é</w:t>
      </w:r>
      <w:r w:rsidRPr="00BA19F6">
        <w:rPr>
          <w:rFonts w:asciiTheme="majorHAnsi" w:hAnsiTheme="majorHAnsi" w:cstheme="majorHAnsi"/>
          <w:b/>
          <w:bCs/>
        </w:rPr>
        <w:t>lra</w:t>
      </w:r>
      <w:r>
        <w:rPr>
          <w:rFonts w:asciiTheme="majorHAnsi" w:hAnsiTheme="majorHAnsi" w:cstheme="majorHAnsi"/>
          <w:b/>
          <w:bCs/>
        </w:rPr>
        <w:t xml:space="preserve"> </w:t>
      </w:r>
      <w:r>
        <w:rPr>
          <w:rFonts w:asciiTheme="majorHAnsi" w:hAnsiTheme="majorHAnsi" w:cstheme="majorHAnsi"/>
        </w:rPr>
        <w:t xml:space="preserve">better  </w:t>
      </w:r>
      <w:r w:rsidRPr="00BA19F6">
        <w:rPr>
          <w:rStyle w:val="Strong"/>
          <w:rFonts w:asciiTheme="majorHAnsi" w:hAnsiTheme="majorHAnsi" w:cstheme="majorHAnsi"/>
          <w:color w:val="222222"/>
          <w:shd w:val="clear" w:color="auto" w:fill="FFFFFF"/>
        </w:rPr>
        <w:t>ǽghwǽ</w:t>
      </w:r>
      <w:r w:rsidRPr="00BA19F6">
        <w:rPr>
          <w:rFonts w:asciiTheme="majorHAnsi" w:hAnsiTheme="majorHAnsi" w:cstheme="majorHAnsi"/>
          <w:b/>
          <w:bCs/>
          <w:color w:val="333333"/>
          <w:bdr w:val="none" w:sz="0" w:space="0" w:color="auto" w:frame="1"/>
          <w:shd w:val="clear" w:color="auto" w:fill="FFFFFF"/>
        </w:rPr>
        <w:t>m</w:t>
      </w:r>
      <w:r w:rsidRPr="00BA19F6">
        <w:rPr>
          <w:rFonts w:asciiTheme="majorHAnsi" w:hAnsiTheme="majorHAnsi" w:cstheme="majorHAnsi"/>
        </w:rPr>
        <w:t xml:space="preserve"> </w:t>
      </w:r>
      <w:r>
        <w:rPr>
          <w:rFonts w:asciiTheme="majorHAnsi" w:hAnsiTheme="majorHAnsi" w:cstheme="majorHAnsi"/>
        </w:rPr>
        <w:t xml:space="preserve">every one’ Alexander. p.91 </w:t>
      </w:r>
    </w:p>
    <w:p w14:paraId="042BB512" w14:textId="4A9E8766" w:rsidR="001E34FF" w:rsidRPr="001042FB" w:rsidRDefault="001E34FF" w:rsidP="00AA01A4">
      <w:pPr>
        <w:pStyle w:val="FootnoteText"/>
        <w:rPr>
          <w:rFonts w:asciiTheme="majorHAnsi" w:hAnsiTheme="majorHAnsi" w:cstheme="majorHAnsi"/>
        </w:rPr>
      </w:pPr>
      <w:r w:rsidRPr="001042FB">
        <w:rPr>
          <w:rFonts w:asciiTheme="majorHAnsi" w:hAnsiTheme="majorHAnsi" w:cstheme="majorHAnsi"/>
        </w:rPr>
        <w:t xml:space="preserve">‘It is always better to avenge dear ones than to indulge in mourning’ – Seamus Heaney. </w:t>
      </w:r>
      <w:r w:rsidRPr="001042FB">
        <w:rPr>
          <w:rFonts w:asciiTheme="majorHAnsi" w:hAnsiTheme="majorHAnsi" w:cstheme="majorHAnsi"/>
          <w:i/>
          <w:iCs/>
        </w:rPr>
        <w:t>Beowulf: a New Translation</w:t>
      </w:r>
      <w:r w:rsidRPr="001042FB">
        <w:rPr>
          <w:rFonts w:asciiTheme="majorHAnsi" w:hAnsiTheme="majorHAnsi" w:cstheme="majorHAnsi"/>
        </w:rPr>
        <w:t xml:space="preserve"> (London: Faber and Faber, 1999) p.46</w:t>
      </w:r>
    </w:p>
    <w:p w14:paraId="7868D4F3" w14:textId="5443193C" w:rsidR="001E34FF" w:rsidRDefault="001E34FF" w:rsidP="00AA01A4">
      <w:pPr>
        <w:pStyle w:val="FootnoteText"/>
        <w:rPr>
          <w:rFonts w:asciiTheme="majorHAnsi" w:hAnsiTheme="majorHAnsi" w:cstheme="majorHAnsi"/>
        </w:rPr>
      </w:pPr>
    </w:p>
    <w:p w14:paraId="2D2BFE05" w14:textId="32A52E71" w:rsidR="001E34FF" w:rsidRDefault="001E34FF" w:rsidP="00AA01A4">
      <w:pPr>
        <w:pStyle w:val="FootnoteText"/>
        <w:rPr>
          <w:rFonts w:asciiTheme="majorHAnsi" w:hAnsiTheme="majorHAnsi" w:cstheme="majorHAnsi"/>
        </w:rPr>
      </w:pPr>
      <w:r>
        <w:rPr>
          <w:rFonts w:asciiTheme="majorHAnsi" w:hAnsiTheme="majorHAnsi" w:cstheme="majorHAnsi"/>
        </w:rPr>
        <w:t>‘</w:t>
      </w:r>
      <w:r w:rsidRPr="001042FB">
        <w:rPr>
          <w:rFonts w:asciiTheme="majorHAnsi" w:hAnsiTheme="majorHAnsi" w:cstheme="majorHAnsi"/>
        </w:rPr>
        <w:t>B</w:t>
      </w:r>
      <w:r w:rsidRPr="001042FB">
        <w:rPr>
          <w:rStyle w:val="Strong"/>
          <w:rFonts w:asciiTheme="majorHAnsi" w:hAnsiTheme="majorHAnsi" w:cstheme="majorHAnsi"/>
          <w:b w:val="0"/>
          <w:bCs w:val="0"/>
          <w:color w:val="222222"/>
          <w:shd w:val="clear" w:color="auto" w:fill="FFFFFF"/>
          <w:lang w:val="en"/>
        </w:rPr>
        <w:t>é</w:t>
      </w:r>
      <w:r w:rsidRPr="001042FB">
        <w:rPr>
          <w:rFonts w:asciiTheme="majorHAnsi" w:hAnsiTheme="majorHAnsi" w:cstheme="majorHAnsi"/>
        </w:rPr>
        <w:t>owulf ma</w:t>
      </w:r>
      <w:r w:rsidRPr="001042FB">
        <w:rPr>
          <w:rFonts w:asciiTheme="majorHAnsi" w:hAnsiTheme="majorHAnsi" w:cstheme="majorHAnsi"/>
          <w:shd w:val="clear" w:color="auto" w:fill="FFFFFF"/>
        </w:rPr>
        <w:t>þelode,</w:t>
      </w:r>
      <w:r w:rsidRPr="001042FB">
        <w:rPr>
          <w:rFonts w:asciiTheme="majorHAnsi" w:hAnsiTheme="majorHAnsi" w:cstheme="majorHAnsi"/>
        </w:rPr>
        <w:t>bearn Ec</w:t>
      </w:r>
      <w:r w:rsidRPr="001042FB">
        <w:rPr>
          <w:rFonts w:asciiTheme="majorHAnsi" w:hAnsiTheme="majorHAnsi" w:cstheme="majorHAnsi"/>
          <w:shd w:val="clear" w:color="auto" w:fill="FFFFFF"/>
        </w:rPr>
        <w:t>þ</w:t>
      </w:r>
      <w:r w:rsidRPr="001042FB">
        <w:rPr>
          <w:rStyle w:val="Strong"/>
          <w:rFonts w:asciiTheme="majorHAnsi" w:hAnsiTheme="majorHAnsi" w:cstheme="majorHAnsi"/>
          <w:b w:val="0"/>
          <w:bCs w:val="0"/>
          <w:color w:val="222222"/>
          <w:shd w:val="clear" w:color="auto" w:fill="FFFFFF"/>
          <w:lang w:val="en"/>
        </w:rPr>
        <w:t>éowes</w:t>
      </w:r>
      <w:r w:rsidRPr="001042FB">
        <w:rPr>
          <w:rFonts w:asciiTheme="majorHAnsi" w:hAnsiTheme="majorHAnsi" w:cstheme="majorHAnsi"/>
        </w:rPr>
        <w:t xml:space="preserve"> : ‘Ne sorga, snotor guma! S</w:t>
      </w:r>
      <w:r w:rsidRPr="001042FB">
        <w:rPr>
          <w:rStyle w:val="Strong"/>
          <w:rFonts w:asciiTheme="majorHAnsi" w:hAnsiTheme="majorHAnsi" w:cstheme="majorHAnsi"/>
          <w:b w:val="0"/>
          <w:bCs w:val="0"/>
          <w:color w:val="222222"/>
          <w:shd w:val="clear" w:color="auto" w:fill="FFFFFF"/>
          <w:lang w:val="en"/>
        </w:rPr>
        <w:t>é</w:t>
      </w:r>
      <w:r w:rsidRPr="001042FB">
        <w:rPr>
          <w:rFonts w:asciiTheme="majorHAnsi" w:hAnsiTheme="majorHAnsi" w:cstheme="majorHAnsi"/>
        </w:rPr>
        <w:t>lra bi</w:t>
      </w:r>
      <w:r w:rsidRPr="001042FB">
        <w:rPr>
          <w:rFonts w:asciiTheme="majorHAnsi" w:hAnsiTheme="majorHAnsi" w:cstheme="majorHAnsi"/>
          <w:color w:val="222222"/>
          <w:shd w:val="clear" w:color="auto" w:fill="FFFFFF"/>
        </w:rPr>
        <w:t>ð</w:t>
      </w:r>
      <w:r w:rsidRPr="001042FB">
        <w:rPr>
          <w:rFonts w:asciiTheme="majorHAnsi" w:hAnsiTheme="majorHAnsi" w:cstheme="majorHAnsi"/>
        </w:rPr>
        <w:t xml:space="preserve"> </w:t>
      </w:r>
      <w:r w:rsidRPr="001042FB">
        <w:rPr>
          <w:rStyle w:val="Strong"/>
          <w:rFonts w:asciiTheme="majorHAnsi" w:hAnsiTheme="majorHAnsi" w:cstheme="majorHAnsi"/>
          <w:b w:val="0"/>
          <w:bCs w:val="0"/>
          <w:color w:val="222222"/>
          <w:shd w:val="clear" w:color="auto" w:fill="FFFFFF"/>
        </w:rPr>
        <w:t>ǽghwǽ</w:t>
      </w:r>
      <w:r w:rsidRPr="001042FB">
        <w:rPr>
          <w:rFonts w:asciiTheme="majorHAnsi" w:hAnsiTheme="majorHAnsi" w:cstheme="majorHAnsi"/>
          <w:color w:val="333333"/>
          <w:bdr w:val="none" w:sz="0" w:space="0" w:color="auto" w:frame="1"/>
          <w:shd w:val="clear" w:color="auto" w:fill="FFFFFF"/>
        </w:rPr>
        <w:t>m</w:t>
      </w:r>
      <w:r>
        <w:rPr>
          <w:rFonts w:asciiTheme="majorHAnsi" w:hAnsiTheme="majorHAnsi" w:cstheme="majorHAnsi"/>
          <w:color w:val="333333"/>
          <w:bdr w:val="none" w:sz="0" w:space="0" w:color="auto" w:frame="1"/>
          <w:shd w:val="clear" w:color="auto" w:fill="FFFFFF"/>
        </w:rPr>
        <w:t>’</w:t>
      </w:r>
      <w:r w:rsidRPr="001042FB">
        <w:rPr>
          <w:rFonts w:asciiTheme="majorHAnsi" w:hAnsiTheme="majorHAnsi" w:cstheme="majorHAnsi"/>
        </w:rPr>
        <w:t>’ -</w:t>
      </w:r>
      <w:r>
        <w:rPr>
          <w:rFonts w:asciiTheme="majorHAnsi" w:hAnsiTheme="majorHAnsi" w:cstheme="majorHAnsi"/>
        </w:rPr>
        <w:t>Swanton. p.100</w:t>
      </w:r>
    </w:p>
    <w:p w14:paraId="1776CCC8" w14:textId="48E2E1C9" w:rsidR="001E34FF" w:rsidRPr="001042FB" w:rsidRDefault="001E34FF" w:rsidP="00AA01A4">
      <w:pPr>
        <w:pStyle w:val="FootnoteText"/>
        <w:rPr>
          <w:rFonts w:asciiTheme="majorHAnsi" w:hAnsiTheme="majorHAnsi" w:cstheme="majorHAnsi"/>
        </w:rPr>
      </w:pPr>
      <w:r w:rsidRPr="001042FB">
        <w:rPr>
          <w:rFonts w:asciiTheme="majorHAnsi" w:hAnsiTheme="majorHAnsi" w:cstheme="majorHAnsi"/>
        </w:rPr>
        <w:t>‘B</w:t>
      </w:r>
      <w:r w:rsidRPr="001042FB">
        <w:rPr>
          <w:rStyle w:val="Strong"/>
          <w:rFonts w:asciiTheme="majorHAnsi" w:hAnsiTheme="majorHAnsi" w:cstheme="majorHAnsi"/>
          <w:b w:val="0"/>
          <w:bCs w:val="0"/>
          <w:color w:val="222222"/>
          <w:shd w:val="clear" w:color="auto" w:fill="FFFFFF"/>
          <w:lang w:val="en"/>
        </w:rPr>
        <w:t>é</w:t>
      </w:r>
      <w:r w:rsidRPr="001042FB">
        <w:rPr>
          <w:rFonts w:asciiTheme="majorHAnsi" w:hAnsiTheme="majorHAnsi" w:cstheme="majorHAnsi"/>
        </w:rPr>
        <w:t>owulf ma</w:t>
      </w:r>
      <w:r w:rsidRPr="001042FB">
        <w:rPr>
          <w:rFonts w:asciiTheme="majorHAnsi" w:hAnsiTheme="majorHAnsi" w:cstheme="majorHAnsi"/>
          <w:shd w:val="clear" w:color="auto" w:fill="FFFFFF"/>
        </w:rPr>
        <w:t>þelode,</w:t>
      </w:r>
      <w:r w:rsidRPr="001042FB">
        <w:rPr>
          <w:rFonts w:asciiTheme="majorHAnsi" w:hAnsiTheme="majorHAnsi" w:cstheme="majorHAnsi"/>
        </w:rPr>
        <w:t>bearn Ec</w:t>
      </w:r>
      <w:r w:rsidRPr="001042FB">
        <w:rPr>
          <w:rFonts w:asciiTheme="majorHAnsi" w:hAnsiTheme="majorHAnsi" w:cstheme="majorHAnsi"/>
          <w:shd w:val="clear" w:color="auto" w:fill="FFFFFF"/>
        </w:rPr>
        <w:t>þ</w:t>
      </w:r>
      <w:r w:rsidRPr="001042FB">
        <w:rPr>
          <w:rStyle w:val="Strong"/>
          <w:rFonts w:asciiTheme="majorHAnsi" w:hAnsiTheme="majorHAnsi" w:cstheme="majorHAnsi"/>
          <w:b w:val="0"/>
          <w:bCs w:val="0"/>
          <w:color w:val="222222"/>
          <w:shd w:val="clear" w:color="auto" w:fill="FFFFFF"/>
          <w:lang w:val="en"/>
        </w:rPr>
        <w:t>éowes</w:t>
      </w:r>
      <w:r w:rsidRPr="001042FB">
        <w:rPr>
          <w:rFonts w:asciiTheme="majorHAnsi" w:hAnsiTheme="majorHAnsi" w:cstheme="majorHAnsi"/>
        </w:rPr>
        <w:t xml:space="preserve"> : ‘Ne sorga, snotor guma! S</w:t>
      </w:r>
      <w:r w:rsidRPr="001042FB">
        <w:rPr>
          <w:rStyle w:val="Strong"/>
          <w:rFonts w:asciiTheme="majorHAnsi" w:hAnsiTheme="majorHAnsi" w:cstheme="majorHAnsi"/>
          <w:b w:val="0"/>
          <w:bCs w:val="0"/>
          <w:color w:val="222222"/>
          <w:shd w:val="clear" w:color="auto" w:fill="FFFFFF"/>
          <w:lang w:val="en"/>
        </w:rPr>
        <w:t>é</w:t>
      </w:r>
      <w:r w:rsidRPr="001042FB">
        <w:rPr>
          <w:rFonts w:asciiTheme="majorHAnsi" w:hAnsiTheme="majorHAnsi" w:cstheme="majorHAnsi"/>
        </w:rPr>
        <w:t>lra bi</w:t>
      </w:r>
      <w:r w:rsidRPr="001042FB">
        <w:rPr>
          <w:rFonts w:asciiTheme="majorHAnsi" w:hAnsiTheme="majorHAnsi" w:cstheme="majorHAnsi"/>
          <w:color w:val="222222"/>
          <w:shd w:val="clear" w:color="auto" w:fill="FFFFFF"/>
        </w:rPr>
        <w:t>ð</w:t>
      </w:r>
      <w:r w:rsidRPr="001042FB">
        <w:rPr>
          <w:rFonts w:asciiTheme="majorHAnsi" w:hAnsiTheme="majorHAnsi" w:cstheme="majorHAnsi"/>
        </w:rPr>
        <w:t xml:space="preserve"> </w:t>
      </w:r>
      <w:r w:rsidRPr="001042FB">
        <w:rPr>
          <w:rStyle w:val="Strong"/>
          <w:rFonts w:asciiTheme="majorHAnsi" w:hAnsiTheme="majorHAnsi" w:cstheme="majorHAnsi"/>
          <w:b w:val="0"/>
          <w:bCs w:val="0"/>
          <w:color w:val="222222"/>
          <w:shd w:val="clear" w:color="auto" w:fill="FFFFFF"/>
        </w:rPr>
        <w:t>ǽghwǽ</w:t>
      </w:r>
      <w:r w:rsidRPr="001042FB">
        <w:rPr>
          <w:rFonts w:asciiTheme="majorHAnsi" w:hAnsiTheme="majorHAnsi" w:cstheme="majorHAnsi"/>
          <w:color w:val="333333"/>
          <w:bdr w:val="none" w:sz="0" w:space="0" w:color="auto" w:frame="1"/>
          <w:shd w:val="clear" w:color="auto" w:fill="FFFFFF"/>
        </w:rPr>
        <w:t>m</w:t>
      </w:r>
      <w:r w:rsidRPr="001042FB">
        <w:rPr>
          <w:rFonts w:asciiTheme="majorHAnsi" w:hAnsiTheme="majorHAnsi" w:cstheme="majorHAnsi"/>
        </w:rPr>
        <w:t>’’ -Alexander. p.90</w:t>
      </w:r>
    </w:p>
    <w:p w14:paraId="1F502481" w14:textId="7661E26F" w:rsidR="001E34FF" w:rsidRDefault="001E34FF" w:rsidP="00AA01A4">
      <w:pPr>
        <w:pStyle w:val="FootnoteText"/>
        <w:rPr>
          <w:rFonts w:asciiTheme="majorHAnsi" w:hAnsiTheme="majorHAnsi" w:cstheme="majorHAnsi"/>
        </w:rPr>
      </w:pPr>
      <w:r w:rsidRPr="001042FB">
        <w:rPr>
          <w:rFonts w:asciiTheme="majorHAnsi" w:hAnsiTheme="majorHAnsi" w:cstheme="majorHAnsi"/>
        </w:rPr>
        <w:t>‘B</w:t>
      </w:r>
      <w:r w:rsidRPr="001042FB">
        <w:rPr>
          <w:rStyle w:val="Strong"/>
          <w:rFonts w:asciiTheme="majorHAnsi" w:hAnsiTheme="majorHAnsi" w:cstheme="majorHAnsi"/>
          <w:b w:val="0"/>
          <w:bCs w:val="0"/>
          <w:shd w:val="clear" w:color="auto" w:fill="FFFFFF"/>
          <w:lang w:val="en"/>
        </w:rPr>
        <w:t>é</w:t>
      </w:r>
      <w:r w:rsidRPr="001042FB">
        <w:rPr>
          <w:rFonts w:asciiTheme="majorHAnsi" w:hAnsiTheme="majorHAnsi" w:cstheme="majorHAnsi"/>
        </w:rPr>
        <w:t>owulf ma</w:t>
      </w:r>
      <w:r w:rsidRPr="001042FB">
        <w:rPr>
          <w:rFonts w:asciiTheme="majorHAnsi" w:hAnsiTheme="majorHAnsi" w:cstheme="majorHAnsi"/>
          <w:shd w:val="clear" w:color="auto" w:fill="FFFFFF"/>
        </w:rPr>
        <w:t>þelode,</w:t>
      </w:r>
      <w:r w:rsidRPr="001042FB">
        <w:rPr>
          <w:rFonts w:asciiTheme="majorHAnsi" w:hAnsiTheme="majorHAnsi" w:cstheme="majorHAnsi"/>
        </w:rPr>
        <w:t>bearn Ec</w:t>
      </w:r>
      <w:r w:rsidRPr="001042FB">
        <w:rPr>
          <w:rFonts w:asciiTheme="majorHAnsi" w:hAnsiTheme="majorHAnsi" w:cstheme="majorHAnsi"/>
          <w:shd w:val="clear" w:color="auto" w:fill="FFFFFF"/>
        </w:rPr>
        <w:t>þ</w:t>
      </w:r>
      <w:r w:rsidRPr="001042FB">
        <w:rPr>
          <w:rStyle w:val="Strong"/>
          <w:rFonts w:asciiTheme="majorHAnsi" w:hAnsiTheme="majorHAnsi" w:cstheme="majorHAnsi"/>
          <w:b w:val="0"/>
          <w:bCs w:val="0"/>
          <w:shd w:val="clear" w:color="auto" w:fill="FFFFFF"/>
          <w:lang w:val="en"/>
        </w:rPr>
        <w:t>éowes</w:t>
      </w:r>
      <w:r w:rsidRPr="001042FB">
        <w:rPr>
          <w:rFonts w:asciiTheme="majorHAnsi" w:hAnsiTheme="majorHAnsi" w:cstheme="majorHAnsi"/>
        </w:rPr>
        <w:t xml:space="preserve"> : “Ne sorga, snotor guma! S</w:t>
      </w:r>
      <w:r w:rsidRPr="001042FB">
        <w:rPr>
          <w:rStyle w:val="Strong"/>
          <w:rFonts w:asciiTheme="majorHAnsi" w:hAnsiTheme="majorHAnsi" w:cstheme="majorHAnsi"/>
          <w:b w:val="0"/>
          <w:bCs w:val="0"/>
          <w:shd w:val="clear" w:color="auto" w:fill="FFFFFF"/>
          <w:lang w:val="en"/>
        </w:rPr>
        <w:t>é</w:t>
      </w:r>
      <w:r w:rsidRPr="001042FB">
        <w:rPr>
          <w:rFonts w:asciiTheme="majorHAnsi" w:hAnsiTheme="majorHAnsi" w:cstheme="majorHAnsi"/>
        </w:rPr>
        <w:t>lra bi</w:t>
      </w:r>
      <w:r w:rsidRPr="001042FB">
        <w:rPr>
          <w:rFonts w:asciiTheme="majorHAnsi" w:hAnsiTheme="majorHAnsi" w:cstheme="majorHAnsi"/>
          <w:shd w:val="clear" w:color="auto" w:fill="FFFFFF"/>
        </w:rPr>
        <w:t>ð</w:t>
      </w:r>
      <w:r w:rsidRPr="001042FB">
        <w:rPr>
          <w:rFonts w:asciiTheme="majorHAnsi" w:hAnsiTheme="majorHAnsi" w:cstheme="majorHAnsi"/>
        </w:rPr>
        <w:t xml:space="preserve"> </w:t>
      </w:r>
      <w:r w:rsidRPr="001042FB">
        <w:rPr>
          <w:rStyle w:val="Strong"/>
          <w:rFonts w:asciiTheme="majorHAnsi" w:hAnsiTheme="majorHAnsi" w:cstheme="majorHAnsi"/>
          <w:b w:val="0"/>
          <w:bCs w:val="0"/>
          <w:shd w:val="clear" w:color="auto" w:fill="FFFFFF"/>
        </w:rPr>
        <w:t>ǽghwǽ</w:t>
      </w:r>
      <w:r w:rsidRPr="001042FB">
        <w:rPr>
          <w:rFonts w:asciiTheme="majorHAnsi" w:hAnsiTheme="majorHAnsi" w:cstheme="majorHAnsi"/>
          <w:bdr w:val="none" w:sz="0" w:space="0" w:color="auto" w:frame="1"/>
          <w:shd w:val="clear" w:color="auto" w:fill="FFFFFF"/>
        </w:rPr>
        <w:t xml:space="preserve">m” ‘-C. L. Wrenn. p.130  </w:t>
      </w:r>
    </w:p>
    <w:p w14:paraId="13B6D69F" w14:textId="1AD4590E" w:rsidR="001E34FF" w:rsidRPr="0054770E" w:rsidRDefault="001E34FF" w:rsidP="00AA01A4">
      <w:pPr>
        <w:pStyle w:val="FootnoteText"/>
        <w:rPr>
          <w:rFonts w:asciiTheme="majorHAnsi" w:hAnsiTheme="majorHAnsi" w:cstheme="majorHAnsi"/>
        </w:rPr>
      </w:pPr>
      <w:r w:rsidRPr="001042FB">
        <w:rPr>
          <w:rFonts w:asciiTheme="majorHAnsi" w:hAnsiTheme="majorHAnsi" w:cstheme="majorHAnsi"/>
        </w:rPr>
        <w:t>As can be seen, the only variations between the Anglo-Saxon English are</w:t>
      </w:r>
      <w:r>
        <w:rPr>
          <w:rFonts w:asciiTheme="majorHAnsi" w:hAnsiTheme="majorHAnsi" w:cstheme="majorHAnsi"/>
        </w:rPr>
        <w:t xml:space="preserve"> generally</w:t>
      </w:r>
      <w:r w:rsidRPr="001042FB">
        <w:rPr>
          <w:rFonts w:asciiTheme="majorHAnsi" w:hAnsiTheme="majorHAnsi" w:cstheme="majorHAnsi"/>
        </w:rPr>
        <w:t xml:space="preserve"> punctuation related, whereas the modern versions completely alter the meaning and reading of the line in question</w:t>
      </w:r>
      <w:r>
        <w:rPr>
          <w:rFonts w:asciiTheme="majorHAnsi" w:hAnsiTheme="majorHAnsi" w:cstheme="majorHAnsi"/>
        </w:rPr>
        <w:t xml:space="preserve"> (and this is only one particular line). This of course can affect interpretations of the entire poem depending on which version is being read. Under the advice of William Marx, the supervisor of this research project, a translation which will be of focus has been identified in order to not confuse the reading of </w:t>
      </w:r>
      <w:r>
        <w:rPr>
          <w:rFonts w:asciiTheme="majorHAnsi" w:hAnsiTheme="majorHAnsi" w:cstheme="majorHAnsi"/>
          <w:i/>
          <w:iCs/>
        </w:rPr>
        <w:t>Beowulf</w:t>
      </w:r>
      <w:r>
        <w:rPr>
          <w:rFonts w:asciiTheme="majorHAnsi" w:hAnsiTheme="majorHAnsi" w:cstheme="majorHAnsi"/>
        </w:rPr>
        <w:t xml:space="preserve"> in regard to this dissertation.</w:t>
      </w:r>
    </w:p>
  </w:footnote>
  <w:footnote w:id="19">
    <w:p w14:paraId="21354A8B" w14:textId="1F43AA2C" w:rsidR="001E34FF" w:rsidRPr="007E5542" w:rsidRDefault="001E34FF">
      <w:pPr>
        <w:pStyle w:val="FootnoteText"/>
      </w:pPr>
      <w:r>
        <w:rPr>
          <w:rStyle w:val="FootnoteReference"/>
        </w:rPr>
        <w:footnoteRef/>
      </w:r>
      <w:r>
        <w:t xml:space="preserve"> Swanton.</w:t>
      </w:r>
    </w:p>
  </w:footnote>
  <w:footnote w:id="20">
    <w:p w14:paraId="766500E5" w14:textId="19DDB97C" w:rsidR="001E34FF" w:rsidRDefault="001E34FF">
      <w:pPr>
        <w:pStyle w:val="FootnoteText"/>
      </w:pPr>
      <w:r>
        <w:rPr>
          <w:rStyle w:val="FootnoteReference"/>
        </w:rPr>
        <w:footnoteRef/>
      </w:r>
      <w:r>
        <w:t xml:space="preserve"> Derek Neal, “Masculine Identity in Late Medieval English Society and Culture,” </w:t>
      </w:r>
      <w:r w:rsidRPr="00C7602B">
        <w:rPr>
          <w:i/>
          <w:iCs/>
        </w:rPr>
        <w:t>Writing Medieval History</w:t>
      </w:r>
      <w:r>
        <w:t>, ed. Nancy Partner, Vol. 3, (London: Hodder Arnold, 2005) p.172</w:t>
      </w:r>
    </w:p>
  </w:footnote>
  <w:footnote w:id="21">
    <w:p w14:paraId="09FAE5B2" w14:textId="6E58E597" w:rsidR="001E34FF" w:rsidRPr="00723618" w:rsidRDefault="001E34FF">
      <w:pPr>
        <w:pStyle w:val="FootnoteText"/>
      </w:pPr>
      <w:r>
        <w:rPr>
          <w:rStyle w:val="FootnoteReference"/>
        </w:rPr>
        <w:footnoteRef/>
      </w:r>
      <w:r>
        <w:t xml:space="preserve"> Kathleen Herbert. </w:t>
      </w:r>
      <w:r>
        <w:rPr>
          <w:i/>
          <w:iCs/>
        </w:rPr>
        <w:t>Peace-Weavers &amp; Shield-Maidens: Women in Early English Society</w:t>
      </w:r>
      <w:r>
        <w:t>. (England: Anglo-Saxon Books, 1997) p.13</w:t>
      </w:r>
    </w:p>
  </w:footnote>
  <w:footnote w:id="22">
    <w:p w14:paraId="2E3B3930" w14:textId="30B791EA" w:rsidR="001E34FF" w:rsidRDefault="001E34FF">
      <w:pPr>
        <w:pStyle w:val="FootnoteText"/>
      </w:pPr>
      <w:r>
        <w:rPr>
          <w:rStyle w:val="FootnoteReference"/>
        </w:rPr>
        <w:footnoteRef/>
      </w:r>
      <w:r>
        <w:t xml:space="preserve">British National Library, </w:t>
      </w:r>
      <w:r>
        <w:rPr>
          <w:i/>
          <w:iCs/>
        </w:rPr>
        <w:t>Beowulf</w:t>
      </w:r>
      <w:r>
        <w:t xml:space="preserve"> (2019) &lt;</w:t>
      </w:r>
      <w:hyperlink r:id="rId1" w:history="1">
        <w:r w:rsidRPr="00933292">
          <w:rPr>
            <w:rStyle w:val="Hyperlink"/>
          </w:rPr>
          <w:t>https://www.bl.uk/collection-items/beowulf</w:t>
        </w:r>
      </w:hyperlink>
      <w:r>
        <w:t>&gt; [Accessed 28</w:t>
      </w:r>
      <w:r w:rsidRPr="00D213AF">
        <w:rPr>
          <w:vertAlign w:val="superscript"/>
        </w:rPr>
        <w:t>th</w:t>
      </w:r>
      <w:r>
        <w:t xml:space="preserve"> November 2019]</w:t>
      </w:r>
    </w:p>
  </w:footnote>
  <w:footnote w:id="23">
    <w:p w14:paraId="1248556B" w14:textId="4E325244" w:rsidR="001E34FF" w:rsidRPr="00836A0B" w:rsidRDefault="001E34FF">
      <w:pPr>
        <w:pStyle w:val="FootnoteText"/>
        <w:rPr>
          <w:rFonts w:asciiTheme="majorHAnsi" w:hAnsiTheme="majorHAnsi" w:cstheme="majorHAnsi"/>
        </w:rPr>
      </w:pPr>
      <w:r w:rsidRPr="00836A0B">
        <w:rPr>
          <w:rStyle w:val="FootnoteReference"/>
        </w:rPr>
        <w:footnoteRef/>
      </w:r>
      <w:r w:rsidRPr="00836A0B">
        <w:t xml:space="preserve"> </w:t>
      </w:r>
      <w:r w:rsidRPr="00836A0B">
        <w:rPr>
          <w:rFonts w:asciiTheme="majorHAnsi" w:hAnsiTheme="majorHAnsi" w:cstheme="majorHAnsi"/>
        </w:rPr>
        <w:t xml:space="preserve">Burton Raffel, and Alexandra Olsen, eds. </w:t>
      </w:r>
      <w:r w:rsidRPr="00836A0B">
        <w:rPr>
          <w:rFonts w:asciiTheme="majorHAnsi" w:hAnsiTheme="majorHAnsi" w:cstheme="majorHAnsi"/>
          <w:i/>
          <w:iCs/>
        </w:rPr>
        <w:t>Poems and Prose from the Old English</w:t>
      </w:r>
      <w:r w:rsidRPr="00836A0B">
        <w:rPr>
          <w:rFonts w:asciiTheme="majorHAnsi" w:hAnsiTheme="majorHAnsi" w:cstheme="majorHAnsi"/>
        </w:rPr>
        <w:t>. (New Haven: Yale University Press, 1998)</w:t>
      </w:r>
      <w:r>
        <w:rPr>
          <w:rFonts w:asciiTheme="majorHAnsi" w:hAnsiTheme="majorHAnsi" w:cstheme="majorHAnsi"/>
        </w:rPr>
        <w:t xml:space="preserve"> p.22</w:t>
      </w:r>
    </w:p>
  </w:footnote>
  <w:footnote w:id="24">
    <w:p w14:paraId="5530BBC9" w14:textId="46E0A501" w:rsidR="001E34FF" w:rsidRDefault="001E34FF">
      <w:pPr>
        <w:pStyle w:val="FootnoteText"/>
      </w:pPr>
      <w:r>
        <w:rPr>
          <w:rStyle w:val="FootnoteReference"/>
        </w:rPr>
        <w:footnoteRef/>
      </w:r>
      <w:r>
        <w:t xml:space="preserve"> Peter J. Lucas. “‘Judith’ and the Woman Hero</w:t>
      </w:r>
      <w:r w:rsidRPr="00AE4EAB">
        <w:rPr>
          <w:i/>
          <w:iCs/>
        </w:rPr>
        <w:t>.” The Yearbook of English Studies</w:t>
      </w:r>
      <w:r>
        <w:t>. 22 (1992) pp.26</w:t>
      </w:r>
    </w:p>
  </w:footnote>
  <w:footnote w:id="25">
    <w:p w14:paraId="49160562" w14:textId="0E029FF5" w:rsidR="001E34FF" w:rsidRPr="00B3447D" w:rsidRDefault="001E34FF">
      <w:pPr>
        <w:pStyle w:val="FootnoteText"/>
        <w:rPr>
          <w:rFonts w:ascii="Calibri" w:hAnsi="Calibri" w:cs="Calibri"/>
          <w:sz w:val="22"/>
          <w:szCs w:val="22"/>
          <w:shd w:val="clear" w:color="auto" w:fill="FFFFFF"/>
        </w:rPr>
      </w:pPr>
      <w:r>
        <w:rPr>
          <w:rStyle w:val="FootnoteReference"/>
        </w:rPr>
        <w:footnoteRef/>
      </w:r>
      <w:r>
        <w:t xml:space="preserve">Alfred G Litton. “The Heroine as Hero: Gender Reversal in the Anglo-Saxon Judith.” </w:t>
      </w:r>
      <w:r w:rsidRPr="00B3447D">
        <w:rPr>
          <w:i/>
          <w:iCs/>
        </w:rPr>
        <w:t>CEA Critic: An Official Journal of the College English Association</w:t>
      </w:r>
      <w:r>
        <w:t xml:space="preserve">. 56.1 (1993) pp.42 </w:t>
      </w:r>
    </w:p>
  </w:footnote>
  <w:footnote w:id="26">
    <w:p w14:paraId="5E42995A" w14:textId="77777777" w:rsidR="001E34FF" w:rsidRPr="00033568" w:rsidRDefault="001E34FF" w:rsidP="00FD4E00">
      <w:pPr>
        <w:pStyle w:val="FootnoteText"/>
        <w:rPr>
          <w:rFonts w:asciiTheme="majorHAnsi" w:hAnsiTheme="majorHAnsi" w:cstheme="majorHAnsi"/>
          <w:shd w:val="clear" w:color="auto" w:fill="FFFFFF"/>
        </w:rPr>
      </w:pPr>
      <w:r w:rsidRPr="00033568">
        <w:rPr>
          <w:rStyle w:val="FootnoteReference"/>
          <w:rFonts w:asciiTheme="majorHAnsi" w:hAnsiTheme="majorHAnsi" w:cstheme="majorHAnsi"/>
        </w:rPr>
        <w:footnoteRef/>
      </w:r>
      <w:r w:rsidRPr="00033568">
        <w:rPr>
          <w:rFonts w:asciiTheme="majorHAnsi" w:hAnsiTheme="majorHAnsi" w:cstheme="majorHAnsi"/>
        </w:rPr>
        <w:t xml:space="preserve"> </w:t>
      </w:r>
      <w:r w:rsidRPr="00033568">
        <w:rPr>
          <w:rFonts w:asciiTheme="majorHAnsi" w:hAnsiTheme="majorHAnsi" w:cstheme="majorHAnsi"/>
          <w:shd w:val="clear" w:color="auto" w:fill="FFFFFF"/>
        </w:rPr>
        <w:t>Chickering, Howell. “Poetic Exuberance in the Old English Judith.” </w:t>
      </w:r>
      <w:r w:rsidRPr="00033568">
        <w:rPr>
          <w:rFonts w:asciiTheme="majorHAnsi" w:hAnsiTheme="majorHAnsi" w:cstheme="majorHAnsi"/>
          <w:i/>
          <w:iCs/>
          <w:shd w:val="clear" w:color="auto" w:fill="FFFFFF"/>
        </w:rPr>
        <w:t>Studies in Philology</w:t>
      </w:r>
      <w:r w:rsidRPr="00033568">
        <w:rPr>
          <w:rFonts w:asciiTheme="majorHAnsi" w:hAnsiTheme="majorHAnsi" w:cstheme="majorHAnsi"/>
          <w:shd w:val="clear" w:color="auto" w:fill="FFFFFF"/>
        </w:rPr>
        <w:t>, vol. 106, no. 2, 2009, pp. 121</w:t>
      </w:r>
    </w:p>
  </w:footnote>
  <w:footnote w:id="27">
    <w:p w14:paraId="3C01FCC5" w14:textId="77777777" w:rsidR="001E34FF" w:rsidRPr="00033568" w:rsidRDefault="001E34FF" w:rsidP="00FD4E00">
      <w:pPr>
        <w:pStyle w:val="FootnoteText"/>
      </w:pPr>
      <w:r w:rsidRPr="00033568">
        <w:rPr>
          <w:rStyle w:val="FootnoteReference"/>
        </w:rPr>
        <w:footnoteRef/>
      </w:r>
      <w:r w:rsidRPr="00033568">
        <w:t xml:space="preserve"> Swanton. p.2</w:t>
      </w:r>
    </w:p>
  </w:footnote>
  <w:footnote w:id="28">
    <w:p w14:paraId="334ADAB3" w14:textId="77777777" w:rsidR="001E34FF" w:rsidRDefault="001E34FF" w:rsidP="00FD4E00">
      <w:pPr>
        <w:pStyle w:val="FootnoteText"/>
      </w:pPr>
      <w:r w:rsidRPr="00033568">
        <w:rPr>
          <w:rStyle w:val="FootnoteReference"/>
        </w:rPr>
        <w:footnoteRef/>
      </w:r>
      <w:r w:rsidRPr="00033568">
        <w:t xml:space="preserve"> Patricia A. Belanoff, "Judith: Sa</w:t>
      </w:r>
      <w:r>
        <w:t xml:space="preserve">cred and Secular Heroine," in </w:t>
      </w:r>
      <w:r w:rsidRPr="007552A7">
        <w:rPr>
          <w:i/>
        </w:rPr>
        <w:t>Heroic Poetry in the Anglo-Saxon Period: Studies in Honour of Jess B. Bessinger</w:t>
      </w:r>
      <w:r>
        <w:t>, ed. Helen Damico and John Leyerle (Kalamazoo, MI: Medieval Institute Publications, 1993) pp.247-64</w:t>
      </w:r>
    </w:p>
  </w:footnote>
  <w:footnote w:id="29">
    <w:p w14:paraId="2F40F99B" w14:textId="03E90517" w:rsidR="001E34FF" w:rsidRDefault="001E34FF">
      <w:pPr>
        <w:pStyle w:val="FootnoteText"/>
      </w:pPr>
      <w:r>
        <w:rPr>
          <w:rStyle w:val="FootnoteReference"/>
        </w:rPr>
        <w:footnoteRef/>
      </w:r>
      <w:r>
        <w:t xml:space="preserve"> Swanton. p.147  l.2368-70</w:t>
      </w:r>
    </w:p>
  </w:footnote>
  <w:footnote w:id="30">
    <w:p w14:paraId="6C2F2919" w14:textId="48008B49" w:rsidR="001E34FF" w:rsidRDefault="001E34FF">
      <w:pPr>
        <w:pStyle w:val="FootnoteText"/>
      </w:pPr>
      <w:r>
        <w:rPr>
          <w:rStyle w:val="FootnoteReference"/>
        </w:rPr>
        <w:footnoteRef/>
      </w:r>
      <w:r>
        <w:t xml:space="preserve"> Swanton. p.147  l.2368-75</w:t>
      </w:r>
    </w:p>
  </w:footnote>
  <w:footnote w:id="31">
    <w:p w14:paraId="394AB47F" w14:textId="7C1F3184" w:rsidR="001E34FF" w:rsidRPr="00FD4E00" w:rsidRDefault="001E34FF">
      <w:pPr>
        <w:pStyle w:val="FootnoteText"/>
        <w:rPr>
          <w:b/>
        </w:rPr>
      </w:pPr>
      <w:r>
        <w:rPr>
          <w:rStyle w:val="FootnoteReference"/>
        </w:rPr>
        <w:footnoteRef/>
      </w:r>
      <w:r>
        <w:t xml:space="preserve"> John M. Hill.  </w:t>
      </w:r>
      <w:r>
        <w:rPr>
          <w:i/>
        </w:rPr>
        <w:t>The Anglo-Saxon Warrior Ethic: Reconstructing Lordship in Early English Literature</w:t>
      </w:r>
      <w:r>
        <w:t xml:space="preserve"> (Florida: University of Florida Press, 2000) p.21</w:t>
      </w:r>
    </w:p>
  </w:footnote>
  <w:footnote w:id="32">
    <w:p w14:paraId="1196FE96" w14:textId="77777777" w:rsidR="001E34FF" w:rsidRDefault="001E34FF" w:rsidP="00F30CA6">
      <w:pPr>
        <w:pStyle w:val="FootnoteText"/>
      </w:pPr>
      <w:r>
        <w:rPr>
          <w:rStyle w:val="FootnoteReference"/>
        </w:rPr>
        <w:footnoteRef/>
      </w:r>
      <w:r>
        <w:t xml:space="preserve"> Hill. p.21</w:t>
      </w:r>
    </w:p>
  </w:footnote>
  <w:footnote w:id="33">
    <w:p w14:paraId="790AE83E" w14:textId="77777777" w:rsidR="001E34FF" w:rsidRDefault="001E34FF">
      <w:pPr>
        <w:pStyle w:val="FootnoteText"/>
      </w:pPr>
      <w:r>
        <w:rPr>
          <w:rStyle w:val="FootnoteReference"/>
        </w:rPr>
        <w:footnoteRef/>
      </w:r>
      <w:r>
        <w:t xml:space="preserve"> Swanton. p.95 lines.1168-90</w:t>
      </w:r>
    </w:p>
    <w:p w14:paraId="01241F71" w14:textId="327C9281" w:rsidR="001E34FF" w:rsidRDefault="001E34FF">
      <w:pPr>
        <w:pStyle w:val="FootnoteText"/>
      </w:pPr>
      <w:r>
        <w:t xml:space="preserve">Dorthy Porter Carr. ‘The Social Centrality of Women in Beowulf: A New Context’ </w:t>
      </w:r>
      <w:r w:rsidRPr="00D821CA">
        <w:rPr>
          <w:i/>
          <w:iCs/>
        </w:rPr>
        <w:t>The Heroic Age</w:t>
      </w:r>
      <w:r>
        <w:t xml:space="preserve">, Western Michigan University. Volume 5 (2001) </w:t>
      </w:r>
      <w:hyperlink r:id="rId2" w:history="1">
        <w:r w:rsidRPr="00B750AA">
          <w:rPr>
            <w:rStyle w:val="Hyperlink"/>
            <w14:textFill>
              <w14:solidFill>
                <w14:srgbClr w14:val="0000FF">
                  <w14:lumMod w14:val="75000"/>
                </w14:srgbClr>
              </w14:solidFill>
            </w14:textFill>
          </w:rPr>
          <w:t>http://www.heroicage.org/issues/5/porter1.html</w:t>
        </w:r>
      </w:hyperlink>
      <w:r>
        <w:t xml:space="preserve"> [Accessed 10</w:t>
      </w:r>
      <w:r w:rsidRPr="00D821CA">
        <w:rPr>
          <w:vertAlign w:val="superscript"/>
        </w:rPr>
        <w:t>th</w:t>
      </w:r>
      <w:r>
        <w:t xml:space="preserve"> December 2019] pp.3-6</w:t>
      </w:r>
    </w:p>
  </w:footnote>
  <w:footnote w:id="34">
    <w:p w14:paraId="37FD8229" w14:textId="77777777" w:rsidR="001E34FF" w:rsidRDefault="001E34FF" w:rsidP="00DA2894">
      <w:pPr>
        <w:pStyle w:val="FootnoteText"/>
      </w:pPr>
      <w:r>
        <w:rPr>
          <w:rStyle w:val="FootnoteReference"/>
        </w:rPr>
        <w:footnoteRef/>
      </w:r>
      <w:r>
        <w:t xml:space="preserve"> Godfrid Storms. “The Author of</w:t>
      </w:r>
      <w:r w:rsidRPr="00C87D70">
        <w:t xml:space="preserve"> Be</w:t>
      </w:r>
      <w:r>
        <w:t>o</w:t>
      </w:r>
      <w:r w:rsidRPr="00C87D70">
        <w:t>wulf</w:t>
      </w:r>
      <w:r>
        <w:t xml:space="preserve">.” </w:t>
      </w:r>
      <w:r w:rsidRPr="00C87D70">
        <w:rPr>
          <w:i/>
          <w:iCs/>
        </w:rPr>
        <w:t>Neuphilologische Mitteilungen</w:t>
      </w:r>
      <w:r>
        <w:t xml:space="preserve"> 75.1 (1974) p.38</w:t>
      </w:r>
    </w:p>
  </w:footnote>
  <w:footnote w:id="35">
    <w:p w14:paraId="3D9C5375" w14:textId="77777777" w:rsidR="001E34FF" w:rsidRDefault="001E34FF" w:rsidP="00F30CA6">
      <w:pPr>
        <w:pStyle w:val="FootnoteText"/>
      </w:pPr>
      <w:r>
        <w:rPr>
          <w:rStyle w:val="FootnoteReference"/>
        </w:rPr>
        <w:footnoteRef/>
      </w:r>
      <w:r>
        <w:t xml:space="preserve"> Swanton. p.95 lines 1168-90</w:t>
      </w:r>
    </w:p>
  </w:footnote>
  <w:footnote w:id="36">
    <w:p w14:paraId="65A8F479" w14:textId="7262AA80" w:rsidR="001E34FF" w:rsidRDefault="001E34FF">
      <w:pPr>
        <w:pStyle w:val="FootnoteText"/>
      </w:pPr>
      <w:r>
        <w:rPr>
          <w:rStyle w:val="FootnoteReference"/>
        </w:rPr>
        <w:footnoteRef/>
      </w:r>
      <w:r>
        <w:t xml:space="preserve"> Swanton. p.91  l.1175-1183</w:t>
      </w:r>
    </w:p>
  </w:footnote>
  <w:footnote w:id="37">
    <w:p w14:paraId="736876E4" w14:textId="77777777" w:rsidR="001E34FF" w:rsidRPr="00E76BEE" w:rsidRDefault="001E34FF" w:rsidP="003626C2">
      <w:pPr>
        <w:pStyle w:val="FootnoteText"/>
        <w:rPr>
          <w:rFonts w:asciiTheme="majorHAnsi" w:hAnsiTheme="majorHAnsi" w:cstheme="majorHAnsi"/>
        </w:rPr>
      </w:pPr>
      <w:r w:rsidRPr="00E76BEE">
        <w:rPr>
          <w:rStyle w:val="FootnoteReference"/>
          <w:rFonts w:asciiTheme="majorHAnsi" w:hAnsiTheme="majorHAnsi" w:cstheme="majorHAnsi"/>
        </w:rPr>
        <w:footnoteRef/>
      </w:r>
      <w:r w:rsidRPr="00E76BEE">
        <w:rPr>
          <w:rFonts w:asciiTheme="majorHAnsi" w:hAnsiTheme="majorHAnsi" w:cstheme="majorHAnsi"/>
        </w:rPr>
        <w:t xml:space="preserve"> </w:t>
      </w:r>
      <w:r w:rsidRPr="00E76BEE">
        <w:rPr>
          <w:rFonts w:asciiTheme="majorHAnsi" w:hAnsiTheme="majorHAnsi" w:cstheme="majorHAnsi"/>
          <w:shd w:val="clear" w:color="auto" w:fill="FFFFFF"/>
        </w:rPr>
        <w:t>Richard</w:t>
      </w:r>
      <w:r>
        <w:rPr>
          <w:rFonts w:asciiTheme="majorHAnsi" w:hAnsiTheme="majorHAnsi" w:cstheme="majorHAnsi"/>
          <w:shd w:val="clear" w:color="auto" w:fill="FFFFFF"/>
        </w:rPr>
        <w:t>, Coates</w:t>
      </w:r>
      <w:r w:rsidRPr="00E76BEE">
        <w:rPr>
          <w:rFonts w:asciiTheme="majorHAnsi" w:hAnsiTheme="majorHAnsi" w:cstheme="majorHAnsi"/>
          <w:shd w:val="clear" w:color="auto" w:fill="FFFFFF"/>
        </w:rPr>
        <w:t>. "Aethelflaed's Fortification of Weardburh." </w:t>
      </w:r>
      <w:r w:rsidRPr="00E76BEE">
        <w:rPr>
          <w:rFonts w:asciiTheme="majorHAnsi" w:hAnsiTheme="majorHAnsi" w:cstheme="majorHAnsi"/>
          <w:i/>
          <w:iCs/>
          <w:shd w:val="clear" w:color="auto" w:fill="FFFFFF"/>
        </w:rPr>
        <w:t>Notes and Queries</w:t>
      </w:r>
      <w:r w:rsidRPr="00E76BEE">
        <w:rPr>
          <w:rFonts w:asciiTheme="majorHAnsi" w:hAnsiTheme="majorHAnsi" w:cstheme="majorHAnsi"/>
          <w:shd w:val="clear" w:color="auto" w:fill="FFFFFF"/>
        </w:rPr>
        <w:t> (1998): p.8-11</w:t>
      </w:r>
    </w:p>
  </w:footnote>
  <w:footnote w:id="38">
    <w:p w14:paraId="3AD0B035" w14:textId="77777777" w:rsidR="001E34FF" w:rsidRPr="00E43A9B" w:rsidRDefault="001E34FF" w:rsidP="003626C2">
      <w:pPr>
        <w:pStyle w:val="FootnoteText"/>
        <w:rPr>
          <w:rFonts w:cstheme="minorHAnsi"/>
        </w:rPr>
      </w:pPr>
      <w:r w:rsidRPr="00C75394">
        <w:rPr>
          <w:rStyle w:val="FootnoteReference"/>
          <w:rFonts w:ascii="Calibri" w:hAnsi="Calibri" w:cs="Calibri"/>
        </w:rPr>
        <w:footnoteRef/>
      </w:r>
      <w:r w:rsidRPr="00C75394">
        <w:rPr>
          <w:rFonts w:ascii="Calibri" w:hAnsi="Calibri" w:cs="Calibri"/>
        </w:rPr>
        <w:t xml:space="preserve"> </w:t>
      </w:r>
      <w:r w:rsidRPr="00C75394">
        <w:rPr>
          <w:rFonts w:ascii="Calibri" w:hAnsi="Calibri" w:cs="Calibri"/>
          <w:shd w:val="clear" w:color="auto" w:fill="FFFFFF"/>
        </w:rPr>
        <w:t>Charles Insley. "Collapse, Reconfiguration or Renegotiation? The Strange End of the Mercian Kingdom, 850-924." </w:t>
      </w:r>
      <w:r w:rsidRPr="00C75394">
        <w:rPr>
          <w:rFonts w:ascii="Calibri" w:hAnsi="Calibri" w:cs="Calibri"/>
          <w:i/>
          <w:iCs/>
          <w:shd w:val="clear" w:color="auto" w:fill="FFFFFF"/>
        </w:rPr>
        <w:t xml:space="preserve">Reti Medievali </w:t>
      </w:r>
      <w:r w:rsidRPr="00E43A9B">
        <w:rPr>
          <w:rFonts w:cstheme="minorHAnsi"/>
          <w:i/>
          <w:iCs/>
          <w:shd w:val="clear" w:color="auto" w:fill="FFFFFF"/>
        </w:rPr>
        <w:t>Rivista</w:t>
      </w:r>
      <w:r w:rsidRPr="00E43A9B">
        <w:rPr>
          <w:rFonts w:cstheme="minorHAnsi"/>
          <w:shd w:val="clear" w:color="auto" w:fill="FFFFFF"/>
        </w:rPr>
        <w:t> 17.2 (2016) pp.238-39</w:t>
      </w:r>
    </w:p>
  </w:footnote>
  <w:footnote w:id="39">
    <w:p w14:paraId="0473A60D" w14:textId="46B8A75E" w:rsidR="001E34FF" w:rsidRPr="00E43A9B" w:rsidRDefault="001E34FF">
      <w:pPr>
        <w:pStyle w:val="FootnoteText"/>
        <w:rPr>
          <w:rFonts w:cstheme="minorHAnsi"/>
        </w:rPr>
      </w:pPr>
      <w:r w:rsidRPr="00E43A9B">
        <w:rPr>
          <w:rStyle w:val="FootnoteReference"/>
          <w:rFonts w:cstheme="minorHAnsi"/>
        </w:rPr>
        <w:footnoteRef/>
      </w:r>
      <w:r w:rsidRPr="00E43A9B">
        <w:rPr>
          <w:rFonts w:cstheme="minorHAnsi"/>
        </w:rPr>
        <w:t xml:space="preserve"> Herbert. p.9</w:t>
      </w:r>
    </w:p>
  </w:footnote>
  <w:footnote w:id="40">
    <w:p w14:paraId="09469F24" w14:textId="25526C9F" w:rsidR="001E34FF" w:rsidRPr="00706B09" w:rsidRDefault="001E34FF">
      <w:pPr>
        <w:pStyle w:val="FootnoteText"/>
        <w:rPr>
          <w:rFonts w:cstheme="minorHAnsi"/>
        </w:rPr>
      </w:pPr>
      <w:r w:rsidRPr="00706B09">
        <w:rPr>
          <w:rStyle w:val="FootnoteReference"/>
          <w:rFonts w:cstheme="minorHAnsi"/>
        </w:rPr>
        <w:footnoteRef/>
      </w:r>
      <w:r w:rsidRPr="00706B09">
        <w:rPr>
          <w:rFonts w:cstheme="minorHAnsi"/>
        </w:rPr>
        <w:t xml:space="preserve"> Herbert. p.11-12</w:t>
      </w:r>
    </w:p>
  </w:footnote>
  <w:footnote w:id="41">
    <w:p w14:paraId="2971FC8B" w14:textId="77777777" w:rsidR="001E34FF" w:rsidRDefault="001E34FF" w:rsidP="004C486E">
      <w:pPr>
        <w:pStyle w:val="FootnoteText"/>
      </w:pPr>
      <w:r w:rsidRPr="00706B09">
        <w:rPr>
          <w:rStyle w:val="FootnoteReference"/>
          <w:rFonts w:cstheme="minorHAnsi"/>
        </w:rPr>
        <w:footnoteRef/>
      </w:r>
      <w:r w:rsidRPr="00706B09">
        <w:rPr>
          <w:rFonts w:cstheme="minorHAnsi"/>
        </w:rPr>
        <w:t xml:space="preserve"> </w:t>
      </w:r>
      <w:r w:rsidRPr="00706B09">
        <w:rPr>
          <w:rFonts w:cstheme="minorHAnsi"/>
          <w:shd w:val="clear" w:color="auto" w:fill="FFFFFF"/>
        </w:rPr>
        <w:t xml:space="preserve">Janet </w:t>
      </w:r>
      <w:r>
        <w:rPr>
          <w:rFonts w:cstheme="minorHAnsi"/>
          <w:shd w:val="clear" w:color="auto" w:fill="FFFFFF"/>
        </w:rPr>
        <w:t>Nelson</w:t>
      </w:r>
      <w:r w:rsidRPr="00706B09">
        <w:rPr>
          <w:rFonts w:cstheme="minorHAnsi"/>
          <w:shd w:val="clear" w:color="auto" w:fill="FFFFFF"/>
        </w:rPr>
        <w:t>. "Eadburh [Eadburga] (fl. 789-802), Queen of the West Saxons, Consort of King Beorhtric." </w:t>
      </w:r>
      <w:r w:rsidRPr="00706B09">
        <w:rPr>
          <w:rFonts w:cstheme="minorHAnsi"/>
          <w:i/>
          <w:iCs/>
          <w:shd w:val="clear" w:color="auto" w:fill="FFFFFF"/>
        </w:rPr>
        <w:t>Oxford Dictionary of National Biography</w:t>
      </w:r>
      <w:r w:rsidRPr="00706B09">
        <w:rPr>
          <w:rFonts w:cstheme="minorHAnsi"/>
          <w:shd w:val="clear" w:color="auto" w:fill="FFFFFF"/>
        </w:rPr>
        <w:t> (2004): Oxford Dictionary of National Biography</w:t>
      </w:r>
    </w:p>
  </w:footnote>
  <w:footnote w:id="42">
    <w:p w14:paraId="7161B0EA" w14:textId="0DC20D5E" w:rsidR="001E34FF" w:rsidRDefault="001E34FF">
      <w:pPr>
        <w:pStyle w:val="FootnoteText"/>
      </w:pPr>
      <w:r>
        <w:rPr>
          <w:rStyle w:val="FootnoteReference"/>
        </w:rPr>
        <w:footnoteRef/>
      </w:r>
      <w:r>
        <w:t xml:space="preserve"> Nelson.</w:t>
      </w:r>
    </w:p>
  </w:footnote>
  <w:footnote w:id="43">
    <w:p w14:paraId="42ECA044" w14:textId="0D36BDBB" w:rsidR="001E34FF" w:rsidRPr="00E43A9B" w:rsidRDefault="001E34FF">
      <w:pPr>
        <w:pStyle w:val="FootnoteText"/>
        <w:rPr>
          <w:rFonts w:cstheme="minorHAnsi"/>
        </w:rPr>
      </w:pPr>
      <w:r w:rsidRPr="00E43A9B">
        <w:rPr>
          <w:rStyle w:val="FootnoteReference"/>
          <w:rFonts w:cstheme="minorHAnsi"/>
        </w:rPr>
        <w:footnoteRef/>
      </w:r>
      <w:r w:rsidRPr="00E43A9B">
        <w:rPr>
          <w:rFonts w:cstheme="minorHAnsi"/>
        </w:rPr>
        <w:t xml:space="preserve"> Christine Fell. </w:t>
      </w:r>
      <w:r w:rsidRPr="00E43A9B">
        <w:rPr>
          <w:rFonts w:cstheme="minorHAnsi"/>
          <w:i/>
        </w:rPr>
        <w:t xml:space="preserve">Women in Anglo-Saxon England </w:t>
      </w:r>
      <w:r w:rsidRPr="00E43A9B">
        <w:rPr>
          <w:rFonts w:cstheme="minorHAnsi"/>
        </w:rPr>
        <w:t>(Oxford: Blackwell, 1986) p.90</w:t>
      </w:r>
    </w:p>
  </w:footnote>
  <w:footnote w:id="44">
    <w:p w14:paraId="30CB8ECC" w14:textId="320113C0" w:rsidR="001E34FF" w:rsidRDefault="001E34FF">
      <w:pPr>
        <w:pStyle w:val="FootnoteText"/>
        <w:rPr>
          <w:rFonts w:cstheme="minorHAnsi"/>
          <w:shd w:val="clear" w:color="auto" w:fill="FFFFFF"/>
        </w:rPr>
      </w:pPr>
      <w:r w:rsidRPr="00E43A9B">
        <w:rPr>
          <w:rStyle w:val="FootnoteReference"/>
          <w:rFonts w:cstheme="minorHAnsi"/>
        </w:rPr>
        <w:footnoteRef/>
      </w:r>
      <w:r w:rsidRPr="00E43A9B">
        <w:rPr>
          <w:rFonts w:cstheme="minorHAnsi"/>
        </w:rPr>
        <w:t xml:space="preserve"> </w:t>
      </w:r>
      <w:r w:rsidRPr="00E43A9B">
        <w:rPr>
          <w:rFonts w:cstheme="minorHAnsi"/>
          <w:shd w:val="clear" w:color="auto" w:fill="FFFFFF"/>
        </w:rPr>
        <w:t>Susan Kelly, "Cynethryth (fl. C. 770-798), Queen of the Mercians and Abbess of Cookham." </w:t>
      </w:r>
      <w:r w:rsidRPr="00E43A9B">
        <w:rPr>
          <w:rFonts w:cstheme="minorHAnsi"/>
          <w:i/>
          <w:iCs/>
          <w:shd w:val="clear" w:color="auto" w:fill="FFFFFF"/>
        </w:rPr>
        <w:t>Oxford Dictionary of National Biography</w:t>
      </w:r>
      <w:r w:rsidRPr="00E43A9B">
        <w:rPr>
          <w:rFonts w:cstheme="minorHAnsi"/>
          <w:shd w:val="clear" w:color="auto" w:fill="FFFFFF"/>
        </w:rPr>
        <w:t> (2004)</w:t>
      </w:r>
    </w:p>
    <w:p w14:paraId="6725F123" w14:textId="5CB8BB74" w:rsidR="001E34FF" w:rsidRDefault="001E34FF">
      <w:pPr>
        <w:pStyle w:val="FootnoteText"/>
      </w:pPr>
      <w:r>
        <w:rPr>
          <w:rFonts w:cstheme="minorHAnsi"/>
        </w:rPr>
        <w:t>&lt;</w:t>
      </w:r>
      <w:r w:rsidRPr="00E43A9B">
        <w:t xml:space="preserve"> </w:t>
      </w:r>
      <w:hyperlink r:id="rId3" w:history="1">
        <w:r>
          <w:rPr>
            <w:rStyle w:val="Hyperlink"/>
          </w:rPr>
          <w:t>https://www-oxforddnb-com.ezproxy.uwtsd.ac.uk/view/10.1093/ref:odnb/9780198614128.001.0001/odnb-9780198614128-e-54442</w:t>
        </w:r>
      </w:hyperlink>
      <w:r>
        <w:t>&gt; [accessed 2/4/2020]</w:t>
      </w:r>
    </w:p>
  </w:footnote>
  <w:footnote w:id="45">
    <w:p w14:paraId="3C0D4E21" w14:textId="2FDAAE30" w:rsidR="001E34FF" w:rsidRDefault="001E34FF">
      <w:pPr>
        <w:pStyle w:val="FootnoteText"/>
      </w:pPr>
      <w:r>
        <w:rPr>
          <w:rStyle w:val="FootnoteReference"/>
        </w:rPr>
        <w:footnoteRef/>
      </w:r>
      <w:r>
        <w:t xml:space="preserve"> Richard North. ‘Thryth and the Reign of Offa’ in </w:t>
      </w:r>
      <w:r>
        <w:rPr>
          <w:i/>
        </w:rPr>
        <w:t>The Origins of Beowulf: From Virgil to Wiglaf</w:t>
      </w:r>
      <w:r>
        <w:t xml:space="preserve"> (Oxford: OUP, 2007)  p.225-6</w:t>
      </w:r>
    </w:p>
  </w:footnote>
  <w:footnote w:id="46">
    <w:p w14:paraId="731F5537" w14:textId="05D48B60" w:rsidR="001E34FF" w:rsidRDefault="001E34FF" w:rsidP="00915FCD">
      <w:pPr>
        <w:pStyle w:val="FootnoteText"/>
      </w:pPr>
      <w:r>
        <w:rPr>
          <w:rStyle w:val="FootnoteReference"/>
        </w:rPr>
        <w:footnoteRef/>
      </w:r>
      <w:r>
        <w:t xml:space="preserve"> North. p.232-234</w:t>
      </w:r>
    </w:p>
    <w:p w14:paraId="6F766B05" w14:textId="089CE6DD" w:rsidR="001E34FF" w:rsidRPr="00915FCD" w:rsidRDefault="001E34FF" w:rsidP="00915FCD">
      <w:pPr>
        <w:pStyle w:val="FootnoteText"/>
      </w:pPr>
      <w:r>
        <w:t xml:space="preserve">The section from this book explains in depth why ‘Thryth’ should be considered as the wife of Offa of Angelm in depth, as well as why this could relate to Offa of Mercia. It is mentioned here that </w:t>
      </w:r>
      <w:r>
        <w:rPr>
          <w:i/>
        </w:rPr>
        <w:t>Beowulf</w:t>
      </w:r>
      <w:r>
        <w:t xml:space="preserve"> poet seems to have been familiar to the duel to which Offa of Angelm was victorious (therefore the epithet ‘champion in l.1948 seems fitting). The reason why we can contribute the lines of Thryth to be connected to the two Offa’s is also explored, and relates to the description which introduces Offa as similar in tone to the of Beowulf himself (l.1196-97a); high praise considering that Beowulf is the hero of the story and the Offa/Thryth tale as merely characters of an interlude. This could indeed imply that there was a relationship to the Offa of Angelm and the Offa of Mercia, both great rulers who may have been being praised so greatly in the tale as the lines may have been introduced to do them homage. </w:t>
      </w:r>
    </w:p>
  </w:footnote>
  <w:footnote w:id="47">
    <w:p w14:paraId="29CA39DD" w14:textId="646AEF0F" w:rsidR="001E34FF" w:rsidRDefault="001E34FF">
      <w:pPr>
        <w:pStyle w:val="FootnoteText"/>
      </w:pPr>
      <w:r>
        <w:rPr>
          <w:rStyle w:val="FootnoteReference"/>
        </w:rPr>
        <w:footnoteRef/>
      </w:r>
      <w:r>
        <w:t xml:space="preserve"> North. p.240-243</w:t>
      </w:r>
    </w:p>
  </w:footnote>
  <w:footnote w:id="48">
    <w:p w14:paraId="75CA7497" w14:textId="463C31BF" w:rsidR="001E34FF" w:rsidRPr="002E79DF" w:rsidRDefault="001E34FF">
      <w:pPr>
        <w:pStyle w:val="FootnoteText"/>
      </w:pPr>
      <w:r>
        <w:rPr>
          <w:rStyle w:val="FootnoteReference"/>
        </w:rPr>
        <w:footnoteRef/>
      </w:r>
      <w:r>
        <w:t xml:space="preserve"> Francis Leneghan. ‘The Poetic Purpose of the Offa-digression in </w:t>
      </w:r>
      <w:r>
        <w:rPr>
          <w:i/>
        </w:rPr>
        <w:t>Beowulf</w:t>
      </w:r>
      <w:r>
        <w:t xml:space="preserve">’ </w:t>
      </w:r>
      <w:r>
        <w:rPr>
          <w:i/>
        </w:rPr>
        <w:t>The Review of English Studies</w:t>
      </w:r>
      <w:r>
        <w:t xml:space="preserve"> Vol. 60.246 (2009). p.547</w:t>
      </w:r>
    </w:p>
  </w:footnote>
  <w:footnote w:id="49">
    <w:p w14:paraId="205EC5FB" w14:textId="77777777" w:rsidR="001E34FF" w:rsidRPr="004F6775" w:rsidRDefault="001E34FF" w:rsidP="004F6775">
      <w:pPr>
        <w:pStyle w:val="FootnoteText"/>
      </w:pPr>
      <w:r>
        <w:rPr>
          <w:rStyle w:val="FootnoteReference"/>
        </w:rPr>
        <w:footnoteRef/>
      </w:r>
      <w:r>
        <w:t xml:space="preserve"> The problems with Grendel’s mother and how evil she truly is seems to be a huge issue throughout </w:t>
      </w:r>
      <w:r>
        <w:rPr>
          <w:i/>
        </w:rPr>
        <w:t>Beowulf</w:t>
      </w:r>
      <w:r>
        <w:t xml:space="preserve">, she obviously acts masculine, as does Thryth, but does not do so negatively. She follows the ethos of revenge that was expected of her and before the murder of her son is not known to the world, implying that she does not attack mindlessly. Also, even though she seems to be the stronger of the two monsters in the first half of </w:t>
      </w:r>
      <w:r>
        <w:rPr>
          <w:i/>
        </w:rPr>
        <w:t>Beowulf</w:t>
      </w:r>
      <w:r>
        <w:t xml:space="preserve">, it is not her head that is taken as a symbol of the strength of our hero. There are many other issues which arise when speaking of Grendel’s mother, but as I stipulated before, discussing the monsters cannot fit into this project wherever possible due to their complexity; above are just some of the issues which arise when thinking of why Grendels mother is problematic. </w:t>
      </w:r>
    </w:p>
  </w:footnote>
  <w:footnote w:id="50">
    <w:p w14:paraId="48BD7D15" w14:textId="22821BE6" w:rsidR="001E34FF" w:rsidRDefault="001E34FF">
      <w:pPr>
        <w:pStyle w:val="FootnoteText"/>
      </w:pPr>
      <w:r>
        <w:rPr>
          <w:rStyle w:val="FootnoteReference"/>
        </w:rPr>
        <w:footnoteRef/>
      </w:r>
      <w:r>
        <w:t xml:space="preserve"> Swanton. p.127  l.1951-52</w:t>
      </w:r>
    </w:p>
  </w:footnote>
  <w:footnote w:id="51">
    <w:p w14:paraId="543CC8F8" w14:textId="64E68A7E" w:rsidR="001E34FF" w:rsidRDefault="001E34FF">
      <w:pPr>
        <w:pStyle w:val="FootnoteText"/>
      </w:pPr>
      <w:r>
        <w:rPr>
          <w:rStyle w:val="FootnoteReference"/>
        </w:rPr>
        <w:footnoteRef/>
      </w:r>
      <w:r>
        <w:t xml:space="preserve"> Swanton. p.129  l.1960-62</w:t>
      </w:r>
    </w:p>
  </w:footnote>
  <w:footnote w:id="52">
    <w:p w14:paraId="40B1648D" w14:textId="757B6C87" w:rsidR="001E34FF" w:rsidRPr="00836E98" w:rsidRDefault="001E34FF">
      <w:pPr>
        <w:pStyle w:val="FootnoteText"/>
        <w:rPr>
          <w:rFonts w:asciiTheme="majorHAnsi" w:hAnsiTheme="majorHAnsi" w:cstheme="majorHAnsi"/>
        </w:rPr>
      </w:pPr>
      <w:r w:rsidRPr="00836E98">
        <w:rPr>
          <w:rStyle w:val="FootnoteReference"/>
          <w:rFonts w:asciiTheme="majorHAnsi" w:hAnsiTheme="majorHAnsi" w:cstheme="majorHAnsi"/>
        </w:rPr>
        <w:footnoteRef/>
      </w:r>
      <w:r w:rsidRPr="00836E98">
        <w:rPr>
          <w:rFonts w:asciiTheme="majorHAnsi" w:hAnsiTheme="majorHAnsi" w:cstheme="majorHAnsi"/>
        </w:rPr>
        <w:t xml:space="preserve"> </w:t>
      </w:r>
      <w:r w:rsidRPr="00836E98">
        <w:rPr>
          <w:rFonts w:asciiTheme="majorHAnsi" w:hAnsiTheme="majorHAnsi" w:cstheme="majorHAnsi"/>
          <w:shd w:val="clear" w:color="auto" w:fill="FFFFFF"/>
        </w:rPr>
        <w:t>Nick, Stoodley. "From the Cradle to the Grave: Age Organization and the Early Anglo-Saxon Burial Rite." </w:t>
      </w:r>
      <w:r w:rsidRPr="00836E98">
        <w:rPr>
          <w:rFonts w:asciiTheme="majorHAnsi" w:hAnsiTheme="majorHAnsi" w:cstheme="majorHAnsi"/>
          <w:i/>
          <w:iCs/>
          <w:shd w:val="clear" w:color="auto" w:fill="FFFFFF"/>
        </w:rPr>
        <w:t>World Archaeology</w:t>
      </w:r>
      <w:r w:rsidRPr="00836E98">
        <w:rPr>
          <w:rFonts w:asciiTheme="majorHAnsi" w:hAnsiTheme="majorHAnsi" w:cstheme="majorHAnsi"/>
          <w:shd w:val="clear" w:color="auto" w:fill="FFFFFF"/>
        </w:rPr>
        <w:t> 31.3 (2000): pp.456-60.</w:t>
      </w:r>
    </w:p>
  </w:footnote>
  <w:footnote w:id="53">
    <w:p w14:paraId="3B2D405A" w14:textId="6836DCE9" w:rsidR="001E34FF" w:rsidRDefault="001E34FF">
      <w:pPr>
        <w:pStyle w:val="FootnoteText"/>
      </w:pPr>
      <w:r w:rsidRPr="00836E98">
        <w:rPr>
          <w:rStyle w:val="FootnoteReference"/>
          <w:rFonts w:asciiTheme="majorHAnsi" w:hAnsiTheme="majorHAnsi" w:cstheme="majorHAnsi"/>
        </w:rPr>
        <w:footnoteRef/>
      </w:r>
      <w:r w:rsidRPr="00836E98">
        <w:rPr>
          <w:rFonts w:asciiTheme="majorHAnsi" w:hAnsiTheme="majorHAnsi" w:cstheme="majorHAnsi"/>
        </w:rPr>
        <w:t xml:space="preserve"> </w:t>
      </w:r>
      <w:r w:rsidRPr="00836E98">
        <w:rPr>
          <w:rFonts w:asciiTheme="majorHAnsi" w:hAnsiTheme="majorHAnsi" w:cstheme="majorHAnsi"/>
          <w:shd w:val="clear" w:color="auto" w:fill="FFFFFF"/>
        </w:rPr>
        <w:t>Christine M</w:t>
      </w:r>
      <w:r>
        <w:rPr>
          <w:rFonts w:asciiTheme="majorHAnsi" w:hAnsiTheme="majorHAnsi" w:cstheme="majorHAnsi"/>
          <w:shd w:val="clear" w:color="auto" w:fill="FFFFFF"/>
        </w:rPr>
        <w:t>. Cave</w:t>
      </w:r>
      <w:r w:rsidRPr="00836E98">
        <w:rPr>
          <w:rFonts w:asciiTheme="majorHAnsi" w:hAnsiTheme="majorHAnsi" w:cstheme="majorHAnsi"/>
          <w:shd w:val="clear" w:color="auto" w:fill="FFFFFF"/>
        </w:rPr>
        <w:t xml:space="preserve"> and Marc F</w:t>
      </w:r>
      <w:r>
        <w:rPr>
          <w:rFonts w:asciiTheme="majorHAnsi" w:hAnsiTheme="majorHAnsi" w:cstheme="majorHAnsi"/>
          <w:shd w:val="clear" w:color="auto" w:fill="FFFFFF"/>
        </w:rPr>
        <w:t>.</w:t>
      </w:r>
      <w:r w:rsidRPr="00836E98">
        <w:rPr>
          <w:rFonts w:asciiTheme="majorHAnsi" w:hAnsiTheme="majorHAnsi" w:cstheme="majorHAnsi"/>
          <w:shd w:val="clear" w:color="auto" w:fill="FFFFFF"/>
        </w:rPr>
        <w:t xml:space="preserve"> Oxenham. "Sex and the Elderly: Attitudes to Long-lived Women and Men in Early Anglo-Saxon England." </w:t>
      </w:r>
      <w:r w:rsidRPr="00836E98">
        <w:rPr>
          <w:rFonts w:asciiTheme="majorHAnsi" w:hAnsiTheme="majorHAnsi" w:cstheme="majorHAnsi"/>
          <w:i/>
          <w:iCs/>
          <w:shd w:val="clear" w:color="auto" w:fill="FFFFFF"/>
        </w:rPr>
        <w:t>Journal of Anthropological Archaeology</w:t>
      </w:r>
      <w:r w:rsidRPr="00836E98">
        <w:rPr>
          <w:rFonts w:asciiTheme="majorHAnsi" w:hAnsiTheme="majorHAnsi" w:cstheme="majorHAnsi"/>
          <w:shd w:val="clear" w:color="auto" w:fill="FFFFFF"/>
        </w:rPr>
        <w:t xml:space="preserve"> 48 (2017): </w:t>
      </w:r>
      <w:r>
        <w:rPr>
          <w:rFonts w:asciiTheme="majorHAnsi" w:hAnsiTheme="majorHAnsi" w:cstheme="majorHAnsi"/>
          <w:shd w:val="clear" w:color="auto" w:fill="FFFFFF"/>
        </w:rPr>
        <w:t>pp.207</w:t>
      </w:r>
    </w:p>
  </w:footnote>
  <w:footnote w:id="54">
    <w:p w14:paraId="33AF948C" w14:textId="2EB7B6F7" w:rsidR="001E34FF" w:rsidRDefault="001E34FF">
      <w:pPr>
        <w:pStyle w:val="FootnoteText"/>
      </w:pPr>
      <w:r>
        <w:rPr>
          <w:rStyle w:val="FootnoteReference"/>
        </w:rPr>
        <w:footnoteRef/>
      </w:r>
      <w:r>
        <w:t xml:space="preserve"> Stoodley. p.465</w:t>
      </w:r>
    </w:p>
  </w:footnote>
  <w:footnote w:id="55">
    <w:p w14:paraId="47DEDCFE" w14:textId="756643B9" w:rsidR="001E34FF" w:rsidRDefault="001E34FF">
      <w:pPr>
        <w:pStyle w:val="FootnoteText"/>
      </w:pPr>
      <w:r>
        <w:rPr>
          <w:rStyle w:val="FootnoteReference"/>
        </w:rPr>
        <w:footnoteRef/>
      </w:r>
      <w:r>
        <w:t xml:space="preserve"> Stoodley. p.466</w:t>
      </w:r>
    </w:p>
  </w:footnote>
  <w:footnote w:id="56">
    <w:p w14:paraId="1CCC2BBB" w14:textId="6ABED3B2" w:rsidR="001E34FF" w:rsidRDefault="001E34FF">
      <w:pPr>
        <w:pStyle w:val="FootnoteText"/>
      </w:pPr>
      <w:r>
        <w:rPr>
          <w:rStyle w:val="FootnoteReference"/>
        </w:rPr>
        <w:footnoteRef/>
      </w:r>
      <w:r>
        <w:t xml:space="preserve"> Herbert. p.14-15</w:t>
      </w:r>
    </w:p>
  </w:footnote>
  <w:footnote w:id="57">
    <w:p w14:paraId="6CE74E0F" w14:textId="40ECD5B5" w:rsidR="001E34FF" w:rsidRDefault="001E34FF">
      <w:pPr>
        <w:pStyle w:val="FootnoteText"/>
      </w:pPr>
      <w:r>
        <w:rPr>
          <w:rStyle w:val="FootnoteReference"/>
        </w:rPr>
        <w:footnoteRef/>
      </w:r>
      <w:r>
        <w:t xml:space="preserve"> Herbert. p.17-18</w:t>
      </w:r>
    </w:p>
  </w:footnote>
  <w:footnote w:id="58">
    <w:p w14:paraId="66F8F068" w14:textId="2FA1C845" w:rsidR="001E34FF" w:rsidRPr="00B639A5" w:rsidRDefault="001E34FF">
      <w:pPr>
        <w:pStyle w:val="FootnoteText"/>
        <w:rPr>
          <w:rFonts w:asciiTheme="majorHAnsi" w:hAnsiTheme="majorHAnsi" w:cstheme="majorHAnsi"/>
        </w:rPr>
      </w:pPr>
      <w:r w:rsidRPr="00B639A5">
        <w:rPr>
          <w:rStyle w:val="FootnoteReference"/>
          <w:rFonts w:asciiTheme="majorHAnsi" w:hAnsiTheme="majorHAnsi" w:cstheme="majorHAnsi"/>
        </w:rPr>
        <w:footnoteRef/>
      </w:r>
      <w:r w:rsidRPr="00B639A5">
        <w:rPr>
          <w:rFonts w:asciiTheme="majorHAnsi" w:hAnsiTheme="majorHAnsi" w:cstheme="majorHAnsi"/>
        </w:rPr>
        <w:t xml:space="preserve"> Herbert. p.18</w:t>
      </w:r>
    </w:p>
  </w:footnote>
  <w:footnote w:id="59">
    <w:p w14:paraId="0A0F3DE6" w14:textId="01B1688B" w:rsidR="001E34FF" w:rsidRPr="0058500E" w:rsidRDefault="001E34FF">
      <w:pPr>
        <w:pStyle w:val="FootnoteText"/>
        <w:rPr>
          <w:i/>
        </w:rPr>
      </w:pPr>
      <w:r>
        <w:rPr>
          <w:rStyle w:val="FootnoteReference"/>
        </w:rPr>
        <w:footnoteRef/>
      </w:r>
      <w:r>
        <w:t xml:space="preserve"> Vern L. Bollough. ‘On Being Male in the Middle Ages’ </w:t>
      </w:r>
      <w:r>
        <w:rPr>
          <w:i/>
        </w:rPr>
        <w:t xml:space="preserve">Medieval masculinities: Regarding men in the Middle Ages </w:t>
      </w:r>
      <w:r>
        <w:t>Ed. Claire A. Lees (Minneapolis: University of Minnesota Press, 1994) p.32</w:t>
      </w:r>
    </w:p>
  </w:footnote>
  <w:footnote w:id="60">
    <w:p w14:paraId="0C8541AF" w14:textId="5E126432" w:rsidR="001E34FF" w:rsidRPr="00B639A5" w:rsidRDefault="001E34FF" w:rsidP="00B639A5">
      <w:pPr>
        <w:spacing w:line="240" w:lineRule="auto"/>
        <w:rPr>
          <w:rFonts w:asciiTheme="majorHAnsi" w:hAnsiTheme="majorHAnsi" w:cstheme="majorHAnsi"/>
          <w:sz w:val="20"/>
          <w:szCs w:val="20"/>
        </w:rPr>
      </w:pPr>
      <w:r w:rsidRPr="00B639A5">
        <w:rPr>
          <w:rStyle w:val="FootnoteReference"/>
          <w:rFonts w:asciiTheme="majorHAnsi" w:hAnsiTheme="majorHAnsi" w:cstheme="majorHAnsi"/>
          <w:sz w:val="20"/>
          <w:szCs w:val="20"/>
        </w:rPr>
        <w:footnoteRef/>
      </w:r>
      <w:r w:rsidRPr="00B639A5">
        <w:rPr>
          <w:rFonts w:asciiTheme="majorHAnsi" w:hAnsiTheme="majorHAnsi" w:cstheme="majorHAnsi"/>
          <w:sz w:val="20"/>
          <w:szCs w:val="20"/>
        </w:rPr>
        <w:t xml:space="preserve"> Jo Anne McNamara ‘The Herrenfrage: The Restructuring of the Gender System, 1050–1150’ </w:t>
      </w:r>
      <w:r w:rsidRPr="00B639A5">
        <w:rPr>
          <w:rFonts w:asciiTheme="majorHAnsi" w:hAnsiTheme="majorHAnsi" w:cstheme="majorHAnsi"/>
          <w:i/>
          <w:sz w:val="20"/>
          <w:szCs w:val="20"/>
        </w:rPr>
        <w:t xml:space="preserve">Medieval masculinities: Regarding men in the Middle Ages </w:t>
      </w:r>
      <w:r w:rsidRPr="00B639A5">
        <w:rPr>
          <w:rFonts w:asciiTheme="majorHAnsi" w:hAnsiTheme="majorHAnsi" w:cstheme="majorHAnsi"/>
          <w:sz w:val="20"/>
          <w:szCs w:val="20"/>
        </w:rPr>
        <w:t>Ed. Claire A. Lees (Minneapolis: University of Minnesota Press, 1994) p.3</w:t>
      </w:r>
    </w:p>
  </w:footnote>
  <w:footnote w:id="61">
    <w:p w14:paraId="486C647C" w14:textId="72C6C063" w:rsidR="001E34FF" w:rsidRPr="002D6286" w:rsidRDefault="001E34FF" w:rsidP="00B639A5">
      <w:pPr>
        <w:pStyle w:val="FootnoteText"/>
      </w:pPr>
      <w:r>
        <w:rPr>
          <w:rStyle w:val="FootnoteReference"/>
        </w:rPr>
        <w:footnoteRef/>
      </w:r>
      <w:r>
        <w:t xml:space="preserve"> Allen J. Frantzen. ‘Prologue: Documents and monuments: Difference and interdisciplinary in the study of Medieval culture’  </w:t>
      </w:r>
      <w:r>
        <w:rPr>
          <w:i/>
        </w:rPr>
        <w:t xml:space="preserve">Speaking two languages: Traditional disciplines and contemporary theory in Medieval Studies </w:t>
      </w:r>
      <w:r>
        <w:t>(New York: New York Press, 1991) p.34</w:t>
      </w:r>
    </w:p>
  </w:footnote>
  <w:footnote w:id="62">
    <w:p w14:paraId="20A9BD62" w14:textId="312C3509" w:rsidR="001E34FF" w:rsidRPr="0006543B" w:rsidRDefault="001E34FF" w:rsidP="00B639A5">
      <w:pPr>
        <w:pStyle w:val="FootnoteText"/>
        <w:rPr>
          <w:i/>
        </w:rPr>
      </w:pPr>
      <w:r>
        <w:rPr>
          <w:rStyle w:val="FootnoteReference"/>
        </w:rPr>
        <w:footnoteRef/>
      </w:r>
      <w:r>
        <w:t xml:space="preserve"> Bollough. p.31-45</w:t>
      </w:r>
      <w:r>
        <w:rPr>
          <w:i/>
        </w:rPr>
        <w:t xml:space="preserve"> </w:t>
      </w:r>
    </w:p>
  </w:footnote>
  <w:footnote w:id="63">
    <w:p w14:paraId="3CE549E8" w14:textId="5228B333" w:rsidR="001E34FF" w:rsidRDefault="001E34FF">
      <w:pPr>
        <w:pStyle w:val="FootnoteText"/>
      </w:pPr>
      <w:r>
        <w:rPr>
          <w:rStyle w:val="FootnoteReference"/>
        </w:rPr>
        <w:footnoteRef/>
      </w:r>
      <w:r>
        <w:t xml:space="preserve"> Bollough p.34-35</w:t>
      </w:r>
    </w:p>
    <w:p w14:paraId="7E6F9A58" w14:textId="1A56D06A" w:rsidR="001E34FF" w:rsidRDefault="001E34FF">
      <w:pPr>
        <w:pStyle w:val="FootnoteText"/>
      </w:pPr>
      <w:r>
        <w:t>An example of the issues around crossdressing as a negative thing can be seen in the 6</w:t>
      </w:r>
      <w:r w:rsidRPr="007F0F33">
        <w:rPr>
          <w:vertAlign w:val="superscript"/>
        </w:rPr>
        <w:t>th</w:t>
      </w:r>
      <w:r>
        <w:t xml:space="preserve"> century case involving Gregory of Tours and a convent in Radagunde as well as a story of St. Jerome from the 4</w:t>
      </w:r>
      <w:r w:rsidRPr="007F0F33">
        <w:rPr>
          <w:vertAlign w:val="superscript"/>
        </w:rPr>
        <w:t>th</w:t>
      </w:r>
      <w:r>
        <w:t xml:space="preserve"> century.</w:t>
      </w:r>
    </w:p>
  </w:footnote>
  <w:footnote w:id="64">
    <w:p w14:paraId="509B8523" w14:textId="3F103565" w:rsidR="001E34FF" w:rsidRDefault="001E34FF">
      <w:pPr>
        <w:pStyle w:val="FootnoteText"/>
      </w:pPr>
      <w:r>
        <w:rPr>
          <w:rStyle w:val="FootnoteReference"/>
        </w:rPr>
        <w:footnoteRef/>
      </w:r>
      <w:r>
        <w:t xml:space="preserve"> Bollough. p.36</w:t>
      </w:r>
    </w:p>
  </w:footnote>
  <w:footnote w:id="65">
    <w:p w14:paraId="618CAD11" w14:textId="12405D05" w:rsidR="001E34FF" w:rsidRDefault="001E34FF">
      <w:pPr>
        <w:pStyle w:val="FootnoteText"/>
      </w:pPr>
      <w:r>
        <w:rPr>
          <w:rStyle w:val="FootnoteReference"/>
        </w:rPr>
        <w:footnoteRef/>
      </w:r>
      <w:r>
        <w:t xml:space="preserve"> Bollough. p.39-40</w:t>
      </w:r>
    </w:p>
  </w:footnote>
  <w:footnote w:id="66">
    <w:p w14:paraId="16C6825A" w14:textId="6DAF60AB" w:rsidR="001E34FF" w:rsidRDefault="001E34FF">
      <w:pPr>
        <w:pStyle w:val="FootnoteText"/>
      </w:pPr>
      <w:r>
        <w:rPr>
          <w:rStyle w:val="FootnoteReference"/>
        </w:rPr>
        <w:footnoteRef/>
      </w:r>
      <w:r>
        <w:t xml:space="preserve"> Bollough. p.41</w:t>
      </w:r>
    </w:p>
  </w:footnote>
  <w:footnote w:id="67">
    <w:p w14:paraId="269560CB" w14:textId="7C25BCA6" w:rsidR="001E34FF" w:rsidRDefault="001E34FF">
      <w:pPr>
        <w:pStyle w:val="FootnoteText"/>
      </w:pPr>
      <w:r>
        <w:rPr>
          <w:rStyle w:val="FootnoteReference"/>
        </w:rPr>
        <w:footnoteRef/>
      </w:r>
      <w:r>
        <w:t xml:space="preserve"> James W. Earl, "Beowulf and the Origins of Civilization," in Speaking Two Languages: Traditional Disciplines and Contemporary Theory in Medieval Studies, ed. Allen J. Frantzen (Albany: State University of New York Press, 1991), p.83</w:t>
      </w:r>
    </w:p>
  </w:footnote>
  <w:footnote w:id="68">
    <w:p w14:paraId="3ED3AB46" w14:textId="35B676CC" w:rsidR="001E34FF" w:rsidRDefault="001E34FF">
      <w:pPr>
        <w:pStyle w:val="FootnoteText"/>
      </w:pPr>
      <w:r>
        <w:rPr>
          <w:rStyle w:val="FootnoteReference"/>
        </w:rPr>
        <w:footnoteRef/>
      </w:r>
      <w:r>
        <w:t xml:space="preserve"> After much searching a complete comprehensible and all-encompassing version of this deconstruction cannot be identified, and it seems as though this should be done and though I wish to do this eventually, with the limits of space I fear that this cannot be done adequately in this dissertation.</w:t>
      </w:r>
    </w:p>
  </w:footnote>
  <w:footnote w:id="69">
    <w:p w14:paraId="474D9644" w14:textId="103027D9" w:rsidR="001E34FF" w:rsidRPr="00C47EE0" w:rsidRDefault="001E34FF">
      <w:pPr>
        <w:pStyle w:val="FootnoteText"/>
        <w:rPr>
          <w:rFonts w:asciiTheme="majorHAnsi" w:hAnsiTheme="majorHAnsi" w:cstheme="majorHAnsi"/>
          <w:color w:val="0A0A0A"/>
          <w:shd w:val="clear" w:color="auto" w:fill="FEFEFE"/>
        </w:rPr>
      </w:pPr>
      <w:r w:rsidRPr="00C47EE0">
        <w:rPr>
          <w:rStyle w:val="FootnoteReference"/>
          <w:rFonts w:asciiTheme="majorHAnsi" w:hAnsiTheme="majorHAnsi" w:cstheme="majorHAnsi"/>
        </w:rPr>
        <w:footnoteRef/>
      </w:r>
      <w:r w:rsidRPr="00C47EE0">
        <w:rPr>
          <w:rFonts w:asciiTheme="majorHAnsi" w:hAnsiTheme="majorHAnsi" w:cstheme="majorHAnsi"/>
        </w:rPr>
        <w:t xml:space="preserve"> Neidorf. </w:t>
      </w:r>
      <w:r w:rsidRPr="00C47EE0">
        <w:rPr>
          <w:rFonts w:asciiTheme="majorHAnsi" w:hAnsiTheme="majorHAnsi" w:cstheme="majorHAnsi"/>
          <w:i/>
          <w:iCs/>
          <w:color w:val="0A0A0A"/>
          <w:shd w:val="clear" w:color="auto" w:fill="FEFEFE"/>
        </w:rPr>
        <w:t>ELH</w:t>
      </w:r>
      <w:r w:rsidRPr="00C47EE0">
        <w:rPr>
          <w:rFonts w:asciiTheme="majorHAnsi" w:hAnsiTheme="majorHAnsi" w:cstheme="majorHAnsi"/>
          <w:color w:val="0A0A0A"/>
          <w:shd w:val="clear" w:color="auto" w:fill="FEFEFE"/>
        </w:rPr>
        <w:t>, Vol. 85.4 (2018) pp.852-854</w:t>
      </w:r>
    </w:p>
    <w:p w14:paraId="449A7F28" w14:textId="58848DD9" w:rsidR="001E34FF" w:rsidRPr="00C47EE0" w:rsidRDefault="001E34FF">
      <w:pPr>
        <w:pStyle w:val="FootnoteText"/>
        <w:rPr>
          <w:rFonts w:asciiTheme="majorHAnsi" w:hAnsiTheme="majorHAnsi" w:cstheme="majorHAnsi"/>
        </w:rPr>
      </w:pPr>
      <w:r w:rsidRPr="00C47EE0">
        <w:rPr>
          <w:rFonts w:asciiTheme="majorHAnsi" w:hAnsiTheme="majorHAnsi" w:cstheme="majorHAnsi"/>
        </w:rPr>
        <w:t xml:space="preserve">This may also be why the </w:t>
      </w:r>
      <w:r w:rsidRPr="00C47EE0">
        <w:rPr>
          <w:rFonts w:asciiTheme="majorHAnsi" w:hAnsiTheme="majorHAnsi" w:cstheme="majorHAnsi"/>
          <w:i/>
          <w:iCs/>
        </w:rPr>
        <w:t>Beowulf</w:t>
      </w:r>
      <w:r w:rsidRPr="00C47EE0">
        <w:rPr>
          <w:rFonts w:asciiTheme="majorHAnsi" w:hAnsiTheme="majorHAnsi" w:cstheme="majorHAnsi"/>
        </w:rPr>
        <w:t xml:space="preserve"> poet has an interest in ethnic differences but writes in a way which does not imply a hierarchy of ethnicity.</w:t>
      </w:r>
    </w:p>
  </w:footnote>
  <w:footnote w:id="70">
    <w:p w14:paraId="140D6DA7" w14:textId="77777777" w:rsidR="001E34FF" w:rsidRPr="00C47EE0" w:rsidRDefault="001E34FF" w:rsidP="0008089B">
      <w:pPr>
        <w:pStyle w:val="FootnoteText"/>
        <w:rPr>
          <w:rFonts w:asciiTheme="majorHAnsi" w:hAnsiTheme="majorHAnsi" w:cstheme="majorHAnsi"/>
        </w:rPr>
      </w:pPr>
      <w:r w:rsidRPr="00C47EE0">
        <w:rPr>
          <w:rStyle w:val="FootnoteReference"/>
          <w:rFonts w:asciiTheme="majorHAnsi" w:hAnsiTheme="majorHAnsi" w:cstheme="majorHAnsi"/>
        </w:rPr>
        <w:footnoteRef/>
      </w:r>
      <w:r w:rsidRPr="00C47EE0">
        <w:rPr>
          <w:rFonts w:asciiTheme="majorHAnsi" w:hAnsiTheme="majorHAnsi" w:cstheme="majorHAnsi"/>
        </w:rPr>
        <w:t xml:space="preserve"> Hill. pp.47</w:t>
      </w:r>
    </w:p>
  </w:footnote>
  <w:footnote w:id="71">
    <w:p w14:paraId="2B2B6ABD" w14:textId="75FD9BD7" w:rsidR="001E34FF" w:rsidRPr="0023508E" w:rsidRDefault="001E34FF">
      <w:pPr>
        <w:pStyle w:val="FootnoteText"/>
        <w:rPr>
          <w:rFonts w:asciiTheme="majorHAnsi" w:hAnsiTheme="majorHAnsi" w:cstheme="majorHAnsi"/>
        </w:rPr>
      </w:pPr>
      <w:r w:rsidRPr="0023508E">
        <w:rPr>
          <w:rStyle w:val="FootnoteReference"/>
          <w:rFonts w:asciiTheme="majorHAnsi" w:hAnsiTheme="majorHAnsi" w:cstheme="majorHAnsi"/>
        </w:rPr>
        <w:footnoteRef/>
      </w:r>
      <w:r w:rsidRPr="0023508E">
        <w:rPr>
          <w:rFonts w:asciiTheme="majorHAnsi" w:hAnsiTheme="majorHAnsi" w:cstheme="majorHAnsi"/>
        </w:rPr>
        <w:t xml:space="preserve"> Dorothy Whitelock. </w:t>
      </w:r>
      <w:r w:rsidRPr="0023508E">
        <w:rPr>
          <w:rFonts w:asciiTheme="majorHAnsi" w:hAnsiTheme="majorHAnsi" w:cstheme="majorHAnsi"/>
          <w:i/>
          <w:iCs/>
        </w:rPr>
        <w:t>The Audience of Beowulf</w:t>
      </w:r>
      <w:r w:rsidRPr="0023508E">
        <w:rPr>
          <w:rFonts w:asciiTheme="majorHAnsi" w:hAnsiTheme="majorHAnsi" w:cstheme="majorHAnsi"/>
        </w:rPr>
        <w:t xml:space="preserve"> (Oxford: Oxford Univ. Press, 1951) p. 13</w:t>
      </w:r>
    </w:p>
  </w:footnote>
  <w:footnote w:id="72">
    <w:p w14:paraId="18299038" w14:textId="20FEAFD3" w:rsidR="001E34FF" w:rsidRPr="007C18C7" w:rsidRDefault="001E34FF">
      <w:pPr>
        <w:pStyle w:val="FootnoteText"/>
        <w:rPr>
          <w:rFonts w:asciiTheme="majorHAnsi" w:hAnsiTheme="majorHAnsi" w:cstheme="majorHAnsi"/>
        </w:rPr>
      </w:pPr>
      <w:r w:rsidRPr="007C18C7">
        <w:rPr>
          <w:rStyle w:val="FootnoteReference"/>
          <w:rFonts w:asciiTheme="majorHAnsi" w:hAnsiTheme="majorHAnsi" w:cstheme="majorHAnsi"/>
        </w:rPr>
        <w:footnoteRef/>
      </w:r>
      <w:r w:rsidRPr="007C18C7">
        <w:rPr>
          <w:rFonts w:asciiTheme="majorHAnsi" w:hAnsiTheme="majorHAnsi" w:cstheme="majorHAnsi"/>
        </w:rPr>
        <w:t xml:space="preserve"> Guy Halsall. </w:t>
      </w:r>
      <w:r w:rsidRPr="007C18C7">
        <w:rPr>
          <w:rFonts w:asciiTheme="majorHAnsi" w:hAnsiTheme="majorHAnsi" w:cstheme="majorHAnsi"/>
          <w:i/>
          <w:iCs/>
        </w:rPr>
        <w:t>Violence and Society in the Early Medieval West</w:t>
      </w:r>
      <w:r w:rsidRPr="007C18C7">
        <w:rPr>
          <w:rFonts w:asciiTheme="majorHAnsi" w:hAnsiTheme="majorHAnsi" w:cstheme="majorHAnsi"/>
        </w:rPr>
        <w:t xml:space="preserve"> (Woodbridge, Suffolk: Boydell, 1998) pp. 19–20</w:t>
      </w:r>
    </w:p>
  </w:footnote>
  <w:footnote w:id="73">
    <w:p w14:paraId="7F8E8C63" w14:textId="6E0C27B5" w:rsidR="001E34FF" w:rsidRDefault="001E34FF">
      <w:pPr>
        <w:pStyle w:val="FootnoteText"/>
      </w:pPr>
      <w:r>
        <w:rPr>
          <w:rStyle w:val="FootnoteReference"/>
        </w:rPr>
        <w:footnoteRef/>
      </w:r>
      <w:r>
        <w:t xml:space="preserve"> </w:t>
      </w:r>
      <w:r w:rsidRPr="009A2F11">
        <w:rPr>
          <w:rFonts w:asciiTheme="majorHAnsi" w:hAnsiTheme="majorHAnsi" w:cstheme="majorHAnsi"/>
        </w:rPr>
        <w:t xml:space="preserve">Paul R. Hyams, </w:t>
      </w:r>
      <w:r w:rsidRPr="009A2F11">
        <w:rPr>
          <w:rFonts w:asciiTheme="majorHAnsi" w:hAnsiTheme="majorHAnsi" w:cstheme="majorHAnsi"/>
          <w:i/>
          <w:iCs/>
        </w:rPr>
        <w:t>Rancor and Reconciliation in Medieval England</w:t>
      </w:r>
      <w:r w:rsidRPr="009A2F11">
        <w:rPr>
          <w:rFonts w:asciiTheme="majorHAnsi" w:hAnsiTheme="majorHAnsi" w:cstheme="majorHAnsi"/>
        </w:rPr>
        <w:t xml:space="preserve"> (Ithaca: Cornell Univ. Press, 2003)</w:t>
      </w:r>
      <w:r>
        <w:t xml:space="preserve"> p.73-4</w:t>
      </w:r>
    </w:p>
  </w:footnote>
  <w:footnote w:id="74">
    <w:p w14:paraId="193539D2" w14:textId="3FC26B08" w:rsidR="001E34FF" w:rsidRPr="008A0B53" w:rsidRDefault="001E34FF">
      <w:pPr>
        <w:pStyle w:val="FootnoteText"/>
      </w:pPr>
      <w:r>
        <w:rPr>
          <w:rStyle w:val="FootnoteReference"/>
        </w:rPr>
        <w:footnoteRef/>
      </w:r>
      <w:r>
        <w:t xml:space="preserve"> John D. Niles. “The Myth of the Feud in Anglo-Saxon England” </w:t>
      </w:r>
      <w:r>
        <w:rPr>
          <w:i/>
          <w:iCs/>
        </w:rPr>
        <w:t>The Journal of English and Germanic Philology</w:t>
      </w:r>
      <w:r>
        <w:t xml:space="preserve"> 114.2 (2015) p.171</w:t>
      </w:r>
    </w:p>
  </w:footnote>
  <w:footnote w:id="75">
    <w:p w14:paraId="1C19C35F" w14:textId="3A751ECF" w:rsidR="001E34FF" w:rsidRDefault="001E34FF">
      <w:pPr>
        <w:pStyle w:val="FootnoteText"/>
      </w:pPr>
      <w:r>
        <w:rPr>
          <w:rStyle w:val="FootnoteReference"/>
        </w:rPr>
        <w:footnoteRef/>
      </w:r>
      <w:r>
        <w:t xml:space="preserve"> Niles. p.174</w:t>
      </w:r>
    </w:p>
  </w:footnote>
  <w:footnote w:id="76">
    <w:p w14:paraId="350530AE" w14:textId="1C2C38BD" w:rsidR="001E34FF" w:rsidRDefault="001E34FF">
      <w:pPr>
        <w:pStyle w:val="FootnoteText"/>
      </w:pPr>
      <w:r>
        <w:rPr>
          <w:rStyle w:val="FootnoteReference"/>
        </w:rPr>
        <w:footnoteRef/>
      </w:r>
      <w:r>
        <w:t xml:space="preserve"> Niles. p.175-6</w:t>
      </w:r>
    </w:p>
  </w:footnote>
  <w:footnote w:id="77">
    <w:p w14:paraId="4AB2716D" w14:textId="3E840614" w:rsidR="001E34FF" w:rsidRDefault="001E34FF">
      <w:pPr>
        <w:pStyle w:val="FootnoteText"/>
      </w:pPr>
      <w:r>
        <w:rPr>
          <w:rStyle w:val="FootnoteReference"/>
        </w:rPr>
        <w:footnoteRef/>
      </w:r>
      <w:r>
        <w:t xml:space="preserve"> Niles. p.176</w:t>
      </w:r>
    </w:p>
  </w:footnote>
  <w:footnote w:id="78">
    <w:p w14:paraId="0B9BA83D" w14:textId="0D97311A" w:rsidR="001E34FF" w:rsidRPr="00261124" w:rsidRDefault="001E34FF">
      <w:pPr>
        <w:pStyle w:val="FootnoteText"/>
        <w:rPr>
          <w:rFonts w:asciiTheme="majorHAnsi" w:hAnsiTheme="majorHAnsi" w:cstheme="majorHAnsi"/>
        </w:rPr>
      </w:pPr>
      <w:r w:rsidRPr="00261124">
        <w:rPr>
          <w:rStyle w:val="FootnoteReference"/>
          <w:rFonts w:asciiTheme="majorHAnsi" w:hAnsiTheme="majorHAnsi" w:cstheme="majorHAnsi"/>
        </w:rPr>
        <w:footnoteRef/>
      </w:r>
      <w:r w:rsidRPr="00261124">
        <w:rPr>
          <w:rFonts w:asciiTheme="majorHAnsi" w:hAnsiTheme="majorHAnsi" w:cstheme="majorHAnsi"/>
        </w:rPr>
        <w:t xml:space="preserve"> </w:t>
      </w:r>
      <w:r w:rsidRPr="00261124">
        <w:rPr>
          <w:rFonts w:asciiTheme="majorHAnsi" w:hAnsiTheme="majorHAnsi" w:cstheme="majorHAnsi"/>
          <w:shd w:val="clear" w:color="auto" w:fill="FFFFFF"/>
        </w:rPr>
        <w:t>Anna, Echterhölter. "INJURY AND MEASUREMENT: Jacob Grimm on Blood Money and Concrete Quantification." </w:t>
      </w:r>
      <w:r w:rsidRPr="00261124">
        <w:rPr>
          <w:rFonts w:asciiTheme="majorHAnsi" w:hAnsiTheme="majorHAnsi" w:cstheme="majorHAnsi"/>
          <w:i/>
          <w:iCs/>
          <w:shd w:val="clear" w:color="auto" w:fill="FFFFFF"/>
        </w:rPr>
        <w:t>Social Analysis</w:t>
      </w:r>
      <w:r w:rsidRPr="00261124">
        <w:rPr>
          <w:rFonts w:asciiTheme="majorHAnsi" w:hAnsiTheme="majorHAnsi" w:cstheme="majorHAnsi"/>
          <w:shd w:val="clear" w:color="auto" w:fill="FFFFFF"/>
        </w:rPr>
        <w:t> 61.4 (2017) pp.32</w:t>
      </w:r>
    </w:p>
  </w:footnote>
  <w:footnote w:id="79">
    <w:p w14:paraId="4A6E96FB" w14:textId="396E2AA1" w:rsidR="001E34FF" w:rsidRPr="001D00DA" w:rsidRDefault="001E34FF">
      <w:pPr>
        <w:pStyle w:val="FootnoteText"/>
        <w:rPr>
          <w:rFonts w:asciiTheme="majorHAnsi" w:hAnsiTheme="majorHAnsi" w:cstheme="majorHAnsi"/>
        </w:rPr>
      </w:pPr>
      <w:r w:rsidRPr="001D00DA">
        <w:rPr>
          <w:rStyle w:val="FootnoteReference"/>
        </w:rPr>
        <w:footnoteRef/>
      </w:r>
      <w:r w:rsidRPr="001D00DA">
        <w:t xml:space="preserve"> </w:t>
      </w:r>
      <w:r w:rsidRPr="001D00DA">
        <w:rPr>
          <w:rFonts w:asciiTheme="majorHAnsi" w:hAnsiTheme="majorHAnsi" w:cstheme="majorHAnsi"/>
          <w:shd w:val="clear" w:color="auto" w:fill="FFFFFF"/>
        </w:rPr>
        <w:t>Echterhölter. pp.39</w:t>
      </w:r>
    </w:p>
  </w:footnote>
  <w:footnote w:id="80">
    <w:p w14:paraId="69C519F1" w14:textId="18CA4F54" w:rsidR="001E34FF" w:rsidRPr="0077669E" w:rsidRDefault="001E34FF" w:rsidP="005F6E1A">
      <w:pPr>
        <w:pStyle w:val="FootnoteText"/>
        <w:rPr>
          <w:rFonts w:asciiTheme="majorHAnsi" w:hAnsiTheme="majorHAnsi" w:cstheme="majorHAnsi"/>
        </w:rPr>
      </w:pPr>
      <w:r w:rsidRPr="0077669E">
        <w:rPr>
          <w:rStyle w:val="FootnoteReference"/>
          <w:rFonts w:asciiTheme="majorHAnsi" w:hAnsiTheme="majorHAnsi" w:cstheme="majorHAnsi"/>
        </w:rPr>
        <w:footnoteRef/>
      </w:r>
      <w:r w:rsidRPr="0077669E">
        <w:rPr>
          <w:rFonts w:asciiTheme="majorHAnsi" w:hAnsiTheme="majorHAnsi" w:cstheme="majorHAnsi"/>
        </w:rPr>
        <w:t xml:space="preserve"> </w:t>
      </w:r>
      <w:r>
        <w:rPr>
          <w:rFonts w:asciiTheme="majorHAnsi" w:hAnsiTheme="majorHAnsi" w:cstheme="majorHAnsi"/>
        </w:rPr>
        <w:t xml:space="preserve">Hyams. </w:t>
      </w:r>
      <w:r w:rsidRPr="0077669E">
        <w:rPr>
          <w:rFonts w:asciiTheme="majorHAnsi" w:hAnsiTheme="majorHAnsi" w:cstheme="majorHAnsi"/>
        </w:rPr>
        <w:t>p. 71</w:t>
      </w:r>
    </w:p>
  </w:footnote>
  <w:footnote w:id="81">
    <w:p w14:paraId="2D3E4EA4" w14:textId="77777777" w:rsidR="001E34FF" w:rsidRDefault="001E34FF" w:rsidP="007E3AE0">
      <w:pPr>
        <w:pStyle w:val="FootnoteText"/>
      </w:pPr>
      <w:r w:rsidRPr="001D00DA">
        <w:rPr>
          <w:rStyle w:val="FootnoteReference"/>
          <w:rFonts w:asciiTheme="majorHAnsi" w:hAnsiTheme="majorHAnsi" w:cstheme="majorHAnsi"/>
        </w:rPr>
        <w:footnoteRef/>
      </w:r>
      <w:r w:rsidRPr="001D00DA">
        <w:rPr>
          <w:rFonts w:asciiTheme="majorHAnsi" w:hAnsiTheme="majorHAnsi" w:cstheme="majorHAnsi"/>
        </w:rPr>
        <w:t xml:space="preserve"> John M. Wallace-Hadrill. “The Bloodfeud of the Franks.” </w:t>
      </w:r>
      <w:r w:rsidRPr="001D00DA">
        <w:rPr>
          <w:rFonts w:asciiTheme="majorHAnsi" w:hAnsiTheme="majorHAnsi" w:cstheme="majorHAnsi"/>
          <w:i/>
        </w:rPr>
        <w:t>Bulletin of the John Rylands Library</w:t>
      </w:r>
      <w:r w:rsidRPr="001D00DA">
        <w:rPr>
          <w:rFonts w:asciiTheme="majorHAnsi" w:hAnsiTheme="majorHAnsi" w:cstheme="majorHAnsi"/>
        </w:rPr>
        <w:t xml:space="preserve"> 41 (1959) pp.459–487</w:t>
      </w:r>
    </w:p>
  </w:footnote>
  <w:footnote w:id="82">
    <w:p w14:paraId="0A01ECB2" w14:textId="77777777" w:rsidR="001E34FF" w:rsidRPr="001D00DA" w:rsidRDefault="001E34FF" w:rsidP="001D00DA">
      <w:pPr>
        <w:pStyle w:val="FootnoteText"/>
        <w:rPr>
          <w:rFonts w:asciiTheme="majorHAnsi" w:hAnsiTheme="majorHAnsi" w:cstheme="majorHAnsi"/>
        </w:rPr>
      </w:pPr>
      <w:r w:rsidRPr="001D00DA">
        <w:rPr>
          <w:rStyle w:val="FootnoteReference"/>
          <w:rFonts w:asciiTheme="majorHAnsi" w:hAnsiTheme="majorHAnsi" w:cstheme="majorHAnsi"/>
        </w:rPr>
        <w:footnoteRef/>
      </w:r>
      <w:r w:rsidRPr="001D00DA">
        <w:rPr>
          <w:rFonts w:asciiTheme="majorHAnsi" w:hAnsiTheme="majorHAnsi" w:cstheme="majorHAnsi"/>
        </w:rPr>
        <w:t xml:space="preserve"> </w:t>
      </w:r>
      <w:r w:rsidRPr="001D00DA">
        <w:rPr>
          <w:rFonts w:asciiTheme="majorHAnsi" w:hAnsiTheme="majorHAnsi" w:cstheme="majorHAnsi"/>
          <w:shd w:val="clear" w:color="auto" w:fill="FFFFFF"/>
        </w:rPr>
        <w:t>Susan, Oosthuizen. "Archaeology, Common Rights and the Origins of Anglo-Saxon Identity." </w:t>
      </w:r>
      <w:r w:rsidRPr="001D00DA">
        <w:rPr>
          <w:rFonts w:asciiTheme="majorHAnsi" w:hAnsiTheme="majorHAnsi" w:cstheme="majorHAnsi"/>
          <w:i/>
          <w:iCs/>
          <w:shd w:val="clear" w:color="auto" w:fill="FFFFFF"/>
        </w:rPr>
        <w:t>Early Medieval Europe</w:t>
      </w:r>
      <w:r w:rsidRPr="001D00DA">
        <w:rPr>
          <w:rFonts w:asciiTheme="majorHAnsi" w:hAnsiTheme="majorHAnsi" w:cstheme="majorHAnsi"/>
          <w:shd w:val="clear" w:color="auto" w:fill="FFFFFF"/>
        </w:rPr>
        <w:t> 19.2 (2011</w:t>
      </w:r>
      <w:r>
        <w:rPr>
          <w:rFonts w:asciiTheme="majorHAnsi" w:hAnsiTheme="majorHAnsi" w:cstheme="majorHAnsi"/>
          <w:shd w:val="clear" w:color="auto" w:fill="FFFFFF"/>
        </w:rPr>
        <w:t>) pp.160-161</w:t>
      </w:r>
    </w:p>
  </w:footnote>
  <w:footnote w:id="83">
    <w:p w14:paraId="0A2A0FD5" w14:textId="77777777" w:rsidR="001E34FF" w:rsidRPr="002F68F4" w:rsidRDefault="001E34FF" w:rsidP="00F50EC1">
      <w:pPr>
        <w:pStyle w:val="FootnoteText"/>
      </w:pPr>
      <w:r>
        <w:rPr>
          <w:rStyle w:val="FootnoteReference"/>
        </w:rPr>
        <w:footnoteRef/>
      </w:r>
      <w:r>
        <w:t xml:space="preserve"> Swanton. p.169 (l.2795-2810) for mourning </w:t>
      </w:r>
      <w:r w:rsidRPr="005E26E2">
        <w:rPr>
          <w:rStyle w:val="Emphasis"/>
          <w:rFonts w:ascii="Arial" w:hAnsi="Arial" w:cs="Arial"/>
          <w:i w:val="0"/>
          <w:iCs w:val="0"/>
          <w:shd w:val="clear" w:color="auto" w:fill="FFFFFF"/>
        </w:rPr>
        <w:t>Æ</w:t>
      </w:r>
      <w:r w:rsidRPr="005E26E2">
        <w:rPr>
          <w:rFonts w:cstheme="minorHAnsi"/>
        </w:rPr>
        <w:t>schere</w:t>
      </w:r>
    </w:p>
  </w:footnote>
  <w:footnote w:id="84">
    <w:p w14:paraId="0AAE1DFF" w14:textId="77777777" w:rsidR="001E34FF" w:rsidRDefault="001E34FF" w:rsidP="00F50EC1">
      <w:pPr>
        <w:pStyle w:val="FootnoteText"/>
      </w:pPr>
      <w:r>
        <w:rPr>
          <w:rStyle w:val="FootnoteReference"/>
        </w:rPr>
        <w:footnoteRef/>
      </w:r>
      <w:r>
        <w:t xml:space="preserve"> Patricia Clare Ingham, “From Kinship to Kingship: Mourning, Gender, and Anglo-Saxon Community,” Grief and Gender 700-1700, eds. Jennifer C. Vaught and Lynne Dickson Bruckner, (New York: Palgrave Macmillan, 2003) p. 31.</w:t>
      </w:r>
    </w:p>
  </w:footnote>
  <w:footnote w:id="85">
    <w:p w14:paraId="54C17B47" w14:textId="77777777" w:rsidR="001E34FF" w:rsidRPr="00DA4E2B" w:rsidRDefault="001E34FF" w:rsidP="00F50EC1">
      <w:pPr>
        <w:pStyle w:val="FootnoteText"/>
        <w:rPr>
          <w:b/>
          <w:bCs/>
        </w:rPr>
      </w:pPr>
      <w:r>
        <w:rPr>
          <w:rStyle w:val="FootnoteReference"/>
        </w:rPr>
        <w:footnoteRef/>
      </w:r>
      <w:r>
        <w:t xml:space="preserve"> Swanton. p.97 (l.1320-1325) </w:t>
      </w:r>
      <w:r>
        <w:rPr>
          <w:b/>
          <w:bCs/>
        </w:rPr>
        <w:t xml:space="preserve"> </w:t>
      </w:r>
    </w:p>
  </w:footnote>
  <w:footnote w:id="86">
    <w:p w14:paraId="1DA3431D" w14:textId="77777777" w:rsidR="001E34FF" w:rsidRPr="00083927" w:rsidRDefault="001E34FF" w:rsidP="00F50EC1">
      <w:pPr>
        <w:pStyle w:val="FootnoteText"/>
        <w:rPr>
          <w:rFonts w:cstheme="minorHAnsi"/>
        </w:rPr>
      </w:pPr>
      <w:r w:rsidRPr="00083927">
        <w:rPr>
          <w:rStyle w:val="FootnoteReference"/>
          <w:rFonts w:cstheme="minorHAnsi"/>
        </w:rPr>
        <w:footnoteRef/>
      </w:r>
      <w:r w:rsidRPr="00083927">
        <w:rPr>
          <w:rFonts w:cstheme="minorHAnsi"/>
        </w:rPr>
        <w:t xml:space="preserve"> Swanton. p.179 (l.3015-21)</w:t>
      </w:r>
    </w:p>
  </w:footnote>
  <w:footnote w:id="87">
    <w:p w14:paraId="1B526DBA" w14:textId="77777777" w:rsidR="001E34FF" w:rsidRPr="00083927" w:rsidRDefault="001E34FF" w:rsidP="00F50EC1">
      <w:pPr>
        <w:pStyle w:val="FootnoteText"/>
        <w:rPr>
          <w:rFonts w:cstheme="minorHAnsi"/>
          <w:sz w:val="18"/>
          <w:szCs w:val="18"/>
        </w:rPr>
      </w:pPr>
      <w:r w:rsidRPr="00083927">
        <w:rPr>
          <w:rStyle w:val="FootnoteReference"/>
          <w:rFonts w:cstheme="minorHAnsi"/>
        </w:rPr>
        <w:footnoteRef/>
      </w:r>
      <w:r w:rsidRPr="00083927">
        <w:rPr>
          <w:rFonts w:cstheme="minorHAnsi"/>
        </w:rPr>
        <w:t xml:space="preserve"> </w:t>
      </w:r>
      <w:r w:rsidRPr="00083927">
        <w:rPr>
          <w:rFonts w:cstheme="minorHAnsi"/>
          <w:sz w:val="18"/>
          <w:szCs w:val="18"/>
        </w:rPr>
        <w:t>Swanton. p.101 (l.1388)</w:t>
      </w:r>
    </w:p>
  </w:footnote>
  <w:footnote w:id="88">
    <w:p w14:paraId="44484945" w14:textId="77777777" w:rsidR="001E34FF" w:rsidRPr="00083927" w:rsidRDefault="001E34FF" w:rsidP="00F50EC1">
      <w:pPr>
        <w:pStyle w:val="FootnoteText"/>
        <w:rPr>
          <w:rFonts w:cstheme="minorHAnsi"/>
        </w:rPr>
      </w:pPr>
      <w:r w:rsidRPr="00083927">
        <w:rPr>
          <w:rStyle w:val="FootnoteReference"/>
          <w:rFonts w:cstheme="minorHAnsi"/>
        </w:rPr>
        <w:footnoteRef/>
      </w:r>
      <w:r w:rsidRPr="00083927">
        <w:rPr>
          <w:rFonts w:cstheme="minorHAnsi"/>
        </w:rPr>
        <w:t xml:space="preserve"> Hill. pp.1</w:t>
      </w:r>
    </w:p>
  </w:footnote>
  <w:footnote w:id="89">
    <w:p w14:paraId="6F766A1D" w14:textId="7F88B348" w:rsidR="001E34FF" w:rsidRDefault="001E34FF">
      <w:pPr>
        <w:pStyle w:val="FootnoteText"/>
      </w:pPr>
      <w:r>
        <w:rPr>
          <w:rStyle w:val="FootnoteReference"/>
        </w:rPr>
        <w:footnoteRef/>
      </w:r>
      <w:r>
        <w:t xml:space="preserve"> Swanton. p.37  l.49-50</w:t>
      </w:r>
    </w:p>
  </w:footnote>
  <w:footnote w:id="90">
    <w:p w14:paraId="367CEBF0" w14:textId="64E0B57E" w:rsidR="001E34FF" w:rsidRDefault="001E34FF">
      <w:pPr>
        <w:pStyle w:val="FootnoteText"/>
      </w:pPr>
      <w:r>
        <w:rPr>
          <w:rStyle w:val="FootnoteReference"/>
        </w:rPr>
        <w:footnoteRef/>
      </w:r>
      <w:r>
        <w:t xml:space="preserve"> Swanton. p.41  </w:t>
      </w:r>
    </w:p>
  </w:footnote>
  <w:footnote w:id="91">
    <w:p w14:paraId="5262BBDA" w14:textId="64333F6F" w:rsidR="001E34FF" w:rsidRPr="005D08F1" w:rsidRDefault="001E34FF" w:rsidP="005D08F1">
      <w:pPr>
        <w:pStyle w:val="NoSpacing"/>
        <w:rPr>
          <w:rFonts w:asciiTheme="majorHAnsi" w:hAnsiTheme="majorHAnsi" w:cstheme="majorHAnsi"/>
          <w:sz w:val="20"/>
          <w:szCs w:val="20"/>
        </w:rPr>
      </w:pPr>
      <w:r w:rsidRPr="005D08F1">
        <w:rPr>
          <w:rStyle w:val="FootnoteReference"/>
          <w:rFonts w:asciiTheme="majorHAnsi" w:hAnsiTheme="majorHAnsi" w:cstheme="majorHAnsi"/>
          <w:sz w:val="20"/>
          <w:szCs w:val="20"/>
        </w:rPr>
        <w:footnoteRef/>
      </w:r>
      <w:r w:rsidRPr="005D08F1">
        <w:rPr>
          <w:rFonts w:asciiTheme="majorHAnsi" w:hAnsiTheme="majorHAnsi" w:cstheme="majorHAnsi"/>
        </w:rPr>
        <w:t xml:space="preserve"> </w:t>
      </w:r>
      <w:r w:rsidRPr="005D08F1">
        <w:rPr>
          <w:rFonts w:asciiTheme="majorHAnsi" w:hAnsiTheme="majorHAnsi" w:cstheme="majorHAnsi"/>
          <w:sz w:val="20"/>
          <w:szCs w:val="20"/>
          <w:shd w:val="clear" w:color="auto" w:fill="FFFFFF"/>
        </w:rPr>
        <w:t>William Rice Sims. 'The Battle of Maldon." </w:t>
      </w:r>
      <w:r w:rsidRPr="005D08F1">
        <w:rPr>
          <w:rFonts w:asciiTheme="majorHAnsi" w:hAnsiTheme="majorHAnsi" w:cstheme="majorHAnsi"/>
          <w:i/>
          <w:iCs/>
          <w:sz w:val="20"/>
          <w:szCs w:val="20"/>
          <w:shd w:val="clear" w:color="auto" w:fill="FFFFFF"/>
        </w:rPr>
        <w:t>Modern Language Notes</w:t>
      </w:r>
      <w:r w:rsidRPr="005D08F1">
        <w:rPr>
          <w:rFonts w:asciiTheme="majorHAnsi" w:hAnsiTheme="majorHAnsi" w:cstheme="majorHAnsi"/>
          <w:iCs/>
          <w:sz w:val="20"/>
          <w:szCs w:val="20"/>
          <w:shd w:val="clear" w:color="auto" w:fill="FFFFFF"/>
        </w:rPr>
        <w:t>.</w:t>
      </w:r>
      <w:r w:rsidRPr="005D08F1">
        <w:rPr>
          <w:rFonts w:asciiTheme="majorHAnsi" w:hAnsiTheme="majorHAnsi" w:cstheme="majorHAnsi"/>
          <w:sz w:val="20"/>
          <w:szCs w:val="20"/>
          <w:shd w:val="clear" w:color="auto" w:fill="FFFFFF"/>
        </w:rPr>
        <w:t> Vol. 7.5 (1892): pp.138-43.</w:t>
      </w:r>
    </w:p>
  </w:footnote>
  <w:footnote w:id="92">
    <w:p w14:paraId="6451E518" w14:textId="5C0A3FC2" w:rsidR="001E34FF" w:rsidRDefault="001E34FF" w:rsidP="005D08F1">
      <w:pPr>
        <w:pStyle w:val="NoSpacing"/>
        <w:rPr>
          <w:rFonts w:asciiTheme="majorHAnsi" w:hAnsiTheme="majorHAnsi" w:cstheme="majorHAnsi"/>
          <w:sz w:val="20"/>
          <w:szCs w:val="20"/>
          <w:shd w:val="clear" w:color="auto" w:fill="FFFFFF"/>
        </w:rPr>
      </w:pPr>
      <w:r w:rsidRPr="005D08F1">
        <w:rPr>
          <w:rStyle w:val="FootnoteReference"/>
          <w:rFonts w:asciiTheme="majorHAnsi" w:hAnsiTheme="majorHAnsi" w:cstheme="majorHAnsi"/>
          <w:sz w:val="20"/>
          <w:szCs w:val="20"/>
        </w:rPr>
        <w:footnoteRef/>
      </w:r>
      <w:r w:rsidRPr="005D08F1">
        <w:rPr>
          <w:rFonts w:asciiTheme="majorHAnsi" w:hAnsiTheme="majorHAnsi" w:cstheme="majorHAnsi"/>
          <w:sz w:val="20"/>
          <w:szCs w:val="20"/>
        </w:rPr>
        <w:t xml:space="preserve"> </w:t>
      </w:r>
      <w:r w:rsidRPr="005D08F1">
        <w:rPr>
          <w:rFonts w:asciiTheme="majorHAnsi" w:hAnsiTheme="majorHAnsi" w:cstheme="majorHAnsi"/>
          <w:sz w:val="20"/>
          <w:szCs w:val="20"/>
          <w:shd w:val="clear" w:color="auto" w:fill="FFFFFF"/>
        </w:rPr>
        <w:t>Gordon, E. V. "The Date of Æthelred's Treaty with the Vikings: Olaf Tryggvason and the Battle of Maldon." </w:t>
      </w:r>
      <w:r w:rsidRPr="005D08F1">
        <w:rPr>
          <w:rFonts w:asciiTheme="majorHAnsi" w:hAnsiTheme="majorHAnsi" w:cstheme="majorHAnsi"/>
          <w:i/>
          <w:iCs/>
          <w:sz w:val="20"/>
          <w:szCs w:val="20"/>
          <w:shd w:val="clear" w:color="auto" w:fill="FFFFFF"/>
        </w:rPr>
        <w:t>The Modern Language Review</w:t>
      </w:r>
      <w:r w:rsidRPr="005D08F1">
        <w:rPr>
          <w:rFonts w:asciiTheme="majorHAnsi" w:hAnsiTheme="majorHAnsi" w:cstheme="majorHAnsi"/>
          <w:sz w:val="20"/>
          <w:szCs w:val="20"/>
          <w:shd w:val="clear" w:color="auto" w:fill="FFFFFF"/>
        </w:rPr>
        <w:t> 32.1 (1937) pp.24</w:t>
      </w:r>
    </w:p>
    <w:p w14:paraId="0B6CF39B" w14:textId="77777777" w:rsidR="001E34FF" w:rsidRDefault="001E34FF" w:rsidP="005D08F1">
      <w:pPr>
        <w:pStyle w:val="NoSpacing"/>
        <w:rPr>
          <w:rFonts w:asciiTheme="majorHAnsi" w:hAnsiTheme="majorHAnsi" w:cstheme="majorHAnsi"/>
          <w:sz w:val="20"/>
          <w:szCs w:val="20"/>
          <w:shd w:val="clear" w:color="auto" w:fill="FFFFFF"/>
        </w:rPr>
      </w:pPr>
      <w:r>
        <w:rPr>
          <w:rFonts w:asciiTheme="majorHAnsi" w:hAnsiTheme="majorHAnsi" w:cstheme="majorHAnsi"/>
          <w:sz w:val="20"/>
          <w:szCs w:val="20"/>
          <w:shd w:val="clear" w:color="auto" w:fill="FFFFFF"/>
        </w:rPr>
        <w:t>It is generally now agreed that the battle occurred sometime around 991 AD</w:t>
      </w:r>
      <w:r w:rsidRPr="005D08F1">
        <w:rPr>
          <w:rFonts w:asciiTheme="majorHAnsi" w:hAnsiTheme="majorHAnsi" w:cstheme="majorHAnsi"/>
          <w:sz w:val="20"/>
          <w:szCs w:val="20"/>
          <w:shd w:val="clear" w:color="auto" w:fill="FFFFFF"/>
        </w:rPr>
        <w:t xml:space="preserve"> </w:t>
      </w:r>
      <w:r>
        <w:rPr>
          <w:rFonts w:asciiTheme="majorHAnsi" w:hAnsiTheme="majorHAnsi" w:cstheme="majorHAnsi"/>
          <w:sz w:val="20"/>
          <w:szCs w:val="20"/>
          <w:shd w:val="clear" w:color="auto" w:fill="FFFFFF"/>
        </w:rPr>
        <w:t xml:space="preserve">as can be seen in: </w:t>
      </w:r>
    </w:p>
    <w:p w14:paraId="39017B39" w14:textId="0E3E69C9" w:rsidR="001E34FF" w:rsidRPr="005D08F1" w:rsidRDefault="001E34FF" w:rsidP="005D08F1">
      <w:pPr>
        <w:pStyle w:val="NoSpacing"/>
        <w:rPr>
          <w:rFonts w:asciiTheme="majorHAnsi" w:hAnsiTheme="majorHAnsi" w:cstheme="majorHAnsi"/>
          <w:sz w:val="20"/>
          <w:szCs w:val="20"/>
          <w:shd w:val="clear" w:color="auto" w:fill="FFFFFF"/>
        </w:rPr>
      </w:pPr>
      <w:r w:rsidRPr="005D08F1">
        <w:rPr>
          <w:rFonts w:asciiTheme="majorHAnsi" w:hAnsiTheme="majorHAnsi" w:cstheme="majorHAnsi"/>
          <w:sz w:val="20"/>
          <w:szCs w:val="20"/>
          <w:shd w:val="clear" w:color="auto" w:fill="FFFFFF"/>
        </w:rPr>
        <w:t xml:space="preserve">Donald G. Scragg. </w:t>
      </w:r>
      <w:r w:rsidRPr="005D08F1">
        <w:rPr>
          <w:rFonts w:asciiTheme="majorHAnsi" w:hAnsiTheme="majorHAnsi" w:cstheme="majorHAnsi"/>
          <w:i/>
          <w:iCs/>
          <w:sz w:val="20"/>
          <w:szCs w:val="20"/>
          <w:shd w:val="clear" w:color="auto" w:fill="FFFFFF"/>
        </w:rPr>
        <w:t>The Battle of Maldon, AD 991</w:t>
      </w:r>
      <w:r w:rsidRPr="005D08F1">
        <w:rPr>
          <w:rFonts w:asciiTheme="majorHAnsi" w:hAnsiTheme="majorHAnsi" w:cstheme="majorHAnsi"/>
          <w:sz w:val="20"/>
          <w:szCs w:val="20"/>
          <w:shd w:val="clear" w:color="auto" w:fill="FFFFFF"/>
        </w:rPr>
        <w:t>. (Oxford: Basil Blackwell in Association with the Manchester Centre for Anglo-Saxon Studies, 1991)</w:t>
      </w:r>
    </w:p>
  </w:footnote>
  <w:footnote w:id="93">
    <w:p w14:paraId="6C058BD3" w14:textId="094B9563" w:rsidR="001E34FF" w:rsidRPr="005F1C18" w:rsidRDefault="001E34FF">
      <w:pPr>
        <w:pStyle w:val="FootnoteText"/>
        <w:rPr>
          <w:rFonts w:asciiTheme="majorHAnsi" w:hAnsiTheme="majorHAnsi" w:cstheme="majorHAnsi"/>
        </w:rPr>
      </w:pPr>
      <w:r w:rsidRPr="005D08F1">
        <w:rPr>
          <w:rStyle w:val="FootnoteReference"/>
          <w:rFonts w:asciiTheme="majorHAnsi" w:hAnsiTheme="majorHAnsi" w:cstheme="majorHAnsi"/>
        </w:rPr>
        <w:footnoteRef/>
      </w:r>
      <w:r w:rsidRPr="005D08F1">
        <w:rPr>
          <w:rFonts w:asciiTheme="majorHAnsi" w:hAnsiTheme="majorHAnsi" w:cstheme="majorHAnsi"/>
        </w:rPr>
        <w:t xml:space="preserve"> </w:t>
      </w:r>
      <w:r w:rsidRPr="005D08F1">
        <w:rPr>
          <w:rFonts w:asciiTheme="majorHAnsi" w:hAnsiTheme="majorHAnsi" w:cstheme="majorHAnsi"/>
          <w:shd w:val="clear" w:color="auto" w:fill="FFFFFF"/>
        </w:rPr>
        <w:t>Mark Griffith. "The Battle of Maldon: The Guile of the Vikings Explained." </w:t>
      </w:r>
      <w:r w:rsidRPr="005D08F1">
        <w:rPr>
          <w:rFonts w:asciiTheme="majorHAnsi" w:hAnsiTheme="majorHAnsi" w:cstheme="majorHAnsi"/>
          <w:i/>
          <w:iCs/>
          <w:shd w:val="clear" w:color="auto" w:fill="FFFFFF"/>
        </w:rPr>
        <w:t>Notes and Queries</w:t>
      </w:r>
      <w:r w:rsidRPr="005D08F1">
        <w:rPr>
          <w:rFonts w:asciiTheme="majorHAnsi" w:hAnsiTheme="majorHAnsi" w:cstheme="majorHAnsi"/>
          <w:shd w:val="clear" w:color="auto" w:fill="FFFFFF"/>
        </w:rPr>
        <w:t> 63.2 (2016) pp.181</w:t>
      </w:r>
    </w:p>
  </w:footnote>
  <w:footnote w:id="94">
    <w:p w14:paraId="242FA799" w14:textId="77777777" w:rsidR="001E34FF" w:rsidRDefault="001E34FF" w:rsidP="00F50EC1">
      <w:pPr>
        <w:pStyle w:val="FootnoteText"/>
      </w:pPr>
      <w:r>
        <w:rPr>
          <w:rStyle w:val="FootnoteReference"/>
        </w:rPr>
        <w:footnoteRef/>
      </w:r>
      <w:r>
        <w:t xml:space="preserve"> Swanton. p.185 (l.3150-3155)</w:t>
      </w:r>
    </w:p>
  </w:footnote>
  <w:footnote w:id="95">
    <w:p w14:paraId="4623071D" w14:textId="63F5BE4A" w:rsidR="001E34FF" w:rsidRDefault="001E34FF">
      <w:pPr>
        <w:pStyle w:val="FootnoteText"/>
      </w:pPr>
      <w:r>
        <w:rPr>
          <w:rStyle w:val="FootnoteReference"/>
        </w:rPr>
        <w:footnoteRef/>
      </w:r>
      <w:r>
        <w:t xml:space="preserve"> Harry Morgan Ayres. ‘The Tragedy of Hengest in “Beowulf”’ </w:t>
      </w:r>
      <w:r>
        <w:rPr>
          <w:i/>
        </w:rPr>
        <w:t>The Journal of English and Germanic Philology</w:t>
      </w:r>
      <w:r>
        <w:t>. Vol. 16.2 (1917) pp.284</w:t>
      </w:r>
    </w:p>
    <w:p w14:paraId="588046A0" w14:textId="6EBE2375" w:rsidR="001E34FF" w:rsidRPr="000C2511" w:rsidRDefault="001E34FF">
      <w:pPr>
        <w:pStyle w:val="FootnoteText"/>
      </w:pPr>
      <w:r>
        <w:t xml:space="preserve">Though this is an older article, the contribution it has made within studies of </w:t>
      </w:r>
      <w:r>
        <w:rPr>
          <w:i/>
        </w:rPr>
        <w:t>Beowulf</w:t>
      </w:r>
      <w:r>
        <w:t xml:space="preserve"> are notable and the value it brings to arguments of tragedy and revenge in </w:t>
      </w:r>
      <w:r>
        <w:rPr>
          <w:i/>
        </w:rPr>
        <w:t xml:space="preserve">Beowulf </w:t>
      </w:r>
      <w:r>
        <w:t>make it worth referencing even today.</w:t>
      </w:r>
    </w:p>
  </w:footnote>
  <w:footnote w:id="96">
    <w:p w14:paraId="2B4C1B88" w14:textId="21658988" w:rsidR="001E34FF" w:rsidRDefault="001E34FF">
      <w:pPr>
        <w:pStyle w:val="FootnoteText"/>
      </w:pPr>
      <w:r>
        <w:rPr>
          <w:rStyle w:val="FootnoteReference"/>
        </w:rPr>
        <w:footnoteRef/>
      </w:r>
      <w:r>
        <w:t xml:space="preserve"> </w:t>
      </w:r>
      <w:r w:rsidRPr="00517B44">
        <w:rPr>
          <w:rFonts w:cstheme="minorHAnsi"/>
          <w:sz w:val="18"/>
          <w:szCs w:val="18"/>
          <w:shd w:val="clear" w:color="auto" w:fill="FFFFFF"/>
        </w:rPr>
        <w:t>Martin</w:t>
      </w:r>
      <w:r>
        <w:rPr>
          <w:rFonts w:cstheme="minorHAnsi"/>
          <w:sz w:val="18"/>
          <w:szCs w:val="18"/>
          <w:shd w:val="clear" w:color="auto" w:fill="FFFFFF"/>
        </w:rPr>
        <w:t xml:space="preserve"> Camargo.</w:t>
      </w:r>
      <w:r w:rsidRPr="00517B44">
        <w:rPr>
          <w:rFonts w:cstheme="minorHAnsi"/>
          <w:sz w:val="18"/>
          <w:szCs w:val="18"/>
          <w:shd w:val="clear" w:color="auto" w:fill="FFFFFF"/>
        </w:rPr>
        <w:t xml:space="preserve"> "The Finn Episode and the Tragedy of Revenge in "Beowulf"." </w:t>
      </w:r>
      <w:r w:rsidRPr="00517B44">
        <w:rPr>
          <w:rFonts w:cstheme="minorHAnsi"/>
          <w:i/>
          <w:iCs/>
          <w:sz w:val="18"/>
          <w:szCs w:val="18"/>
          <w:shd w:val="clear" w:color="auto" w:fill="FFFFFF"/>
        </w:rPr>
        <w:t>Studies in Philology</w:t>
      </w:r>
      <w:r w:rsidRPr="00517B44">
        <w:rPr>
          <w:rFonts w:cstheme="minorHAnsi"/>
          <w:sz w:val="18"/>
          <w:szCs w:val="18"/>
          <w:shd w:val="clear" w:color="auto" w:fill="FFFFFF"/>
        </w:rPr>
        <w:t> 78.5 (1981</w:t>
      </w:r>
      <w:r>
        <w:rPr>
          <w:rFonts w:cstheme="minorHAnsi"/>
          <w:sz w:val="18"/>
          <w:szCs w:val="18"/>
          <w:shd w:val="clear" w:color="auto" w:fill="FFFFFF"/>
        </w:rPr>
        <w:t>) p.121</w:t>
      </w:r>
    </w:p>
  </w:footnote>
  <w:footnote w:id="97">
    <w:p w14:paraId="57D709BB" w14:textId="77777777" w:rsidR="001E34FF" w:rsidRPr="00470C40" w:rsidRDefault="001E34FF" w:rsidP="0073401E">
      <w:pPr>
        <w:pStyle w:val="FootnoteText"/>
      </w:pPr>
      <w:r>
        <w:rPr>
          <w:rStyle w:val="FootnoteReference"/>
        </w:rPr>
        <w:footnoteRef/>
      </w:r>
      <w:r>
        <w:t xml:space="preserve"> C.L. Wrenn. </w:t>
      </w:r>
      <w:r>
        <w:rPr>
          <w:i/>
          <w:iCs/>
        </w:rPr>
        <w:t>Beowulf with the Finnesburg Fragment</w:t>
      </w:r>
      <w:r>
        <w:t>. (Boston, 1953) pp.75</w:t>
      </w:r>
    </w:p>
  </w:footnote>
  <w:footnote w:id="98">
    <w:p w14:paraId="630242F8" w14:textId="77777777" w:rsidR="001E34FF" w:rsidRDefault="001E34FF" w:rsidP="004B7821">
      <w:pPr>
        <w:pStyle w:val="FootnoteText"/>
      </w:pPr>
      <w:r>
        <w:rPr>
          <w:rStyle w:val="FootnoteReference"/>
        </w:rPr>
        <w:footnoteRef/>
      </w:r>
      <w:r>
        <w:t xml:space="preserve"> Swanton. p.151-53  L.2428-2471</w:t>
      </w:r>
    </w:p>
  </w:footnote>
  <w:footnote w:id="99">
    <w:p w14:paraId="2D4B1EB1" w14:textId="3D6C99F1" w:rsidR="001E34FF" w:rsidRDefault="001E34FF">
      <w:pPr>
        <w:pStyle w:val="FootnoteText"/>
      </w:pPr>
      <w:r>
        <w:rPr>
          <w:rStyle w:val="FootnoteReference"/>
        </w:rPr>
        <w:footnoteRef/>
      </w:r>
      <w:r>
        <w:t xml:space="preserve"> Linda Georgianna. “King Hrethel's Sorrow and the Limits of Heroic Action in Beowulf” </w:t>
      </w:r>
      <w:r>
        <w:rPr>
          <w:i/>
        </w:rPr>
        <w:t>Speculum</w:t>
      </w:r>
      <w:r>
        <w:t xml:space="preserve"> Vol.62.4 (1987)  p.834</w:t>
      </w:r>
    </w:p>
  </w:footnote>
  <w:footnote w:id="100">
    <w:p w14:paraId="6D637A86" w14:textId="5390715A" w:rsidR="001E34FF" w:rsidRDefault="001E34FF">
      <w:pPr>
        <w:pStyle w:val="FootnoteText"/>
      </w:pPr>
      <w:r>
        <w:rPr>
          <w:rStyle w:val="FootnoteReference"/>
        </w:rPr>
        <w:footnoteRef/>
      </w:r>
      <w:r>
        <w:t xml:space="preserve"> We know that arrows were rarely used outside of battle except for in times of leisure. Since there is no mention of a battle we must assume then that the arrow was shot accidentally during such a time. This also indicates that the death was as unexpected as the interlude itself.</w:t>
      </w:r>
    </w:p>
    <w:p w14:paraId="05381529" w14:textId="61E76B78" w:rsidR="001E34FF" w:rsidRDefault="001E34FF">
      <w:pPr>
        <w:pStyle w:val="FootnoteText"/>
      </w:pPr>
      <w:r>
        <w:t>For reference on the use of arrows, see Hilda R. Ellis Davidson, "Archaeology and Beowulf," in Beowulf and Its Analogues, ed. George N. Garmonsway and Jacqueline Simpson (London, 1968) p.356</w:t>
      </w:r>
    </w:p>
  </w:footnote>
  <w:footnote w:id="101">
    <w:p w14:paraId="6146BC7C" w14:textId="508A466D" w:rsidR="001E34FF" w:rsidRDefault="001E34FF">
      <w:pPr>
        <w:pStyle w:val="FootnoteText"/>
      </w:pPr>
      <w:r>
        <w:rPr>
          <w:rStyle w:val="FootnoteReference"/>
        </w:rPr>
        <w:footnoteRef/>
      </w:r>
      <w:r>
        <w:t xml:space="preserve"> Swanton. p.151  l.2440-3</w:t>
      </w:r>
    </w:p>
  </w:footnote>
  <w:footnote w:id="102">
    <w:p w14:paraId="489AC8E1" w14:textId="3C4A56D8" w:rsidR="001E34FF" w:rsidRDefault="001E34FF">
      <w:pPr>
        <w:pStyle w:val="FootnoteText"/>
      </w:pPr>
      <w:r>
        <w:rPr>
          <w:rStyle w:val="FootnoteReference"/>
        </w:rPr>
        <w:footnoteRef/>
      </w:r>
      <w:r>
        <w:t xml:space="preserve"> Georgianna. p.836-7</w:t>
      </w:r>
    </w:p>
  </w:footnote>
  <w:footnote w:id="103">
    <w:p w14:paraId="533D4FA7" w14:textId="16E50B10" w:rsidR="001E34FF" w:rsidRPr="00517B44" w:rsidRDefault="001E34FF" w:rsidP="00F50EC1">
      <w:pPr>
        <w:pStyle w:val="FootnoteText"/>
      </w:pPr>
      <w:r w:rsidRPr="00517B44">
        <w:rPr>
          <w:rStyle w:val="FootnoteReference"/>
          <w:rFonts w:cstheme="minorHAnsi"/>
          <w:sz w:val="18"/>
          <w:szCs w:val="18"/>
        </w:rPr>
        <w:footnoteRef/>
      </w:r>
      <w:r w:rsidRPr="00517B44">
        <w:rPr>
          <w:rFonts w:cstheme="minorHAnsi"/>
          <w:sz w:val="18"/>
          <w:szCs w:val="18"/>
        </w:rPr>
        <w:t xml:space="preserve"> </w:t>
      </w:r>
      <w:r>
        <w:rPr>
          <w:rFonts w:cstheme="minorHAnsi"/>
          <w:sz w:val="18"/>
          <w:szCs w:val="18"/>
          <w:shd w:val="clear" w:color="auto" w:fill="FFFFFF"/>
        </w:rPr>
        <w:t>Camargo.</w:t>
      </w:r>
      <w:r w:rsidRPr="00517B44">
        <w:rPr>
          <w:rFonts w:cstheme="minorHAnsi"/>
          <w:sz w:val="18"/>
          <w:szCs w:val="18"/>
          <w:shd w:val="clear" w:color="auto" w:fill="FFFFFF"/>
        </w:rPr>
        <w:t xml:space="preserve"> </w:t>
      </w:r>
      <w:r>
        <w:rPr>
          <w:rFonts w:cstheme="minorHAnsi"/>
          <w:sz w:val="18"/>
          <w:szCs w:val="18"/>
          <w:shd w:val="clear" w:color="auto" w:fill="FFFFFF"/>
        </w:rPr>
        <w:t>p.129-130</w:t>
      </w:r>
    </w:p>
  </w:footnote>
  <w:footnote w:id="104">
    <w:p w14:paraId="5578B592" w14:textId="7EEC3EE0" w:rsidR="001E34FF" w:rsidRDefault="001E34FF">
      <w:pPr>
        <w:pStyle w:val="FootnoteText"/>
      </w:pPr>
      <w:r>
        <w:rPr>
          <w:rStyle w:val="FootnoteReference"/>
        </w:rPr>
        <w:footnoteRef/>
      </w:r>
      <w:r>
        <w:t xml:space="preserve"> Camargo. p.120-139</w:t>
      </w:r>
    </w:p>
  </w:footnote>
  <w:footnote w:id="105">
    <w:p w14:paraId="6557B40B" w14:textId="0CC6DB54" w:rsidR="001E34FF" w:rsidRDefault="001E34FF">
      <w:pPr>
        <w:pStyle w:val="FootnoteText"/>
      </w:pPr>
      <w:r>
        <w:rPr>
          <w:rStyle w:val="FootnoteReference"/>
        </w:rPr>
        <w:footnoteRef/>
      </w:r>
      <w:r>
        <w:t xml:space="preserve"> David Day, “Hwanan sio fæhð aras: Defining the Feud in Beowulf” </w:t>
      </w:r>
      <w:r w:rsidRPr="001436FE">
        <w:rPr>
          <w:i/>
          <w:iCs/>
        </w:rPr>
        <w:t>Philological Quarterly</w:t>
      </w:r>
      <w:r>
        <w:t xml:space="preserve"> 78 (1999) p.91.</w:t>
      </w:r>
    </w:p>
  </w:footnote>
  <w:footnote w:id="106">
    <w:p w14:paraId="0873D630" w14:textId="54E60A3B" w:rsidR="001E34FF" w:rsidRDefault="001E34FF">
      <w:pPr>
        <w:pStyle w:val="FootnoteText"/>
      </w:pPr>
      <w:r>
        <w:rPr>
          <w:rStyle w:val="FootnoteReference"/>
        </w:rPr>
        <w:footnoteRef/>
      </w:r>
      <w:r>
        <w:t xml:space="preserve"> Day. p.77</w:t>
      </w:r>
    </w:p>
  </w:footnote>
  <w:footnote w:id="107">
    <w:p w14:paraId="2DF2CBA4" w14:textId="77777777" w:rsidR="001E34FF" w:rsidRDefault="001E34FF" w:rsidP="00A44354">
      <w:pPr>
        <w:pStyle w:val="FootnoteText"/>
      </w:pPr>
      <w:r>
        <w:rPr>
          <w:rStyle w:val="FootnoteReference"/>
        </w:rPr>
        <w:footnoteRef/>
      </w:r>
      <w:r>
        <w:t xml:space="preserve"> Swanton. p.149  l.2385-7</w:t>
      </w:r>
    </w:p>
  </w:footnote>
  <w:footnote w:id="108">
    <w:p w14:paraId="72EC5B01" w14:textId="731B11DB" w:rsidR="001E34FF" w:rsidRDefault="001E34FF">
      <w:pPr>
        <w:pStyle w:val="FootnoteText"/>
      </w:pPr>
      <w:r>
        <w:rPr>
          <w:rStyle w:val="FootnoteReference"/>
        </w:rPr>
        <w:footnoteRef/>
      </w:r>
      <w:r>
        <w:t xml:space="preserve"> Swanton. p.149  l.2389-90</w:t>
      </w:r>
    </w:p>
  </w:footnote>
  <w:footnote w:id="109">
    <w:p w14:paraId="2AB7D7CD" w14:textId="77681EEA" w:rsidR="001E34FF" w:rsidRDefault="001E34FF">
      <w:pPr>
        <w:pStyle w:val="FootnoteText"/>
      </w:pPr>
      <w:r>
        <w:rPr>
          <w:rStyle w:val="FootnoteReference"/>
        </w:rPr>
        <w:footnoteRef/>
      </w:r>
      <w:r>
        <w:t xml:space="preserve"> Swanton. p.55.  l.455</w:t>
      </w:r>
    </w:p>
  </w:footnote>
  <w:footnote w:id="110">
    <w:p w14:paraId="4E5772C7" w14:textId="491BA926" w:rsidR="001E34FF" w:rsidRDefault="001E34FF">
      <w:pPr>
        <w:pStyle w:val="FootnoteText"/>
      </w:pPr>
      <w:r>
        <w:rPr>
          <w:rStyle w:val="FootnoteReference"/>
        </w:rPr>
        <w:footnoteRef/>
      </w:r>
      <w:r>
        <w:t>Swanton. p.61  l.572-3</w:t>
      </w:r>
    </w:p>
  </w:footnote>
  <w:footnote w:id="111">
    <w:p w14:paraId="2852C3E0" w14:textId="742ECC66" w:rsidR="001E34FF" w:rsidRDefault="001E34FF">
      <w:pPr>
        <w:pStyle w:val="FootnoteText"/>
      </w:pPr>
      <w:r>
        <w:rPr>
          <w:rStyle w:val="FootnoteReference"/>
        </w:rPr>
        <w:footnoteRef/>
      </w:r>
      <w:r>
        <w:t xml:space="preserve"> For a good in-depth reference to Christianity in </w:t>
      </w:r>
      <w:r>
        <w:rPr>
          <w:i/>
        </w:rPr>
        <w:t>Beowulf</w:t>
      </w:r>
      <w:r>
        <w:t xml:space="preserve"> I recommend reading </w:t>
      </w:r>
    </w:p>
    <w:p w14:paraId="3856B8B1" w14:textId="59359E45" w:rsidR="001E34FF" w:rsidRDefault="001E34FF">
      <w:pPr>
        <w:pStyle w:val="FootnoteText"/>
      </w:pPr>
      <w:r>
        <w:t>M. B. McNamee’s essay ‘</w:t>
      </w:r>
      <w:r>
        <w:rPr>
          <w:i/>
        </w:rPr>
        <w:t>Beowulf</w:t>
      </w:r>
      <w:r>
        <w:t>: An Allegory of Salvation’ (1960)</w:t>
      </w:r>
    </w:p>
    <w:p w14:paraId="49246BCB" w14:textId="7359A7A2" w:rsidR="001E34FF" w:rsidRDefault="001E34FF">
      <w:pPr>
        <w:pStyle w:val="FootnoteText"/>
      </w:pPr>
      <w:r>
        <w:t>This essay is an in-depth analysis of Beowulf as a Christ-like saviour figure and the influence the book may have been intended to have on a recently converted populace.</w:t>
      </w:r>
    </w:p>
    <w:p w14:paraId="79059268" w14:textId="0AABFBCF" w:rsidR="001E34FF" w:rsidRDefault="001E34FF">
      <w:pPr>
        <w:pStyle w:val="FootnoteText"/>
      </w:pPr>
      <w:r>
        <w:t>As well as</w:t>
      </w:r>
    </w:p>
    <w:p w14:paraId="0D7633C0" w14:textId="4228DAB6" w:rsidR="001E34FF" w:rsidRDefault="001E34FF">
      <w:pPr>
        <w:pStyle w:val="FootnoteText"/>
      </w:pPr>
      <w:r>
        <w:t xml:space="preserve">Margaret E. Goldsmiths work on ‘The Christian Perspective in </w:t>
      </w:r>
      <w:r>
        <w:rPr>
          <w:i/>
        </w:rPr>
        <w:t>Beowulf</w:t>
      </w:r>
      <w:r>
        <w:t xml:space="preserve">’ (1962) </w:t>
      </w:r>
    </w:p>
    <w:p w14:paraId="345B4286" w14:textId="1900A419" w:rsidR="001E34FF" w:rsidRPr="00906C3A" w:rsidRDefault="001E34FF">
      <w:pPr>
        <w:pStyle w:val="FootnoteText"/>
      </w:pPr>
      <w:r>
        <w:t xml:space="preserve">Which is an exploration of the influence of the poets own mind and perspective on the writing of </w:t>
      </w:r>
      <w:r>
        <w:rPr>
          <w:i/>
        </w:rPr>
        <w:t xml:space="preserve">Beowulf </w:t>
      </w:r>
      <w:r>
        <w:t>and how his own psyche affects the way in which a reader receives and interprets the text as a whole.</w:t>
      </w:r>
    </w:p>
  </w:footnote>
  <w:footnote w:id="112">
    <w:p w14:paraId="57DDD6F4" w14:textId="2300FDEA" w:rsidR="001E34FF" w:rsidRPr="00267517" w:rsidRDefault="001E34FF">
      <w:pPr>
        <w:pStyle w:val="FootnoteText"/>
      </w:pPr>
      <w:r>
        <w:rPr>
          <w:rStyle w:val="FootnoteReference"/>
        </w:rPr>
        <w:footnoteRef/>
      </w:r>
      <w:r>
        <w:t xml:space="preserve">Bertha S. Phillpotts. ‘Wyrd and Providence in Anglo-Saxon Thought’ in </w:t>
      </w:r>
      <w:r>
        <w:rPr>
          <w:i/>
        </w:rPr>
        <w:t xml:space="preserve">Interpretations of </w:t>
      </w:r>
      <w:r w:rsidRPr="00267517">
        <w:rPr>
          <w:i/>
        </w:rPr>
        <w:t>Beowulf</w:t>
      </w:r>
      <w:r>
        <w:rPr>
          <w:i/>
        </w:rPr>
        <w:t xml:space="preserve">: A Critical Anthology  </w:t>
      </w:r>
      <w:r>
        <w:t>ed. by R.D. Fulk (Indiana: Indiana University Press, 1991) p.6</w:t>
      </w:r>
    </w:p>
  </w:footnote>
  <w:footnote w:id="113">
    <w:p w14:paraId="5BD95F7D" w14:textId="77777777" w:rsidR="001E34FF" w:rsidRDefault="001E34FF" w:rsidP="00C63B37">
      <w:pPr>
        <w:pStyle w:val="FootnoteText"/>
      </w:pPr>
      <w:r>
        <w:rPr>
          <w:rStyle w:val="FootnoteReference"/>
        </w:rPr>
        <w:footnoteRef/>
      </w:r>
      <w:r>
        <w:t xml:space="preserve"> Swanton. p.69  l.736-8</w:t>
      </w:r>
    </w:p>
  </w:footnote>
  <w:footnote w:id="114">
    <w:p w14:paraId="52459DD4" w14:textId="6A3D0E41" w:rsidR="001E34FF" w:rsidRDefault="001E34FF">
      <w:pPr>
        <w:pStyle w:val="FootnoteText"/>
      </w:pPr>
      <w:r>
        <w:rPr>
          <w:rStyle w:val="FootnoteReference"/>
        </w:rPr>
        <w:footnoteRef/>
      </w:r>
      <w:r>
        <w:t xml:space="preserve"> Swanton. p.69.  l.745-7</w:t>
      </w:r>
    </w:p>
  </w:footnote>
  <w:footnote w:id="115">
    <w:p w14:paraId="25F680FF" w14:textId="179967DE" w:rsidR="001E34FF" w:rsidRDefault="001E34FF">
      <w:pPr>
        <w:pStyle w:val="FootnoteText"/>
      </w:pPr>
      <w:r>
        <w:rPr>
          <w:rStyle w:val="FootnoteReference"/>
        </w:rPr>
        <w:footnoteRef/>
      </w:r>
      <w:r>
        <w:t xml:space="preserve"> Swanton. p.71  l.763-5</w:t>
      </w:r>
    </w:p>
  </w:footnote>
  <w:footnote w:id="116">
    <w:p w14:paraId="7814F961" w14:textId="747A4A2F" w:rsidR="001E34FF" w:rsidRPr="00F075A4" w:rsidRDefault="001E34FF">
      <w:pPr>
        <w:pStyle w:val="FootnoteText"/>
        <w:rPr>
          <w:rFonts w:cstheme="minorHAnsi"/>
        </w:rPr>
      </w:pPr>
      <w:r>
        <w:rPr>
          <w:rStyle w:val="FootnoteReference"/>
        </w:rPr>
        <w:footnoteRef/>
      </w:r>
      <w:r>
        <w:t xml:space="preserve"> To </w:t>
      </w:r>
      <w:r w:rsidRPr="00F075A4">
        <w:rPr>
          <w:rFonts w:cstheme="minorHAnsi"/>
        </w:rPr>
        <w:t>have a deeper level of understanding on the subject, I recommend</w:t>
      </w:r>
      <w:r w:rsidR="00FB2089">
        <w:rPr>
          <w:rFonts w:cstheme="minorHAnsi"/>
        </w:rPr>
        <w:t xml:space="preserve"> these articles</w:t>
      </w:r>
      <w:r w:rsidRPr="00F075A4">
        <w:rPr>
          <w:rFonts w:cstheme="minorHAnsi"/>
        </w:rPr>
        <w:t xml:space="preserve"> to read.</w:t>
      </w:r>
    </w:p>
    <w:p w14:paraId="6F8B9B67" w14:textId="2533FB78" w:rsidR="001E34FF" w:rsidRPr="00F075A4" w:rsidRDefault="00F075A4">
      <w:pPr>
        <w:pStyle w:val="FootnoteText"/>
        <w:rPr>
          <w:rFonts w:cstheme="minorHAnsi"/>
          <w:sz w:val="18"/>
          <w:szCs w:val="18"/>
          <w:lang w:val="en-US" w:eastAsia="en-GB"/>
        </w:rPr>
      </w:pPr>
      <w:r w:rsidRPr="00F075A4">
        <w:rPr>
          <w:rFonts w:cstheme="minorHAnsi"/>
          <w:sz w:val="18"/>
          <w:szCs w:val="18"/>
          <w:lang w:val="en-US" w:eastAsia="en-GB"/>
        </w:rPr>
        <w:t xml:space="preserve">Jacek, Olesiejko. “Wealtheow’s Peace Weaving: Diegesis and Genealogy Of Gender in Beowulf.” </w:t>
      </w:r>
      <w:r w:rsidRPr="00F075A4">
        <w:rPr>
          <w:rFonts w:cstheme="minorHAnsi"/>
          <w:i/>
          <w:sz w:val="18"/>
          <w:szCs w:val="18"/>
          <w:lang w:val="en-US" w:eastAsia="en-GB"/>
        </w:rPr>
        <w:t>Studiea Anglica Posnaniensia</w:t>
      </w:r>
      <w:r w:rsidRPr="00F075A4">
        <w:rPr>
          <w:rFonts w:cstheme="minorHAnsi"/>
          <w:sz w:val="18"/>
          <w:szCs w:val="18"/>
          <w:lang w:val="en-US" w:eastAsia="en-GB"/>
        </w:rPr>
        <w:t xml:space="preserve"> 49.1 (2014) 103-123.</w:t>
      </w:r>
    </w:p>
    <w:p w14:paraId="5642E8C8" w14:textId="2676458E" w:rsidR="00F075A4" w:rsidRDefault="00F075A4">
      <w:pPr>
        <w:pStyle w:val="FootnoteText"/>
        <w:rPr>
          <w:rFonts w:cstheme="minorHAnsi"/>
          <w:sz w:val="18"/>
          <w:szCs w:val="18"/>
          <w:lang w:val="en-US" w:eastAsia="en-GB"/>
        </w:rPr>
      </w:pPr>
      <w:r w:rsidRPr="00F075A4">
        <w:rPr>
          <w:rFonts w:cstheme="minorHAnsi"/>
          <w:sz w:val="18"/>
          <w:szCs w:val="18"/>
          <w:lang w:val="en-US" w:eastAsia="en-GB"/>
        </w:rPr>
        <w:t xml:space="preserve">This </w:t>
      </w:r>
      <w:r>
        <w:rPr>
          <w:rFonts w:cstheme="minorHAnsi"/>
          <w:sz w:val="18"/>
          <w:szCs w:val="18"/>
          <w:lang w:val="en-US" w:eastAsia="en-GB"/>
        </w:rPr>
        <w:t>article regards Wealtheow as the embodiment of the successful peace-weaver who ‘casts herself as a figuration of Hildeburh’ (p.103) in an attempt to plead her case of the unwanted adoption of Beowulf.</w:t>
      </w:r>
    </w:p>
    <w:p w14:paraId="2257253D" w14:textId="1036EBCB" w:rsidR="00F075A4" w:rsidRDefault="00F075A4">
      <w:pPr>
        <w:pStyle w:val="FootnoteText"/>
      </w:pPr>
      <w:r>
        <w:rPr>
          <w:rFonts w:cstheme="minorHAnsi"/>
          <w:sz w:val="18"/>
          <w:szCs w:val="18"/>
          <w:lang w:val="en-US" w:eastAsia="en-GB"/>
        </w:rPr>
        <w:t>Megan Cavell. “</w:t>
      </w:r>
      <w:r>
        <w:t>Formulaic FriÞuwebban: Re-examining Peace-Weaving in the Light of Old English Poetics.”</w:t>
      </w:r>
      <w:r w:rsidRPr="00F075A4">
        <w:t xml:space="preserve"> </w:t>
      </w:r>
      <w:r w:rsidRPr="00F075A4">
        <w:rPr>
          <w:i/>
        </w:rPr>
        <w:t>The Journal of English and Germanic Philology</w:t>
      </w:r>
      <w:r>
        <w:rPr>
          <w:i/>
        </w:rPr>
        <w:t>.</w:t>
      </w:r>
      <w:r>
        <w:t xml:space="preserve"> Vol. 114.3 (2015) p.355-372</w:t>
      </w:r>
    </w:p>
    <w:p w14:paraId="7619063D" w14:textId="6AF29816" w:rsidR="00A1230A" w:rsidRDefault="00A1230A">
      <w:pPr>
        <w:pStyle w:val="FootnoteText"/>
      </w:pPr>
      <w:r>
        <w:t xml:space="preserve">This article explores the futility of peace-weaving as a practice both within and without of </w:t>
      </w:r>
      <w:r>
        <w:rPr>
          <w:i/>
        </w:rPr>
        <w:t xml:space="preserve">Beowulf </w:t>
      </w:r>
      <w:r>
        <w:t xml:space="preserve">as well as other Old English poems. It also explores the purpose of peace-weaving in different poems whilst specifying that the practice of peace-weaving in </w:t>
      </w:r>
      <w:r>
        <w:rPr>
          <w:i/>
        </w:rPr>
        <w:t xml:space="preserve">Beowulf </w:t>
      </w:r>
      <w:r>
        <w:t xml:space="preserve">is primarily of interest in matters of war and violence; not so much for peace as in Widsith and Elene. </w:t>
      </w:r>
      <w:r w:rsidR="00EA3938">
        <w:t>Also discussed is the terminology and compounds used with ‘friþuwebba’ and how this compound word which consists of the two words fæle (faithful) and friþu- (peace) as well as the context in which it is used affects the way in which each OE poem makes use of the term</w:t>
      </w:r>
      <w:r w:rsidR="00417F6E">
        <w:t>.</w:t>
      </w:r>
    </w:p>
    <w:p w14:paraId="77C17EB9" w14:textId="492B9563" w:rsidR="00906202" w:rsidRDefault="00906202">
      <w:pPr>
        <w:pStyle w:val="FootnoteText"/>
      </w:pPr>
      <w:r>
        <w:t xml:space="preserve">Michael D. C. Drout. “Blood and Deeds: The Inheritance Systems in "Beowulf"” </w:t>
      </w:r>
      <w:r w:rsidRPr="004B76C5">
        <w:rPr>
          <w:i/>
        </w:rPr>
        <w:t>Studies in Philology</w:t>
      </w:r>
      <w:r>
        <w:rPr>
          <w:i/>
        </w:rPr>
        <w:t xml:space="preserve"> </w:t>
      </w:r>
      <w:r>
        <w:t>Vol.104.2 (2007) p.199-226</w:t>
      </w:r>
    </w:p>
    <w:p w14:paraId="280EDF44" w14:textId="44905EDF" w:rsidR="00906202" w:rsidRPr="00906202" w:rsidRDefault="00906202">
      <w:pPr>
        <w:pStyle w:val="FootnoteText"/>
      </w:pPr>
      <w:r>
        <w:t xml:space="preserve">Throughout Drouts discussion on Blood-ties and inheritance systems within the world of </w:t>
      </w:r>
      <w:r>
        <w:rPr>
          <w:i/>
          <w:iCs/>
        </w:rPr>
        <w:t>Beowulf</w:t>
      </w:r>
      <w:r>
        <w:t>, he touches upon why the act of peace-weaving is detrimental to inheritance laws and how Wealtheow and Beowulf reaffirm this when Hrothgar attempts to adopt him.</w:t>
      </w:r>
    </w:p>
  </w:footnote>
  <w:footnote w:id="117">
    <w:p w14:paraId="4CBCA136" w14:textId="756F6B6B" w:rsidR="001E34FF" w:rsidRPr="004C7EE0" w:rsidRDefault="001E34FF">
      <w:pPr>
        <w:pStyle w:val="FootnoteText"/>
        <w:rPr>
          <w:rFonts w:cstheme="minorHAnsi"/>
        </w:rPr>
      </w:pPr>
      <w:r w:rsidRPr="004C7EE0">
        <w:rPr>
          <w:rStyle w:val="FootnoteReference"/>
          <w:rFonts w:cstheme="minorHAnsi"/>
        </w:rPr>
        <w:footnoteRef/>
      </w:r>
      <w:r w:rsidRPr="004C7EE0">
        <w:rPr>
          <w:rFonts w:cstheme="minorHAnsi"/>
        </w:rPr>
        <w:t xml:space="preserve"> Swanton. p.131  l.2029-31</w:t>
      </w:r>
    </w:p>
  </w:footnote>
  <w:footnote w:id="118">
    <w:p w14:paraId="24F8841C" w14:textId="77777777" w:rsidR="006A6C69" w:rsidRDefault="006A6C69" w:rsidP="006A6C69">
      <w:pPr>
        <w:pStyle w:val="FootnoteText"/>
      </w:pPr>
      <w:r>
        <w:rPr>
          <w:rStyle w:val="FootnoteReference"/>
        </w:rPr>
        <w:footnoteRef/>
      </w:r>
      <w:r>
        <w:t xml:space="preserve"> Michael D. C. Drout. “Blood and Deeds: The Inheritance Systems in "Beowulf"” </w:t>
      </w:r>
      <w:r w:rsidRPr="004B76C5">
        <w:rPr>
          <w:i/>
        </w:rPr>
        <w:t>Studies in Philology</w:t>
      </w:r>
      <w:r>
        <w:rPr>
          <w:i/>
        </w:rPr>
        <w:t xml:space="preserve"> </w:t>
      </w:r>
      <w:r>
        <w:t>Vol.104.2 (2007) p.207</w:t>
      </w:r>
    </w:p>
  </w:footnote>
  <w:footnote w:id="119">
    <w:p w14:paraId="2E7E701B" w14:textId="6DA94BFF" w:rsidR="00E8563E" w:rsidRPr="00E8563E" w:rsidRDefault="00E8563E">
      <w:pPr>
        <w:pStyle w:val="FootnoteText"/>
        <w:rPr>
          <w:rFonts w:cstheme="minorHAnsi"/>
        </w:rPr>
      </w:pPr>
      <w:r>
        <w:rPr>
          <w:rStyle w:val="FootnoteReference"/>
        </w:rPr>
        <w:footnoteRef/>
      </w:r>
      <w:r>
        <w:t xml:space="preserve"> Gwen Griffiths. “Reading Ælfric's Saint Æthelthryth as a woman” </w:t>
      </w:r>
      <w:r>
        <w:rPr>
          <w:i/>
          <w:iCs/>
        </w:rPr>
        <w:t xml:space="preserve">Parergon </w:t>
      </w:r>
      <w:r>
        <w:t>Vol.10.2 (1992) p.35-49</w:t>
      </w:r>
    </w:p>
    <w:p w14:paraId="7AFF4056" w14:textId="6D80B2CE" w:rsidR="00E8563E" w:rsidRDefault="00E8563E">
      <w:pPr>
        <w:pStyle w:val="FootnoteText"/>
      </w:pPr>
      <w:r w:rsidRPr="00E8563E">
        <w:rPr>
          <w:rFonts w:cstheme="minorHAnsi"/>
          <w:shd w:val="clear" w:color="auto" w:fill="FFFFFF"/>
        </w:rPr>
        <w:t>Æthelthryth (639-79 AD) was a virgin twice married who refused her conjugal rights and was later sainted, with a cult forming around her.</w:t>
      </w:r>
      <w:r>
        <w:rPr>
          <w:rFonts w:cstheme="minorHAnsi"/>
          <w:shd w:val="clear" w:color="auto" w:fill="FFFFFF"/>
        </w:rPr>
        <w:t xml:space="preserve"> She also has no voice in the retelling of her tale by </w:t>
      </w:r>
      <w:r>
        <w:t>Ælfric as she was denied her choice to not marry in life.</w:t>
      </w:r>
    </w:p>
  </w:footnote>
  <w:footnote w:id="120">
    <w:p w14:paraId="556B1CB1" w14:textId="02D7133E" w:rsidR="001E34FF" w:rsidRDefault="001E34FF">
      <w:pPr>
        <w:pStyle w:val="FootnoteText"/>
        <w:rPr>
          <w:rFonts w:cstheme="minorHAnsi"/>
          <w:color w:val="000000"/>
          <w:shd w:val="clear" w:color="auto" w:fill="FFFFFF"/>
        </w:rPr>
      </w:pPr>
      <w:r w:rsidRPr="004C7EE0">
        <w:rPr>
          <w:rStyle w:val="FootnoteReference"/>
          <w:rFonts w:cstheme="minorHAnsi"/>
        </w:rPr>
        <w:footnoteRef/>
      </w:r>
      <w:r w:rsidRPr="004C7EE0">
        <w:rPr>
          <w:rFonts w:cstheme="minorHAnsi"/>
        </w:rPr>
        <w:t xml:space="preserve"> </w:t>
      </w:r>
      <w:r w:rsidRPr="004C7EE0">
        <w:rPr>
          <w:rFonts w:cstheme="minorHAnsi"/>
          <w:color w:val="000000"/>
          <w:shd w:val="clear" w:color="auto" w:fill="FFFFFF"/>
        </w:rPr>
        <w:t>Sara</w:t>
      </w:r>
      <w:r>
        <w:rPr>
          <w:rFonts w:cstheme="minorHAnsi"/>
          <w:color w:val="000000"/>
          <w:shd w:val="clear" w:color="auto" w:fill="FFFFFF"/>
        </w:rPr>
        <w:t xml:space="preserve"> McDougall</w:t>
      </w:r>
      <w:r w:rsidRPr="004C7EE0">
        <w:rPr>
          <w:rFonts w:cstheme="minorHAnsi"/>
          <w:color w:val="000000"/>
          <w:shd w:val="clear" w:color="auto" w:fill="FFFFFF"/>
        </w:rPr>
        <w:t>. "Illegitimacy and the Making of Medieval Dynasties c.900–c.1050." </w:t>
      </w:r>
      <w:r w:rsidRPr="004C7EE0">
        <w:rPr>
          <w:rFonts w:cstheme="minorHAnsi"/>
          <w:i/>
          <w:color w:val="000000"/>
          <w:shd w:val="clear" w:color="auto" w:fill="FFFFFF"/>
        </w:rPr>
        <w:t>Royal Bastards: The Birth of Illegitimacy, 800-1230</w:t>
      </w:r>
      <w:r w:rsidRPr="004C7EE0">
        <w:rPr>
          <w:rFonts w:cstheme="minorHAnsi"/>
          <w:color w:val="000000"/>
          <w:shd w:val="clear" w:color="auto" w:fill="FFFFFF"/>
        </w:rPr>
        <w:t> </w:t>
      </w:r>
      <w:r>
        <w:rPr>
          <w:rFonts w:cstheme="minorHAnsi"/>
          <w:color w:val="000000"/>
          <w:shd w:val="clear" w:color="auto" w:fill="FFFFFF"/>
        </w:rPr>
        <w:t xml:space="preserve">(Oxford: </w:t>
      </w:r>
      <w:r w:rsidRPr="004C7EE0">
        <w:rPr>
          <w:rFonts w:cstheme="minorHAnsi"/>
          <w:color w:val="000000"/>
          <w:shd w:val="clear" w:color="auto" w:fill="FFFFFF"/>
        </w:rPr>
        <w:t xml:space="preserve">Oxford </w:t>
      </w:r>
      <w:r>
        <w:rPr>
          <w:rFonts w:cstheme="minorHAnsi"/>
          <w:color w:val="000000"/>
          <w:shd w:val="clear" w:color="auto" w:fill="FFFFFF"/>
        </w:rPr>
        <w:t>University Press, 2016)</w:t>
      </w:r>
      <w:r w:rsidRPr="004C7EE0">
        <w:rPr>
          <w:rFonts w:cstheme="minorHAnsi"/>
          <w:color w:val="000000"/>
          <w:shd w:val="clear" w:color="auto" w:fill="FFFFFF"/>
        </w:rPr>
        <w:t> </w:t>
      </w:r>
      <w:r>
        <w:rPr>
          <w:rFonts w:cstheme="minorHAnsi"/>
          <w:color w:val="000000"/>
          <w:shd w:val="clear" w:color="auto" w:fill="FFFFFF"/>
        </w:rPr>
        <w:t>p.108</w:t>
      </w:r>
    </w:p>
    <w:p w14:paraId="702CDABA" w14:textId="4E251F2E" w:rsidR="001E34FF" w:rsidRDefault="001E34FF">
      <w:pPr>
        <w:pStyle w:val="FootnoteText"/>
      </w:pPr>
      <w:r w:rsidRPr="004C7EE0">
        <w:rPr>
          <w:rFonts w:cstheme="minorHAnsi"/>
          <w:color w:val="000000"/>
          <w:u w:val="single"/>
          <w:shd w:val="clear" w:color="auto" w:fill="FFFFFF"/>
        </w:rPr>
        <w:t>Oxford Scholarship Online</w:t>
      </w:r>
      <w:r>
        <w:rPr>
          <w:rFonts w:cstheme="minorHAnsi"/>
          <w:color w:val="000000"/>
          <w:shd w:val="clear" w:color="auto" w:fill="FFFFFF"/>
        </w:rPr>
        <w:t xml:space="preserve"> </w:t>
      </w:r>
      <w:hyperlink r:id="rId4" w:history="1">
        <w:r w:rsidRPr="007073AD">
          <w:rPr>
            <w:rStyle w:val="Hyperlink"/>
            <w:rFonts w:cstheme="minorHAnsi"/>
            <w:shd w:val="clear" w:color="auto" w:fill="FFFFFF"/>
          </w:rPr>
          <w:t>https://www-oxfordscholarship-com.ezproxy.uwtsd.ac.uk/view/10.1093/acprof:oso/9780198785828.001.0001/acprof-9780198785828-chapter-4</w:t>
        </w:r>
      </w:hyperlink>
      <w:r>
        <w:rPr>
          <w:rFonts w:cstheme="minorHAnsi"/>
          <w:color w:val="000000"/>
          <w:shd w:val="clear" w:color="auto" w:fill="FFFFFF"/>
        </w:rPr>
        <w:t xml:space="preserve"> [accessed 5/5/2020]</w:t>
      </w:r>
    </w:p>
  </w:footnote>
  <w:footnote w:id="121">
    <w:p w14:paraId="077F2E4F" w14:textId="243B4499" w:rsidR="001E34FF" w:rsidRDefault="001E34FF">
      <w:pPr>
        <w:pStyle w:val="FootnoteText"/>
      </w:pPr>
      <w:r>
        <w:rPr>
          <w:rStyle w:val="FootnoteReference"/>
        </w:rPr>
        <w:footnoteRef/>
      </w:r>
      <w:r>
        <w:t xml:space="preserve"> McDougall. p.109</w:t>
      </w:r>
    </w:p>
  </w:footnote>
  <w:footnote w:id="122">
    <w:p w14:paraId="7056A85E" w14:textId="663AF1CB" w:rsidR="00230C1A" w:rsidRDefault="00230C1A">
      <w:pPr>
        <w:pStyle w:val="FootnoteText"/>
      </w:pPr>
      <w:r>
        <w:rPr>
          <w:rStyle w:val="FootnoteReference"/>
        </w:rPr>
        <w:footnoteRef/>
      </w:r>
      <w:r>
        <w:t xml:space="preserve"> Conor McCarthy. </w:t>
      </w:r>
      <w:r>
        <w:rPr>
          <w:i/>
          <w:iCs/>
        </w:rPr>
        <w:t>Love, Sex and Marriage in the Middle Ages: A Sourcebook</w:t>
      </w:r>
      <w:r>
        <w:t>. (Oxon: Routledge, 2004) p.44-</w:t>
      </w:r>
      <w:r w:rsidR="005843C5">
        <w:t>53</w:t>
      </w:r>
    </w:p>
    <w:p w14:paraId="7E5AEFF4" w14:textId="72D3D73A" w:rsidR="005843C5" w:rsidRPr="00230C1A" w:rsidRDefault="005843C5">
      <w:pPr>
        <w:pStyle w:val="FootnoteText"/>
      </w:pPr>
      <w:r>
        <w:t>The Penitentials of Theodore are incredibly specific and list many crimes and irregularities which could occur within marriage and spiritual realms and in regards to the roles of gender on marriageable age and so forth. Each sinful act is accompanied by an approximate amount of penance to be made.</w:t>
      </w:r>
    </w:p>
  </w:footnote>
  <w:footnote w:id="123">
    <w:p w14:paraId="03B42E8D" w14:textId="40F0BBEB" w:rsidR="001E34FF" w:rsidRDefault="001E34FF">
      <w:pPr>
        <w:pStyle w:val="FootnoteText"/>
      </w:pPr>
      <w:r>
        <w:rPr>
          <w:rStyle w:val="FootnoteReference"/>
        </w:rPr>
        <w:footnoteRef/>
      </w:r>
      <w:r>
        <w:t xml:space="preserve">Swanton. p.151.  l.2328-31 </w:t>
      </w:r>
    </w:p>
  </w:footnote>
  <w:footnote w:id="124">
    <w:p w14:paraId="57A34150" w14:textId="4F878C55" w:rsidR="001E34FF" w:rsidRPr="004B76C5" w:rsidRDefault="001E34FF">
      <w:pPr>
        <w:pStyle w:val="FootnoteText"/>
      </w:pPr>
      <w:r>
        <w:rPr>
          <w:rStyle w:val="FootnoteReference"/>
        </w:rPr>
        <w:footnoteRef/>
      </w:r>
      <w:r>
        <w:t xml:space="preserve"> </w:t>
      </w:r>
      <w:r w:rsidR="00FB2089">
        <w:t xml:space="preserve">Drout. </w:t>
      </w:r>
      <w:r>
        <w:t>p.214</w:t>
      </w:r>
    </w:p>
  </w:footnote>
  <w:footnote w:id="125">
    <w:p w14:paraId="7409D6B4" w14:textId="494A1175" w:rsidR="001E34FF" w:rsidRDefault="001E34FF">
      <w:pPr>
        <w:pStyle w:val="FootnoteText"/>
      </w:pPr>
      <w:r>
        <w:rPr>
          <w:rStyle w:val="FootnoteReference"/>
        </w:rPr>
        <w:footnoteRef/>
      </w:r>
      <w:r>
        <w:t xml:space="preserve"> M. Heyworth, 'Be rihtre cewe: Legislating and Regulating Marital Morality in Late Anglo-Saxon England' PhD dissertation (University of Sydney, 2005) 229-30</w:t>
      </w:r>
    </w:p>
  </w:footnote>
  <w:footnote w:id="126">
    <w:p w14:paraId="60F2B524" w14:textId="5DA08E20" w:rsidR="001E34FF" w:rsidRPr="008561CC" w:rsidRDefault="001E34FF">
      <w:pPr>
        <w:pStyle w:val="FootnoteText"/>
      </w:pPr>
      <w:r>
        <w:rPr>
          <w:rStyle w:val="FootnoteReference"/>
        </w:rPr>
        <w:footnoteRef/>
      </w:r>
      <w:r>
        <w:t xml:space="preserve"> Peter Parkes. “Celtic Fosterage: Adoptive Kinship and Clientage in Northwest Europe” </w:t>
      </w:r>
      <w:r w:rsidRPr="008561CC">
        <w:rPr>
          <w:i/>
        </w:rPr>
        <w:t>Comparative Studies in Society and History</w:t>
      </w:r>
      <w:r>
        <w:t xml:space="preserve"> Vol.48.2 (2006) p.359-60</w:t>
      </w:r>
    </w:p>
  </w:footnote>
  <w:footnote w:id="127">
    <w:p w14:paraId="5D862597" w14:textId="15B980C8" w:rsidR="001E34FF" w:rsidRDefault="001E34FF">
      <w:pPr>
        <w:pStyle w:val="FootnoteText"/>
      </w:pPr>
      <w:r>
        <w:rPr>
          <w:rStyle w:val="FootnoteReference"/>
        </w:rPr>
        <w:footnoteRef/>
      </w:r>
      <w:r>
        <w:t xml:space="preserve"> Parkes. (2006) p.362</w:t>
      </w:r>
    </w:p>
  </w:footnote>
  <w:footnote w:id="128">
    <w:p w14:paraId="3812A42E" w14:textId="5773F4D4" w:rsidR="001E34FF" w:rsidRDefault="001E34FF">
      <w:pPr>
        <w:pStyle w:val="FootnoteText"/>
      </w:pPr>
      <w:r>
        <w:rPr>
          <w:rStyle w:val="FootnoteReference"/>
        </w:rPr>
        <w:footnoteRef/>
      </w:r>
      <w:r>
        <w:t xml:space="preserve"> Parkes. (2006) p.363</w:t>
      </w:r>
    </w:p>
  </w:footnote>
  <w:footnote w:id="129">
    <w:p w14:paraId="26C329B2" w14:textId="6FCC3D75" w:rsidR="001E34FF" w:rsidRDefault="001E34FF">
      <w:pPr>
        <w:pStyle w:val="FootnoteText"/>
      </w:pPr>
      <w:r>
        <w:rPr>
          <w:rStyle w:val="FootnoteReference"/>
        </w:rPr>
        <w:footnoteRef/>
      </w:r>
      <w:r>
        <w:t xml:space="preserve"> Adam J. Kosto. “Hostages in the Early Middle Ages: Communication, Conversion, and Structures of Alliance” </w:t>
      </w:r>
      <w:r w:rsidRPr="005D1A2D">
        <w:rPr>
          <w:rFonts w:cstheme="minorHAnsi"/>
          <w:i/>
        </w:rPr>
        <w:t xml:space="preserve">Hostages in the Middle Ages : </w:t>
      </w:r>
      <w:r w:rsidRPr="005D1A2D">
        <w:rPr>
          <w:rFonts w:cstheme="minorHAnsi"/>
        </w:rPr>
        <w:t>(Oxford: Oxford University Press, 2012)</w:t>
      </w:r>
      <w:r>
        <w:rPr>
          <w:rFonts w:cstheme="minorHAnsi"/>
        </w:rPr>
        <w:t xml:space="preserve"> </w:t>
      </w:r>
      <w:r>
        <w:t>p.75</w:t>
      </w:r>
    </w:p>
    <w:p w14:paraId="31263FD9" w14:textId="28235DA5" w:rsidR="001E34FF" w:rsidRDefault="001E34FF">
      <w:pPr>
        <w:pStyle w:val="FootnoteText"/>
      </w:pPr>
      <w:r w:rsidRPr="005D1A2D">
        <w:rPr>
          <w:rFonts w:cstheme="minorHAnsi"/>
          <w:color w:val="000000"/>
          <w:shd w:val="clear" w:color="auto" w:fill="FFFFFF"/>
        </w:rPr>
        <w:t>&lt;https://www.oxfordscholarship.com/view/10.1093/acprof:oso/9780199651702.001.0001/acprof-9780199651702-chapter-3&gt;</w:t>
      </w:r>
      <w:r>
        <w:t xml:space="preserve"> [accessed 7/5/2020]</w:t>
      </w:r>
    </w:p>
  </w:footnote>
  <w:footnote w:id="130">
    <w:p w14:paraId="693B224C" w14:textId="23B98193" w:rsidR="001E34FF" w:rsidRDefault="001E34FF">
      <w:pPr>
        <w:pStyle w:val="FootnoteText"/>
      </w:pPr>
      <w:r>
        <w:rPr>
          <w:rStyle w:val="FootnoteReference"/>
        </w:rPr>
        <w:footnoteRef/>
      </w:r>
      <w:r>
        <w:t xml:space="preserve"> Parkes. (2006) p.364</w:t>
      </w:r>
    </w:p>
  </w:footnote>
  <w:footnote w:id="131">
    <w:p w14:paraId="43982C83" w14:textId="75FDE754" w:rsidR="001E34FF" w:rsidRDefault="001E34FF">
      <w:pPr>
        <w:pStyle w:val="FootnoteText"/>
      </w:pPr>
      <w:r>
        <w:rPr>
          <w:rStyle w:val="FootnoteReference"/>
        </w:rPr>
        <w:footnoteRef/>
      </w:r>
      <w:r>
        <w:t xml:space="preserve"> Parkes. (2006) p.364</w:t>
      </w:r>
    </w:p>
  </w:footnote>
  <w:footnote w:id="132">
    <w:p w14:paraId="693A2812" w14:textId="35794CC7" w:rsidR="001E34FF" w:rsidRPr="00054306" w:rsidRDefault="001E34FF">
      <w:pPr>
        <w:pStyle w:val="FootnoteText"/>
      </w:pPr>
      <w:r>
        <w:rPr>
          <w:rStyle w:val="FootnoteReference"/>
        </w:rPr>
        <w:footnoteRef/>
      </w:r>
      <w:r>
        <w:t xml:space="preserve"> Peter Parkes. “Fosterage, Kinship, and Legend: When Milk Was Thicker than Blood?” </w:t>
      </w:r>
      <w:r w:rsidRPr="00054306">
        <w:rPr>
          <w:i/>
        </w:rPr>
        <w:t>Comparative Studies in Society and History</w:t>
      </w:r>
      <w:r>
        <w:t xml:space="preserve"> Vol.46.3 (2004) p.589</w:t>
      </w:r>
    </w:p>
  </w:footnote>
  <w:footnote w:id="133">
    <w:p w14:paraId="7013F451" w14:textId="75DE1B62" w:rsidR="001E34FF" w:rsidRDefault="001E34FF">
      <w:pPr>
        <w:pStyle w:val="FootnoteText"/>
      </w:pPr>
      <w:r>
        <w:rPr>
          <w:rStyle w:val="FootnoteReference"/>
        </w:rPr>
        <w:footnoteRef/>
      </w:r>
      <w:r>
        <w:t xml:space="preserve"> Parkes. p.591</w:t>
      </w:r>
    </w:p>
  </w:footnote>
  <w:footnote w:id="134">
    <w:p w14:paraId="54BF5CF9" w14:textId="3A67E370" w:rsidR="001E34FF" w:rsidRDefault="001E34FF">
      <w:pPr>
        <w:pStyle w:val="FootnoteText"/>
      </w:pPr>
      <w:r>
        <w:rPr>
          <w:rStyle w:val="FootnoteReference"/>
        </w:rPr>
        <w:footnoteRef/>
      </w:r>
      <w:r>
        <w:t xml:space="preserve"> Kosto. p.76</w:t>
      </w:r>
    </w:p>
  </w:footnote>
  <w:footnote w:id="135">
    <w:p w14:paraId="15368CB9" w14:textId="06E3322B" w:rsidR="001E34FF" w:rsidRDefault="001E34FF">
      <w:pPr>
        <w:pStyle w:val="FootnoteText"/>
      </w:pPr>
      <w:r>
        <w:rPr>
          <w:rStyle w:val="FootnoteReference"/>
        </w:rPr>
        <w:footnoteRef/>
      </w:r>
      <w:r>
        <w:t xml:space="preserve"> Kosto. p.76</w:t>
      </w:r>
    </w:p>
  </w:footnote>
  <w:footnote w:id="136">
    <w:p w14:paraId="24512A75" w14:textId="77777777" w:rsidR="00B07CE1" w:rsidRPr="00C87D70" w:rsidRDefault="00B07CE1" w:rsidP="00B07CE1">
      <w:pPr>
        <w:pStyle w:val="FootnoteText"/>
      </w:pPr>
      <w:r>
        <w:rPr>
          <w:rStyle w:val="FootnoteReference"/>
        </w:rPr>
        <w:footnoteRef/>
      </w:r>
      <w:r>
        <w:t xml:space="preserve"> Storms. p.13</w:t>
      </w:r>
    </w:p>
  </w:footnote>
  <w:footnote w:id="137">
    <w:p w14:paraId="58D68F5D" w14:textId="77777777" w:rsidR="00B07CE1" w:rsidRDefault="00B07CE1" w:rsidP="00B07CE1">
      <w:pPr>
        <w:pStyle w:val="FootnoteText"/>
      </w:pPr>
      <w:r>
        <w:rPr>
          <w:rStyle w:val="FootnoteReference"/>
        </w:rPr>
        <w:footnoteRef/>
      </w:r>
      <w:r>
        <w:t xml:space="preserve"> Storms. p.39</w:t>
      </w:r>
    </w:p>
  </w:footnote>
  <w:footnote w:id="138">
    <w:p w14:paraId="3A46B9DA" w14:textId="77777777" w:rsidR="00B07CE1" w:rsidRPr="00FC6187" w:rsidRDefault="00B07CE1" w:rsidP="00B07CE1">
      <w:pPr>
        <w:pStyle w:val="FootnoteText"/>
        <w:rPr>
          <w:rFonts w:asciiTheme="majorHAnsi" w:hAnsiTheme="majorHAnsi" w:cstheme="majorHAnsi"/>
        </w:rPr>
      </w:pPr>
      <w:r w:rsidRPr="00FC6187">
        <w:rPr>
          <w:rStyle w:val="FootnoteReference"/>
          <w:rFonts w:asciiTheme="majorHAnsi" w:hAnsiTheme="majorHAnsi" w:cstheme="majorHAnsi"/>
        </w:rPr>
        <w:footnoteRef/>
      </w:r>
      <w:r w:rsidRPr="00FC6187">
        <w:rPr>
          <w:rFonts w:asciiTheme="majorHAnsi" w:hAnsiTheme="majorHAnsi" w:cstheme="majorHAnsi"/>
          <w:shd w:val="clear" w:color="auto" w:fill="FFFFFF"/>
        </w:rPr>
        <w:t>Leonard Neidorf. "Wealhtheow and Her Name: Etymology, Characterization, and Textual Criticism." </w:t>
      </w:r>
      <w:r w:rsidRPr="00FC6187">
        <w:rPr>
          <w:rFonts w:asciiTheme="majorHAnsi" w:hAnsiTheme="majorHAnsi" w:cstheme="majorHAnsi"/>
          <w:i/>
          <w:iCs/>
          <w:shd w:val="clear" w:color="auto" w:fill="FFFFFF"/>
        </w:rPr>
        <w:t>Neophilologus</w:t>
      </w:r>
      <w:r w:rsidRPr="00FC6187">
        <w:rPr>
          <w:rFonts w:asciiTheme="majorHAnsi" w:hAnsiTheme="majorHAnsi" w:cstheme="majorHAnsi"/>
          <w:shd w:val="clear" w:color="auto" w:fill="FFFFFF"/>
        </w:rPr>
        <w:t> 102.1 (2018) pp.75</w:t>
      </w:r>
    </w:p>
  </w:footnote>
  <w:footnote w:id="139">
    <w:p w14:paraId="4654BC95" w14:textId="77777777" w:rsidR="00B07CE1" w:rsidRDefault="00B07CE1" w:rsidP="00B07CE1">
      <w:pPr>
        <w:pStyle w:val="FootnoteText"/>
      </w:pPr>
      <w:r w:rsidRPr="00FC6187">
        <w:rPr>
          <w:rStyle w:val="FootnoteReference"/>
          <w:rFonts w:asciiTheme="majorHAnsi" w:hAnsiTheme="majorHAnsi" w:cstheme="majorHAnsi"/>
        </w:rPr>
        <w:footnoteRef/>
      </w:r>
      <w:r w:rsidRPr="00FC6187">
        <w:rPr>
          <w:rFonts w:asciiTheme="majorHAnsi" w:hAnsiTheme="majorHAnsi" w:cstheme="majorHAnsi"/>
        </w:rPr>
        <w:t xml:space="preserve"> </w:t>
      </w:r>
      <w:r w:rsidRPr="00FC6187">
        <w:rPr>
          <w:rFonts w:asciiTheme="majorHAnsi" w:hAnsiTheme="majorHAnsi" w:cstheme="majorHAnsi"/>
          <w:shd w:val="clear" w:color="auto" w:fill="FFFFFF"/>
        </w:rPr>
        <w:t>Nathan, Breen. "Beowulf's Wealhtheow and the Deowwealh: A Legal Source for the Queen's Name." </w:t>
      </w:r>
      <w:r w:rsidRPr="00FC6187">
        <w:rPr>
          <w:rFonts w:asciiTheme="majorHAnsi" w:hAnsiTheme="majorHAnsi" w:cstheme="majorHAnsi"/>
          <w:i/>
          <w:iCs/>
          <w:shd w:val="clear" w:color="auto" w:fill="FFFFFF"/>
        </w:rPr>
        <w:t>ANQ</w:t>
      </w:r>
      <w:r w:rsidRPr="00FC6187">
        <w:rPr>
          <w:rFonts w:asciiTheme="majorHAnsi" w:hAnsiTheme="majorHAnsi" w:cstheme="majorHAnsi"/>
          <w:shd w:val="clear" w:color="auto" w:fill="FFFFFF"/>
        </w:rPr>
        <w:t> 22.2 (2009) pp.3</w:t>
      </w:r>
    </w:p>
  </w:footnote>
  <w:footnote w:id="140">
    <w:p w14:paraId="3BD3788B" w14:textId="77777777" w:rsidR="00B07CE1" w:rsidRPr="005611E3" w:rsidRDefault="00B07CE1" w:rsidP="00B07CE1">
      <w:pPr>
        <w:pStyle w:val="FootnoteText"/>
        <w:rPr>
          <w:rFonts w:asciiTheme="majorHAnsi" w:hAnsiTheme="majorHAnsi" w:cstheme="majorHAnsi"/>
        </w:rPr>
      </w:pPr>
      <w:r w:rsidRPr="005611E3">
        <w:rPr>
          <w:rStyle w:val="FootnoteReference"/>
          <w:rFonts w:asciiTheme="majorHAnsi" w:hAnsiTheme="majorHAnsi" w:cstheme="majorHAnsi"/>
        </w:rPr>
        <w:footnoteRef/>
      </w:r>
      <w:r w:rsidRPr="005611E3">
        <w:rPr>
          <w:rFonts w:asciiTheme="majorHAnsi" w:hAnsiTheme="majorHAnsi" w:cstheme="majorHAnsi"/>
        </w:rPr>
        <w:t xml:space="preserve"> </w:t>
      </w:r>
      <w:r w:rsidRPr="005611E3">
        <w:rPr>
          <w:rFonts w:asciiTheme="majorHAnsi" w:hAnsiTheme="majorHAnsi" w:cstheme="majorHAnsi"/>
          <w:shd w:val="clear" w:color="auto" w:fill="FFFFFF"/>
        </w:rPr>
        <w:t>Craig</w:t>
      </w:r>
      <w:r>
        <w:rPr>
          <w:rFonts w:asciiTheme="majorHAnsi" w:hAnsiTheme="majorHAnsi" w:cstheme="majorHAnsi"/>
          <w:shd w:val="clear" w:color="auto" w:fill="FFFFFF"/>
        </w:rPr>
        <w:t xml:space="preserve"> Davis</w:t>
      </w:r>
      <w:r w:rsidRPr="005611E3">
        <w:rPr>
          <w:rFonts w:asciiTheme="majorHAnsi" w:hAnsiTheme="majorHAnsi" w:cstheme="majorHAnsi"/>
          <w:shd w:val="clear" w:color="auto" w:fill="FFFFFF"/>
        </w:rPr>
        <w:t>. "Cultural Historicity in the Battle of Maldon." </w:t>
      </w:r>
      <w:r w:rsidRPr="005611E3">
        <w:rPr>
          <w:rFonts w:asciiTheme="majorHAnsi" w:hAnsiTheme="majorHAnsi" w:cstheme="majorHAnsi"/>
          <w:i/>
          <w:iCs/>
          <w:shd w:val="clear" w:color="auto" w:fill="FFFFFF"/>
        </w:rPr>
        <w:t>Philological Quarterly</w:t>
      </w:r>
      <w:r w:rsidRPr="005611E3">
        <w:rPr>
          <w:rFonts w:asciiTheme="majorHAnsi" w:hAnsiTheme="majorHAnsi" w:cstheme="majorHAnsi"/>
          <w:shd w:val="clear" w:color="auto" w:fill="FFFFFF"/>
        </w:rPr>
        <w:t> 78.1/2 (1999</w:t>
      </w:r>
      <w:r>
        <w:rPr>
          <w:rFonts w:asciiTheme="majorHAnsi" w:hAnsiTheme="majorHAnsi" w:cstheme="majorHAnsi"/>
          <w:shd w:val="clear" w:color="auto" w:fill="FFFFFF"/>
        </w:rPr>
        <w:t>) pp.154</w:t>
      </w:r>
    </w:p>
  </w:footnote>
  <w:footnote w:id="141">
    <w:p w14:paraId="3AC45339" w14:textId="77777777" w:rsidR="00B07CE1" w:rsidRDefault="00B07CE1" w:rsidP="00B07CE1">
      <w:pPr>
        <w:pStyle w:val="FootnoteText"/>
      </w:pPr>
      <w:r>
        <w:rPr>
          <w:rStyle w:val="FootnoteReference"/>
        </w:rPr>
        <w:footnoteRef/>
      </w:r>
      <w:r>
        <w:t xml:space="preserve">James W. Earl. “The Forbidden </w:t>
      </w:r>
      <w:r>
        <w:rPr>
          <w:i/>
          <w:iCs/>
        </w:rPr>
        <w:t>Beowulf</w:t>
      </w:r>
      <w:r>
        <w:t xml:space="preserve">: Haunted by Incest” </w:t>
      </w:r>
      <w:r>
        <w:rPr>
          <w:i/>
          <w:iCs/>
        </w:rPr>
        <w:t xml:space="preserve">PMLA </w:t>
      </w:r>
      <w:r>
        <w:t>125.2 p.291</w:t>
      </w:r>
    </w:p>
  </w:footnote>
  <w:footnote w:id="142">
    <w:p w14:paraId="18B98CAC" w14:textId="77777777" w:rsidR="00B07CE1" w:rsidRPr="001E10B8" w:rsidRDefault="00B07CE1" w:rsidP="00B07CE1">
      <w:pPr>
        <w:pStyle w:val="FootnoteText"/>
      </w:pPr>
      <w:r>
        <w:rPr>
          <w:rStyle w:val="FootnoteReference"/>
        </w:rPr>
        <w:footnoteRef/>
      </w:r>
      <w:r>
        <w:t xml:space="preserve"> J. R. R. Tolkien. ‘</w:t>
      </w:r>
      <w:r w:rsidRPr="001E10B8">
        <w:rPr>
          <w:i/>
          <w:iCs/>
        </w:rPr>
        <w:t>Beowulf</w:t>
      </w:r>
      <w:r>
        <w:t xml:space="preserve">: The Monsters and the Critics’ in </w:t>
      </w:r>
      <w:r>
        <w:rPr>
          <w:i/>
          <w:iCs/>
        </w:rPr>
        <w:t>The Beowulf Poet: A Collection of Critical Essays</w:t>
      </w:r>
      <w:r>
        <w:t>. by Donald K. Fry (USA: Prentice-Hall Inc., 1968) p.27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2DFD7" w14:textId="79155CB5" w:rsidR="001E34FF" w:rsidRDefault="001E34FF">
    <w:pPr>
      <w:pStyle w:val="Header"/>
    </w:pPr>
    <w:r>
      <w:t>HPEN6017</w:t>
    </w:r>
    <w:r>
      <w:ptab w:relativeTo="margin" w:alignment="center" w:leader="none"/>
    </w:r>
    <w:r>
      <w:t>Melantha Snow</w:t>
    </w:r>
    <w:r>
      <w:ptab w:relativeTo="margin" w:alignment="right" w:leader="none"/>
    </w:r>
    <w:r>
      <w:t>1601759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53FA7"/>
    <w:multiLevelType w:val="hybridMultilevel"/>
    <w:tmpl w:val="4F526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413250"/>
    <w:multiLevelType w:val="hybridMultilevel"/>
    <w:tmpl w:val="BC58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hideSpellingErrors/>
  <w:hideGrammaticalErrors/>
  <w:defaultTabStop w:val="720"/>
  <w:characterSpacingControl w:val="doNotCompress"/>
  <w:hdrShapeDefaults>
    <o:shapedefaults v:ext="edit" spidmax="2049">
      <o:colormru v:ext="edit" colors="#93f,#96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978"/>
    <w:rsid w:val="00001C8B"/>
    <w:rsid w:val="000022F1"/>
    <w:rsid w:val="00002EA8"/>
    <w:rsid w:val="00004EB9"/>
    <w:rsid w:val="000058DA"/>
    <w:rsid w:val="000068C4"/>
    <w:rsid w:val="000105BF"/>
    <w:rsid w:val="000125F2"/>
    <w:rsid w:val="00012AFC"/>
    <w:rsid w:val="00013E9A"/>
    <w:rsid w:val="00024697"/>
    <w:rsid w:val="00032A3C"/>
    <w:rsid w:val="00033568"/>
    <w:rsid w:val="0003648B"/>
    <w:rsid w:val="00037056"/>
    <w:rsid w:val="00042699"/>
    <w:rsid w:val="00046836"/>
    <w:rsid w:val="00054306"/>
    <w:rsid w:val="00056D95"/>
    <w:rsid w:val="000610D4"/>
    <w:rsid w:val="00063FE0"/>
    <w:rsid w:val="0006543B"/>
    <w:rsid w:val="00065ECB"/>
    <w:rsid w:val="000662CC"/>
    <w:rsid w:val="000741BF"/>
    <w:rsid w:val="00077194"/>
    <w:rsid w:val="0008089B"/>
    <w:rsid w:val="00081868"/>
    <w:rsid w:val="00083927"/>
    <w:rsid w:val="00084EFE"/>
    <w:rsid w:val="00086508"/>
    <w:rsid w:val="00097280"/>
    <w:rsid w:val="000979EF"/>
    <w:rsid w:val="000A28A4"/>
    <w:rsid w:val="000A2999"/>
    <w:rsid w:val="000B1066"/>
    <w:rsid w:val="000B26BE"/>
    <w:rsid w:val="000B7625"/>
    <w:rsid w:val="000C000F"/>
    <w:rsid w:val="000C2511"/>
    <w:rsid w:val="000C30E5"/>
    <w:rsid w:val="000C607B"/>
    <w:rsid w:val="000D015D"/>
    <w:rsid w:val="000D58F3"/>
    <w:rsid w:val="000E1F59"/>
    <w:rsid w:val="000E24C4"/>
    <w:rsid w:val="000E749E"/>
    <w:rsid w:val="000F0C82"/>
    <w:rsid w:val="000F4D60"/>
    <w:rsid w:val="00100DB2"/>
    <w:rsid w:val="001042FB"/>
    <w:rsid w:val="00104E86"/>
    <w:rsid w:val="00105AAE"/>
    <w:rsid w:val="001061D4"/>
    <w:rsid w:val="0011547B"/>
    <w:rsid w:val="00121E0D"/>
    <w:rsid w:val="00123485"/>
    <w:rsid w:val="001240ED"/>
    <w:rsid w:val="001436FE"/>
    <w:rsid w:val="0014741A"/>
    <w:rsid w:val="00151B08"/>
    <w:rsid w:val="0015298D"/>
    <w:rsid w:val="00164607"/>
    <w:rsid w:val="00164DCE"/>
    <w:rsid w:val="0016532B"/>
    <w:rsid w:val="0016733F"/>
    <w:rsid w:val="0017345A"/>
    <w:rsid w:val="00175900"/>
    <w:rsid w:val="0017776C"/>
    <w:rsid w:val="001803E9"/>
    <w:rsid w:val="001859C5"/>
    <w:rsid w:val="001921C5"/>
    <w:rsid w:val="0019421B"/>
    <w:rsid w:val="001A420F"/>
    <w:rsid w:val="001B10DA"/>
    <w:rsid w:val="001B3595"/>
    <w:rsid w:val="001B716A"/>
    <w:rsid w:val="001C070C"/>
    <w:rsid w:val="001C4DFA"/>
    <w:rsid w:val="001C5BE1"/>
    <w:rsid w:val="001D00DA"/>
    <w:rsid w:val="001D1A69"/>
    <w:rsid w:val="001D3CF0"/>
    <w:rsid w:val="001D5DFD"/>
    <w:rsid w:val="001D76BE"/>
    <w:rsid w:val="001E10B8"/>
    <w:rsid w:val="001E34FF"/>
    <w:rsid w:val="001E4DD6"/>
    <w:rsid w:val="001E7810"/>
    <w:rsid w:val="001F027B"/>
    <w:rsid w:val="001F28AD"/>
    <w:rsid w:val="001F4EAA"/>
    <w:rsid w:val="001F7665"/>
    <w:rsid w:val="00212223"/>
    <w:rsid w:val="00214E58"/>
    <w:rsid w:val="00217E6E"/>
    <w:rsid w:val="00224D60"/>
    <w:rsid w:val="002252CB"/>
    <w:rsid w:val="002272B3"/>
    <w:rsid w:val="00227A29"/>
    <w:rsid w:val="00230C1A"/>
    <w:rsid w:val="002341B4"/>
    <w:rsid w:val="00234EF0"/>
    <w:rsid w:val="0023508E"/>
    <w:rsid w:val="00236F91"/>
    <w:rsid w:val="002406C2"/>
    <w:rsid w:val="00243656"/>
    <w:rsid w:val="00252908"/>
    <w:rsid w:val="0025291C"/>
    <w:rsid w:val="002579EC"/>
    <w:rsid w:val="00260490"/>
    <w:rsid w:val="00261124"/>
    <w:rsid w:val="0026204F"/>
    <w:rsid w:val="002624BB"/>
    <w:rsid w:val="00262C28"/>
    <w:rsid w:val="002651E9"/>
    <w:rsid w:val="00267517"/>
    <w:rsid w:val="00273931"/>
    <w:rsid w:val="002743A5"/>
    <w:rsid w:val="00275BA1"/>
    <w:rsid w:val="002A1C7F"/>
    <w:rsid w:val="002A614C"/>
    <w:rsid w:val="002B7D4F"/>
    <w:rsid w:val="002C1833"/>
    <w:rsid w:val="002C2A87"/>
    <w:rsid w:val="002D3275"/>
    <w:rsid w:val="002D3A63"/>
    <w:rsid w:val="002D5D3B"/>
    <w:rsid w:val="002D6286"/>
    <w:rsid w:val="002D75CE"/>
    <w:rsid w:val="002E0E6D"/>
    <w:rsid w:val="002E6FDE"/>
    <w:rsid w:val="002E79DF"/>
    <w:rsid w:val="002F09A1"/>
    <w:rsid w:val="002F104C"/>
    <w:rsid w:val="002F1608"/>
    <w:rsid w:val="002F1644"/>
    <w:rsid w:val="002F66E5"/>
    <w:rsid w:val="002F68F4"/>
    <w:rsid w:val="002F7F0C"/>
    <w:rsid w:val="00306149"/>
    <w:rsid w:val="00313364"/>
    <w:rsid w:val="00314B92"/>
    <w:rsid w:val="00323995"/>
    <w:rsid w:val="00323B4F"/>
    <w:rsid w:val="003252B0"/>
    <w:rsid w:val="00334289"/>
    <w:rsid w:val="00336B77"/>
    <w:rsid w:val="00337505"/>
    <w:rsid w:val="00340262"/>
    <w:rsid w:val="0034351D"/>
    <w:rsid w:val="00343A4C"/>
    <w:rsid w:val="0034447C"/>
    <w:rsid w:val="00350BDC"/>
    <w:rsid w:val="003540B4"/>
    <w:rsid w:val="00356DC6"/>
    <w:rsid w:val="00356DDF"/>
    <w:rsid w:val="003572FB"/>
    <w:rsid w:val="00361D36"/>
    <w:rsid w:val="003622B7"/>
    <w:rsid w:val="00362334"/>
    <w:rsid w:val="003626C2"/>
    <w:rsid w:val="0036768A"/>
    <w:rsid w:val="00372160"/>
    <w:rsid w:val="00372884"/>
    <w:rsid w:val="00372DC1"/>
    <w:rsid w:val="003753F7"/>
    <w:rsid w:val="003769F3"/>
    <w:rsid w:val="00380C42"/>
    <w:rsid w:val="00390C46"/>
    <w:rsid w:val="003912BF"/>
    <w:rsid w:val="003935C8"/>
    <w:rsid w:val="00394607"/>
    <w:rsid w:val="003976E5"/>
    <w:rsid w:val="003B3AFB"/>
    <w:rsid w:val="003B6AB4"/>
    <w:rsid w:val="003B6ACC"/>
    <w:rsid w:val="003C5786"/>
    <w:rsid w:val="003C767D"/>
    <w:rsid w:val="003C7C11"/>
    <w:rsid w:val="003F12F4"/>
    <w:rsid w:val="003F2916"/>
    <w:rsid w:val="003F5230"/>
    <w:rsid w:val="00404038"/>
    <w:rsid w:val="00404E49"/>
    <w:rsid w:val="0040678D"/>
    <w:rsid w:val="004141CD"/>
    <w:rsid w:val="00416C15"/>
    <w:rsid w:val="00417F6E"/>
    <w:rsid w:val="0042098C"/>
    <w:rsid w:val="00426AB4"/>
    <w:rsid w:val="00427075"/>
    <w:rsid w:val="00432DF9"/>
    <w:rsid w:val="00436054"/>
    <w:rsid w:val="00437F20"/>
    <w:rsid w:val="00447F69"/>
    <w:rsid w:val="0045632A"/>
    <w:rsid w:val="004660F8"/>
    <w:rsid w:val="004671E5"/>
    <w:rsid w:val="00470C40"/>
    <w:rsid w:val="00473035"/>
    <w:rsid w:val="00475CA1"/>
    <w:rsid w:val="00476B2E"/>
    <w:rsid w:val="00477449"/>
    <w:rsid w:val="00481B2D"/>
    <w:rsid w:val="004847AB"/>
    <w:rsid w:val="00491411"/>
    <w:rsid w:val="004916CB"/>
    <w:rsid w:val="00491978"/>
    <w:rsid w:val="00493197"/>
    <w:rsid w:val="0049726D"/>
    <w:rsid w:val="004B4B38"/>
    <w:rsid w:val="004B61C3"/>
    <w:rsid w:val="004B76C5"/>
    <w:rsid w:val="004B7821"/>
    <w:rsid w:val="004C486E"/>
    <w:rsid w:val="004C594C"/>
    <w:rsid w:val="004C794D"/>
    <w:rsid w:val="004C7EE0"/>
    <w:rsid w:val="004D1D93"/>
    <w:rsid w:val="004D2DA4"/>
    <w:rsid w:val="004D4E33"/>
    <w:rsid w:val="004E04C0"/>
    <w:rsid w:val="004E6084"/>
    <w:rsid w:val="004E755F"/>
    <w:rsid w:val="004F07F5"/>
    <w:rsid w:val="004F2370"/>
    <w:rsid w:val="004F33AD"/>
    <w:rsid w:val="004F3680"/>
    <w:rsid w:val="004F592B"/>
    <w:rsid w:val="004F6775"/>
    <w:rsid w:val="00502A2F"/>
    <w:rsid w:val="00502CE8"/>
    <w:rsid w:val="00503AB3"/>
    <w:rsid w:val="00504EFB"/>
    <w:rsid w:val="00505A81"/>
    <w:rsid w:val="0050772D"/>
    <w:rsid w:val="005131FF"/>
    <w:rsid w:val="0051737F"/>
    <w:rsid w:val="00517B44"/>
    <w:rsid w:val="005219D6"/>
    <w:rsid w:val="005256F9"/>
    <w:rsid w:val="0053071A"/>
    <w:rsid w:val="0053366F"/>
    <w:rsid w:val="005346A9"/>
    <w:rsid w:val="0054271D"/>
    <w:rsid w:val="00543CF4"/>
    <w:rsid w:val="0054770E"/>
    <w:rsid w:val="005537C9"/>
    <w:rsid w:val="005571D3"/>
    <w:rsid w:val="005611E3"/>
    <w:rsid w:val="00561458"/>
    <w:rsid w:val="0056393E"/>
    <w:rsid w:val="00566532"/>
    <w:rsid w:val="00567001"/>
    <w:rsid w:val="00570DBF"/>
    <w:rsid w:val="005728F0"/>
    <w:rsid w:val="00581E40"/>
    <w:rsid w:val="0058395D"/>
    <w:rsid w:val="005843C5"/>
    <w:rsid w:val="005844E0"/>
    <w:rsid w:val="0058500E"/>
    <w:rsid w:val="005944AC"/>
    <w:rsid w:val="00596CC6"/>
    <w:rsid w:val="005A2849"/>
    <w:rsid w:val="005A381E"/>
    <w:rsid w:val="005A6185"/>
    <w:rsid w:val="005B0342"/>
    <w:rsid w:val="005B2516"/>
    <w:rsid w:val="005B32D5"/>
    <w:rsid w:val="005B47C1"/>
    <w:rsid w:val="005C1E8F"/>
    <w:rsid w:val="005C536A"/>
    <w:rsid w:val="005D08F1"/>
    <w:rsid w:val="005D1A2D"/>
    <w:rsid w:val="005D2C8D"/>
    <w:rsid w:val="005D3068"/>
    <w:rsid w:val="005D4713"/>
    <w:rsid w:val="005D6C6C"/>
    <w:rsid w:val="005E0EF6"/>
    <w:rsid w:val="005E0F22"/>
    <w:rsid w:val="005E26E2"/>
    <w:rsid w:val="005F1C18"/>
    <w:rsid w:val="005F6E1A"/>
    <w:rsid w:val="00600385"/>
    <w:rsid w:val="00602A9B"/>
    <w:rsid w:val="006043F6"/>
    <w:rsid w:val="006070D4"/>
    <w:rsid w:val="006077F9"/>
    <w:rsid w:val="006106D2"/>
    <w:rsid w:val="00610F36"/>
    <w:rsid w:val="00612A37"/>
    <w:rsid w:val="00617913"/>
    <w:rsid w:val="00621FC7"/>
    <w:rsid w:val="006259BE"/>
    <w:rsid w:val="0063071C"/>
    <w:rsid w:val="00633ECD"/>
    <w:rsid w:val="006363AF"/>
    <w:rsid w:val="0063691F"/>
    <w:rsid w:val="006371CB"/>
    <w:rsid w:val="0064690C"/>
    <w:rsid w:val="0065134C"/>
    <w:rsid w:val="006556C7"/>
    <w:rsid w:val="00662D3C"/>
    <w:rsid w:val="00665736"/>
    <w:rsid w:val="00672B4A"/>
    <w:rsid w:val="00674010"/>
    <w:rsid w:val="00677065"/>
    <w:rsid w:val="00683214"/>
    <w:rsid w:val="00683F83"/>
    <w:rsid w:val="0068480F"/>
    <w:rsid w:val="00687135"/>
    <w:rsid w:val="0069008F"/>
    <w:rsid w:val="00692D0E"/>
    <w:rsid w:val="00694788"/>
    <w:rsid w:val="006A6C69"/>
    <w:rsid w:val="006B0307"/>
    <w:rsid w:val="006B16C6"/>
    <w:rsid w:val="006B7BFE"/>
    <w:rsid w:val="006C36E4"/>
    <w:rsid w:val="006C3C4C"/>
    <w:rsid w:val="006D01E1"/>
    <w:rsid w:val="006D0AC0"/>
    <w:rsid w:val="006D28B1"/>
    <w:rsid w:val="006D301E"/>
    <w:rsid w:val="006D5F59"/>
    <w:rsid w:val="006E214F"/>
    <w:rsid w:val="006E45F6"/>
    <w:rsid w:val="006E7A26"/>
    <w:rsid w:val="006F396B"/>
    <w:rsid w:val="007011D0"/>
    <w:rsid w:val="00703FF5"/>
    <w:rsid w:val="0070532B"/>
    <w:rsid w:val="00706B09"/>
    <w:rsid w:val="0071051F"/>
    <w:rsid w:val="007124B8"/>
    <w:rsid w:val="00722388"/>
    <w:rsid w:val="0072285D"/>
    <w:rsid w:val="00723395"/>
    <w:rsid w:val="00723618"/>
    <w:rsid w:val="007265C3"/>
    <w:rsid w:val="00726CBA"/>
    <w:rsid w:val="0073190F"/>
    <w:rsid w:val="0073401E"/>
    <w:rsid w:val="0073554B"/>
    <w:rsid w:val="00737D86"/>
    <w:rsid w:val="007407F9"/>
    <w:rsid w:val="00741127"/>
    <w:rsid w:val="00744A78"/>
    <w:rsid w:val="007455D9"/>
    <w:rsid w:val="00750996"/>
    <w:rsid w:val="007552A7"/>
    <w:rsid w:val="00760B95"/>
    <w:rsid w:val="007646C6"/>
    <w:rsid w:val="007700FC"/>
    <w:rsid w:val="00771BCB"/>
    <w:rsid w:val="0077669E"/>
    <w:rsid w:val="00776D95"/>
    <w:rsid w:val="00782D25"/>
    <w:rsid w:val="0078331F"/>
    <w:rsid w:val="00793057"/>
    <w:rsid w:val="00795077"/>
    <w:rsid w:val="00797CC5"/>
    <w:rsid w:val="007A35F5"/>
    <w:rsid w:val="007A3BE0"/>
    <w:rsid w:val="007B12BB"/>
    <w:rsid w:val="007B5FD6"/>
    <w:rsid w:val="007B7351"/>
    <w:rsid w:val="007C18C7"/>
    <w:rsid w:val="007C2D32"/>
    <w:rsid w:val="007C3647"/>
    <w:rsid w:val="007C6A54"/>
    <w:rsid w:val="007D0092"/>
    <w:rsid w:val="007E0621"/>
    <w:rsid w:val="007E3AE0"/>
    <w:rsid w:val="007E456A"/>
    <w:rsid w:val="007E5542"/>
    <w:rsid w:val="007F0F33"/>
    <w:rsid w:val="007F7F43"/>
    <w:rsid w:val="00820ACB"/>
    <w:rsid w:val="008349D2"/>
    <w:rsid w:val="008365B9"/>
    <w:rsid w:val="00836A0B"/>
    <w:rsid w:val="00836E98"/>
    <w:rsid w:val="00846E19"/>
    <w:rsid w:val="00853182"/>
    <w:rsid w:val="008561CC"/>
    <w:rsid w:val="008636C1"/>
    <w:rsid w:val="008657D2"/>
    <w:rsid w:val="008672F7"/>
    <w:rsid w:val="00867BFA"/>
    <w:rsid w:val="00870923"/>
    <w:rsid w:val="0087307B"/>
    <w:rsid w:val="00875F1F"/>
    <w:rsid w:val="008856BD"/>
    <w:rsid w:val="008871A6"/>
    <w:rsid w:val="008A0B53"/>
    <w:rsid w:val="008A1F07"/>
    <w:rsid w:val="008A222A"/>
    <w:rsid w:val="008A4079"/>
    <w:rsid w:val="008B3ED7"/>
    <w:rsid w:val="008B60CB"/>
    <w:rsid w:val="008C2ED9"/>
    <w:rsid w:val="008C4F17"/>
    <w:rsid w:val="008D0456"/>
    <w:rsid w:val="008D1F33"/>
    <w:rsid w:val="008D2153"/>
    <w:rsid w:val="008E4063"/>
    <w:rsid w:val="008E689A"/>
    <w:rsid w:val="008F10EE"/>
    <w:rsid w:val="008F39B8"/>
    <w:rsid w:val="008F4244"/>
    <w:rsid w:val="008F480F"/>
    <w:rsid w:val="008F7D55"/>
    <w:rsid w:val="009030A5"/>
    <w:rsid w:val="00906202"/>
    <w:rsid w:val="00906C3A"/>
    <w:rsid w:val="0091428B"/>
    <w:rsid w:val="00915FCD"/>
    <w:rsid w:val="00924019"/>
    <w:rsid w:val="00934F94"/>
    <w:rsid w:val="0094119C"/>
    <w:rsid w:val="009424E5"/>
    <w:rsid w:val="0094789F"/>
    <w:rsid w:val="0095016D"/>
    <w:rsid w:val="009506EE"/>
    <w:rsid w:val="009516B5"/>
    <w:rsid w:val="00953769"/>
    <w:rsid w:val="00960529"/>
    <w:rsid w:val="00964EBD"/>
    <w:rsid w:val="00965634"/>
    <w:rsid w:val="00966A05"/>
    <w:rsid w:val="009704C1"/>
    <w:rsid w:val="0097375D"/>
    <w:rsid w:val="00974279"/>
    <w:rsid w:val="00976AC8"/>
    <w:rsid w:val="00983F8D"/>
    <w:rsid w:val="009871E3"/>
    <w:rsid w:val="00987545"/>
    <w:rsid w:val="009A0E03"/>
    <w:rsid w:val="009A2F11"/>
    <w:rsid w:val="009A39C0"/>
    <w:rsid w:val="009A432E"/>
    <w:rsid w:val="009B57B6"/>
    <w:rsid w:val="009B6EB9"/>
    <w:rsid w:val="009C5098"/>
    <w:rsid w:val="009C5735"/>
    <w:rsid w:val="009D183A"/>
    <w:rsid w:val="009E4C50"/>
    <w:rsid w:val="009E6E57"/>
    <w:rsid w:val="009E7BD5"/>
    <w:rsid w:val="009F1D33"/>
    <w:rsid w:val="009F21FD"/>
    <w:rsid w:val="009F3AEF"/>
    <w:rsid w:val="009F6DCD"/>
    <w:rsid w:val="009F7FCF"/>
    <w:rsid w:val="00A05419"/>
    <w:rsid w:val="00A1230A"/>
    <w:rsid w:val="00A127F3"/>
    <w:rsid w:val="00A13C19"/>
    <w:rsid w:val="00A173FE"/>
    <w:rsid w:val="00A2428F"/>
    <w:rsid w:val="00A32896"/>
    <w:rsid w:val="00A331D0"/>
    <w:rsid w:val="00A352A0"/>
    <w:rsid w:val="00A41FCE"/>
    <w:rsid w:val="00A44354"/>
    <w:rsid w:val="00A50B9F"/>
    <w:rsid w:val="00A531C7"/>
    <w:rsid w:val="00A53D69"/>
    <w:rsid w:val="00A62343"/>
    <w:rsid w:val="00A73FCD"/>
    <w:rsid w:val="00A80753"/>
    <w:rsid w:val="00A82A80"/>
    <w:rsid w:val="00A83427"/>
    <w:rsid w:val="00A858B9"/>
    <w:rsid w:val="00A93DF5"/>
    <w:rsid w:val="00AA01A4"/>
    <w:rsid w:val="00AA094F"/>
    <w:rsid w:val="00AA1AD2"/>
    <w:rsid w:val="00AA4F92"/>
    <w:rsid w:val="00AA6CE7"/>
    <w:rsid w:val="00AB0A48"/>
    <w:rsid w:val="00AB4BE2"/>
    <w:rsid w:val="00AC2851"/>
    <w:rsid w:val="00AC480B"/>
    <w:rsid w:val="00AC6917"/>
    <w:rsid w:val="00AD20E3"/>
    <w:rsid w:val="00AD5567"/>
    <w:rsid w:val="00AD604B"/>
    <w:rsid w:val="00AE1307"/>
    <w:rsid w:val="00AE2DFC"/>
    <w:rsid w:val="00AE2F0E"/>
    <w:rsid w:val="00AE4EAB"/>
    <w:rsid w:val="00AE53DE"/>
    <w:rsid w:val="00AF5A87"/>
    <w:rsid w:val="00AF6B8A"/>
    <w:rsid w:val="00B018EB"/>
    <w:rsid w:val="00B0200E"/>
    <w:rsid w:val="00B028EF"/>
    <w:rsid w:val="00B0713F"/>
    <w:rsid w:val="00B07CE1"/>
    <w:rsid w:val="00B1163B"/>
    <w:rsid w:val="00B15849"/>
    <w:rsid w:val="00B20B54"/>
    <w:rsid w:val="00B2566A"/>
    <w:rsid w:val="00B30A3C"/>
    <w:rsid w:val="00B32433"/>
    <w:rsid w:val="00B3413A"/>
    <w:rsid w:val="00B3447D"/>
    <w:rsid w:val="00B35B1F"/>
    <w:rsid w:val="00B45613"/>
    <w:rsid w:val="00B45718"/>
    <w:rsid w:val="00B50AA2"/>
    <w:rsid w:val="00B60321"/>
    <w:rsid w:val="00B616D8"/>
    <w:rsid w:val="00B639A5"/>
    <w:rsid w:val="00B65249"/>
    <w:rsid w:val="00B70E3C"/>
    <w:rsid w:val="00B71447"/>
    <w:rsid w:val="00B72DCE"/>
    <w:rsid w:val="00B752A7"/>
    <w:rsid w:val="00B80FE4"/>
    <w:rsid w:val="00B81B9A"/>
    <w:rsid w:val="00B84587"/>
    <w:rsid w:val="00B84C7E"/>
    <w:rsid w:val="00B91719"/>
    <w:rsid w:val="00B9313A"/>
    <w:rsid w:val="00B94086"/>
    <w:rsid w:val="00B941C2"/>
    <w:rsid w:val="00B94EA7"/>
    <w:rsid w:val="00BA19F6"/>
    <w:rsid w:val="00BA3705"/>
    <w:rsid w:val="00BA3AB3"/>
    <w:rsid w:val="00BB0FA8"/>
    <w:rsid w:val="00BB1271"/>
    <w:rsid w:val="00BB26FB"/>
    <w:rsid w:val="00BC0E31"/>
    <w:rsid w:val="00BC1157"/>
    <w:rsid w:val="00BC2B78"/>
    <w:rsid w:val="00BD542A"/>
    <w:rsid w:val="00BD5624"/>
    <w:rsid w:val="00BE0360"/>
    <w:rsid w:val="00BE2712"/>
    <w:rsid w:val="00BE656D"/>
    <w:rsid w:val="00BF1BF1"/>
    <w:rsid w:val="00BF2B0D"/>
    <w:rsid w:val="00BF3872"/>
    <w:rsid w:val="00BF5E7E"/>
    <w:rsid w:val="00BF629D"/>
    <w:rsid w:val="00C00F99"/>
    <w:rsid w:val="00C044A8"/>
    <w:rsid w:val="00C06E76"/>
    <w:rsid w:val="00C070E9"/>
    <w:rsid w:val="00C07CDE"/>
    <w:rsid w:val="00C13C57"/>
    <w:rsid w:val="00C2075D"/>
    <w:rsid w:val="00C23C7B"/>
    <w:rsid w:val="00C3688D"/>
    <w:rsid w:val="00C41290"/>
    <w:rsid w:val="00C4141A"/>
    <w:rsid w:val="00C42F88"/>
    <w:rsid w:val="00C478B9"/>
    <w:rsid w:val="00C47EE0"/>
    <w:rsid w:val="00C5188E"/>
    <w:rsid w:val="00C57D4B"/>
    <w:rsid w:val="00C606A7"/>
    <w:rsid w:val="00C63B37"/>
    <w:rsid w:val="00C662D2"/>
    <w:rsid w:val="00C72C9A"/>
    <w:rsid w:val="00C74266"/>
    <w:rsid w:val="00C7494A"/>
    <w:rsid w:val="00C74AF5"/>
    <w:rsid w:val="00C75394"/>
    <w:rsid w:val="00C7602B"/>
    <w:rsid w:val="00C77776"/>
    <w:rsid w:val="00C814BA"/>
    <w:rsid w:val="00C872D3"/>
    <w:rsid w:val="00C87D70"/>
    <w:rsid w:val="00C87E75"/>
    <w:rsid w:val="00C909F3"/>
    <w:rsid w:val="00C90B59"/>
    <w:rsid w:val="00C921B4"/>
    <w:rsid w:val="00C934E0"/>
    <w:rsid w:val="00CA61AF"/>
    <w:rsid w:val="00CB04DF"/>
    <w:rsid w:val="00CB7748"/>
    <w:rsid w:val="00CC26AA"/>
    <w:rsid w:val="00CC334E"/>
    <w:rsid w:val="00CD04D8"/>
    <w:rsid w:val="00CD55BA"/>
    <w:rsid w:val="00CE0858"/>
    <w:rsid w:val="00CE6D7E"/>
    <w:rsid w:val="00CF668A"/>
    <w:rsid w:val="00D02A01"/>
    <w:rsid w:val="00D102F0"/>
    <w:rsid w:val="00D11611"/>
    <w:rsid w:val="00D147DD"/>
    <w:rsid w:val="00D201CD"/>
    <w:rsid w:val="00D205EC"/>
    <w:rsid w:val="00D213AF"/>
    <w:rsid w:val="00D230F6"/>
    <w:rsid w:val="00D24B03"/>
    <w:rsid w:val="00D25CCF"/>
    <w:rsid w:val="00D25D22"/>
    <w:rsid w:val="00D27F0B"/>
    <w:rsid w:val="00D32BDC"/>
    <w:rsid w:val="00D3485A"/>
    <w:rsid w:val="00D42E88"/>
    <w:rsid w:val="00D43D61"/>
    <w:rsid w:val="00D476CE"/>
    <w:rsid w:val="00D478E1"/>
    <w:rsid w:val="00D47B5D"/>
    <w:rsid w:val="00D515BA"/>
    <w:rsid w:val="00D54BFA"/>
    <w:rsid w:val="00D57C2B"/>
    <w:rsid w:val="00D616E3"/>
    <w:rsid w:val="00D62E3C"/>
    <w:rsid w:val="00D6309E"/>
    <w:rsid w:val="00D6460F"/>
    <w:rsid w:val="00D71F95"/>
    <w:rsid w:val="00D767C0"/>
    <w:rsid w:val="00D76CC0"/>
    <w:rsid w:val="00D804C6"/>
    <w:rsid w:val="00D821CA"/>
    <w:rsid w:val="00D86DCA"/>
    <w:rsid w:val="00D87366"/>
    <w:rsid w:val="00D90955"/>
    <w:rsid w:val="00D95EEE"/>
    <w:rsid w:val="00DA1161"/>
    <w:rsid w:val="00DA2894"/>
    <w:rsid w:val="00DA4387"/>
    <w:rsid w:val="00DA4E2B"/>
    <w:rsid w:val="00DB3DB8"/>
    <w:rsid w:val="00DC4560"/>
    <w:rsid w:val="00DC609B"/>
    <w:rsid w:val="00DD1EF3"/>
    <w:rsid w:val="00DD33DD"/>
    <w:rsid w:val="00DE376B"/>
    <w:rsid w:val="00DE3C4A"/>
    <w:rsid w:val="00DE5B0A"/>
    <w:rsid w:val="00DF0C53"/>
    <w:rsid w:val="00DF3C20"/>
    <w:rsid w:val="00DF4ADA"/>
    <w:rsid w:val="00E00C55"/>
    <w:rsid w:val="00E01931"/>
    <w:rsid w:val="00E0597D"/>
    <w:rsid w:val="00E2327F"/>
    <w:rsid w:val="00E24E3A"/>
    <w:rsid w:val="00E279D0"/>
    <w:rsid w:val="00E33980"/>
    <w:rsid w:val="00E43A9B"/>
    <w:rsid w:val="00E442C4"/>
    <w:rsid w:val="00E504E9"/>
    <w:rsid w:val="00E50CD6"/>
    <w:rsid w:val="00E62201"/>
    <w:rsid w:val="00E65279"/>
    <w:rsid w:val="00E6622D"/>
    <w:rsid w:val="00E76BEE"/>
    <w:rsid w:val="00E773D5"/>
    <w:rsid w:val="00E778FF"/>
    <w:rsid w:val="00E779C4"/>
    <w:rsid w:val="00E80989"/>
    <w:rsid w:val="00E824B5"/>
    <w:rsid w:val="00E82C4C"/>
    <w:rsid w:val="00E84150"/>
    <w:rsid w:val="00E8563E"/>
    <w:rsid w:val="00E85DDF"/>
    <w:rsid w:val="00E86106"/>
    <w:rsid w:val="00E87583"/>
    <w:rsid w:val="00E947EF"/>
    <w:rsid w:val="00E94CCA"/>
    <w:rsid w:val="00EA3938"/>
    <w:rsid w:val="00EA3E41"/>
    <w:rsid w:val="00EA6853"/>
    <w:rsid w:val="00EA7665"/>
    <w:rsid w:val="00EB1425"/>
    <w:rsid w:val="00EB38B9"/>
    <w:rsid w:val="00EB49FE"/>
    <w:rsid w:val="00EB7166"/>
    <w:rsid w:val="00EC26A0"/>
    <w:rsid w:val="00EC6C5D"/>
    <w:rsid w:val="00ED14F6"/>
    <w:rsid w:val="00ED5F66"/>
    <w:rsid w:val="00EE12E8"/>
    <w:rsid w:val="00EE304A"/>
    <w:rsid w:val="00EE79F5"/>
    <w:rsid w:val="00EF79C7"/>
    <w:rsid w:val="00F009F4"/>
    <w:rsid w:val="00F0628B"/>
    <w:rsid w:val="00F075A4"/>
    <w:rsid w:val="00F132CE"/>
    <w:rsid w:val="00F138E9"/>
    <w:rsid w:val="00F162D7"/>
    <w:rsid w:val="00F16700"/>
    <w:rsid w:val="00F16818"/>
    <w:rsid w:val="00F23338"/>
    <w:rsid w:val="00F264E8"/>
    <w:rsid w:val="00F2782D"/>
    <w:rsid w:val="00F30CA6"/>
    <w:rsid w:val="00F316D6"/>
    <w:rsid w:val="00F4152C"/>
    <w:rsid w:val="00F42601"/>
    <w:rsid w:val="00F441CB"/>
    <w:rsid w:val="00F45E4E"/>
    <w:rsid w:val="00F46095"/>
    <w:rsid w:val="00F46986"/>
    <w:rsid w:val="00F50D51"/>
    <w:rsid w:val="00F50EC1"/>
    <w:rsid w:val="00F52150"/>
    <w:rsid w:val="00F67260"/>
    <w:rsid w:val="00F71F40"/>
    <w:rsid w:val="00F73DB9"/>
    <w:rsid w:val="00F74854"/>
    <w:rsid w:val="00F7662B"/>
    <w:rsid w:val="00F8373A"/>
    <w:rsid w:val="00F87188"/>
    <w:rsid w:val="00F87715"/>
    <w:rsid w:val="00F943AD"/>
    <w:rsid w:val="00F9464D"/>
    <w:rsid w:val="00F97D4B"/>
    <w:rsid w:val="00FA265B"/>
    <w:rsid w:val="00FA3ACD"/>
    <w:rsid w:val="00FA5F59"/>
    <w:rsid w:val="00FA637F"/>
    <w:rsid w:val="00FB2089"/>
    <w:rsid w:val="00FB2492"/>
    <w:rsid w:val="00FB3387"/>
    <w:rsid w:val="00FB38B0"/>
    <w:rsid w:val="00FC6187"/>
    <w:rsid w:val="00FD4E00"/>
    <w:rsid w:val="00FD756A"/>
    <w:rsid w:val="00FE0AFC"/>
    <w:rsid w:val="00FE13F5"/>
    <w:rsid w:val="00FE2D80"/>
    <w:rsid w:val="00FE5E06"/>
    <w:rsid w:val="00FF1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93f,#96f"/>
    </o:shapedefaults>
    <o:shapelayout v:ext="edit">
      <o:idmap v:ext="edit" data="1"/>
    </o:shapelayout>
  </w:shapeDefaults>
  <w:decimalSymbol w:val="."/>
  <w:listSeparator w:val=","/>
  <w14:docId w14:val="74C9EC0B"/>
  <w15:docId w15:val="{DA932B76-4440-4A3E-911F-B37F9AE63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978"/>
  </w:style>
  <w:style w:type="paragraph" w:styleId="Heading1">
    <w:name w:val="heading 1"/>
    <w:basedOn w:val="Normal"/>
    <w:next w:val="Normal"/>
    <w:link w:val="Heading1Char"/>
    <w:uiPriority w:val="9"/>
    <w:qFormat/>
    <w:rsid w:val="00F748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8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4854"/>
    <w:pPr>
      <w:spacing w:line="259" w:lineRule="auto"/>
      <w:outlineLvl w:val="9"/>
    </w:pPr>
    <w:rPr>
      <w:lang w:val="en-US"/>
    </w:rPr>
  </w:style>
  <w:style w:type="paragraph" w:styleId="TOC2">
    <w:name w:val="toc 2"/>
    <w:basedOn w:val="Normal"/>
    <w:next w:val="Normal"/>
    <w:autoRedefine/>
    <w:uiPriority w:val="39"/>
    <w:unhideWhenUsed/>
    <w:rsid w:val="00F74854"/>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F74854"/>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F74854"/>
    <w:pPr>
      <w:spacing w:after="100" w:line="259" w:lineRule="auto"/>
      <w:ind w:left="440"/>
    </w:pPr>
    <w:rPr>
      <w:rFonts w:eastAsiaTheme="minorEastAsia" w:cs="Times New Roman"/>
      <w:lang w:val="en-US"/>
    </w:rPr>
  </w:style>
  <w:style w:type="paragraph" w:styleId="EndnoteText">
    <w:name w:val="endnote text"/>
    <w:basedOn w:val="Normal"/>
    <w:link w:val="EndnoteTextChar"/>
    <w:uiPriority w:val="99"/>
    <w:semiHidden/>
    <w:unhideWhenUsed/>
    <w:rsid w:val="0060038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00385"/>
    <w:rPr>
      <w:sz w:val="20"/>
      <w:szCs w:val="20"/>
    </w:rPr>
  </w:style>
  <w:style w:type="character" w:styleId="EndnoteReference">
    <w:name w:val="endnote reference"/>
    <w:basedOn w:val="DefaultParagraphFont"/>
    <w:uiPriority w:val="99"/>
    <w:semiHidden/>
    <w:unhideWhenUsed/>
    <w:rsid w:val="00600385"/>
    <w:rPr>
      <w:vertAlign w:val="superscript"/>
    </w:rPr>
  </w:style>
  <w:style w:type="paragraph" w:styleId="FootnoteText">
    <w:name w:val="footnote text"/>
    <w:basedOn w:val="Normal"/>
    <w:link w:val="FootnoteTextChar"/>
    <w:uiPriority w:val="99"/>
    <w:unhideWhenUsed/>
    <w:rsid w:val="00600385"/>
    <w:pPr>
      <w:spacing w:after="0" w:line="240" w:lineRule="auto"/>
    </w:pPr>
    <w:rPr>
      <w:sz w:val="20"/>
      <w:szCs w:val="20"/>
    </w:rPr>
  </w:style>
  <w:style w:type="character" w:customStyle="1" w:styleId="FootnoteTextChar">
    <w:name w:val="Footnote Text Char"/>
    <w:basedOn w:val="DefaultParagraphFont"/>
    <w:link w:val="FootnoteText"/>
    <w:uiPriority w:val="99"/>
    <w:rsid w:val="00600385"/>
    <w:rPr>
      <w:sz w:val="20"/>
      <w:szCs w:val="20"/>
    </w:rPr>
  </w:style>
  <w:style w:type="character" w:styleId="FootnoteReference">
    <w:name w:val="footnote reference"/>
    <w:basedOn w:val="DefaultParagraphFont"/>
    <w:uiPriority w:val="99"/>
    <w:semiHidden/>
    <w:unhideWhenUsed/>
    <w:rsid w:val="00600385"/>
    <w:rPr>
      <w:vertAlign w:val="superscript"/>
    </w:rPr>
  </w:style>
  <w:style w:type="paragraph" w:styleId="Header">
    <w:name w:val="header"/>
    <w:basedOn w:val="Normal"/>
    <w:link w:val="HeaderChar"/>
    <w:uiPriority w:val="99"/>
    <w:unhideWhenUsed/>
    <w:rsid w:val="000F4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D60"/>
  </w:style>
  <w:style w:type="paragraph" w:styleId="Footer">
    <w:name w:val="footer"/>
    <w:basedOn w:val="Normal"/>
    <w:link w:val="FooterChar"/>
    <w:uiPriority w:val="99"/>
    <w:unhideWhenUsed/>
    <w:rsid w:val="000F4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D60"/>
  </w:style>
  <w:style w:type="character" w:styleId="Strong">
    <w:name w:val="Strong"/>
    <w:basedOn w:val="DefaultParagraphFont"/>
    <w:uiPriority w:val="22"/>
    <w:qFormat/>
    <w:rsid w:val="00224D60"/>
    <w:rPr>
      <w:b/>
      <w:bCs/>
    </w:rPr>
  </w:style>
  <w:style w:type="paragraph" w:styleId="NoSpacing">
    <w:name w:val="No Spacing"/>
    <w:uiPriority w:val="1"/>
    <w:qFormat/>
    <w:rsid w:val="00C3688D"/>
    <w:pPr>
      <w:spacing w:after="0" w:line="240" w:lineRule="auto"/>
    </w:pPr>
  </w:style>
  <w:style w:type="character" w:styleId="Emphasis">
    <w:name w:val="Emphasis"/>
    <w:basedOn w:val="DefaultParagraphFont"/>
    <w:uiPriority w:val="20"/>
    <w:qFormat/>
    <w:rsid w:val="00EB49FE"/>
    <w:rPr>
      <w:i/>
      <w:iCs/>
    </w:rPr>
  </w:style>
  <w:style w:type="table" w:customStyle="1" w:styleId="GridTable1Light1">
    <w:name w:val="Grid Table 1 Light1"/>
    <w:basedOn w:val="TableNormal"/>
    <w:uiPriority w:val="46"/>
    <w:rsid w:val="009A0E0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213AF"/>
    <w:rPr>
      <w:color w:val="0000FF"/>
      <w:u w:val="single"/>
    </w:rPr>
  </w:style>
  <w:style w:type="character" w:customStyle="1" w:styleId="UnresolvedMention1">
    <w:name w:val="Unresolved Mention1"/>
    <w:basedOn w:val="DefaultParagraphFont"/>
    <w:uiPriority w:val="99"/>
    <w:semiHidden/>
    <w:unhideWhenUsed/>
    <w:rsid w:val="00D213AF"/>
    <w:rPr>
      <w:color w:val="605E5C"/>
      <w:shd w:val="clear" w:color="auto" w:fill="E1DFDD"/>
    </w:rPr>
  </w:style>
  <w:style w:type="paragraph" w:styleId="ListParagraph">
    <w:name w:val="List Paragraph"/>
    <w:basedOn w:val="Normal"/>
    <w:uiPriority w:val="34"/>
    <w:qFormat/>
    <w:rsid w:val="001B3595"/>
    <w:pPr>
      <w:ind w:left="720"/>
      <w:contextualSpacing/>
    </w:pPr>
  </w:style>
  <w:style w:type="paragraph" w:styleId="BalloonText">
    <w:name w:val="Balloon Text"/>
    <w:basedOn w:val="Normal"/>
    <w:link w:val="BalloonTextChar"/>
    <w:uiPriority w:val="99"/>
    <w:semiHidden/>
    <w:unhideWhenUsed/>
    <w:rsid w:val="002675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5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550897">
      <w:bodyDiv w:val="1"/>
      <w:marLeft w:val="0"/>
      <w:marRight w:val="0"/>
      <w:marTop w:val="0"/>
      <w:marBottom w:val="0"/>
      <w:divBdr>
        <w:top w:val="none" w:sz="0" w:space="0" w:color="auto"/>
        <w:left w:val="none" w:sz="0" w:space="0" w:color="auto"/>
        <w:bottom w:val="none" w:sz="0" w:space="0" w:color="auto"/>
        <w:right w:val="none" w:sz="0" w:space="0" w:color="auto"/>
      </w:divBdr>
    </w:div>
    <w:div w:id="656957181">
      <w:bodyDiv w:val="1"/>
      <w:marLeft w:val="0"/>
      <w:marRight w:val="0"/>
      <w:marTop w:val="0"/>
      <w:marBottom w:val="0"/>
      <w:divBdr>
        <w:top w:val="none" w:sz="0" w:space="0" w:color="auto"/>
        <w:left w:val="none" w:sz="0" w:space="0" w:color="auto"/>
        <w:bottom w:val="none" w:sz="0" w:space="0" w:color="auto"/>
        <w:right w:val="none" w:sz="0" w:space="0" w:color="auto"/>
      </w:divBdr>
    </w:div>
    <w:div w:id="728959484">
      <w:bodyDiv w:val="1"/>
      <w:marLeft w:val="0"/>
      <w:marRight w:val="0"/>
      <w:marTop w:val="0"/>
      <w:marBottom w:val="0"/>
      <w:divBdr>
        <w:top w:val="none" w:sz="0" w:space="0" w:color="auto"/>
        <w:left w:val="none" w:sz="0" w:space="0" w:color="auto"/>
        <w:bottom w:val="none" w:sz="0" w:space="0" w:color="auto"/>
        <w:right w:val="none" w:sz="0" w:space="0" w:color="auto"/>
      </w:divBdr>
    </w:div>
    <w:div w:id="843518588">
      <w:bodyDiv w:val="1"/>
      <w:marLeft w:val="0"/>
      <w:marRight w:val="0"/>
      <w:marTop w:val="0"/>
      <w:marBottom w:val="0"/>
      <w:divBdr>
        <w:top w:val="none" w:sz="0" w:space="0" w:color="auto"/>
        <w:left w:val="none" w:sz="0" w:space="0" w:color="auto"/>
        <w:bottom w:val="none" w:sz="0" w:space="0" w:color="auto"/>
        <w:right w:val="none" w:sz="0" w:space="0" w:color="auto"/>
      </w:divBdr>
    </w:div>
    <w:div w:id="878786483">
      <w:bodyDiv w:val="1"/>
      <w:marLeft w:val="0"/>
      <w:marRight w:val="0"/>
      <w:marTop w:val="0"/>
      <w:marBottom w:val="0"/>
      <w:divBdr>
        <w:top w:val="none" w:sz="0" w:space="0" w:color="auto"/>
        <w:left w:val="none" w:sz="0" w:space="0" w:color="auto"/>
        <w:bottom w:val="none" w:sz="0" w:space="0" w:color="auto"/>
        <w:right w:val="none" w:sz="0" w:space="0" w:color="auto"/>
      </w:divBdr>
    </w:div>
    <w:div w:id="1331330099">
      <w:bodyDiv w:val="1"/>
      <w:marLeft w:val="0"/>
      <w:marRight w:val="0"/>
      <w:marTop w:val="0"/>
      <w:marBottom w:val="0"/>
      <w:divBdr>
        <w:top w:val="none" w:sz="0" w:space="0" w:color="auto"/>
        <w:left w:val="none" w:sz="0" w:space="0" w:color="auto"/>
        <w:bottom w:val="none" w:sz="0" w:space="0" w:color="auto"/>
        <w:right w:val="none" w:sz="0" w:space="0" w:color="auto"/>
      </w:divBdr>
    </w:div>
    <w:div w:id="1463496411">
      <w:bodyDiv w:val="1"/>
      <w:marLeft w:val="0"/>
      <w:marRight w:val="0"/>
      <w:marTop w:val="0"/>
      <w:marBottom w:val="0"/>
      <w:divBdr>
        <w:top w:val="none" w:sz="0" w:space="0" w:color="auto"/>
        <w:left w:val="none" w:sz="0" w:space="0" w:color="auto"/>
        <w:bottom w:val="none" w:sz="0" w:space="0" w:color="auto"/>
        <w:right w:val="none" w:sz="0" w:space="0" w:color="auto"/>
      </w:divBdr>
    </w:div>
    <w:div w:id="1836609140">
      <w:bodyDiv w:val="1"/>
      <w:marLeft w:val="0"/>
      <w:marRight w:val="0"/>
      <w:marTop w:val="0"/>
      <w:marBottom w:val="0"/>
      <w:divBdr>
        <w:top w:val="none" w:sz="0" w:space="0" w:color="auto"/>
        <w:left w:val="none" w:sz="0" w:space="0" w:color="auto"/>
        <w:bottom w:val="none" w:sz="0" w:space="0" w:color="auto"/>
        <w:right w:val="none" w:sz="0" w:space="0" w:color="auto"/>
      </w:divBdr>
    </w:div>
    <w:div w:id="205935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k/collection-items/beowul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scholarship-com.ezproxy.uwtsd.ac.uk/view/10.1093/acprof:oso/9780198785828.001.0001/acprof-9780198785828-chapter-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xforddnb-com.ezproxy.uwtsd.ac.uk/view/10.1093/ref:odnb/9780198614128.001.0001/odnb-9780198614128-e-54442" TargetMode="External"/><Relationship Id="rId4" Type="http://schemas.openxmlformats.org/officeDocument/2006/relationships/settings" Target="settings.xml"/><Relationship Id="rId9" Type="http://schemas.openxmlformats.org/officeDocument/2006/relationships/hyperlink" Target="http://www.heroicage.org/issues/5/porter1.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oxforddnb-com.ezproxy.uwtsd.ac.uk/view/10.1093/ref:odnb/9780198614128.001.0001/odnb-9780198614128-e-54442" TargetMode="External"/><Relationship Id="rId2" Type="http://schemas.openxmlformats.org/officeDocument/2006/relationships/hyperlink" Target="http://www.heroicage.org/issues/5/porter1.html" TargetMode="External"/><Relationship Id="rId1" Type="http://schemas.openxmlformats.org/officeDocument/2006/relationships/hyperlink" Target="https://www.bl.uk/collection-items/beowulf" TargetMode="External"/><Relationship Id="rId4" Type="http://schemas.openxmlformats.org/officeDocument/2006/relationships/hyperlink" Target="https://www-oxfordscholarship-com.ezproxy.uwtsd.ac.uk/view/10.1093/acprof:oso/9780198785828.001.0001/acprof-9780198785828-chapte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64D08-873D-421C-A136-55D59330A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46</Pages>
  <Words>10257</Words>
  <Characters>58471</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dc:creator>
  <cp:keywords/>
  <dc:description/>
  <cp:lastModifiedBy>Melantha</cp:lastModifiedBy>
  <cp:revision>3</cp:revision>
  <dcterms:created xsi:type="dcterms:W3CDTF">2020-05-11T22:21:00Z</dcterms:created>
  <dcterms:modified xsi:type="dcterms:W3CDTF">2020-05-12T09:54:00Z</dcterms:modified>
</cp:coreProperties>
</file>