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ED4B1" w14:textId="77777777" w:rsidR="00824F15" w:rsidRPr="00824F15" w:rsidRDefault="00824F15" w:rsidP="00824F15">
      <w:pPr>
        <w:spacing w:line="259" w:lineRule="auto"/>
        <w:rPr>
          <w:rFonts w:ascii="Segoe UI" w:eastAsia="DengXian" w:hAnsi="Segoe UI" w:cs="Arial"/>
          <w:sz w:val="20"/>
          <w:szCs w:val="22"/>
          <w:lang w:eastAsia="zh-CN"/>
        </w:rPr>
      </w:pPr>
      <w:r w:rsidRPr="00824F15">
        <w:rPr>
          <w:rFonts w:ascii="Segoe UI" w:eastAsia="DengXian" w:hAnsi="Segoe UI" w:cs="Arial"/>
          <w:noProof/>
          <w:sz w:val="20"/>
          <w:szCs w:val="22"/>
          <w:lang w:eastAsia="zh-CN"/>
        </w:rPr>
        <w:drawing>
          <wp:inline distT="0" distB="0" distL="0" distR="0" wp14:anchorId="32B60FC8" wp14:editId="0D883936">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7C246FF" w14:textId="77777777" w:rsidR="00824F15" w:rsidRPr="00824F15" w:rsidRDefault="00824F15" w:rsidP="00824F15">
      <w:pPr>
        <w:spacing w:line="259" w:lineRule="auto"/>
        <w:rPr>
          <w:rFonts w:ascii="Segoe UI" w:eastAsia="DengXian" w:hAnsi="Segoe UI" w:cs="Arial"/>
          <w:sz w:val="20"/>
          <w:szCs w:val="22"/>
          <w:lang w:eastAsia="zh-CN"/>
        </w:rPr>
      </w:pPr>
    </w:p>
    <w:p w14:paraId="132A5D10" w14:textId="77777777" w:rsidR="00824F15" w:rsidRPr="00824F15" w:rsidRDefault="00824F15" w:rsidP="00824F15">
      <w:pPr>
        <w:spacing w:line="259" w:lineRule="auto"/>
        <w:rPr>
          <w:rFonts w:ascii="Segoe UI" w:eastAsia="DengXian" w:hAnsi="Segoe UI" w:cs="Arial"/>
          <w:sz w:val="20"/>
          <w:szCs w:val="22"/>
          <w:lang w:eastAsia="zh-CN"/>
        </w:rPr>
      </w:pPr>
    </w:p>
    <w:p w14:paraId="5B40D9AC" w14:textId="77777777" w:rsidR="00824F15" w:rsidRPr="00824F15" w:rsidRDefault="00824F15" w:rsidP="00824F15">
      <w:pPr>
        <w:spacing w:line="259" w:lineRule="auto"/>
        <w:rPr>
          <w:rFonts w:ascii="Segoe UI" w:eastAsia="DengXian" w:hAnsi="Segoe UI" w:cs="Arial"/>
          <w:sz w:val="20"/>
          <w:szCs w:val="22"/>
          <w:lang w:eastAsia="zh-CN"/>
        </w:rPr>
      </w:pPr>
    </w:p>
    <w:p w14:paraId="61EB716D" w14:textId="77777777" w:rsidR="00824F15" w:rsidRPr="00824F15" w:rsidRDefault="00824F15" w:rsidP="00824F15">
      <w:pPr>
        <w:spacing w:line="259" w:lineRule="auto"/>
        <w:rPr>
          <w:rFonts w:ascii="Segoe UI" w:eastAsia="DengXian" w:hAnsi="Segoe UI" w:cs="Arial"/>
          <w:sz w:val="20"/>
          <w:szCs w:val="22"/>
          <w:lang w:eastAsia="zh-CN"/>
        </w:rPr>
      </w:pPr>
    </w:p>
    <w:p w14:paraId="206B498D" w14:textId="77777777" w:rsidR="00824F15" w:rsidRPr="00824F15" w:rsidRDefault="00824F15" w:rsidP="00824F15">
      <w:pPr>
        <w:spacing w:line="259" w:lineRule="auto"/>
        <w:rPr>
          <w:rFonts w:ascii="Segoe UI" w:eastAsia="DengXian" w:hAnsi="Segoe UI" w:cs="Arial"/>
          <w:sz w:val="20"/>
          <w:szCs w:val="22"/>
          <w:lang w:eastAsia="zh-CN"/>
        </w:rPr>
      </w:pPr>
    </w:p>
    <w:p w14:paraId="4EF16FBA" w14:textId="48C1BB88" w:rsidR="00824F15" w:rsidRPr="00E05CED" w:rsidRDefault="00824F15" w:rsidP="00824F15">
      <w:pPr>
        <w:spacing w:line="259" w:lineRule="auto"/>
        <w:jc w:val="both"/>
        <w:rPr>
          <w:rFonts w:ascii="Arial" w:eastAsia="DengXian" w:hAnsi="Arial" w:cs="Arial"/>
          <w:sz w:val="28"/>
          <w:szCs w:val="28"/>
          <w:lang w:eastAsia="zh-CN"/>
        </w:rPr>
      </w:pPr>
      <w:r w:rsidRPr="00E05CED">
        <w:rPr>
          <w:rFonts w:ascii="Arial" w:eastAsia="DengXian" w:hAnsi="Arial" w:cs="Arial"/>
          <w:sz w:val="28"/>
          <w:szCs w:val="28"/>
          <w:lang w:eastAsia="zh-CN"/>
        </w:rPr>
        <w:t xml:space="preserve">Name: </w:t>
      </w:r>
      <w:r w:rsidR="00E05CED" w:rsidRPr="00E05CED">
        <w:rPr>
          <w:rFonts w:ascii="Arial" w:eastAsia="DengXian" w:hAnsi="Arial" w:cs="Arial"/>
          <w:sz w:val="28"/>
          <w:szCs w:val="28"/>
          <w:lang w:eastAsia="zh-CN"/>
        </w:rPr>
        <w:t>Liudmyla Radchenko</w:t>
      </w:r>
    </w:p>
    <w:p w14:paraId="1F5813AE" w14:textId="4BA60DB5" w:rsidR="00824F15" w:rsidRPr="00E05CED" w:rsidRDefault="00824F15" w:rsidP="00824F15">
      <w:pPr>
        <w:spacing w:line="259" w:lineRule="auto"/>
        <w:jc w:val="both"/>
        <w:rPr>
          <w:rFonts w:ascii="Arial" w:eastAsia="DengXian" w:hAnsi="Arial" w:cs="Arial"/>
          <w:sz w:val="28"/>
          <w:szCs w:val="28"/>
          <w:lang w:eastAsia="zh-CN"/>
        </w:rPr>
      </w:pPr>
      <w:r w:rsidRPr="00E05CED">
        <w:rPr>
          <w:rFonts w:ascii="Arial" w:eastAsia="DengXian" w:hAnsi="Arial" w:cs="Arial"/>
          <w:sz w:val="28"/>
          <w:szCs w:val="28"/>
          <w:lang w:eastAsia="zh-CN"/>
        </w:rPr>
        <w:t>Student ID: 250925</w:t>
      </w:r>
      <w:r w:rsidR="00530D56">
        <w:rPr>
          <w:rFonts w:ascii="Arial" w:eastAsia="DengXian" w:hAnsi="Arial" w:cs="Arial"/>
          <w:sz w:val="28"/>
          <w:szCs w:val="28"/>
          <w:lang w:eastAsia="zh-CN"/>
        </w:rPr>
        <w:t>6</w:t>
      </w:r>
    </w:p>
    <w:p w14:paraId="10F7BD46" w14:textId="03B805E9" w:rsidR="00824F15" w:rsidRPr="00E05CED" w:rsidRDefault="00824F15" w:rsidP="00824F15">
      <w:pPr>
        <w:spacing w:line="259" w:lineRule="auto"/>
        <w:jc w:val="both"/>
        <w:rPr>
          <w:rFonts w:ascii="Arial" w:eastAsia="DengXian" w:hAnsi="Arial" w:cs="Arial"/>
          <w:sz w:val="28"/>
          <w:szCs w:val="28"/>
          <w:lang w:eastAsia="zh-CN"/>
        </w:rPr>
      </w:pPr>
      <w:r w:rsidRPr="00E05CED">
        <w:rPr>
          <w:rFonts w:ascii="Arial" w:eastAsia="DengXian" w:hAnsi="Arial" w:cs="Arial"/>
          <w:sz w:val="28"/>
          <w:szCs w:val="28"/>
          <w:lang w:eastAsia="zh-CN"/>
        </w:rPr>
        <w:t xml:space="preserve">Module Code: </w:t>
      </w:r>
      <w:r w:rsidR="00530D56" w:rsidRPr="00530D56">
        <w:rPr>
          <w:rFonts w:ascii="Arial" w:eastAsia="DengXian" w:hAnsi="Arial" w:cs="Arial"/>
          <w:sz w:val="28"/>
          <w:szCs w:val="28"/>
          <w:lang w:eastAsia="zh-CN"/>
        </w:rPr>
        <w:t>BMHP5023</w:t>
      </w:r>
    </w:p>
    <w:p w14:paraId="0B24EFB7" w14:textId="2ADC4D1E" w:rsidR="00824F15" w:rsidRPr="00E05CED" w:rsidRDefault="00824F15" w:rsidP="00824F15">
      <w:pPr>
        <w:spacing w:line="259" w:lineRule="auto"/>
        <w:jc w:val="both"/>
        <w:rPr>
          <w:rFonts w:ascii="Arial" w:eastAsia="DengXian" w:hAnsi="Arial" w:cs="Arial"/>
          <w:sz w:val="28"/>
          <w:szCs w:val="28"/>
          <w:lang w:eastAsia="zh-CN"/>
        </w:rPr>
      </w:pPr>
      <w:r w:rsidRPr="00E05CED">
        <w:rPr>
          <w:rFonts w:ascii="Arial" w:eastAsia="DengXian" w:hAnsi="Arial" w:cs="Arial"/>
          <w:sz w:val="28"/>
          <w:szCs w:val="28"/>
          <w:lang w:eastAsia="zh-CN"/>
        </w:rPr>
        <w:t xml:space="preserve">Module: </w:t>
      </w:r>
      <w:r w:rsidR="00530D56" w:rsidRPr="00530D56">
        <w:rPr>
          <w:rFonts w:ascii="Arial" w:eastAsia="DengXian" w:hAnsi="Arial" w:cs="Arial"/>
          <w:sz w:val="28"/>
          <w:szCs w:val="28"/>
          <w:lang w:eastAsia="zh-CN"/>
        </w:rPr>
        <w:t>Introduction to Physiology</w:t>
      </w:r>
    </w:p>
    <w:p w14:paraId="2F069147" w14:textId="77777777" w:rsidR="00E05CED" w:rsidRPr="00E05CED" w:rsidRDefault="00E05CED" w:rsidP="00E05CED">
      <w:pPr>
        <w:rPr>
          <w:rFonts w:ascii="Arial" w:hAnsi="Arial" w:cs="Arial"/>
          <w:sz w:val="28"/>
          <w:szCs w:val="28"/>
        </w:rPr>
      </w:pPr>
      <w:r w:rsidRPr="00E05CED">
        <w:rPr>
          <w:rFonts w:ascii="Arial" w:hAnsi="Arial" w:cs="Arial"/>
          <w:sz w:val="28"/>
          <w:szCs w:val="28"/>
        </w:rPr>
        <w:t>Component 1: Written Assignment (Case Study Report)</w:t>
      </w:r>
    </w:p>
    <w:p w14:paraId="5726DFA4" w14:textId="63595B8E" w:rsidR="00E05CED" w:rsidRPr="00E05CED" w:rsidRDefault="00E05CED" w:rsidP="00E05CED">
      <w:pPr>
        <w:rPr>
          <w:rFonts w:ascii="Arial" w:hAnsi="Arial" w:cs="Arial"/>
          <w:sz w:val="28"/>
          <w:szCs w:val="28"/>
        </w:rPr>
      </w:pPr>
      <w:r w:rsidRPr="00E05CED">
        <w:rPr>
          <w:rFonts w:ascii="Arial" w:hAnsi="Arial" w:cs="Arial"/>
          <w:sz w:val="28"/>
          <w:szCs w:val="28"/>
        </w:rPr>
        <w:t>Case Study 1: Type 2 Diabetes</w:t>
      </w:r>
    </w:p>
    <w:p w14:paraId="230CE552" w14:textId="37FA9F95" w:rsidR="00824F15" w:rsidRPr="00E05CED" w:rsidRDefault="00824F15" w:rsidP="00824F15">
      <w:pPr>
        <w:spacing w:line="259" w:lineRule="auto"/>
        <w:jc w:val="both"/>
        <w:rPr>
          <w:rFonts w:ascii="Arial" w:eastAsia="DengXian" w:hAnsi="Arial" w:cs="Arial"/>
          <w:sz w:val="28"/>
          <w:szCs w:val="28"/>
          <w:lang w:eastAsia="zh-CN"/>
        </w:rPr>
      </w:pPr>
      <w:r w:rsidRPr="00E05CED">
        <w:rPr>
          <w:rFonts w:ascii="Arial" w:eastAsia="DengXian" w:hAnsi="Arial" w:cs="Arial"/>
          <w:sz w:val="28"/>
          <w:szCs w:val="28"/>
          <w:lang w:eastAsia="zh-CN"/>
        </w:rPr>
        <w:t xml:space="preserve">Lecturer: </w:t>
      </w:r>
      <w:r w:rsidR="00530D56" w:rsidRPr="00530D56">
        <w:rPr>
          <w:rFonts w:ascii="Arial" w:eastAsia="DengXian" w:hAnsi="Arial" w:cs="Arial"/>
          <w:sz w:val="28"/>
          <w:szCs w:val="28"/>
          <w:lang w:eastAsia="zh-CN"/>
        </w:rPr>
        <w:t>Gillian Weaver</w:t>
      </w:r>
    </w:p>
    <w:p w14:paraId="40C64A37" w14:textId="77777777" w:rsidR="00824F15" w:rsidRPr="00824F15" w:rsidRDefault="00824F15" w:rsidP="00824F15">
      <w:pPr>
        <w:spacing w:line="259" w:lineRule="auto"/>
        <w:jc w:val="both"/>
        <w:rPr>
          <w:rFonts w:ascii="Arial" w:eastAsia="DengXian" w:hAnsi="Arial" w:cs="Arial"/>
          <w:sz w:val="28"/>
          <w:szCs w:val="28"/>
          <w:lang w:eastAsia="zh-CN"/>
        </w:rPr>
      </w:pPr>
    </w:p>
    <w:p w14:paraId="1219E824" w14:textId="77777777" w:rsidR="00824F15" w:rsidRPr="00824F15" w:rsidRDefault="00824F15" w:rsidP="00824F15">
      <w:pPr>
        <w:spacing w:line="259" w:lineRule="auto"/>
        <w:jc w:val="both"/>
        <w:rPr>
          <w:rFonts w:ascii="Arial" w:eastAsia="DengXian" w:hAnsi="Arial" w:cs="Arial"/>
          <w:sz w:val="28"/>
          <w:szCs w:val="28"/>
          <w:lang w:eastAsia="zh-CN"/>
        </w:rPr>
      </w:pPr>
    </w:p>
    <w:p w14:paraId="06EB5D7C" w14:textId="77777777" w:rsidR="00824F15" w:rsidRPr="00824F15" w:rsidRDefault="00824F15" w:rsidP="00824F15">
      <w:pPr>
        <w:spacing w:line="259" w:lineRule="auto"/>
        <w:jc w:val="both"/>
        <w:rPr>
          <w:rFonts w:ascii="Arial" w:eastAsia="DengXian" w:hAnsi="Arial" w:cs="Arial"/>
          <w:sz w:val="28"/>
          <w:szCs w:val="28"/>
          <w:lang w:eastAsia="zh-CN"/>
        </w:rPr>
      </w:pPr>
    </w:p>
    <w:p w14:paraId="0E6E1E90" w14:textId="77777777" w:rsidR="00824F15" w:rsidRPr="00824F15" w:rsidRDefault="00824F15" w:rsidP="00824F15">
      <w:pPr>
        <w:spacing w:line="259" w:lineRule="auto"/>
        <w:jc w:val="both"/>
        <w:rPr>
          <w:rFonts w:ascii="Arial" w:eastAsia="DengXian" w:hAnsi="Arial" w:cs="Arial"/>
          <w:sz w:val="28"/>
          <w:szCs w:val="28"/>
          <w:lang w:eastAsia="zh-CN"/>
        </w:rPr>
      </w:pPr>
    </w:p>
    <w:p w14:paraId="31973CDA" w14:textId="77777777" w:rsidR="00824F15" w:rsidRPr="00824F15" w:rsidRDefault="00824F15" w:rsidP="00824F15">
      <w:pPr>
        <w:spacing w:line="259" w:lineRule="auto"/>
        <w:jc w:val="both"/>
        <w:rPr>
          <w:rFonts w:ascii="Arial" w:eastAsia="DengXian" w:hAnsi="Arial" w:cs="Arial"/>
          <w:sz w:val="28"/>
          <w:szCs w:val="28"/>
          <w:lang w:eastAsia="zh-CN"/>
        </w:rPr>
      </w:pPr>
    </w:p>
    <w:p w14:paraId="12063610" w14:textId="77777777" w:rsidR="00824F15" w:rsidRPr="00824F15" w:rsidRDefault="00824F15" w:rsidP="00824F15">
      <w:pPr>
        <w:spacing w:line="259" w:lineRule="auto"/>
        <w:jc w:val="both"/>
        <w:rPr>
          <w:rFonts w:ascii="Arial" w:eastAsia="DengXian" w:hAnsi="Arial" w:cs="Arial"/>
          <w:sz w:val="28"/>
          <w:szCs w:val="28"/>
          <w:lang w:eastAsia="zh-CN"/>
        </w:rPr>
      </w:pPr>
    </w:p>
    <w:p w14:paraId="1354C680" w14:textId="77777777" w:rsidR="00824F15" w:rsidRPr="00824F15" w:rsidRDefault="00824F15" w:rsidP="00824F15">
      <w:pPr>
        <w:spacing w:line="259" w:lineRule="auto"/>
        <w:jc w:val="both"/>
        <w:rPr>
          <w:rFonts w:ascii="Arial" w:eastAsia="DengXian" w:hAnsi="Arial" w:cs="Arial"/>
          <w:sz w:val="28"/>
          <w:szCs w:val="28"/>
          <w:lang w:eastAsia="zh-CN"/>
        </w:rPr>
      </w:pPr>
    </w:p>
    <w:p w14:paraId="364FE94D" w14:textId="3D8E0A13" w:rsidR="00824F15" w:rsidRPr="00824F15" w:rsidRDefault="00824F15" w:rsidP="00824F15">
      <w:pPr>
        <w:spacing w:line="259" w:lineRule="auto"/>
        <w:jc w:val="both"/>
        <w:rPr>
          <w:rFonts w:ascii="Arial" w:eastAsia="DengXian" w:hAnsi="Arial" w:cs="Arial"/>
          <w:sz w:val="28"/>
          <w:szCs w:val="28"/>
          <w:lang w:eastAsia="zh-CN"/>
        </w:rPr>
      </w:pPr>
      <w:r w:rsidRPr="00824F15">
        <w:rPr>
          <w:rFonts w:ascii="Arial" w:eastAsia="DengXian" w:hAnsi="Arial" w:cs="Arial"/>
          <w:sz w:val="28"/>
          <w:szCs w:val="28"/>
          <w:lang w:eastAsia="zh-CN"/>
        </w:rPr>
        <w:tab/>
      </w:r>
      <w:r w:rsidRPr="00824F15">
        <w:rPr>
          <w:rFonts w:ascii="Arial" w:eastAsia="DengXian" w:hAnsi="Arial" w:cs="Arial"/>
          <w:sz w:val="28"/>
          <w:szCs w:val="28"/>
          <w:lang w:eastAsia="zh-CN"/>
        </w:rPr>
        <w:tab/>
      </w:r>
      <w:r w:rsidRPr="00824F15">
        <w:rPr>
          <w:rFonts w:ascii="Arial" w:eastAsia="DengXian" w:hAnsi="Arial" w:cs="Arial"/>
          <w:sz w:val="28"/>
          <w:szCs w:val="28"/>
          <w:lang w:eastAsia="zh-CN"/>
        </w:rPr>
        <w:tab/>
      </w:r>
      <w:r w:rsidRPr="00824F15">
        <w:rPr>
          <w:rFonts w:ascii="Arial" w:eastAsia="DengXian" w:hAnsi="Arial" w:cs="Arial"/>
          <w:sz w:val="28"/>
          <w:szCs w:val="28"/>
          <w:lang w:eastAsia="zh-CN"/>
        </w:rPr>
        <w:tab/>
        <w:t>Submitted on:</w:t>
      </w:r>
      <w:r w:rsidR="00530D56">
        <w:rPr>
          <w:rFonts w:ascii="Arial" w:eastAsia="DengXian" w:hAnsi="Arial" w:cs="Arial"/>
          <w:sz w:val="28"/>
          <w:szCs w:val="28"/>
          <w:lang w:eastAsia="zh-CN"/>
        </w:rPr>
        <w:t xml:space="preserve"> 25.10.2026</w:t>
      </w:r>
    </w:p>
    <w:p w14:paraId="6E8DE9F2" w14:textId="6CEF05D7" w:rsidR="00FE02A4" w:rsidRDefault="00FE02A4" w:rsidP="00FE02A4"/>
    <w:p w14:paraId="299483A3" w14:textId="77777777" w:rsidR="00863061" w:rsidRDefault="00863061" w:rsidP="00FE02A4"/>
    <w:p w14:paraId="038D3DC4" w14:textId="77777777" w:rsidR="00863061" w:rsidRDefault="00863061" w:rsidP="00FE02A4"/>
    <w:p w14:paraId="51F8185D" w14:textId="77777777" w:rsidR="003C192E" w:rsidRDefault="003C192E" w:rsidP="00FE02A4"/>
    <w:sdt>
      <w:sdtPr>
        <w:rPr>
          <w:rFonts w:asciiTheme="minorHAnsi" w:eastAsiaTheme="minorEastAsia" w:hAnsiTheme="minorHAnsi" w:cstheme="minorBidi"/>
          <w:color w:val="auto"/>
          <w:kern w:val="2"/>
          <w:sz w:val="24"/>
          <w:szCs w:val="24"/>
          <w:lang w:val="en-GB" w:eastAsia="en-GB"/>
          <w14:ligatures w14:val="standardContextual"/>
        </w:rPr>
        <w:id w:val="-218361882"/>
        <w:docPartObj>
          <w:docPartGallery w:val="Table of Contents"/>
          <w:docPartUnique/>
        </w:docPartObj>
      </w:sdtPr>
      <w:sdtEndPr>
        <w:rPr>
          <w:b/>
          <w:bCs/>
          <w:noProof/>
        </w:rPr>
      </w:sdtEndPr>
      <w:sdtContent>
        <w:p w14:paraId="76FAE109" w14:textId="2C2A9ABA" w:rsidR="005C1BF6" w:rsidRPr="005C1BF6" w:rsidRDefault="005C1BF6">
          <w:pPr>
            <w:pStyle w:val="TOCHeading"/>
            <w:rPr>
              <w:b/>
              <w:bCs/>
              <w:sz w:val="40"/>
              <w:szCs w:val="40"/>
            </w:rPr>
          </w:pPr>
          <w:r w:rsidRPr="005C1BF6">
            <w:rPr>
              <w:b/>
              <w:bCs/>
              <w:sz w:val="40"/>
              <w:szCs w:val="40"/>
            </w:rPr>
            <w:t>Contents</w:t>
          </w:r>
        </w:p>
        <w:p w14:paraId="5F4F9155" w14:textId="1D80C2BD" w:rsidR="005C1BF6" w:rsidRPr="00710DFF" w:rsidRDefault="005C1BF6">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243501043" w:history="1">
            <w:r w:rsidRPr="00710DFF">
              <w:rPr>
                <w:rStyle w:val="Hyperlink"/>
                <w:rFonts w:ascii="Arial" w:hAnsi="Arial" w:cs="Arial"/>
                <w:noProof/>
              </w:rPr>
              <w:t>Introduction</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_Toc243501043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3</w:t>
            </w:r>
            <w:r w:rsidRPr="00710DFF">
              <w:rPr>
                <w:rFonts w:ascii="Arial" w:hAnsi="Arial" w:cs="Arial"/>
                <w:noProof/>
                <w:webHidden/>
              </w:rPr>
              <w:fldChar w:fldCharType="end"/>
            </w:r>
          </w:hyperlink>
        </w:p>
        <w:p w14:paraId="0A8748F7" w14:textId="0AA7C86E" w:rsidR="005C1BF6" w:rsidRPr="00710DFF" w:rsidRDefault="005C1BF6">
          <w:pPr>
            <w:pStyle w:val="TOC1"/>
            <w:tabs>
              <w:tab w:val="right" w:leader="dot" w:pos="9016"/>
            </w:tabs>
            <w:rPr>
              <w:rFonts w:ascii="Arial" w:hAnsi="Arial" w:cs="Arial"/>
              <w:noProof/>
            </w:rPr>
          </w:pPr>
          <w:hyperlink w:anchor="_Toc243501044" w:history="1">
            <w:r w:rsidRPr="00710DFF">
              <w:rPr>
                <w:rStyle w:val="Hyperlink"/>
                <w:rFonts w:ascii="Arial" w:hAnsi="Arial" w:cs="Arial"/>
                <w:noProof/>
              </w:rPr>
              <w:t>Regulation of Blood Glucose and Cell Metabolism</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_Toc243501044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3</w:t>
            </w:r>
            <w:r w:rsidRPr="00710DFF">
              <w:rPr>
                <w:rFonts w:ascii="Arial" w:hAnsi="Arial" w:cs="Arial"/>
                <w:noProof/>
                <w:webHidden/>
              </w:rPr>
              <w:fldChar w:fldCharType="end"/>
            </w:r>
          </w:hyperlink>
        </w:p>
        <w:p w14:paraId="0306F278" w14:textId="3CEAC2CF" w:rsidR="005C1BF6" w:rsidRPr="00710DFF" w:rsidRDefault="005C1BF6">
          <w:pPr>
            <w:pStyle w:val="TOC1"/>
            <w:tabs>
              <w:tab w:val="right" w:leader="dot" w:pos="9016"/>
            </w:tabs>
            <w:rPr>
              <w:rFonts w:ascii="Arial" w:hAnsi="Arial" w:cs="Arial"/>
              <w:noProof/>
            </w:rPr>
          </w:pPr>
          <w:hyperlink w:anchor="_Toc243501045" w:history="1">
            <w:r w:rsidRPr="00710DFF">
              <w:rPr>
                <w:rStyle w:val="Hyperlink"/>
                <w:rFonts w:ascii="Arial" w:hAnsi="Arial" w:cs="Arial"/>
                <w:noProof/>
              </w:rPr>
              <w:t>Pathophysiology and Impact of Type 2 Diabetes</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_Toc243501045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5</w:t>
            </w:r>
            <w:r w:rsidRPr="00710DFF">
              <w:rPr>
                <w:rFonts w:ascii="Arial" w:hAnsi="Arial" w:cs="Arial"/>
                <w:noProof/>
                <w:webHidden/>
              </w:rPr>
              <w:fldChar w:fldCharType="end"/>
            </w:r>
          </w:hyperlink>
        </w:p>
        <w:p w14:paraId="3C9084B1" w14:textId="61905BB3" w:rsidR="005C1BF6" w:rsidRPr="00710DFF" w:rsidRDefault="005C1BF6">
          <w:pPr>
            <w:pStyle w:val="TOC1"/>
            <w:tabs>
              <w:tab w:val="right" w:leader="dot" w:pos="9016"/>
            </w:tabs>
            <w:rPr>
              <w:rFonts w:ascii="Arial" w:hAnsi="Arial" w:cs="Arial"/>
              <w:noProof/>
            </w:rPr>
          </w:pPr>
          <w:hyperlink w:anchor="_Toc243501046" w:history="1">
            <w:r w:rsidRPr="00710DFF">
              <w:rPr>
                <w:rStyle w:val="Hyperlink"/>
                <w:rFonts w:ascii="Arial" w:hAnsi="Arial" w:cs="Arial"/>
                <w:noProof/>
              </w:rPr>
              <w:t>Monitoring and Use of Blood Glucose Data</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_Toc243501046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5</w:t>
            </w:r>
            <w:r w:rsidRPr="00710DFF">
              <w:rPr>
                <w:rFonts w:ascii="Arial" w:hAnsi="Arial" w:cs="Arial"/>
                <w:noProof/>
                <w:webHidden/>
              </w:rPr>
              <w:fldChar w:fldCharType="end"/>
            </w:r>
          </w:hyperlink>
        </w:p>
        <w:p w14:paraId="0F3F3C65" w14:textId="6FAE796B" w:rsidR="005C1BF6" w:rsidRPr="00710DFF" w:rsidRDefault="005C1BF6">
          <w:pPr>
            <w:pStyle w:val="TOC1"/>
            <w:tabs>
              <w:tab w:val="right" w:leader="dot" w:pos="9016"/>
            </w:tabs>
            <w:rPr>
              <w:rFonts w:ascii="Arial" w:hAnsi="Arial" w:cs="Arial"/>
              <w:noProof/>
            </w:rPr>
          </w:pPr>
          <w:hyperlink w:anchor="_Toc243501047" w:history="1">
            <w:r w:rsidRPr="00710DFF">
              <w:rPr>
                <w:rStyle w:val="Hyperlink"/>
                <w:rFonts w:ascii="Arial" w:hAnsi="Arial" w:cs="Arial"/>
                <w:noProof/>
              </w:rPr>
              <w:t>Evidence-Based Lifestyle Recommendations</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_Toc243501047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6</w:t>
            </w:r>
            <w:r w:rsidRPr="00710DFF">
              <w:rPr>
                <w:rFonts w:ascii="Arial" w:hAnsi="Arial" w:cs="Arial"/>
                <w:noProof/>
                <w:webHidden/>
              </w:rPr>
              <w:fldChar w:fldCharType="end"/>
            </w:r>
          </w:hyperlink>
        </w:p>
        <w:p w14:paraId="07FC9AC1" w14:textId="0AE4E969" w:rsidR="005C1BF6" w:rsidRPr="00710DFF" w:rsidRDefault="005C1BF6">
          <w:pPr>
            <w:pStyle w:val="TOC1"/>
            <w:tabs>
              <w:tab w:val="right" w:leader="dot" w:pos="9016"/>
            </w:tabs>
            <w:rPr>
              <w:rFonts w:ascii="Arial" w:hAnsi="Arial" w:cs="Arial"/>
              <w:noProof/>
            </w:rPr>
          </w:pPr>
          <w:hyperlink w:anchor="_Toc243501048" w:history="1">
            <w:r w:rsidRPr="00710DFF">
              <w:rPr>
                <w:rStyle w:val="Hyperlink"/>
                <w:rFonts w:ascii="Arial" w:hAnsi="Arial" w:cs="Arial"/>
                <w:noProof/>
              </w:rPr>
              <w:t>Conclusion</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_Toc243501048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7</w:t>
            </w:r>
            <w:r w:rsidRPr="00710DFF">
              <w:rPr>
                <w:rFonts w:ascii="Arial" w:hAnsi="Arial" w:cs="Arial"/>
                <w:noProof/>
                <w:webHidden/>
              </w:rPr>
              <w:fldChar w:fldCharType="end"/>
            </w:r>
          </w:hyperlink>
        </w:p>
        <w:p w14:paraId="00C98A1A" w14:textId="1295FF38" w:rsidR="005C1BF6" w:rsidRPr="00710DFF" w:rsidRDefault="005C1BF6">
          <w:pPr>
            <w:pStyle w:val="TOC1"/>
            <w:tabs>
              <w:tab w:val="right" w:leader="dot" w:pos="9016"/>
            </w:tabs>
            <w:rPr>
              <w:noProof/>
            </w:rPr>
          </w:pPr>
          <w:hyperlink w:anchor="_Toc243501049" w:history="1">
            <w:r w:rsidRPr="00710DFF">
              <w:rPr>
                <w:rStyle w:val="Hyperlink"/>
                <w:rFonts w:ascii="Arial" w:hAnsi="Arial" w:cs="Arial"/>
                <w:noProof/>
              </w:rPr>
              <w:t>Reference List:</w:t>
            </w:r>
            <w:r w:rsidRPr="00710DFF">
              <w:rPr>
                <w:rFonts w:ascii="Arial" w:hAnsi="Arial" w:cs="Arial"/>
                <w:noProof/>
                <w:webHidden/>
              </w:rPr>
              <w:tab/>
            </w:r>
            <w:r w:rsidRPr="00710DFF">
              <w:rPr>
                <w:rFonts w:ascii="Arial" w:hAnsi="Arial" w:cs="Arial"/>
                <w:noProof/>
                <w:webHidden/>
              </w:rPr>
              <w:fldChar w:fldCharType="begin"/>
            </w:r>
            <w:r w:rsidRPr="00710DFF">
              <w:rPr>
                <w:rFonts w:ascii="Arial" w:hAnsi="Arial" w:cs="Arial"/>
                <w:noProof/>
                <w:webHidden/>
              </w:rPr>
              <w:instrText xml:space="preserve"> PAGEREF _Toc243501049 \h </w:instrText>
            </w:r>
            <w:r w:rsidRPr="00710DFF">
              <w:rPr>
                <w:rFonts w:ascii="Arial" w:hAnsi="Arial" w:cs="Arial"/>
                <w:noProof/>
                <w:webHidden/>
              </w:rPr>
            </w:r>
            <w:r w:rsidRPr="00710DFF">
              <w:rPr>
                <w:rFonts w:ascii="Arial" w:hAnsi="Arial" w:cs="Arial"/>
                <w:noProof/>
                <w:webHidden/>
              </w:rPr>
              <w:fldChar w:fldCharType="separate"/>
            </w:r>
            <w:r w:rsidRPr="00710DFF">
              <w:rPr>
                <w:rFonts w:ascii="Arial" w:hAnsi="Arial" w:cs="Arial"/>
                <w:noProof/>
                <w:webHidden/>
              </w:rPr>
              <w:t>9</w:t>
            </w:r>
            <w:r w:rsidRPr="00710DFF">
              <w:rPr>
                <w:rFonts w:ascii="Arial" w:hAnsi="Arial" w:cs="Arial"/>
                <w:noProof/>
                <w:webHidden/>
              </w:rPr>
              <w:fldChar w:fldCharType="end"/>
            </w:r>
          </w:hyperlink>
        </w:p>
        <w:p w14:paraId="1197FBA7" w14:textId="1F6CCE14" w:rsidR="005C1BF6" w:rsidRDefault="005C1BF6">
          <w:r>
            <w:rPr>
              <w:b/>
              <w:bCs/>
              <w:noProof/>
            </w:rPr>
            <w:fldChar w:fldCharType="end"/>
          </w:r>
        </w:p>
      </w:sdtContent>
    </w:sdt>
    <w:p w14:paraId="5A80B113" w14:textId="77777777" w:rsidR="003C192E" w:rsidRDefault="003C192E" w:rsidP="00FE02A4"/>
    <w:p w14:paraId="6437B6BF" w14:textId="77777777" w:rsidR="003C192E" w:rsidRDefault="003C192E" w:rsidP="00FE02A4"/>
    <w:p w14:paraId="3F23BC1E" w14:textId="77777777" w:rsidR="003C192E" w:rsidRDefault="003C192E" w:rsidP="00FE02A4"/>
    <w:p w14:paraId="3CB6F474" w14:textId="77777777" w:rsidR="003C192E" w:rsidRDefault="003C192E" w:rsidP="00FE02A4"/>
    <w:p w14:paraId="3A608160" w14:textId="77777777" w:rsidR="003C192E" w:rsidRDefault="003C192E" w:rsidP="00FE02A4"/>
    <w:p w14:paraId="52451B2B" w14:textId="77777777" w:rsidR="003C192E" w:rsidRDefault="003C192E" w:rsidP="00FE02A4"/>
    <w:p w14:paraId="142E479B" w14:textId="77777777" w:rsidR="003C192E" w:rsidRDefault="003C192E" w:rsidP="00FE02A4"/>
    <w:p w14:paraId="4A03F339" w14:textId="77777777" w:rsidR="003C192E" w:rsidRDefault="003C192E" w:rsidP="00FE02A4"/>
    <w:p w14:paraId="7425E12F" w14:textId="77777777" w:rsidR="003C192E" w:rsidRDefault="003C192E" w:rsidP="00FE02A4"/>
    <w:p w14:paraId="6F6105A1" w14:textId="77777777" w:rsidR="003C192E" w:rsidRDefault="003C192E" w:rsidP="00FE02A4"/>
    <w:p w14:paraId="4639C7F7" w14:textId="77777777" w:rsidR="003C192E" w:rsidRDefault="003C192E" w:rsidP="00FE02A4"/>
    <w:p w14:paraId="2858EF13" w14:textId="77777777" w:rsidR="003C192E" w:rsidRDefault="003C192E" w:rsidP="00FE02A4"/>
    <w:p w14:paraId="67A748B3" w14:textId="77777777" w:rsidR="003C192E" w:rsidRDefault="003C192E" w:rsidP="00FE02A4"/>
    <w:p w14:paraId="78C7017D" w14:textId="77777777" w:rsidR="003C192E" w:rsidRDefault="003C192E" w:rsidP="00FE02A4"/>
    <w:p w14:paraId="26C0FAF2" w14:textId="77777777" w:rsidR="003C192E" w:rsidRDefault="003C192E" w:rsidP="00FE02A4"/>
    <w:p w14:paraId="2DBCA675" w14:textId="77777777" w:rsidR="003C192E" w:rsidRDefault="003C192E" w:rsidP="00FE02A4"/>
    <w:p w14:paraId="34AFDD19" w14:textId="77777777" w:rsidR="00F873CE" w:rsidRDefault="00F873CE" w:rsidP="00FE02A4"/>
    <w:p w14:paraId="7ADA50DF" w14:textId="77777777" w:rsidR="00F873CE" w:rsidRDefault="00F873CE" w:rsidP="00FE02A4"/>
    <w:p w14:paraId="32EAAC1B" w14:textId="77777777" w:rsidR="00F873CE" w:rsidRDefault="00F873CE" w:rsidP="00FE02A4"/>
    <w:p w14:paraId="29EBB6B0" w14:textId="77777777" w:rsidR="003C192E" w:rsidRDefault="003C192E" w:rsidP="00FE02A4"/>
    <w:p w14:paraId="2D9698DA" w14:textId="1C61B7B9" w:rsidR="00FE02A4" w:rsidRPr="005C1BF6" w:rsidRDefault="00FE02A4" w:rsidP="005C1BF6">
      <w:pPr>
        <w:pStyle w:val="Heading1"/>
        <w:rPr>
          <w:rFonts w:ascii="Arial" w:hAnsi="Arial" w:cs="Arial"/>
          <w:b/>
          <w:bCs/>
          <w:sz w:val="28"/>
          <w:szCs w:val="28"/>
          <w:u w:val="single"/>
        </w:rPr>
      </w:pPr>
      <w:bookmarkStart w:id="0" w:name="_Toc243501043"/>
      <w:r w:rsidRPr="005C1BF6">
        <w:rPr>
          <w:rFonts w:ascii="Arial" w:hAnsi="Arial" w:cs="Arial"/>
          <w:b/>
          <w:bCs/>
          <w:sz w:val="28"/>
          <w:szCs w:val="28"/>
          <w:u w:val="single"/>
        </w:rPr>
        <w:lastRenderedPageBreak/>
        <w:t>Introduction</w:t>
      </w:r>
      <w:bookmarkEnd w:id="0"/>
    </w:p>
    <w:p w14:paraId="1D6078BB" w14:textId="188E0BA7"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Every day, our body works to keep blood glucose at a healthy level. Glucose provides energy for our cells, and the body controls its level through a process called homeostasis. Different body systems work together to maintain this balance, even when conditions change (Scanlon and Sanders, 2018).</w:t>
      </w:r>
    </w:p>
    <w:p w14:paraId="557D5D46" w14:textId="0ECC19C7"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In Type 2 diabetes, this balance is affected because the body does not respond properly to insulin and over time may not produce enough of it. As a result, blood glucose levels become too high. If this continues, it can damage blood vessels and nerves and increase the risk of cardiovascular disease, kidney problems and damage to the eyes (World Health Organization, 2024).</w:t>
      </w:r>
    </w:p>
    <w:p w14:paraId="79BDE6CC" w14:textId="16E137F3"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Several factors can increase the risk of Type 2 diabetes, including being overweight, lack of physical activity, an unhealthy diet, family history, age and ethnic background. Although some factors cannot be changed, healthy eating, regular exercise, maintaining a healthy weight and avoiding smoking can help reduce the risk and support people who already have the condition (NHS, 2025).</w:t>
      </w:r>
    </w:p>
    <w:p w14:paraId="054C086A" w14:textId="592C2052"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As a practice nurse, it is important to help patients understand their condition and manage it in everyday life. This report will explain how blood glucose is controlled and how cells use glucose and oxygen to produce energy. It will also discuss blood glucose monitoring and lifestyle changes, including diet, physical activity and smoking.</w:t>
      </w:r>
    </w:p>
    <w:p w14:paraId="74670890" w14:textId="77777777" w:rsidR="00FE02A4" w:rsidRPr="0064334E" w:rsidRDefault="00FE02A4" w:rsidP="005D087C">
      <w:pPr>
        <w:spacing w:line="360" w:lineRule="auto"/>
        <w:jc w:val="both"/>
        <w:rPr>
          <w:rFonts w:ascii="Arial" w:hAnsi="Arial" w:cs="Arial"/>
          <w:sz w:val="22"/>
          <w:szCs w:val="22"/>
        </w:rPr>
      </w:pPr>
    </w:p>
    <w:p w14:paraId="040E8161" w14:textId="76AA8E38" w:rsidR="00FE02A4" w:rsidRPr="005C1BF6" w:rsidRDefault="00FE02A4" w:rsidP="005C1BF6">
      <w:pPr>
        <w:pStyle w:val="Heading1"/>
        <w:rPr>
          <w:rFonts w:ascii="Arial" w:hAnsi="Arial" w:cs="Arial"/>
          <w:b/>
          <w:bCs/>
          <w:sz w:val="28"/>
          <w:szCs w:val="28"/>
          <w:u w:val="single"/>
        </w:rPr>
      </w:pPr>
      <w:bookmarkStart w:id="1" w:name="_Toc243501044"/>
      <w:r w:rsidRPr="005C1BF6">
        <w:rPr>
          <w:rFonts w:ascii="Arial" w:hAnsi="Arial" w:cs="Arial"/>
          <w:b/>
          <w:bCs/>
          <w:sz w:val="28"/>
          <w:szCs w:val="28"/>
          <w:u w:val="single"/>
        </w:rPr>
        <w:t>Regulation of Blood Glucose and Cell Metabolism</w:t>
      </w:r>
      <w:bookmarkEnd w:id="1"/>
    </w:p>
    <w:p w14:paraId="237E28AE" w14:textId="5779EEDF"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Blood glucose needs to be controlled because glucose is an important source of energy for the body’s cells. After a person eats food containing carbohydrates, digestion breaks the food down into smaller substances which can be absorbed. These nutrients pass from the digestive system into the blood. The circulatory system then transports them around the body to where they are needed. This is one example of how different body systems work together rather than working separately (Scanlon and Sanders, 2018).</w:t>
      </w:r>
    </w:p>
    <w:p w14:paraId="14DD149A" w14:textId="5F1DD173"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The pancreas has an important role in controlling blood glucose and is part of both the digestive and endocrine systems. Within the pancreas there are cells that produce hormones involved in blood glucose control. When blood glucose rises, for example after eating, insulin is released. Insulin helps glucose move from the blood into cells, where it can be used for energy. When blood glucose becomes lower, another hormone called glucagon helps to increase it again (Peate and Nair, 2011).</w:t>
      </w:r>
    </w:p>
    <w:p w14:paraId="4D2152D8" w14:textId="144433CE"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lastRenderedPageBreak/>
        <w:t xml:space="preserve">             </w:t>
      </w:r>
      <w:r w:rsidR="00FE02A4" w:rsidRPr="0064334E">
        <w:rPr>
          <w:rFonts w:ascii="Arial" w:hAnsi="Arial" w:cs="Arial"/>
          <w:sz w:val="22"/>
          <w:szCs w:val="22"/>
        </w:rPr>
        <w:t xml:space="preserve">This control is an example of homeostasis. Homeostasis means that the body tries to keep its internal environment relatively stable even when changes are taking place. Negative feedback is an important part of this process because the body responds to a change </w:t>
      </w:r>
      <w:proofErr w:type="gramStart"/>
      <w:r w:rsidR="00FE02A4" w:rsidRPr="0064334E">
        <w:rPr>
          <w:rFonts w:ascii="Arial" w:hAnsi="Arial" w:cs="Arial"/>
          <w:sz w:val="22"/>
          <w:szCs w:val="22"/>
        </w:rPr>
        <w:t>in order to</w:t>
      </w:r>
      <w:proofErr w:type="gramEnd"/>
      <w:r w:rsidR="00FE02A4" w:rsidRPr="0064334E">
        <w:rPr>
          <w:rFonts w:ascii="Arial" w:hAnsi="Arial" w:cs="Arial"/>
          <w:sz w:val="22"/>
          <w:szCs w:val="22"/>
        </w:rPr>
        <w:t xml:space="preserve"> bring conditions back towards their normal range (Scanlon and Sanders, 2018). Insulin and glucagon have different effects, but both are important for maintaining blood glucose at a suitable level.</w:t>
      </w:r>
    </w:p>
    <w:p w14:paraId="07E4BC29" w14:textId="44BFE1B9" w:rsidR="0064334E"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In Type 2 diabetes this normal control becomes less effective. The body may continue to produce insulin, but the cells become less responsive to it. This is known as insulin resistance. Over time, insulin production may also become insufficient for the body’s needs. This means that glucose remains in the blood and blood glucose levels become higher than normal (Waugh and Grant, 2018).</w:t>
      </w:r>
    </w:p>
    <w:p w14:paraId="419B86D0" w14:textId="2BFE678A"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Once glucose enters the cells, it can be used to produce energy. An important part of this process takes place in the mitochondria. Mitochondria produce chemical energy in the form of adenosine triphosphate, usually called ATP. ATP is then used by cells to support their normal activities (Sturgeon, 2018).</w:t>
      </w:r>
    </w:p>
    <w:p w14:paraId="4FA361F4" w14:textId="5FB9546C" w:rsidR="00FE02A4" w:rsidRPr="0064334E" w:rsidRDefault="00FE02A4" w:rsidP="0064334E">
      <w:pPr>
        <w:spacing w:line="360" w:lineRule="auto"/>
        <w:rPr>
          <w:rFonts w:ascii="Arial" w:hAnsi="Arial" w:cs="Arial"/>
          <w:b/>
          <w:bCs/>
          <w:sz w:val="22"/>
          <w:szCs w:val="22"/>
          <w:u w:val="single"/>
        </w:rPr>
      </w:pPr>
      <w:r w:rsidRPr="0064334E">
        <w:rPr>
          <w:rFonts w:ascii="Arial" w:hAnsi="Arial" w:cs="Arial"/>
          <w:b/>
          <w:bCs/>
          <w:sz w:val="22"/>
          <w:szCs w:val="22"/>
          <w:u w:val="single"/>
        </w:rPr>
        <w:t>Cellular respiration can be shown in a simple way:</w:t>
      </w:r>
    </w:p>
    <w:p w14:paraId="49F1B99D" w14:textId="77777777" w:rsidR="00FE02A4" w:rsidRPr="0064334E" w:rsidRDefault="00FE02A4" w:rsidP="0064334E">
      <w:pPr>
        <w:spacing w:line="360" w:lineRule="auto"/>
        <w:rPr>
          <w:rFonts w:ascii="Arial" w:hAnsi="Arial" w:cs="Arial"/>
          <w:b/>
          <w:bCs/>
          <w:sz w:val="22"/>
          <w:szCs w:val="22"/>
        </w:rPr>
      </w:pPr>
      <w:r w:rsidRPr="0064334E">
        <w:rPr>
          <w:rFonts w:ascii="Arial" w:hAnsi="Arial" w:cs="Arial"/>
          <w:b/>
          <w:bCs/>
          <w:sz w:val="22"/>
          <w:szCs w:val="22"/>
        </w:rPr>
        <w:t>Glucose + oxygen → ATP (energy) + carbon dioxide + water</w:t>
      </w:r>
    </w:p>
    <w:p w14:paraId="7F426A12" w14:textId="629DEDD1"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Cellular respiration includes glycolysis, the citric acid cycle and electron transport. However, the main point is that glucose can be broken down and, when oxygen is available, energy can be produced efficiently in the form of ATP (Sturgeon, 2018). Oxygen reaches the body through the respiratory system and is transported to the tissues by the circulatory system. Carbon dioxide produced during metabolism is transported away and eventually removed through the lungs (Waugh and Grant, 2018).</w:t>
      </w:r>
    </w:p>
    <w:p w14:paraId="1D07D882" w14:textId="052DDF78"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Understanding this process is important in Type 2 diabetes because glucose needs to move from the blood into cells so that it can be used for energy. When insulin resistance develops, this process becomes less effective. Therefore, Type 2 diabetes affects normal glucose homeostasis as well as the way the body manages an important source of energy.</w:t>
      </w:r>
    </w:p>
    <w:p w14:paraId="5109C0C7" w14:textId="77777777" w:rsidR="00FE02A4" w:rsidRPr="0064334E" w:rsidRDefault="00FE02A4" w:rsidP="0064334E">
      <w:pPr>
        <w:spacing w:line="360" w:lineRule="auto"/>
        <w:rPr>
          <w:rFonts w:ascii="Arial" w:hAnsi="Arial" w:cs="Arial"/>
          <w:sz w:val="22"/>
          <w:szCs w:val="22"/>
        </w:rPr>
      </w:pPr>
    </w:p>
    <w:p w14:paraId="07D37D48" w14:textId="77777777" w:rsidR="0064334E" w:rsidRDefault="0064334E" w:rsidP="0064334E">
      <w:pPr>
        <w:spacing w:line="360" w:lineRule="auto"/>
        <w:rPr>
          <w:rFonts w:ascii="Arial" w:hAnsi="Arial" w:cs="Arial"/>
          <w:sz w:val="22"/>
          <w:szCs w:val="22"/>
        </w:rPr>
      </w:pPr>
    </w:p>
    <w:p w14:paraId="22EFBC0B" w14:textId="77777777" w:rsidR="0064334E" w:rsidRDefault="0064334E" w:rsidP="0064334E">
      <w:pPr>
        <w:spacing w:line="360" w:lineRule="auto"/>
        <w:rPr>
          <w:rFonts w:ascii="Arial" w:hAnsi="Arial" w:cs="Arial"/>
          <w:sz w:val="22"/>
          <w:szCs w:val="22"/>
        </w:rPr>
      </w:pPr>
    </w:p>
    <w:p w14:paraId="4504316A" w14:textId="77777777" w:rsidR="0064334E" w:rsidRDefault="0064334E" w:rsidP="0064334E">
      <w:pPr>
        <w:spacing w:line="360" w:lineRule="auto"/>
        <w:rPr>
          <w:rFonts w:ascii="Arial" w:hAnsi="Arial" w:cs="Arial"/>
          <w:sz w:val="22"/>
          <w:szCs w:val="22"/>
        </w:rPr>
      </w:pPr>
    </w:p>
    <w:p w14:paraId="627F4627" w14:textId="620DC324" w:rsidR="00FE02A4" w:rsidRPr="005C1BF6" w:rsidRDefault="00FE02A4" w:rsidP="005C1BF6">
      <w:pPr>
        <w:pStyle w:val="Heading1"/>
        <w:rPr>
          <w:rFonts w:ascii="Arial" w:hAnsi="Arial" w:cs="Arial"/>
          <w:b/>
          <w:bCs/>
          <w:sz w:val="28"/>
          <w:szCs w:val="28"/>
          <w:u w:val="single"/>
        </w:rPr>
      </w:pPr>
      <w:bookmarkStart w:id="2" w:name="_Toc243501045"/>
      <w:r w:rsidRPr="005C1BF6">
        <w:rPr>
          <w:rFonts w:ascii="Arial" w:hAnsi="Arial" w:cs="Arial"/>
          <w:b/>
          <w:bCs/>
          <w:sz w:val="28"/>
          <w:szCs w:val="28"/>
          <w:u w:val="single"/>
        </w:rPr>
        <w:lastRenderedPageBreak/>
        <w:t>Pathophysiology and Impact of Type 2 Diabetes</w:t>
      </w:r>
      <w:bookmarkEnd w:id="2"/>
    </w:p>
    <w:p w14:paraId="3E6F77EF" w14:textId="470E07D3"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In Type 2 diabetes, the body does not respond to insulin as well as it should. This is called insulin resistance. At first, the pancreas may produce more insulin to help control blood glucose, but over time it may not produce enough. As a result, glucose builds up in the blood (NHS, 2025).</w:t>
      </w:r>
    </w:p>
    <w:p w14:paraId="4C3C15C7" w14:textId="004EF615"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High blood glucose over a long time can damage blood vessels and nerves. This increases the risk of heart disease, stroke, kidney problems and damage to the eyes and feet. A person may not always feel unwell, even when high blood glucose is affecting their health (NHS, 2025).</w:t>
      </w:r>
    </w:p>
    <w:p w14:paraId="3107202E" w14:textId="70434198"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Lifestyle habits can affect how well diabetes is controlled. Eating too many high-calorie and processed foods can lead to weight gain and make insulin resistance worse. A healthier diet can help with weight management and blood glucose control (Marume, Chidoko and Chirenda, 2025).</w:t>
      </w:r>
    </w:p>
    <w:p w14:paraId="7E9231B9" w14:textId="09AF1034"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Physical activity is also important because muscles use glucose for energy. Regular exercise can help the body respond better to insulin and support heart health. Research shows that lifestyle programmes can help people with Type 2 diabetes become more active, although improvements in HbA1c may be small (Hohberg et al., 2025).</w:t>
      </w:r>
    </w:p>
    <w:p w14:paraId="601A157F" w14:textId="3A3119E8"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Smoking increases the risk of cardiovascular problems, which is especially concerning for people with diabetes. Stopping smoking is therefore an important part of managing the condition (NHS, 2025).</w:t>
      </w:r>
    </w:p>
    <w:p w14:paraId="3936981B" w14:textId="3AADB66D"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These factors show that managing Type 2 diabetes involves more than checking blood glucose. Healthy eating, physical activity, weight management and avoiding smoking can help reduce the risk of complications and support better health.</w:t>
      </w:r>
    </w:p>
    <w:p w14:paraId="7E761CD2" w14:textId="77777777" w:rsidR="00FE02A4" w:rsidRPr="0064334E" w:rsidRDefault="00FE02A4" w:rsidP="005D087C">
      <w:pPr>
        <w:spacing w:line="360" w:lineRule="auto"/>
        <w:jc w:val="both"/>
        <w:rPr>
          <w:rFonts w:ascii="Arial" w:hAnsi="Arial" w:cs="Arial"/>
          <w:sz w:val="22"/>
          <w:szCs w:val="22"/>
        </w:rPr>
      </w:pPr>
    </w:p>
    <w:p w14:paraId="7448D57C" w14:textId="61A20413" w:rsidR="00FE02A4" w:rsidRPr="005C1BF6" w:rsidRDefault="00FE02A4" w:rsidP="005C1BF6">
      <w:pPr>
        <w:pStyle w:val="Heading1"/>
        <w:rPr>
          <w:rFonts w:ascii="Arial" w:hAnsi="Arial" w:cs="Arial"/>
          <w:b/>
          <w:bCs/>
          <w:sz w:val="28"/>
          <w:szCs w:val="28"/>
          <w:u w:val="single"/>
        </w:rPr>
      </w:pPr>
      <w:bookmarkStart w:id="3" w:name="_Toc243501046"/>
      <w:r w:rsidRPr="005C1BF6">
        <w:rPr>
          <w:rFonts w:ascii="Arial" w:hAnsi="Arial" w:cs="Arial"/>
          <w:b/>
          <w:bCs/>
          <w:sz w:val="28"/>
          <w:szCs w:val="28"/>
          <w:u w:val="single"/>
        </w:rPr>
        <w:t>Monitoring and Use of Blood Glucose Data</w:t>
      </w:r>
      <w:bookmarkEnd w:id="3"/>
    </w:p>
    <w:p w14:paraId="21CD760E" w14:textId="4D7E4A2B"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Recording and tracking blood glucose is an important part of managing Type 2 diabetes. It gives both the patient and healthcare professionals information about how well the condition is being controlled. Looking at results over time is more useful than looking at one result alone because patterns can show whether blood glucose is improving, remaining stable or becoming more difficult to control.</w:t>
      </w:r>
    </w:p>
    <w:p w14:paraId="7EFD1485" w14:textId="77777777" w:rsidR="003A62BC"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 xml:space="preserve">One important test used for people with Type 2 diabetes is the HbA1c test. HbA1c gives an indication of the average blood glucose level over the previous two to three months. </w:t>
      </w:r>
    </w:p>
    <w:p w14:paraId="6E1B40A3" w14:textId="0ACC73BA" w:rsidR="003A62BC" w:rsidRPr="003A62BC" w:rsidRDefault="003A62BC" w:rsidP="005D087C">
      <w:pPr>
        <w:spacing w:line="360" w:lineRule="auto"/>
        <w:jc w:val="center"/>
        <w:rPr>
          <w:rFonts w:ascii="Arial" w:hAnsi="Arial" w:cs="Arial"/>
          <w:sz w:val="22"/>
          <w:szCs w:val="22"/>
        </w:rPr>
      </w:pPr>
      <w:r w:rsidRPr="003A62BC">
        <w:rPr>
          <w:rFonts w:ascii="Arial" w:hAnsi="Arial" w:cs="Arial"/>
          <w:b/>
          <w:bCs/>
          <w:sz w:val="22"/>
          <w:szCs w:val="22"/>
        </w:rPr>
        <w:lastRenderedPageBreak/>
        <w:t>Hb</w:t>
      </w:r>
      <w:r>
        <w:rPr>
          <w:rFonts w:ascii="Arial" w:hAnsi="Arial" w:cs="Arial"/>
          <w:sz w:val="22"/>
          <w:szCs w:val="22"/>
        </w:rPr>
        <w:t>-</w:t>
      </w:r>
      <w:r w:rsidRPr="003A62BC">
        <w:rPr>
          <w:rFonts w:ascii="Arial" w:hAnsi="Arial" w:cs="Arial"/>
          <w:sz w:val="22"/>
          <w:szCs w:val="22"/>
        </w:rPr>
        <w:t xml:space="preserve"> stands for haemoglobin.</w:t>
      </w:r>
    </w:p>
    <w:p w14:paraId="570A394F" w14:textId="69CA23CE" w:rsidR="003A62BC" w:rsidRPr="003A62BC" w:rsidRDefault="003A62BC" w:rsidP="005D087C">
      <w:pPr>
        <w:spacing w:line="360" w:lineRule="auto"/>
        <w:jc w:val="center"/>
        <w:rPr>
          <w:rFonts w:ascii="Arial" w:hAnsi="Arial" w:cs="Arial"/>
          <w:sz w:val="22"/>
          <w:szCs w:val="22"/>
        </w:rPr>
      </w:pPr>
      <w:r w:rsidRPr="003A62BC">
        <w:rPr>
          <w:rFonts w:ascii="Arial" w:hAnsi="Arial" w:cs="Arial"/>
          <w:b/>
          <w:bCs/>
          <w:sz w:val="22"/>
          <w:szCs w:val="22"/>
        </w:rPr>
        <w:t>A1c</w:t>
      </w:r>
      <w:r>
        <w:rPr>
          <w:rFonts w:ascii="Arial" w:hAnsi="Arial" w:cs="Arial"/>
          <w:sz w:val="22"/>
          <w:szCs w:val="22"/>
        </w:rPr>
        <w:t>-</w:t>
      </w:r>
      <w:r w:rsidRPr="003A62BC">
        <w:rPr>
          <w:rFonts w:ascii="Arial" w:hAnsi="Arial" w:cs="Arial"/>
          <w:sz w:val="22"/>
          <w:szCs w:val="22"/>
        </w:rPr>
        <w:t xml:space="preserve"> refers to a specific form of haemoglobin.</w:t>
      </w:r>
    </w:p>
    <w:p w14:paraId="5F152566" w14:textId="60804A89" w:rsidR="003A62BC" w:rsidRDefault="003A62BC" w:rsidP="005D087C">
      <w:pPr>
        <w:spacing w:line="360" w:lineRule="auto"/>
        <w:jc w:val="center"/>
        <w:rPr>
          <w:rFonts w:ascii="Arial" w:hAnsi="Arial" w:cs="Arial"/>
          <w:sz w:val="22"/>
          <w:szCs w:val="22"/>
        </w:rPr>
      </w:pPr>
      <w:r w:rsidRPr="003A62BC">
        <w:rPr>
          <w:rFonts w:ascii="Arial" w:hAnsi="Arial" w:cs="Arial"/>
          <w:b/>
          <w:bCs/>
          <w:sz w:val="22"/>
          <w:szCs w:val="22"/>
        </w:rPr>
        <w:t>HbA1c</w:t>
      </w:r>
      <w:r>
        <w:rPr>
          <w:rFonts w:ascii="Arial" w:hAnsi="Arial" w:cs="Arial"/>
          <w:sz w:val="22"/>
          <w:szCs w:val="22"/>
        </w:rPr>
        <w:t>-</w:t>
      </w:r>
      <w:r w:rsidRPr="003A62BC">
        <w:rPr>
          <w:rFonts w:ascii="Arial" w:hAnsi="Arial" w:cs="Arial"/>
          <w:sz w:val="22"/>
          <w:szCs w:val="22"/>
        </w:rPr>
        <w:t xml:space="preserve"> is haemoglobin with glucose attached to it.</w:t>
      </w:r>
    </w:p>
    <w:p w14:paraId="696D6320" w14:textId="7E1F2A99" w:rsidR="00FE02A4" w:rsidRPr="0064334E" w:rsidRDefault="003A62BC" w:rsidP="005D087C">
      <w:pPr>
        <w:spacing w:line="360" w:lineRule="auto"/>
        <w:jc w:val="both"/>
        <w:rPr>
          <w:rFonts w:ascii="Arial" w:hAnsi="Arial" w:cs="Arial"/>
          <w:sz w:val="22"/>
          <w:szCs w:val="22"/>
        </w:rPr>
      </w:pPr>
      <w:r>
        <w:rPr>
          <w:rFonts w:ascii="Arial" w:hAnsi="Arial" w:cs="Arial"/>
          <w:sz w:val="22"/>
          <w:szCs w:val="22"/>
        </w:rPr>
        <w:t xml:space="preserve">             </w:t>
      </w:r>
      <w:r w:rsidR="00FE02A4" w:rsidRPr="0064334E">
        <w:rPr>
          <w:rFonts w:ascii="Arial" w:hAnsi="Arial" w:cs="Arial"/>
          <w:sz w:val="22"/>
          <w:szCs w:val="22"/>
        </w:rPr>
        <w:t xml:space="preserve">Regular HbA1c testing can therefore help healthcare professionals see whether treatment and lifestyle changes are working </w:t>
      </w:r>
      <w:proofErr w:type="gramStart"/>
      <w:r w:rsidR="00FE02A4" w:rsidRPr="0064334E">
        <w:rPr>
          <w:rFonts w:ascii="Arial" w:hAnsi="Arial" w:cs="Arial"/>
          <w:sz w:val="22"/>
          <w:szCs w:val="22"/>
        </w:rPr>
        <w:t>over time</w:t>
      </w:r>
      <w:proofErr w:type="gramEnd"/>
      <w:r w:rsidR="00FE02A4" w:rsidRPr="0064334E">
        <w:rPr>
          <w:rFonts w:ascii="Arial" w:hAnsi="Arial" w:cs="Arial"/>
          <w:sz w:val="22"/>
          <w:szCs w:val="22"/>
        </w:rPr>
        <w:t xml:space="preserve"> (American Diabetes Association Professional Practice Committee for Diabetes, 2026). The frequency of testing depends on the person’s condition and how stable their blood glucose control is. NICE (2026) recommends measuring HbA1c every three to six months until it is stable, and then every six months when the HbA1c level and treatment are stable.</w:t>
      </w:r>
    </w:p>
    <w:p w14:paraId="77245A33" w14:textId="7081C513"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Some patients may also measure their blood glucose at home using a finger-prick test. This gives information about the glucose level at a particular time. It can help a person understand how food, physical activity, illness or medication may affect their blood glucose. Keeping a record of these results can also help the patient and healthcare team notice repeated high or low readings.</w:t>
      </w:r>
    </w:p>
    <w:p w14:paraId="06F218A8" w14:textId="385C983D"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However, regular home testing is not necessary for every person with Type 2 diabetes. NICE (2026) advises that routine self-monitoring of capillary blood glucose should not normally be offered to all adults with Type 2 diabetes. It may be needed when a person uses insulin, experiences hypoglycaemia or uses certain medication that can increase the risk of low blood glucose.</w:t>
      </w:r>
    </w:p>
    <w:p w14:paraId="10A89C55" w14:textId="3977DB60"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Routine health data is therefore useful when it has a clear purpose. HbA1c results and, where appropriate, home blood glucose readings can help patients and healthcare professionals understand changes over time. This information can support decisions about treatment and lifestyle and can also help the patient become more involved in managing their own condition.</w:t>
      </w:r>
    </w:p>
    <w:p w14:paraId="2DD15D5F" w14:textId="77777777" w:rsidR="00FE02A4" w:rsidRPr="0064334E" w:rsidRDefault="00FE02A4" w:rsidP="0064334E">
      <w:pPr>
        <w:spacing w:line="360" w:lineRule="auto"/>
        <w:rPr>
          <w:rFonts w:ascii="Arial" w:hAnsi="Arial" w:cs="Arial"/>
          <w:sz w:val="22"/>
          <w:szCs w:val="22"/>
        </w:rPr>
      </w:pPr>
    </w:p>
    <w:p w14:paraId="62A006A6" w14:textId="7C8A5313" w:rsidR="00FE02A4" w:rsidRPr="005C1BF6" w:rsidRDefault="00FE02A4" w:rsidP="005C1BF6">
      <w:pPr>
        <w:pStyle w:val="Heading1"/>
        <w:rPr>
          <w:rFonts w:ascii="Arial" w:hAnsi="Arial" w:cs="Arial"/>
          <w:b/>
          <w:bCs/>
          <w:sz w:val="28"/>
          <w:szCs w:val="28"/>
          <w:u w:val="single"/>
        </w:rPr>
      </w:pPr>
      <w:bookmarkStart w:id="4" w:name="_Toc243501047"/>
      <w:r w:rsidRPr="005C1BF6">
        <w:rPr>
          <w:rFonts w:ascii="Arial" w:hAnsi="Arial" w:cs="Arial"/>
          <w:b/>
          <w:bCs/>
          <w:sz w:val="28"/>
          <w:szCs w:val="28"/>
          <w:u w:val="single"/>
        </w:rPr>
        <w:t>Evidence-Based Lifestyle Recommendations</w:t>
      </w:r>
      <w:bookmarkEnd w:id="4"/>
    </w:p>
    <w:p w14:paraId="20DFD4D2" w14:textId="765D5A37"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 xml:space="preserve">Lifestyle changes are an important part of managing Type 2 diabetes. However, changes should be realistic and suitable for the individual because people have different health needs, daily routines and abilities. NICE (2026) recommends an individualised approach which takes account of the person’s circumstances and preferences. </w:t>
      </w:r>
    </w:p>
    <w:p w14:paraId="467425DF" w14:textId="719CCC15"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 xml:space="preserve">Diet is one area that can make a difference. A person with Type 2 diabetes should be encouraged to follow a healthy and balanced diet rather than simply trying to remove all </w:t>
      </w:r>
      <w:r w:rsidR="00FE02A4" w:rsidRPr="0064334E">
        <w:rPr>
          <w:rFonts w:ascii="Arial" w:hAnsi="Arial" w:cs="Arial"/>
          <w:sz w:val="22"/>
          <w:szCs w:val="22"/>
        </w:rPr>
        <w:lastRenderedPageBreak/>
        <w:t>carbohydrates. Eating more vegetables, wholegrains and foods that contain fibre, while reducing foods high in saturated fat and excess calories, can support a healthier diet (NICE, 2026). Portion size can also be important, particularly when a person needs to lose weight.</w:t>
      </w:r>
    </w:p>
    <w:p w14:paraId="04F7F979" w14:textId="74AE7C64"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 xml:space="preserve">Weight management can have a significant effect on Type 2 diabetes. The </w:t>
      </w:r>
      <w:r w:rsidRPr="0064334E">
        <w:rPr>
          <w:rFonts w:ascii="Arial" w:hAnsi="Arial" w:cs="Arial"/>
          <w:sz w:val="22"/>
          <w:szCs w:val="22"/>
        </w:rPr>
        <w:t>direct</w:t>
      </w:r>
      <w:r w:rsidR="00FE02A4" w:rsidRPr="0064334E">
        <w:rPr>
          <w:rFonts w:ascii="Arial" w:hAnsi="Arial" w:cs="Arial"/>
          <w:sz w:val="22"/>
          <w:szCs w:val="22"/>
        </w:rPr>
        <w:t xml:space="preserve"> study showed that sustained weight loss can support remission of Type 2 diabetes in some people. At five-year follow-up, people who continued to receive weight-management support maintained greater weight loss and had more periods of remission than those without continued support (Lean et al., 2024).  This does not mean that remission will happen for every patient, but it shows why weight management can be an important part of diabetes care.</w:t>
      </w:r>
    </w:p>
    <w:p w14:paraId="4B64BFC0" w14:textId="79ACBB42"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Regular physical activity should also be encouraged. Exercise increases the amount of glucose used by working muscles and can improve the body’s response to insulin. Physical activity can also support weight management and cardiovascular health.</w:t>
      </w:r>
      <w:r w:rsidRPr="0064334E">
        <w:rPr>
          <w:rFonts w:ascii="Arial" w:hAnsi="Arial" w:cs="Arial"/>
          <w:sz w:val="22"/>
          <w:szCs w:val="22"/>
        </w:rPr>
        <w:t xml:space="preserve"> </w:t>
      </w:r>
      <w:r w:rsidR="00FE02A4" w:rsidRPr="0064334E">
        <w:rPr>
          <w:rFonts w:ascii="Arial" w:hAnsi="Arial" w:cs="Arial"/>
          <w:sz w:val="22"/>
          <w:szCs w:val="22"/>
        </w:rPr>
        <w:t>Research has shown that exercise can help improve HbA1c in people with Type 2 diabetes (Garcia et al., 2025). Walking, cycling, swimming or other activities that the person enjoys may be easier to continue than making unrealistic changes.</w:t>
      </w:r>
    </w:p>
    <w:p w14:paraId="3DEA4AA5" w14:textId="37EC8D07"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 xml:space="preserve">Stopping smoking is another important recommendation. Smoking increases cardiovascular risk, which is particularly important for people with Type 2 diabetes. Support with stopping smoking should therefore form part of a healthier lifestyle rather than expecting the patient to make the change without help (NICE, 2026). </w:t>
      </w:r>
    </w:p>
    <w:p w14:paraId="603E6FC9" w14:textId="08EB0888"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Lifestyle changes are more likely to continue when patients understand why they are being recommended. A practice nurse can discuss achievable goals with the patient and review their progress over time. Blood glucose and HbA1c results can then help show whether the overall management plan is working. In this way, lifestyle management becomes an ongoing part of diabetes care rather than simply a list of instructions given to the patient.</w:t>
      </w:r>
    </w:p>
    <w:p w14:paraId="560A97A7" w14:textId="77777777" w:rsidR="00FE02A4" w:rsidRPr="0064334E" w:rsidRDefault="00FE02A4" w:rsidP="0064334E">
      <w:pPr>
        <w:spacing w:line="360" w:lineRule="auto"/>
        <w:rPr>
          <w:rFonts w:ascii="Arial" w:hAnsi="Arial" w:cs="Arial"/>
          <w:sz w:val="22"/>
          <w:szCs w:val="22"/>
        </w:rPr>
      </w:pPr>
    </w:p>
    <w:p w14:paraId="1F72A176" w14:textId="68BBA45C" w:rsidR="00FE02A4" w:rsidRPr="005C1BF6" w:rsidRDefault="00FE02A4" w:rsidP="005C1BF6">
      <w:pPr>
        <w:pStyle w:val="Heading1"/>
        <w:rPr>
          <w:rFonts w:ascii="Arial" w:hAnsi="Arial" w:cs="Arial"/>
          <w:b/>
          <w:bCs/>
          <w:sz w:val="28"/>
          <w:szCs w:val="28"/>
          <w:u w:val="single"/>
        </w:rPr>
      </w:pPr>
      <w:bookmarkStart w:id="5" w:name="_Toc243501048"/>
      <w:r w:rsidRPr="005C1BF6">
        <w:rPr>
          <w:rFonts w:ascii="Arial" w:hAnsi="Arial" w:cs="Arial"/>
          <w:b/>
          <w:bCs/>
          <w:sz w:val="28"/>
          <w:szCs w:val="28"/>
          <w:u w:val="single"/>
        </w:rPr>
        <w:t>Conclusion</w:t>
      </w:r>
      <w:bookmarkEnd w:id="5"/>
    </w:p>
    <w:p w14:paraId="6C0DDC4A" w14:textId="2C567B7D"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Type 2 diabetes is a long-term condition that affects how the body controls blood glucose. Insulin resistance makes it harder for cells to use glucose, which can lead to high blood glucose levels and health problems over time.</w:t>
      </w:r>
    </w:p>
    <w:p w14:paraId="398017A8" w14:textId="0FF9443D"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t xml:space="preserve">             </w:t>
      </w:r>
      <w:r w:rsidR="00FE02A4" w:rsidRPr="0064334E">
        <w:rPr>
          <w:rFonts w:ascii="Arial" w:hAnsi="Arial" w:cs="Arial"/>
          <w:sz w:val="22"/>
          <w:szCs w:val="22"/>
        </w:rPr>
        <w:t>Regular HbA1c tests and blood glucose monitoring, when needed, help patients and healthcare professionals understand how well diabetes is controlled. A balanced diet, physical activity, weight management and stopping smoking can also improve health. Research shows that some people can achieve remission through sustained weight loss (Lean et al., 2024).</w:t>
      </w:r>
    </w:p>
    <w:p w14:paraId="0218689E" w14:textId="6635E00C" w:rsidR="00FE02A4" w:rsidRPr="0064334E" w:rsidRDefault="0064334E" w:rsidP="005D087C">
      <w:pPr>
        <w:spacing w:line="360" w:lineRule="auto"/>
        <w:jc w:val="both"/>
        <w:rPr>
          <w:rFonts w:ascii="Arial" w:hAnsi="Arial" w:cs="Arial"/>
          <w:sz w:val="22"/>
          <w:szCs w:val="22"/>
        </w:rPr>
      </w:pPr>
      <w:r w:rsidRPr="0064334E">
        <w:rPr>
          <w:rFonts w:ascii="Arial" w:hAnsi="Arial" w:cs="Arial"/>
          <w:sz w:val="22"/>
          <w:szCs w:val="22"/>
        </w:rPr>
        <w:lastRenderedPageBreak/>
        <w:t xml:space="preserve">              </w:t>
      </w:r>
      <w:r w:rsidR="00FE02A4" w:rsidRPr="0064334E">
        <w:rPr>
          <w:rFonts w:ascii="Arial" w:hAnsi="Arial" w:cs="Arial"/>
          <w:sz w:val="22"/>
          <w:szCs w:val="22"/>
        </w:rPr>
        <w:t>Practice nurses play an important role in explaining results, giving practical advice and supporting patients with lifestyle changes. This helps people understand their condition and take a more active role in managing their diabetes.</w:t>
      </w:r>
    </w:p>
    <w:p w14:paraId="7D722E0A" w14:textId="77777777" w:rsidR="00FE02A4" w:rsidRDefault="00FE02A4" w:rsidP="00FE02A4"/>
    <w:p w14:paraId="246171F7" w14:textId="77777777" w:rsidR="005C1BF6" w:rsidRDefault="005C1BF6" w:rsidP="00FE02A4"/>
    <w:p w14:paraId="3258DC15" w14:textId="77777777" w:rsidR="005C1BF6" w:rsidRDefault="005C1BF6" w:rsidP="00FE02A4"/>
    <w:p w14:paraId="169D04E6" w14:textId="77777777" w:rsidR="005C1BF6" w:rsidRDefault="005C1BF6" w:rsidP="00FE02A4"/>
    <w:p w14:paraId="24087081" w14:textId="77777777" w:rsidR="005C1BF6" w:rsidRDefault="005C1BF6" w:rsidP="00FE02A4"/>
    <w:p w14:paraId="4E89F8C4" w14:textId="77777777" w:rsidR="005C1BF6" w:rsidRDefault="005C1BF6" w:rsidP="00FE02A4"/>
    <w:p w14:paraId="4C18E6BD" w14:textId="77777777" w:rsidR="005C1BF6" w:rsidRDefault="005C1BF6" w:rsidP="00FE02A4"/>
    <w:p w14:paraId="4F486592" w14:textId="77777777" w:rsidR="005C1BF6" w:rsidRDefault="005C1BF6" w:rsidP="00FE02A4"/>
    <w:p w14:paraId="2C65E1B0" w14:textId="77777777" w:rsidR="005C1BF6" w:rsidRDefault="005C1BF6" w:rsidP="00FE02A4"/>
    <w:p w14:paraId="398B698A" w14:textId="77777777" w:rsidR="005C1BF6" w:rsidRDefault="005C1BF6" w:rsidP="00FE02A4"/>
    <w:p w14:paraId="6195A770" w14:textId="77777777" w:rsidR="005C1BF6" w:rsidRDefault="005C1BF6" w:rsidP="00FE02A4"/>
    <w:p w14:paraId="12E395DE" w14:textId="77777777" w:rsidR="005C1BF6" w:rsidRDefault="005C1BF6" w:rsidP="00FE02A4"/>
    <w:p w14:paraId="53AA2242" w14:textId="77777777" w:rsidR="005C1BF6" w:rsidRDefault="005C1BF6" w:rsidP="00FE02A4"/>
    <w:p w14:paraId="0002925F" w14:textId="77777777" w:rsidR="005C1BF6" w:rsidRDefault="005C1BF6" w:rsidP="00FE02A4"/>
    <w:p w14:paraId="4AB42008" w14:textId="77777777" w:rsidR="005C1BF6" w:rsidRDefault="005C1BF6" w:rsidP="00FE02A4"/>
    <w:p w14:paraId="05CE8772" w14:textId="77777777" w:rsidR="005C1BF6" w:rsidRDefault="005C1BF6" w:rsidP="00FE02A4"/>
    <w:p w14:paraId="21F9A9B6" w14:textId="77777777" w:rsidR="005C1BF6" w:rsidRDefault="005C1BF6" w:rsidP="00FE02A4"/>
    <w:p w14:paraId="7E3E7551" w14:textId="77777777" w:rsidR="005C1BF6" w:rsidRDefault="005C1BF6" w:rsidP="00FE02A4"/>
    <w:p w14:paraId="351D1A94" w14:textId="77777777" w:rsidR="005C1BF6" w:rsidRDefault="005C1BF6" w:rsidP="00FE02A4"/>
    <w:p w14:paraId="3DAB7B3C" w14:textId="77777777" w:rsidR="005C1BF6" w:rsidRDefault="005C1BF6" w:rsidP="00FE02A4"/>
    <w:p w14:paraId="79431A76" w14:textId="77777777" w:rsidR="005C1BF6" w:rsidRDefault="005C1BF6" w:rsidP="00FE02A4"/>
    <w:p w14:paraId="2A9D2F71" w14:textId="77777777" w:rsidR="005C1BF6" w:rsidRDefault="005C1BF6" w:rsidP="00FE02A4"/>
    <w:p w14:paraId="34BEA635" w14:textId="77777777" w:rsidR="00FE02A4" w:rsidRDefault="00FE02A4" w:rsidP="00FE02A4"/>
    <w:p w14:paraId="0B8E06C7" w14:textId="77777777" w:rsidR="0064334E" w:rsidRDefault="0064334E" w:rsidP="00FE02A4"/>
    <w:p w14:paraId="45A21AF1" w14:textId="36943291" w:rsidR="003C192E" w:rsidRPr="00863061" w:rsidRDefault="00FE02A4" w:rsidP="00863061">
      <w:pPr>
        <w:pStyle w:val="Heading1"/>
        <w:rPr>
          <w:rFonts w:ascii="Arial" w:hAnsi="Arial" w:cs="Arial"/>
          <w:b/>
          <w:bCs/>
          <w:sz w:val="28"/>
          <w:szCs w:val="28"/>
          <w:u w:val="single"/>
        </w:rPr>
      </w:pPr>
      <w:bookmarkStart w:id="6" w:name="_Toc243501049"/>
      <w:r w:rsidRPr="005C1BF6">
        <w:rPr>
          <w:rFonts w:ascii="Arial" w:hAnsi="Arial" w:cs="Arial"/>
          <w:b/>
          <w:bCs/>
          <w:sz w:val="28"/>
          <w:szCs w:val="28"/>
          <w:u w:val="single"/>
        </w:rPr>
        <w:lastRenderedPageBreak/>
        <w:t>Reference List</w:t>
      </w:r>
      <w:r w:rsidR="003C192E" w:rsidRPr="005C1BF6">
        <w:rPr>
          <w:rFonts w:ascii="Arial" w:hAnsi="Arial" w:cs="Arial"/>
          <w:b/>
          <w:bCs/>
          <w:sz w:val="28"/>
          <w:szCs w:val="28"/>
          <w:u w:val="single"/>
        </w:rPr>
        <w:t>:</w:t>
      </w:r>
      <w:bookmarkEnd w:id="6"/>
    </w:p>
    <w:p w14:paraId="09091710" w14:textId="6B905761"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American Diabetes Association Professional Practice Committee for Diabetes (2026) ‘6. Glycemic goals, hypoglycemia, and hyperglycemic crises: Standards of Care in Diabetes—2026’, </w:t>
      </w:r>
      <w:r w:rsidRPr="000B100D">
        <w:rPr>
          <w:rFonts w:ascii="Arial" w:hAnsi="Arial" w:cs="Arial"/>
          <w:i/>
          <w:iCs/>
          <w:sz w:val="22"/>
          <w:szCs w:val="22"/>
        </w:rPr>
        <w:t>Diabetes Care</w:t>
      </w:r>
      <w:r w:rsidRPr="003C192E">
        <w:rPr>
          <w:rFonts w:ascii="Arial" w:hAnsi="Arial" w:cs="Arial"/>
          <w:sz w:val="22"/>
          <w:szCs w:val="22"/>
        </w:rPr>
        <w:t xml:space="preserve">, 49(Suppl. 1), pp. S132–S149. doi: 10.2337/dc26-S006. Available at: https://diabetesjournals.org/care/article/49/Supplement_1/S132/163927/6-Glycemic-Goals-Hypoglycemia-and-Hyperglycemic (Accessed: </w:t>
      </w:r>
      <w:r w:rsidR="005C1BF6">
        <w:rPr>
          <w:rFonts w:ascii="Arial" w:hAnsi="Arial" w:cs="Arial"/>
          <w:sz w:val="22"/>
          <w:szCs w:val="22"/>
        </w:rPr>
        <w:t>12</w:t>
      </w:r>
      <w:r w:rsidRPr="003C192E">
        <w:rPr>
          <w:rFonts w:ascii="Arial" w:hAnsi="Arial" w:cs="Arial"/>
          <w:sz w:val="22"/>
          <w:szCs w:val="22"/>
        </w:rPr>
        <w:t xml:space="preserve"> October 2026).</w:t>
      </w:r>
    </w:p>
    <w:p w14:paraId="2622B8A4" w14:textId="13424276"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Garcia, S.P., Cureau, F.V., Iorra, F.Q., Bottino, L.G., Monteiro, L.E.R.C., Leivas, G., Umpierre, D. and Schaan, B.D. (2025) ‘Effects of exercise training and physical activity advice on HbA1c in people with type 2 diabetes: A network meta-analysis of randomized controlled trials’, </w:t>
      </w:r>
      <w:r w:rsidRPr="000B100D">
        <w:rPr>
          <w:rFonts w:ascii="Arial" w:hAnsi="Arial" w:cs="Arial"/>
          <w:i/>
          <w:iCs/>
          <w:sz w:val="22"/>
          <w:szCs w:val="22"/>
        </w:rPr>
        <w:t>Diabetes Research and Clinical Practice</w:t>
      </w:r>
      <w:r w:rsidRPr="003C192E">
        <w:rPr>
          <w:rFonts w:ascii="Arial" w:hAnsi="Arial" w:cs="Arial"/>
          <w:sz w:val="22"/>
          <w:szCs w:val="22"/>
        </w:rPr>
        <w:t xml:space="preserve">, 221, 112027. doi: 10.1016/j.diabres.2025.112027. Available at: https://pubmed.ncbi.nlm.nih.gov/39904457/ (Accessed: </w:t>
      </w:r>
      <w:r w:rsidR="005C1BF6">
        <w:rPr>
          <w:rFonts w:ascii="Arial" w:hAnsi="Arial" w:cs="Arial"/>
          <w:sz w:val="22"/>
          <w:szCs w:val="22"/>
        </w:rPr>
        <w:t>18</w:t>
      </w:r>
      <w:r w:rsidRPr="003C192E">
        <w:rPr>
          <w:rFonts w:ascii="Arial" w:hAnsi="Arial" w:cs="Arial"/>
          <w:sz w:val="22"/>
          <w:szCs w:val="22"/>
        </w:rPr>
        <w:t xml:space="preserve"> October 2026).</w:t>
      </w:r>
    </w:p>
    <w:p w14:paraId="5DCD9045" w14:textId="6C89350B"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Hohberg, V., Lichtenstein, E., Kreppke, J.-N., Zanitti, C., Streckmann, F., Gerber, M. and Faude, O. (2025) ‘Effects of lifestyle interventions to promote physical activity on physical activity and glycated hemoglobin in patients with type 2 diabetes: A systematic review and meta-analysis’, </w:t>
      </w:r>
      <w:r w:rsidRPr="000B100D">
        <w:rPr>
          <w:rFonts w:ascii="Arial" w:hAnsi="Arial" w:cs="Arial"/>
          <w:i/>
          <w:iCs/>
          <w:sz w:val="22"/>
          <w:szCs w:val="22"/>
        </w:rPr>
        <w:t>Sports Medicine</w:t>
      </w:r>
      <w:r w:rsidRPr="003C192E">
        <w:rPr>
          <w:rFonts w:ascii="Arial" w:hAnsi="Arial" w:cs="Arial"/>
          <w:sz w:val="22"/>
          <w:szCs w:val="22"/>
        </w:rPr>
        <w:t xml:space="preserve">, 55(5), pp. 1165–1181. doi: 10.1007/s40279-025-02184-8. Available at: https://pubmed.ncbi.nlm.nih.gov/40080359/ (Accessed: </w:t>
      </w:r>
      <w:r w:rsidR="005C1BF6">
        <w:rPr>
          <w:rFonts w:ascii="Arial" w:hAnsi="Arial" w:cs="Arial"/>
          <w:sz w:val="22"/>
          <w:szCs w:val="22"/>
        </w:rPr>
        <w:t>15</w:t>
      </w:r>
      <w:r w:rsidRPr="003C192E">
        <w:rPr>
          <w:rFonts w:ascii="Arial" w:hAnsi="Arial" w:cs="Arial"/>
          <w:sz w:val="22"/>
          <w:szCs w:val="22"/>
        </w:rPr>
        <w:t xml:space="preserve"> October 2026).</w:t>
      </w:r>
    </w:p>
    <w:p w14:paraId="404C351B" w14:textId="2607EB32"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Lean, M.E.J., Leslie, W.S., Barnes, A.C., Brosnahan, N., Thom, G., McCombie, L., Kelly, T., Irvine, K., Peters, C., Zhyzhneuskaya, S., Hollingsworth, K.G., Adamson, A.J., Sniehotta, F.F., Mathers, J.C., McIlvenna, Y., Welsh, P., McConnachie, A., McIntosh, A., Sattar, N. and Taylor, R. (2024) ‘5-year follow-up of the randomised Diabetes Remission Clinical Trial (DiRECT) of continued support for weight loss maintenance in the UK: an extension study’, </w:t>
      </w:r>
      <w:r w:rsidRPr="000B100D">
        <w:rPr>
          <w:rFonts w:ascii="Arial" w:hAnsi="Arial" w:cs="Arial"/>
          <w:i/>
          <w:iCs/>
          <w:sz w:val="22"/>
          <w:szCs w:val="22"/>
        </w:rPr>
        <w:t>The Lancet Diabetes &amp; Endocrinology</w:t>
      </w:r>
      <w:r w:rsidRPr="003C192E">
        <w:rPr>
          <w:rFonts w:ascii="Arial" w:hAnsi="Arial" w:cs="Arial"/>
          <w:sz w:val="22"/>
          <w:szCs w:val="22"/>
        </w:rPr>
        <w:t xml:space="preserve">, 12(4), pp. 233–246. doi: 10.1016/S2213-8587(23)00385-6. Available at: https://pubmed.ncbi.nlm.nih.gov/38423026/ (Accessed: </w:t>
      </w:r>
      <w:r w:rsidR="005C1BF6">
        <w:rPr>
          <w:rFonts w:ascii="Arial" w:hAnsi="Arial" w:cs="Arial"/>
          <w:sz w:val="22"/>
          <w:szCs w:val="22"/>
        </w:rPr>
        <w:t>15</w:t>
      </w:r>
      <w:r w:rsidRPr="003C192E">
        <w:rPr>
          <w:rFonts w:ascii="Arial" w:hAnsi="Arial" w:cs="Arial"/>
          <w:sz w:val="22"/>
          <w:szCs w:val="22"/>
        </w:rPr>
        <w:t xml:space="preserve"> October 2026).</w:t>
      </w:r>
    </w:p>
    <w:p w14:paraId="3A8893A2" w14:textId="5A20B65D"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Marume, A., Chidoko, E. and Chirenda, J. (2025) ‘Dietary interventions and glycaemic control in type 2 diabetes: A systematic review and meta-analysis’, </w:t>
      </w:r>
      <w:r w:rsidRPr="000B100D">
        <w:rPr>
          <w:rFonts w:ascii="Arial" w:hAnsi="Arial" w:cs="Arial"/>
          <w:i/>
          <w:iCs/>
          <w:sz w:val="22"/>
          <w:szCs w:val="22"/>
        </w:rPr>
        <w:t>Journal of Public</w:t>
      </w:r>
      <w:r w:rsidRPr="003C192E">
        <w:rPr>
          <w:rFonts w:ascii="Arial" w:hAnsi="Arial" w:cs="Arial"/>
          <w:sz w:val="22"/>
          <w:szCs w:val="22"/>
        </w:rPr>
        <w:t xml:space="preserve"> </w:t>
      </w:r>
      <w:r w:rsidRPr="000B100D">
        <w:rPr>
          <w:rFonts w:ascii="Arial" w:hAnsi="Arial" w:cs="Arial"/>
          <w:i/>
          <w:iCs/>
          <w:sz w:val="22"/>
          <w:szCs w:val="22"/>
        </w:rPr>
        <w:t>Health in Africa</w:t>
      </w:r>
      <w:r w:rsidRPr="003C192E">
        <w:rPr>
          <w:rFonts w:ascii="Arial" w:hAnsi="Arial" w:cs="Arial"/>
          <w:sz w:val="22"/>
          <w:szCs w:val="22"/>
        </w:rPr>
        <w:t>, 16(1), 1325. doi: 10.4102/</w:t>
      </w:r>
      <w:proofErr w:type="gramStart"/>
      <w:r w:rsidRPr="003C192E">
        <w:rPr>
          <w:rFonts w:ascii="Arial" w:hAnsi="Arial" w:cs="Arial"/>
          <w:sz w:val="22"/>
          <w:szCs w:val="22"/>
        </w:rPr>
        <w:t>jphia.v</w:t>
      </w:r>
      <w:proofErr w:type="gramEnd"/>
      <w:r w:rsidRPr="003C192E">
        <w:rPr>
          <w:rFonts w:ascii="Arial" w:hAnsi="Arial" w:cs="Arial"/>
          <w:sz w:val="22"/>
          <w:szCs w:val="22"/>
        </w:rPr>
        <w:t xml:space="preserve">16i1.1325. Available at: https://pubmed.ncbi.nlm.nih.gov/40613098/ (Accessed: </w:t>
      </w:r>
      <w:r w:rsidR="005C1BF6">
        <w:rPr>
          <w:rFonts w:ascii="Arial" w:hAnsi="Arial" w:cs="Arial"/>
          <w:sz w:val="22"/>
          <w:szCs w:val="22"/>
        </w:rPr>
        <w:t>15</w:t>
      </w:r>
      <w:r w:rsidRPr="003C192E">
        <w:rPr>
          <w:rFonts w:ascii="Arial" w:hAnsi="Arial" w:cs="Arial"/>
          <w:sz w:val="22"/>
          <w:szCs w:val="22"/>
        </w:rPr>
        <w:t xml:space="preserve"> October 2026).</w:t>
      </w:r>
    </w:p>
    <w:p w14:paraId="72F80E05" w14:textId="2C3FB30F"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National Health Service (NHS) (2025) </w:t>
      </w:r>
      <w:r w:rsidRPr="000B100D">
        <w:rPr>
          <w:rFonts w:ascii="Arial" w:hAnsi="Arial" w:cs="Arial"/>
          <w:i/>
          <w:iCs/>
          <w:sz w:val="22"/>
          <w:szCs w:val="22"/>
        </w:rPr>
        <w:t>Type 2 diabetes</w:t>
      </w:r>
      <w:r w:rsidRPr="003C192E">
        <w:rPr>
          <w:rFonts w:ascii="Arial" w:hAnsi="Arial" w:cs="Arial"/>
          <w:sz w:val="22"/>
          <w:szCs w:val="22"/>
        </w:rPr>
        <w:t xml:space="preserve">. Available at: https://www.nhs.uk/conditions/type-2-diabetes/ (Accessed: </w:t>
      </w:r>
      <w:r w:rsidR="005C1BF6">
        <w:rPr>
          <w:rFonts w:ascii="Arial" w:hAnsi="Arial" w:cs="Arial"/>
          <w:sz w:val="22"/>
          <w:szCs w:val="22"/>
        </w:rPr>
        <w:t>10</w:t>
      </w:r>
      <w:r w:rsidRPr="003C192E">
        <w:rPr>
          <w:rFonts w:ascii="Arial" w:hAnsi="Arial" w:cs="Arial"/>
          <w:sz w:val="22"/>
          <w:szCs w:val="22"/>
        </w:rPr>
        <w:t xml:space="preserve"> October 2026).</w:t>
      </w:r>
    </w:p>
    <w:p w14:paraId="5043EAFB" w14:textId="0D8C4050"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lastRenderedPageBreak/>
        <w:t xml:space="preserve">National Institute for Health and Care Excellence (NICE) (2026) </w:t>
      </w:r>
      <w:r w:rsidRPr="000B100D">
        <w:rPr>
          <w:rFonts w:ascii="Arial" w:hAnsi="Arial" w:cs="Arial"/>
          <w:i/>
          <w:iCs/>
          <w:sz w:val="22"/>
          <w:szCs w:val="22"/>
        </w:rPr>
        <w:t>Type 2 diabetes in adults:</w:t>
      </w:r>
      <w:r w:rsidRPr="003C192E">
        <w:rPr>
          <w:rFonts w:ascii="Arial" w:hAnsi="Arial" w:cs="Arial"/>
          <w:sz w:val="22"/>
          <w:szCs w:val="22"/>
        </w:rPr>
        <w:t xml:space="preserve"> </w:t>
      </w:r>
      <w:r w:rsidRPr="000B100D">
        <w:rPr>
          <w:rFonts w:ascii="Arial" w:hAnsi="Arial" w:cs="Arial"/>
          <w:i/>
          <w:iCs/>
          <w:sz w:val="22"/>
          <w:szCs w:val="22"/>
        </w:rPr>
        <w:t>management. NICE guideline NG28</w:t>
      </w:r>
      <w:r w:rsidRPr="003C192E">
        <w:rPr>
          <w:rFonts w:ascii="Arial" w:hAnsi="Arial" w:cs="Arial"/>
          <w:sz w:val="22"/>
          <w:szCs w:val="22"/>
        </w:rPr>
        <w:t xml:space="preserve">. London: National Institute for Health and Care Excellence. Available at: https://www.nice.org.uk/guidance/ng28 (Accessed: </w:t>
      </w:r>
      <w:r w:rsidR="005C1BF6">
        <w:rPr>
          <w:rFonts w:ascii="Arial" w:hAnsi="Arial" w:cs="Arial"/>
          <w:sz w:val="22"/>
          <w:szCs w:val="22"/>
        </w:rPr>
        <w:t>14</w:t>
      </w:r>
      <w:r w:rsidRPr="003C192E">
        <w:rPr>
          <w:rFonts w:ascii="Arial" w:hAnsi="Arial" w:cs="Arial"/>
          <w:sz w:val="22"/>
          <w:szCs w:val="22"/>
        </w:rPr>
        <w:t xml:space="preserve"> October 2026).</w:t>
      </w:r>
    </w:p>
    <w:p w14:paraId="38CE509A" w14:textId="23C233EC"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Peate, I. and Nair, M. (eds.) (2011) </w:t>
      </w:r>
      <w:r w:rsidRPr="000B100D">
        <w:rPr>
          <w:rFonts w:ascii="Arial" w:hAnsi="Arial" w:cs="Arial"/>
          <w:i/>
          <w:iCs/>
          <w:sz w:val="22"/>
          <w:szCs w:val="22"/>
        </w:rPr>
        <w:t>Fundamentals of Anatomy and Physiology for Student</w:t>
      </w:r>
      <w:r w:rsidRPr="003C192E">
        <w:rPr>
          <w:rFonts w:ascii="Arial" w:hAnsi="Arial" w:cs="Arial"/>
          <w:sz w:val="22"/>
          <w:szCs w:val="22"/>
        </w:rPr>
        <w:t xml:space="preserve"> </w:t>
      </w:r>
      <w:r w:rsidRPr="000B100D">
        <w:rPr>
          <w:rFonts w:ascii="Arial" w:hAnsi="Arial" w:cs="Arial"/>
          <w:i/>
          <w:iCs/>
          <w:sz w:val="22"/>
          <w:szCs w:val="22"/>
        </w:rPr>
        <w:t>Nurses.</w:t>
      </w:r>
      <w:r w:rsidRPr="003C192E">
        <w:rPr>
          <w:rFonts w:ascii="Arial" w:hAnsi="Arial" w:cs="Arial"/>
          <w:sz w:val="22"/>
          <w:szCs w:val="22"/>
        </w:rPr>
        <w:t xml:space="preserve"> Chichester: Wiley-Blackwell. Available at: https://books.google.com/books?id=Jj4kY5W-yroC (Accessed: </w:t>
      </w:r>
      <w:r w:rsidR="005C1BF6">
        <w:rPr>
          <w:rFonts w:ascii="Arial" w:hAnsi="Arial" w:cs="Arial"/>
          <w:sz w:val="22"/>
          <w:szCs w:val="22"/>
        </w:rPr>
        <w:t>16</w:t>
      </w:r>
      <w:r w:rsidRPr="003C192E">
        <w:rPr>
          <w:rFonts w:ascii="Arial" w:hAnsi="Arial" w:cs="Arial"/>
          <w:sz w:val="22"/>
          <w:szCs w:val="22"/>
        </w:rPr>
        <w:t xml:space="preserve"> October 2026).</w:t>
      </w:r>
    </w:p>
    <w:p w14:paraId="680B32D6" w14:textId="3B4793BD"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Scanlon, V.C. and Sanders, T. (2018) </w:t>
      </w:r>
      <w:r w:rsidRPr="000B100D">
        <w:rPr>
          <w:rFonts w:ascii="Arial" w:hAnsi="Arial" w:cs="Arial"/>
          <w:i/>
          <w:iCs/>
          <w:sz w:val="22"/>
          <w:szCs w:val="22"/>
        </w:rPr>
        <w:t>Essentials of Anatomy and Physiology</w:t>
      </w:r>
      <w:r w:rsidRPr="003C192E">
        <w:rPr>
          <w:rFonts w:ascii="Arial" w:hAnsi="Arial" w:cs="Arial"/>
          <w:sz w:val="22"/>
          <w:szCs w:val="22"/>
        </w:rPr>
        <w:t xml:space="preserve">. 8th edn. Philadelphia, PA: F.A. Davis Company. Available at: https://books.google.com/books?id=Ka2gEAAAQBAJ (Accessed: </w:t>
      </w:r>
      <w:r w:rsidR="005C1BF6">
        <w:rPr>
          <w:rFonts w:ascii="Arial" w:hAnsi="Arial" w:cs="Arial"/>
          <w:sz w:val="22"/>
          <w:szCs w:val="22"/>
        </w:rPr>
        <w:t>15</w:t>
      </w:r>
      <w:r w:rsidRPr="003C192E">
        <w:rPr>
          <w:rFonts w:ascii="Arial" w:hAnsi="Arial" w:cs="Arial"/>
          <w:sz w:val="22"/>
          <w:szCs w:val="22"/>
        </w:rPr>
        <w:t xml:space="preserve"> October 2026).</w:t>
      </w:r>
    </w:p>
    <w:p w14:paraId="69BCD345" w14:textId="5D15771C"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Sturgeon, D. (2018) </w:t>
      </w:r>
      <w:r w:rsidRPr="000B100D">
        <w:rPr>
          <w:rFonts w:ascii="Arial" w:hAnsi="Arial" w:cs="Arial"/>
          <w:i/>
          <w:iCs/>
          <w:sz w:val="22"/>
          <w:szCs w:val="22"/>
        </w:rPr>
        <w:t>Introduction to Anatomy and Physiology for Healthcare Students</w:t>
      </w:r>
      <w:r w:rsidRPr="003C192E">
        <w:rPr>
          <w:rFonts w:ascii="Arial" w:hAnsi="Arial" w:cs="Arial"/>
          <w:sz w:val="22"/>
          <w:szCs w:val="22"/>
        </w:rPr>
        <w:t xml:space="preserve">. 1st edn. Abingdon: Routledge. Available at: https://www.routledge.com/Introduction-to-Anatomy-and-Physiology-for-Healthcare-Students/Sturgeon/p/book/9781138683860 (Accessed: </w:t>
      </w:r>
      <w:r w:rsidR="005C1BF6">
        <w:rPr>
          <w:rFonts w:ascii="Arial" w:hAnsi="Arial" w:cs="Arial"/>
          <w:sz w:val="22"/>
          <w:szCs w:val="22"/>
        </w:rPr>
        <w:t>15</w:t>
      </w:r>
      <w:r w:rsidRPr="003C192E">
        <w:rPr>
          <w:rFonts w:ascii="Arial" w:hAnsi="Arial" w:cs="Arial"/>
          <w:sz w:val="22"/>
          <w:szCs w:val="22"/>
        </w:rPr>
        <w:t xml:space="preserve"> October 2026).</w:t>
      </w:r>
    </w:p>
    <w:p w14:paraId="422E5E21" w14:textId="7FA0D0C5"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Waugh, A. and Grant, A. (2018</w:t>
      </w:r>
      <w:r w:rsidRPr="000B100D">
        <w:rPr>
          <w:rFonts w:ascii="Arial" w:hAnsi="Arial" w:cs="Arial"/>
          <w:i/>
          <w:iCs/>
          <w:sz w:val="22"/>
          <w:szCs w:val="22"/>
        </w:rPr>
        <w:t>) Ross &amp; Wilson Anatomy and Physiology in Health and</w:t>
      </w:r>
      <w:r w:rsidRPr="003C192E">
        <w:rPr>
          <w:rFonts w:ascii="Arial" w:hAnsi="Arial" w:cs="Arial"/>
          <w:sz w:val="22"/>
          <w:szCs w:val="22"/>
        </w:rPr>
        <w:t xml:space="preserve"> </w:t>
      </w:r>
      <w:r w:rsidRPr="000B100D">
        <w:rPr>
          <w:rFonts w:ascii="Arial" w:hAnsi="Arial" w:cs="Arial"/>
          <w:i/>
          <w:iCs/>
          <w:sz w:val="22"/>
          <w:szCs w:val="22"/>
        </w:rPr>
        <w:t>Illness</w:t>
      </w:r>
      <w:r w:rsidR="000B100D">
        <w:rPr>
          <w:rFonts w:ascii="Arial" w:hAnsi="Arial" w:cs="Arial"/>
          <w:sz w:val="22"/>
          <w:szCs w:val="22"/>
        </w:rPr>
        <w:t>.</w:t>
      </w:r>
      <w:r w:rsidRPr="003C192E">
        <w:rPr>
          <w:rFonts w:ascii="Arial" w:hAnsi="Arial" w:cs="Arial"/>
          <w:sz w:val="22"/>
          <w:szCs w:val="22"/>
        </w:rPr>
        <w:t xml:space="preserve"> 13th edn. Edinburgh: Elsevier. Available at: https://www.us.elsevierhealth.com/ross-wilson-anatomy-and-physiology-in-health-and-illness-9780702072840.html (Accessed: </w:t>
      </w:r>
      <w:r w:rsidR="005C1BF6">
        <w:rPr>
          <w:rFonts w:ascii="Arial" w:hAnsi="Arial" w:cs="Arial"/>
          <w:sz w:val="22"/>
          <w:szCs w:val="22"/>
        </w:rPr>
        <w:t>12</w:t>
      </w:r>
      <w:r w:rsidRPr="003C192E">
        <w:rPr>
          <w:rFonts w:ascii="Arial" w:hAnsi="Arial" w:cs="Arial"/>
          <w:sz w:val="22"/>
          <w:szCs w:val="22"/>
        </w:rPr>
        <w:t xml:space="preserve"> October 2026).</w:t>
      </w:r>
    </w:p>
    <w:p w14:paraId="07DDE910" w14:textId="0896FD1B" w:rsidR="00FE02A4" w:rsidRPr="003C192E" w:rsidRDefault="00FE02A4" w:rsidP="003C192E">
      <w:pPr>
        <w:spacing w:line="360" w:lineRule="auto"/>
        <w:ind w:left="737" w:hanging="737"/>
        <w:rPr>
          <w:rFonts w:ascii="Arial" w:hAnsi="Arial" w:cs="Arial"/>
          <w:sz w:val="22"/>
          <w:szCs w:val="22"/>
        </w:rPr>
      </w:pPr>
      <w:r w:rsidRPr="003C192E">
        <w:rPr>
          <w:rFonts w:ascii="Arial" w:hAnsi="Arial" w:cs="Arial"/>
          <w:sz w:val="22"/>
          <w:szCs w:val="22"/>
        </w:rPr>
        <w:t xml:space="preserve">World Health Organization (WHO) (2024) </w:t>
      </w:r>
      <w:r w:rsidRPr="000B100D">
        <w:rPr>
          <w:rFonts w:ascii="Arial" w:hAnsi="Arial" w:cs="Arial"/>
          <w:i/>
          <w:iCs/>
          <w:sz w:val="22"/>
          <w:szCs w:val="22"/>
        </w:rPr>
        <w:t>Diabetes</w:t>
      </w:r>
      <w:r w:rsidRPr="003C192E">
        <w:rPr>
          <w:rFonts w:ascii="Arial" w:hAnsi="Arial" w:cs="Arial"/>
          <w:sz w:val="22"/>
          <w:szCs w:val="22"/>
        </w:rPr>
        <w:t xml:space="preserve">. 14 November. Available at: https://www.who.int/news-room/fact-sheets/detail/diabetes (Accessed: </w:t>
      </w:r>
      <w:r w:rsidR="005C1BF6">
        <w:rPr>
          <w:rFonts w:ascii="Arial" w:hAnsi="Arial" w:cs="Arial"/>
          <w:sz w:val="22"/>
          <w:szCs w:val="22"/>
        </w:rPr>
        <w:t>16</w:t>
      </w:r>
      <w:r w:rsidRPr="003C192E">
        <w:rPr>
          <w:rFonts w:ascii="Arial" w:hAnsi="Arial" w:cs="Arial"/>
          <w:sz w:val="22"/>
          <w:szCs w:val="22"/>
        </w:rPr>
        <w:t xml:space="preserve"> October 2026).</w:t>
      </w:r>
    </w:p>
    <w:p w14:paraId="0A1BF094" w14:textId="77777777" w:rsidR="00FE02A4" w:rsidRPr="003C192E" w:rsidRDefault="00FE02A4" w:rsidP="003C192E">
      <w:pPr>
        <w:spacing w:line="360" w:lineRule="auto"/>
        <w:ind w:left="737" w:hanging="737"/>
        <w:rPr>
          <w:rFonts w:ascii="Arial" w:hAnsi="Arial" w:cs="Arial"/>
          <w:sz w:val="22"/>
          <w:szCs w:val="22"/>
        </w:rPr>
      </w:pPr>
    </w:p>
    <w:sectPr w:rsidR="00FE02A4" w:rsidRPr="003C192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178BBB" w14:textId="77777777" w:rsidR="0049610D" w:rsidRDefault="0049610D" w:rsidP="003C192E">
      <w:pPr>
        <w:spacing w:after="0" w:line="240" w:lineRule="auto"/>
      </w:pPr>
      <w:r>
        <w:separator/>
      </w:r>
    </w:p>
  </w:endnote>
  <w:endnote w:type="continuationSeparator" w:id="0">
    <w:p w14:paraId="73563BDB" w14:textId="77777777" w:rsidR="0049610D" w:rsidRDefault="0049610D" w:rsidP="003C1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3501644"/>
      <w:docPartObj>
        <w:docPartGallery w:val="Page Numbers (Bottom of Page)"/>
        <w:docPartUnique/>
      </w:docPartObj>
    </w:sdtPr>
    <w:sdtEndPr>
      <w:rPr>
        <w:noProof/>
      </w:rPr>
    </w:sdtEndPr>
    <w:sdtContent>
      <w:p w14:paraId="77FDE5D4" w14:textId="230653D5" w:rsidR="003C192E" w:rsidRDefault="003C19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CE5B7" w14:textId="77777777" w:rsidR="003C192E" w:rsidRDefault="003C1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797E2" w14:textId="77777777" w:rsidR="0049610D" w:rsidRDefault="0049610D" w:rsidP="003C192E">
      <w:pPr>
        <w:spacing w:after="0" w:line="240" w:lineRule="auto"/>
      </w:pPr>
      <w:r>
        <w:separator/>
      </w:r>
    </w:p>
  </w:footnote>
  <w:footnote w:type="continuationSeparator" w:id="0">
    <w:p w14:paraId="63F7A030" w14:textId="77777777" w:rsidR="0049610D" w:rsidRDefault="0049610D" w:rsidP="003C19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2A4"/>
    <w:rsid w:val="00054458"/>
    <w:rsid w:val="000B100D"/>
    <w:rsid w:val="000C29C6"/>
    <w:rsid w:val="00331776"/>
    <w:rsid w:val="003A62BC"/>
    <w:rsid w:val="003C192E"/>
    <w:rsid w:val="0047487F"/>
    <w:rsid w:val="00482213"/>
    <w:rsid w:val="0049610D"/>
    <w:rsid w:val="00530D56"/>
    <w:rsid w:val="005C1BF6"/>
    <w:rsid w:val="005D087C"/>
    <w:rsid w:val="006054A0"/>
    <w:rsid w:val="0064334E"/>
    <w:rsid w:val="00710DFF"/>
    <w:rsid w:val="007754E8"/>
    <w:rsid w:val="007A3187"/>
    <w:rsid w:val="00824F15"/>
    <w:rsid w:val="00863061"/>
    <w:rsid w:val="00A10329"/>
    <w:rsid w:val="00A363C1"/>
    <w:rsid w:val="00A904E3"/>
    <w:rsid w:val="00BA7A9F"/>
    <w:rsid w:val="00E05CED"/>
    <w:rsid w:val="00F10D47"/>
    <w:rsid w:val="00F873CE"/>
    <w:rsid w:val="00F966B7"/>
    <w:rsid w:val="00FE02A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9D0AE8"/>
  <w15:chartTrackingRefBased/>
  <w15:docId w15:val="{3ECE4EC9-0BCD-4E85-B8A1-A4DC73E0F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2A4"/>
    <w:rPr>
      <w:rFonts w:eastAsiaTheme="majorEastAsia" w:cstheme="majorBidi"/>
      <w:color w:val="272727" w:themeColor="text1" w:themeTint="D8"/>
    </w:rPr>
  </w:style>
  <w:style w:type="paragraph" w:styleId="Title">
    <w:name w:val="Title"/>
    <w:basedOn w:val="Normal"/>
    <w:next w:val="Normal"/>
    <w:link w:val="TitleChar"/>
    <w:uiPriority w:val="10"/>
    <w:qFormat/>
    <w:rsid w:val="00FE0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2A4"/>
    <w:pPr>
      <w:spacing w:before="160"/>
      <w:jc w:val="center"/>
    </w:pPr>
    <w:rPr>
      <w:i/>
      <w:iCs/>
      <w:color w:val="404040" w:themeColor="text1" w:themeTint="BF"/>
    </w:rPr>
  </w:style>
  <w:style w:type="character" w:customStyle="1" w:styleId="QuoteChar">
    <w:name w:val="Quote Char"/>
    <w:basedOn w:val="DefaultParagraphFont"/>
    <w:link w:val="Quote"/>
    <w:uiPriority w:val="29"/>
    <w:rsid w:val="00FE02A4"/>
    <w:rPr>
      <w:i/>
      <w:iCs/>
      <w:color w:val="404040" w:themeColor="text1" w:themeTint="BF"/>
    </w:rPr>
  </w:style>
  <w:style w:type="paragraph" w:styleId="ListParagraph">
    <w:name w:val="List Paragraph"/>
    <w:basedOn w:val="Normal"/>
    <w:uiPriority w:val="34"/>
    <w:qFormat/>
    <w:rsid w:val="00FE02A4"/>
    <w:pPr>
      <w:ind w:left="720"/>
      <w:contextualSpacing/>
    </w:pPr>
  </w:style>
  <w:style w:type="character" w:styleId="IntenseEmphasis">
    <w:name w:val="Intense Emphasis"/>
    <w:basedOn w:val="DefaultParagraphFont"/>
    <w:uiPriority w:val="21"/>
    <w:qFormat/>
    <w:rsid w:val="00FE02A4"/>
    <w:rPr>
      <w:i/>
      <w:iCs/>
      <w:color w:val="0F4761" w:themeColor="accent1" w:themeShade="BF"/>
    </w:rPr>
  </w:style>
  <w:style w:type="paragraph" w:styleId="IntenseQuote">
    <w:name w:val="Intense Quote"/>
    <w:basedOn w:val="Normal"/>
    <w:next w:val="Normal"/>
    <w:link w:val="IntenseQuoteChar"/>
    <w:uiPriority w:val="30"/>
    <w:qFormat/>
    <w:rsid w:val="00FE0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2A4"/>
    <w:rPr>
      <w:i/>
      <w:iCs/>
      <w:color w:val="0F4761" w:themeColor="accent1" w:themeShade="BF"/>
    </w:rPr>
  </w:style>
  <w:style w:type="character" w:styleId="IntenseReference">
    <w:name w:val="Intense Reference"/>
    <w:basedOn w:val="DefaultParagraphFont"/>
    <w:uiPriority w:val="32"/>
    <w:qFormat/>
    <w:rsid w:val="00FE02A4"/>
    <w:rPr>
      <w:b/>
      <w:bCs/>
      <w:smallCaps/>
      <w:color w:val="0F4761" w:themeColor="accent1" w:themeShade="BF"/>
      <w:spacing w:val="5"/>
    </w:rPr>
  </w:style>
  <w:style w:type="paragraph" w:styleId="Header">
    <w:name w:val="header"/>
    <w:basedOn w:val="Normal"/>
    <w:link w:val="HeaderChar"/>
    <w:uiPriority w:val="99"/>
    <w:unhideWhenUsed/>
    <w:rsid w:val="003C1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92E"/>
  </w:style>
  <w:style w:type="paragraph" w:styleId="Footer">
    <w:name w:val="footer"/>
    <w:basedOn w:val="Normal"/>
    <w:link w:val="FooterChar"/>
    <w:uiPriority w:val="99"/>
    <w:unhideWhenUsed/>
    <w:rsid w:val="003C1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92E"/>
  </w:style>
  <w:style w:type="paragraph" w:styleId="TOCHeading">
    <w:name w:val="TOC Heading"/>
    <w:basedOn w:val="Heading1"/>
    <w:next w:val="Normal"/>
    <w:uiPriority w:val="39"/>
    <w:unhideWhenUsed/>
    <w:qFormat/>
    <w:rsid w:val="005C1BF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C1BF6"/>
    <w:pPr>
      <w:spacing w:after="100"/>
    </w:pPr>
  </w:style>
  <w:style w:type="character" w:styleId="Hyperlink">
    <w:name w:val="Hyperlink"/>
    <w:basedOn w:val="DefaultParagraphFont"/>
    <w:uiPriority w:val="99"/>
    <w:unhideWhenUsed/>
    <w:rsid w:val="005C1BF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52523-650F-43BA-A00C-FF47B1EA0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10</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20</cp:revision>
  <dcterms:created xsi:type="dcterms:W3CDTF">2026-10-21T17:00:00Z</dcterms:created>
  <dcterms:modified xsi:type="dcterms:W3CDTF">2026-10-22T22:21:00Z</dcterms:modified>
</cp:coreProperties>
</file>