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1134EFF" w:rsidR="7908378C" w:rsidRDefault="7908378C" w:rsidP="33572C6E">
            <w:pPr>
              <w:ind w:right="237"/>
              <w:rPr>
                <w:b/>
                <w:bCs/>
                <w:color w:val="auto"/>
                <w:sz w:val="32"/>
                <w:szCs w:val="32"/>
              </w:rPr>
            </w:pPr>
            <w:r w:rsidRPr="33572C6E">
              <w:rPr>
                <w:b/>
                <w:bCs/>
                <w:color w:val="auto"/>
                <w:sz w:val="32"/>
                <w:szCs w:val="32"/>
              </w:rPr>
              <w:t>Learner name: _</w:t>
            </w:r>
            <w:r w:rsidR="00E9389A">
              <w:rPr>
                <w:b/>
                <w:bCs/>
                <w:color w:val="auto"/>
                <w:sz w:val="32"/>
                <w:szCs w:val="32"/>
              </w:rPr>
              <w:t>Myfanwy Sephton</w:t>
            </w:r>
            <w:r w:rsidRPr="33572C6E">
              <w:rPr>
                <w:b/>
                <w:bCs/>
                <w:color w:val="auto"/>
                <w:sz w:val="32"/>
                <w:szCs w:val="32"/>
              </w:rPr>
              <w:t>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C2D6EF3" w:rsidR="7908378C" w:rsidRDefault="00E9389A" w:rsidP="33572C6E">
            <w:pPr>
              <w:ind w:right="237"/>
              <w:rPr>
                <w:b/>
                <w:bCs/>
                <w:color w:val="auto"/>
                <w:sz w:val="32"/>
                <w:szCs w:val="32"/>
              </w:rPr>
            </w:pPr>
            <w:r>
              <w:rPr>
                <w:b/>
                <w:bCs/>
                <w:color w:val="auto"/>
                <w:sz w:val="32"/>
                <w:szCs w:val="32"/>
              </w:rPr>
              <w:t>2031285</w:t>
            </w:r>
            <w:r w:rsidR="7908378C"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B130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5FDD934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26786B5" w14:textId="68A7BE98" w:rsidR="00E9389A" w:rsidRDefault="00E9389A" w:rsidP="5B843AF0">
      <w:pPr>
        <w:ind w:right="237"/>
        <w:jc w:val="both"/>
        <w:rPr>
          <w:rFonts w:eastAsia="Arial"/>
          <w:b/>
          <w:bCs/>
          <w:color w:val="000000" w:themeColor="text1"/>
          <w:sz w:val="24"/>
          <w:szCs w:val="24"/>
        </w:rPr>
      </w:pPr>
    </w:p>
    <w:p w14:paraId="090B57A8" w14:textId="44522A90"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The Police investigate incidents where there are victims of crime on a daily basis. Some of these victims are vulnerable. The College of Policing (2020) defines vulnerability as ‘a person is vulnerable if, as result of their situation or circumstances, they are unable to take care of or protect themselves from harm or exploitation’. This definition is important for officers to factor into how they police situations as those who are vulnerable may need a different style of management or support to minimise the risk of harm. There are many theories that attempt to explain why one individual may be more vulnerable than another. This can be shown in the Victim Precipitation Theory, the Deviant Place Theory, and the Routine Activity Theory. These theories attempt to explain what makes someone at high risk of victimisation. Victimisation is when one person deliberately does an act to harm another person. This could be in the form of exploitation or oppression for example. This act could be a violation of civil or criminal law and the harm the victim has sustained can range from psychological, sexual, physical or financial (Fisher and Reyns, 2009). Those who experience this regularly may be described as a repeat victim. A repeat victim is victim who becomes a victim of crime on more than one occasion, in the last twelve months (Surrey Police, 2022). It is vital that officers are aware of these theories and policies to make sure that members of the community receive the best service possible. Using this information, officers can tackle the problem of repeat victimisation and also repeat offending. When tackling something as large and complex as repeat </w:t>
      </w:r>
      <w:r w:rsidRPr="00E9389A">
        <w:rPr>
          <w:rFonts w:asciiTheme="minorHAnsi" w:hAnsiTheme="minorHAnsi" w:cstheme="minorHAnsi"/>
          <w:sz w:val="22"/>
          <w:szCs w:val="22"/>
        </w:rPr>
        <w:lastRenderedPageBreak/>
        <w:t>offending; officers can explore the use of Evidence Based Policing. Evidence Based Policing allows officers to use ‘scientific evaluations to inform and underpin decisions made by police practitioners within the workplace (Sherman, 1998). Using Evidence Based Policing allows officers to provide answers to victims and other service users to current and future problems.</w:t>
      </w:r>
    </w:p>
    <w:p w14:paraId="1F37B28D" w14:textId="77777777" w:rsidR="00E9389A" w:rsidRPr="00E9389A" w:rsidRDefault="00E9389A" w:rsidP="00E9389A">
      <w:pPr>
        <w:spacing w:line="360" w:lineRule="auto"/>
        <w:rPr>
          <w:rFonts w:asciiTheme="minorHAnsi" w:hAnsiTheme="minorHAnsi" w:cstheme="minorHAnsi"/>
          <w:sz w:val="22"/>
          <w:szCs w:val="22"/>
        </w:rPr>
      </w:pPr>
    </w:p>
    <w:p w14:paraId="132E6FD2" w14:textId="36C995B4"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This essay will reflect on an incident I have personally dealt with and played a significant role in. Using that incident, this essay will reflect on social issues that underpinned the situation. This essay will compare and critically evaluate the theories mentioned above and discuss which, if any, is important to consider when supporting a victim of crime. This essay will explore how Evidence Base Policing can aid tackling repeat victimisation and offending and also explore why Evidence Based Policing is criticised in the field.</w:t>
      </w:r>
    </w:p>
    <w:p w14:paraId="6E80E2FE" w14:textId="77777777" w:rsidR="00E9389A" w:rsidRPr="00E9389A" w:rsidRDefault="00E9389A" w:rsidP="00E9389A">
      <w:pPr>
        <w:spacing w:line="360" w:lineRule="auto"/>
        <w:rPr>
          <w:rFonts w:asciiTheme="minorHAnsi" w:hAnsiTheme="minorHAnsi" w:cstheme="minorHAnsi"/>
          <w:sz w:val="22"/>
          <w:szCs w:val="22"/>
        </w:rPr>
      </w:pPr>
    </w:p>
    <w:p w14:paraId="77849012" w14:textId="61912AD9"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The incident that I played a significant role in, involved a family member transferring thousands of pounds out of their grandparents’ account. This individual was also a carer for the grandparent, so as an officer I had to consider whether there was fraud by abuse of positions alongside the financial abuse of an elderly person. I interviewed the subject, where they gave a partial admission of taking part of the money to fund their chaotic lifestyle of cocaine use and online gambling. When obtaining statements from other family members, they stated that the victim was taken advantage of due to his declining mental state and dependence on the subject for day to day tasks. This, therefore, made the victim vulnerable as they were unable to protect themselves from this financial exploitation. The victim stated that the subject had taken care of him and lived in the house with him for years, in almost complete isolation from friends and other family members. This made the victim at a significant risk of vulnerability. </w:t>
      </w:r>
    </w:p>
    <w:p w14:paraId="1925BB59" w14:textId="77777777" w:rsidR="00E9389A" w:rsidRPr="00E9389A" w:rsidRDefault="00E9389A" w:rsidP="00E9389A">
      <w:pPr>
        <w:spacing w:line="360" w:lineRule="auto"/>
        <w:rPr>
          <w:rFonts w:asciiTheme="minorHAnsi" w:hAnsiTheme="minorHAnsi" w:cstheme="minorHAnsi"/>
          <w:sz w:val="22"/>
          <w:szCs w:val="22"/>
        </w:rPr>
      </w:pPr>
    </w:p>
    <w:p w14:paraId="3397F900" w14:textId="57910A1D"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During this situation, I felt a pressure to make sure that all the lines of enquiries were tackle. There were lengthy bank statements that dated back years of fraudulent activity. The victim and his support network were highly emotional, so I had to stay stoic and objective to ensure that I had a clear idea of how to tackle the investigation.</w:t>
      </w:r>
    </w:p>
    <w:p w14:paraId="723DF0FE" w14:textId="77777777" w:rsidR="00E9389A" w:rsidRPr="00E9389A" w:rsidRDefault="00E9389A" w:rsidP="00E9389A">
      <w:pPr>
        <w:spacing w:line="360" w:lineRule="auto"/>
        <w:rPr>
          <w:rFonts w:asciiTheme="minorHAnsi" w:hAnsiTheme="minorHAnsi" w:cstheme="minorHAnsi"/>
          <w:sz w:val="22"/>
          <w:szCs w:val="22"/>
        </w:rPr>
      </w:pPr>
    </w:p>
    <w:p w14:paraId="68385595" w14:textId="4D534725"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I believe that the statement taken for the victim was good, it covered the relationship between the victim and subject and the years of fraudulent activity that occurred. The safeguarding of the victim was good, a critical marker had been placed on the address and online safety was explained in great detail to the victim and their support network to ensure that this would not happen again. The victim was advised to commence an investigation with their bank and this allowed them to have the </w:t>
      </w:r>
      <w:r w:rsidRPr="00E9389A">
        <w:rPr>
          <w:rFonts w:asciiTheme="minorHAnsi" w:hAnsiTheme="minorHAnsi" w:cstheme="minorHAnsi"/>
          <w:sz w:val="22"/>
          <w:szCs w:val="22"/>
        </w:rPr>
        <w:lastRenderedPageBreak/>
        <w:t xml:space="preserve">majority of the money returned. When interviewing the subject, they stated that they had gambling and substance addictions and used the money to fund these addictions. I believe that the timeliness of the investigation could have been improved. The DWP could have been chased up sooner. Their response was vital for the direction of the investigation. The victim could have received further safeguarding sooner. A quicker referral to Social Services, may have given the victim a carer or reassurance that may have minimise their risk of further harm or exploitation. As this was my first complex fraud, I have used it as a learning curve for future fraud investigations. </w:t>
      </w:r>
    </w:p>
    <w:p w14:paraId="0EDD2E7C" w14:textId="77777777" w:rsidR="00E9389A" w:rsidRPr="00E9389A" w:rsidRDefault="00E9389A" w:rsidP="00E9389A">
      <w:pPr>
        <w:spacing w:line="360" w:lineRule="auto"/>
        <w:rPr>
          <w:rFonts w:asciiTheme="minorHAnsi" w:hAnsiTheme="minorHAnsi" w:cstheme="minorHAnsi"/>
          <w:sz w:val="22"/>
          <w:szCs w:val="22"/>
        </w:rPr>
      </w:pPr>
    </w:p>
    <w:p w14:paraId="54381423" w14:textId="0F4180A0"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This situation involved a victim of crime who was elderly. It is a stereotype that the elderly are targets for crimes such as fraud and financial abuse due their declining health and reliance on others. The lifestyle the elderly person has may make them more susceptible to being vulnerable and a victim of crime (Smith, 2018). As the subject was also caring for the victim, there was an enquiry to see if the subject was fraudulently taking carer’s allowance to fund their chaotic lifestyle. All of the fraud the victim experienced was online. UK Finance (2021) found that ‘unauthorised financial fraud losses across payment cards, remote banking and cheques totalled £733.8 million in 2020’. This shows how common and serious this type of fraud is. </w:t>
      </w:r>
    </w:p>
    <w:p w14:paraId="5EF041E8" w14:textId="77777777" w:rsidR="00E9389A" w:rsidRPr="00E9389A" w:rsidRDefault="00E9389A" w:rsidP="00E9389A">
      <w:pPr>
        <w:spacing w:line="360" w:lineRule="auto"/>
        <w:rPr>
          <w:rFonts w:asciiTheme="minorHAnsi" w:hAnsiTheme="minorHAnsi" w:cstheme="minorHAnsi"/>
          <w:sz w:val="22"/>
          <w:szCs w:val="22"/>
        </w:rPr>
      </w:pPr>
    </w:p>
    <w:p w14:paraId="066968D9" w14:textId="421D3B92"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The victim in this situation, had been a victim of fraud over a period of years, with many occasions happening weeks apart. The subject also lived with the victim and was a relative. This therefore means, that he was a repeat victim. The Crime Survey for England and Wales showed that 34% of domestic violence victims were repeat victims (College of Policing, 2021).</w:t>
      </w:r>
    </w:p>
    <w:p w14:paraId="76832528" w14:textId="77777777" w:rsidR="00E9389A" w:rsidRPr="00E9389A" w:rsidRDefault="00E9389A" w:rsidP="00E9389A">
      <w:pPr>
        <w:spacing w:line="360" w:lineRule="auto"/>
        <w:rPr>
          <w:rFonts w:asciiTheme="minorHAnsi" w:hAnsiTheme="minorHAnsi" w:cstheme="minorHAnsi"/>
          <w:sz w:val="22"/>
          <w:szCs w:val="22"/>
        </w:rPr>
      </w:pPr>
    </w:p>
    <w:p w14:paraId="14E7F00D" w14:textId="77777777" w:rsidR="00E9389A" w:rsidRP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The subject used the fraudulent money to pay for a cocaine, alcohol, and gambling habit. Studies have shown that substance abuse and gambling can be linked. A study in the United States found that, in a controlled group of 14 to 21 year olds, 17% of the group reported gambling 52 or more times in the past year and the same percentage drank a considerable amount of alcohol over the same period of time (Barnes et al, 2009). Being aware of these sorts of studies and statistics can aid policing and streamline the best approach for vulnerable victims and attempt to decrease reoffending. During this incident, to help the vulnerable victim, a reliable and trusted family friend has been present during police visits and further explained the process, if the victim have found it difficult to understand or overwhelming. Alongside supporting the victim; the subject has been going through drug and gambling counselling to try to break those habits and therefore attempt to decrease the likelihood of reoffending. </w:t>
      </w:r>
    </w:p>
    <w:p w14:paraId="20F0E470" w14:textId="2035568F"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lastRenderedPageBreak/>
        <w:t>There are many theories that police can use to argue why an individual may be more susceptible to becoming a victim. According to Siegel, the Lifestyle Theory suggest that individuals may have lifestyle choices that make them more vulnerable to become a victim. This includes being out late at night, being with young men and living in an urban area (Hussin and Zawawi, 2012). This theory suggest that those who stay home at night-time, is in a committed relationship and lives in a quieter area is less likely to be a victim of crime. Therefore, the theory suggests that being a victim does not come to chance but rather it is an individual’s choice to put themselves at risk (Hussin and Zawawi, 2012). However, further research has been conducted to criticise the Lifestyle Theory. Hindelang (1978) who studied the Lifestyle Theory was concerned about individuals who shared similar characteristics; however, these characteristics were only important when ‘they correlated with the kinds of behaviours that put people at risk of victimisation’ (Pratt and Turanovic, 2016).</w:t>
      </w:r>
    </w:p>
    <w:p w14:paraId="39467C7F" w14:textId="77777777" w:rsidR="00E9389A" w:rsidRPr="00E9389A" w:rsidRDefault="00E9389A" w:rsidP="00E9389A">
      <w:pPr>
        <w:spacing w:line="360" w:lineRule="auto"/>
        <w:rPr>
          <w:rFonts w:asciiTheme="minorHAnsi" w:hAnsiTheme="minorHAnsi" w:cstheme="minorHAnsi"/>
          <w:sz w:val="22"/>
          <w:szCs w:val="22"/>
        </w:rPr>
      </w:pPr>
    </w:p>
    <w:p w14:paraId="54785BA0" w14:textId="6022F817"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Another theory for officers to be aware of is the Deviant Place Theory. This theory suggests that if an individual is more exposed to dangerous places they are more likely to be a victim of crime. (Stark, 1987). This theory argues that a victim might not engage in dangerous behaviour, like the ones argued in the Lifestyle Theory but are prone to victimisation from residing in a dangerous location (Harper, 2022). Researchers who argue for the Deviant Place Theory believe that ‘taking safety precautions in these areas may be of little use since it is the neighbourhood, and not the lifestyle choices, that affect victimisation’ (Harper, 2022). However, there is research to argue against this theory and state that Target Hardening can be a valuable resource. Tilley and Webb (1994) found that there was a decrease in burglaries in area which had been target hardened. There was a 28% decrease in the first year and 35% decrease the following year. Although the incident I personally dealt with was fraud the theory still applies.</w:t>
      </w:r>
    </w:p>
    <w:p w14:paraId="38947009" w14:textId="77777777" w:rsidR="00E9389A" w:rsidRPr="00E9389A" w:rsidRDefault="00E9389A" w:rsidP="00E9389A">
      <w:pPr>
        <w:spacing w:line="360" w:lineRule="auto"/>
        <w:rPr>
          <w:rFonts w:asciiTheme="minorHAnsi" w:hAnsiTheme="minorHAnsi" w:cstheme="minorHAnsi"/>
          <w:sz w:val="22"/>
          <w:szCs w:val="22"/>
        </w:rPr>
      </w:pPr>
    </w:p>
    <w:p w14:paraId="285FF925" w14:textId="319ACF67"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Although these theories attempt to explain why certain victims are victimised, however, I believe the following theory gives a more well rounded explanation as to why certain people are victimised. That is the Routine Activity Theory. This theory suggests that a person is more likely to be victimised through the circumstances and routines (Harper, 2022). This theory argues that the rate of victimisation relies on three factors: the availability of suitable targets, the absence of capable guardians and the presence of motivated offenders. Researchers argue that the presence of one or more of these factors, increases the risk of victimisation (Harper, 2022). I believe that this theory explains victimisation well and it shows that the rate of victimisation is ever moving scale when you introduce or remove the three factors. Showing that victimisation can be dynamic. However, </w:t>
      </w:r>
      <w:r w:rsidRPr="00E9389A">
        <w:rPr>
          <w:rFonts w:asciiTheme="minorHAnsi" w:hAnsiTheme="minorHAnsi" w:cstheme="minorHAnsi"/>
          <w:sz w:val="22"/>
          <w:szCs w:val="22"/>
        </w:rPr>
        <w:lastRenderedPageBreak/>
        <w:t xml:space="preserve">Routine Activity Theory assumes ‘that anyone can become sufficiently motivated to break the law if the conditions are good enough (Pratt and Turanovic, 2016). </w:t>
      </w:r>
    </w:p>
    <w:p w14:paraId="1B137CDC" w14:textId="77777777" w:rsidR="00E9389A" w:rsidRPr="00E9389A" w:rsidRDefault="00E9389A" w:rsidP="00E9389A">
      <w:pPr>
        <w:spacing w:line="360" w:lineRule="auto"/>
        <w:rPr>
          <w:rFonts w:asciiTheme="minorHAnsi" w:hAnsiTheme="minorHAnsi" w:cstheme="minorHAnsi"/>
          <w:sz w:val="22"/>
          <w:szCs w:val="22"/>
        </w:rPr>
      </w:pPr>
    </w:p>
    <w:p w14:paraId="04E5C920" w14:textId="55A9C09D"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Alongside the theories that can aid officers in the understanding of victimisation, there is research to help officers attempt to reduce the reoffending of subjects. Evidence Based Police can assist this attempt. Evidence Based Policing uses research to inform policing and policy (Brown et al, 2018). Evidence Based Policing uses the best scientific evidence available, which means that research is of a high quality, rigorous; this then underpins all decisions in policing (Brown et al, 2018). Evidence Based Policing is affective in modern policing, especially in times of austerity with limited resources. Evidence Based Policing is making policing more legitimate and professional (Brown el al, 2018). With using these sorts of resources and ideology, it can attempt to tackle reoffending rates. Preventing reoffending can be addressed using many strategies including the Capricorn Framework. The Capricorn Framework is that is collaborative approach to prevent reoffending in young people (Public Health England, 2019). This framework looks at primary strategies to combat reoffending such as preventing drug and alcohol problems and secondary strategies such as liaison and diversion (Public Health England, 2019). This sort of framework is beneficial and was used in the investigation of fraud I led. However, there are criticisms of Evidence Based Policing. It is argued that research should not only focus on quantitative data but also knowledge from qualitative studies and common sense, which is needed in modern day policing (Sutton and Austin, 2015).</w:t>
      </w:r>
    </w:p>
    <w:p w14:paraId="6C4F25D1" w14:textId="77777777" w:rsidR="00E9389A" w:rsidRPr="00E9389A" w:rsidRDefault="00E9389A" w:rsidP="00E9389A">
      <w:pPr>
        <w:spacing w:line="360" w:lineRule="auto"/>
        <w:rPr>
          <w:rFonts w:asciiTheme="minorHAnsi" w:hAnsiTheme="minorHAnsi" w:cstheme="minorHAnsi"/>
          <w:sz w:val="22"/>
          <w:szCs w:val="22"/>
        </w:rPr>
      </w:pPr>
    </w:p>
    <w:p w14:paraId="7E618B71" w14:textId="336ABA83"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In conclusion, as the Routine Theory argues, victimisation is a moving scale and is not solely down to the individual but also other factors such as a lack of guardian and how motivated the offender is. Modern day policing and policy relies on research and good quality data, however, policing also needs qualitative data from officer’s personal experience and common sense. This means that officers can work towards decreasing the rate of victimisation and also the rate of reoffending.  In regard to the incident, I dealt with, I believe that more safeguarding could have been put in place for the victim. Gwent Police recently introduced a new Domestic Abuse App to give further advice for victims for safeguarding and services for victims.</w:t>
      </w:r>
    </w:p>
    <w:p w14:paraId="20820989" w14:textId="77777777" w:rsidR="00E9389A" w:rsidRPr="00E9389A" w:rsidRDefault="00E9389A" w:rsidP="00E9389A">
      <w:pPr>
        <w:spacing w:line="360" w:lineRule="auto"/>
        <w:rPr>
          <w:rFonts w:asciiTheme="minorHAnsi" w:hAnsiTheme="minorHAnsi" w:cstheme="minorHAnsi"/>
          <w:sz w:val="22"/>
          <w:szCs w:val="22"/>
        </w:rPr>
      </w:pPr>
    </w:p>
    <w:p w14:paraId="0647BC31" w14:textId="6D8E79BE" w:rsidR="00E9389A" w:rsidRP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Word Count: 2060</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2C31B110" w14:textId="77777777" w:rsidR="00E9389A" w:rsidRDefault="00E9389A" w:rsidP="00E9389A">
      <w:pPr>
        <w:overflowPunct/>
        <w:autoSpaceDE/>
        <w:autoSpaceDN/>
        <w:adjustRightInd/>
        <w:textAlignment w:val="auto"/>
        <w:rPr>
          <w:b/>
          <w:bCs/>
          <w:sz w:val="24"/>
          <w:szCs w:val="24"/>
        </w:rPr>
      </w:pPr>
    </w:p>
    <w:p w14:paraId="1FD84C99" w14:textId="77777777" w:rsidR="00E9389A" w:rsidRDefault="00E9389A" w:rsidP="00E9389A">
      <w:pPr>
        <w:overflowPunct/>
        <w:autoSpaceDE/>
        <w:autoSpaceDN/>
        <w:adjustRightInd/>
        <w:textAlignment w:val="auto"/>
        <w:rPr>
          <w:b/>
          <w:bCs/>
          <w:sz w:val="24"/>
          <w:szCs w:val="24"/>
        </w:rPr>
      </w:pPr>
    </w:p>
    <w:p w14:paraId="29F52AA9" w14:textId="77777777" w:rsidR="00E9389A" w:rsidRDefault="00E9389A" w:rsidP="00E9389A">
      <w:pPr>
        <w:overflowPunct/>
        <w:autoSpaceDE/>
        <w:autoSpaceDN/>
        <w:adjustRightInd/>
        <w:textAlignment w:val="auto"/>
        <w:rPr>
          <w:b/>
          <w:bCs/>
          <w:sz w:val="24"/>
          <w:szCs w:val="24"/>
        </w:rPr>
      </w:pPr>
    </w:p>
    <w:p w14:paraId="77E31362" w14:textId="47FF588E" w:rsidR="0FF883D4" w:rsidRPr="00E9389A" w:rsidRDefault="5B843AF0" w:rsidP="00E9389A">
      <w:pPr>
        <w:overflowPunct/>
        <w:autoSpaceDE/>
        <w:autoSpaceDN/>
        <w:adjustRightInd/>
        <w:jc w:val="center"/>
        <w:textAlignment w:val="auto"/>
        <w:rPr>
          <w:b/>
          <w:bCs/>
          <w:sz w:val="24"/>
          <w:szCs w:val="24"/>
        </w:rPr>
      </w:pPr>
      <w:r w:rsidRPr="5CE196A1">
        <w:rPr>
          <w:b/>
          <w:bCs/>
          <w:sz w:val="24"/>
          <w:szCs w:val="24"/>
        </w:rPr>
        <w:lastRenderedPageBreak/>
        <w:t>Task 2</w:t>
      </w:r>
    </w:p>
    <w:p w14:paraId="1168933F" w14:textId="77777777" w:rsidR="00E9389A" w:rsidRPr="00E9389A" w:rsidRDefault="00E9389A" w:rsidP="00E9389A">
      <w:pPr>
        <w:ind w:right="237"/>
        <w:jc w:val="center"/>
        <w:rPr>
          <w:b/>
          <w:bCs/>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64CE6D2B" w:rsidR="005C76DE" w:rsidRDefault="005C76DE" w:rsidP="005C76DE">
      <w:pPr>
        <w:ind w:right="237"/>
        <w:jc w:val="both"/>
        <w:rPr>
          <w:sz w:val="24"/>
          <w:szCs w:val="24"/>
        </w:rPr>
      </w:pPr>
    </w:p>
    <w:p w14:paraId="32CE7AFD" w14:textId="77777777"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Section 1 the </w:t>
      </w:r>
      <w:r w:rsidRPr="00E9389A">
        <w:rPr>
          <w:rFonts w:asciiTheme="minorHAnsi" w:hAnsiTheme="minorHAnsi" w:cstheme="minorHAnsi"/>
          <w:i/>
          <w:iCs/>
          <w:sz w:val="22"/>
          <w:szCs w:val="22"/>
        </w:rPr>
        <w:t>Domestic Abuse Act 2021</w:t>
      </w:r>
      <w:r w:rsidRPr="00E9389A">
        <w:rPr>
          <w:rFonts w:asciiTheme="minorHAnsi" w:hAnsiTheme="minorHAnsi" w:cstheme="minorHAnsi"/>
          <w:sz w:val="22"/>
          <w:szCs w:val="22"/>
        </w:rPr>
        <w:t xml:space="preserve"> defines Domestic Abuse as ‘behaviour of a person (A) towards another person (B) is domestic abuse if – A and B are each aged 16 or over and are personally connected to each other, and the behaviour is abusive’. Domestic Abuse is an incident that police officers encounter on an almost daily basis. Despite being an officer at the start of my career, I have encountered Domestic Abuse incidents ranging from a verbal argument to false imprisonment and serious assault. However, all of these incidents can have a significant effect on the victim and their families. This is called a ‘critical incident’. The College of Policing (2018) defines a critical incident as ‘any incident where the effectiveness of the police response is likely to have a significant impact on the confidence of the victim, their family and/or the community’. This definition is relating to an incident of Domestic Abuse as, in many incidents of Domestic Abuse, the situation will have a lasting effect on the victim. The definition is important highlights what needs to be achieved by officers when dealing with an incident of Domestic Abuse. When speaking about the effectiveness of police response it relates to the level of professionalism when dealing with the incident. The confidence of the victim, family and community is vital when dealing with a critical incident because if they have long-term confidence in the police, they are more likely to report further incidents. The definitions is vague and covers more than Domestic Abuse, this is to ensure that situations that may escalate are covered in the definition. It focuses on the confidence of those involved and their communities as community confidence is vital in response policing. </w:t>
      </w:r>
    </w:p>
    <w:p w14:paraId="36511CDE" w14:textId="77777777" w:rsidR="00E9389A" w:rsidRPr="00E9389A" w:rsidRDefault="00E9389A" w:rsidP="00E9389A">
      <w:pPr>
        <w:spacing w:line="360" w:lineRule="auto"/>
        <w:rPr>
          <w:rFonts w:asciiTheme="minorHAnsi" w:hAnsiTheme="minorHAnsi" w:cstheme="minorHAnsi"/>
          <w:sz w:val="22"/>
          <w:szCs w:val="22"/>
        </w:rPr>
      </w:pPr>
    </w:p>
    <w:p w14:paraId="60CD4C22" w14:textId="77777777"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When dealing this incidences of Domestic Abuse, it is vital to use a multi-agency approach, especially if the incident is complex in nature. For example, police are involved in the process known as Multi-Agency Public Protection Arrangements. This process involved the police, prison service and probation. It involves the management of serious and sexual offenders and the sharing of information between these parties to protect the public from harm. Particularly in cases of Domestic Abuse, police use the Multi-Agency Risk Assessment Conference. This is a multi-agency meeting that involves the safeguarding of victims from high risk Domestic Abuse perpetrators. This meeting can involve police, the National Health Service, Social Services, and charities that support domestic violence victims.</w:t>
      </w:r>
    </w:p>
    <w:p w14:paraId="3EEEAC3D" w14:textId="77777777" w:rsidR="00E9389A" w:rsidRPr="00E9389A" w:rsidRDefault="00E9389A" w:rsidP="00E9389A">
      <w:pPr>
        <w:spacing w:line="360" w:lineRule="auto"/>
        <w:rPr>
          <w:rFonts w:asciiTheme="minorHAnsi" w:hAnsiTheme="minorHAnsi" w:cstheme="minorHAnsi"/>
          <w:sz w:val="22"/>
          <w:szCs w:val="22"/>
        </w:rPr>
      </w:pPr>
    </w:p>
    <w:p w14:paraId="65526B9C" w14:textId="77777777" w:rsidR="00E9389A" w:rsidRP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There are theories that attempt to provide an explanation as to what motivates an individual to achieve certain needs, such as Marlow’s Hierarchy of Needs. This theory could be applied to Domestic Abuse as to why a perpetrator needs to have power and control over their victim.</w:t>
      </w:r>
    </w:p>
    <w:p w14:paraId="25F73C81" w14:textId="77777777"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lastRenderedPageBreak/>
        <w:t>This essay will speak about an incident of Domestic Abuse that was complex in its nature and that I played a significant role in when providing a response. This essay will assess the challenges faced when dealing with an incident of Domestic Abuse and also the powers and policies police have to ensure an effective response. This essay will also speak about theoretical arguments and how they relate to domestic abuse and what police can do to combat this.</w:t>
      </w:r>
    </w:p>
    <w:p w14:paraId="18D8EBDF" w14:textId="77777777" w:rsidR="00E9389A" w:rsidRPr="00E9389A" w:rsidRDefault="00E9389A" w:rsidP="00E9389A">
      <w:pPr>
        <w:spacing w:line="360" w:lineRule="auto"/>
        <w:rPr>
          <w:rFonts w:asciiTheme="minorHAnsi" w:hAnsiTheme="minorHAnsi" w:cstheme="minorHAnsi"/>
          <w:sz w:val="22"/>
          <w:szCs w:val="22"/>
        </w:rPr>
      </w:pPr>
    </w:p>
    <w:p w14:paraId="54DD76AB" w14:textId="77777777" w:rsidR="00E9389A" w:rsidRP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A Domestic Abuse incident that I played a significant role as an officer was an incident where the victim reported her ex-partner damaging her phone, repeatedly slapping her across the face, strangling her, ripping her clothes off her body, and pushing her down the stairs. The perpetrator also took the victims mobile and keys so she was not able to get home. The victim suffered from a black eye, swelling to her limbs and a concussion. The perpetrator of this incident is a high risk Domestic Abuser and has abused almost all of his partners. This incident had fast escalation which could have resulted in fatal injuries. The victim had an insistence to return to the perpetrator and due to her vulnerabilities, from the violence, had not reported further instances to the police. </w:t>
      </w:r>
    </w:p>
    <w:p w14:paraId="4F1E61DA" w14:textId="77777777"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The victim delayed reported this to police and was no longer in the perpetrators house, therefore, I felt it was safe that I could attend the address single crewed. However, I made sure I had all my appointments to ensure my safety and the victims. Due to the incidents, I believed it was best to complete a Witness Interview Booklet, initially, with the victim instead of a formal statement. I did this because the victim was still displaying signs of shock when recalling the ordeal as well as being physically exhausted. In this booklet, I made sure to cover who was involved, what had happened, what offences occurred, where did the offence occur, why did it happen and how. This booklet does not go into in-depth detail but gives an overview of what had happened. I obtained photos of the victim’s injuries and also obtained photos the victim had taken herself as I believed this showed a timeline of how the injuries had developed. I also obtained the clothing the victim had worn during the incident as evidence. I also completed a medical consent form with victim as she had to receive hospital treatment for her injuries. At the end of the incident, I gave safeguarding advice to the victim and her family to keep all the windows and doors locked, not to have any contact with the perpetrator directly or indirectly and if in any immediate threat, risk, or harm to ring 999. Following this, I completed a public protection notice referral to Social Services so they are aware of the incident and can provide further support and reassurance to the victim. I also completed a Multi-Agency Risk Assessment Conference form so that the victim can receive further safeguarding from not only police and social services but from the council and Pobl for housing. Women’s Aid, Mind and an Independent Domestic Violence Advisor were also asked to attend to ensure that there was a holistic approach to the incident. A critical marker was also added the address of the incident, this </w:t>
      </w:r>
      <w:r w:rsidRPr="00E9389A">
        <w:rPr>
          <w:rFonts w:asciiTheme="minorHAnsi" w:hAnsiTheme="minorHAnsi" w:cstheme="minorHAnsi"/>
          <w:sz w:val="22"/>
          <w:szCs w:val="22"/>
        </w:rPr>
        <w:lastRenderedPageBreak/>
        <w:t>means that officers are aware of the risk and can make appropriate measure to ensure their safety as well as the public’s whilst attending. Following this, I conversed with the Detective Sergeant and this incident was taken over by the Criminal Investigation Department.</w:t>
      </w:r>
    </w:p>
    <w:p w14:paraId="5B9CB8F7" w14:textId="77777777" w:rsidR="00E9389A" w:rsidRPr="00E9389A" w:rsidRDefault="00E9389A" w:rsidP="00E9389A">
      <w:pPr>
        <w:spacing w:line="360" w:lineRule="auto"/>
        <w:rPr>
          <w:rFonts w:asciiTheme="minorHAnsi" w:hAnsiTheme="minorHAnsi" w:cstheme="minorHAnsi"/>
          <w:sz w:val="22"/>
          <w:szCs w:val="22"/>
        </w:rPr>
      </w:pPr>
    </w:p>
    <w:p w14:paraId="2670D497" w14:textId="77777777"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Throughout this incident I believe that I was clear headed and worked well under the pressure. I remained objective despite the victim being upset whilst recalling what she had to ordeal. I acted rationally and did not over promise and gave the victim and her family realistic expectations of what would follow in the police’s investigation. After leaving the incident, the information did linger in my mind and was difficult to not think about. However, after having a debrief with colleagues I felt more relaxed.</w:t>
      </w:r>
    </w:p>
    <w:p w14:paraId="51987E2B" w14:textId="77777777" w:rsidR="00E9389A" w:rsidRPr="00E9389A" w:rsidRDefault="00E9389A" w:rsidP="00E9389A">
      <w:pPr>
        <w:spacing w:line="360" w:lineRule="auto"/>
        <w:rPr>
          <w:rFonts w:asciiTheme="minorHAnsi" w:hAnsiTheme="minorHAnsi" w:cstheme="minorHAnsi"/>
          <w:sz w:val="22"/>
          <w:szCs w:val="22"/>
        </w:rPr>
      </w:pPr>
    </w:p>
    <w:p w14:paraId="622D253D" w14:textId="77777777"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As the investigation were to progress, the police may use to strategy known as Multi-Agency Public Protection Arrangements. There are three levels to manage these offenders. Category one are registered sex offenders, category two are violent offenders that have been sentenced to 12 or more months imprisonment and category three are other dangerous offenders who are not under either other categories but still pose a risk of significant harm (Her Majesty’s Inspectorate of Probation, 2022). Reviews into the strategy has found it needs ‘a clear vision for translating the national framework into local arrangements’ and ‘a culture that encourages reflection discussion, professional curiosity and multi-agency information sharing that is open to challenge (Her Majesty’s Inspectorate of Probation, 2022). However, a review of Multi- Agency Public Protection Arrangements in 2015 found that 19 recommendations were made in certain areas of the process and highlighted the need for improvement. For example, basic practice of keeping accurate minutes of the meetings and making police officers aware of if subjects discussed in these meetings are living in their policing areas (2015). </w:t>
      </w:r>
    </w:p>
    <w:p w14:paraId="78FA8B65" w14:textId="77777777" w:rsidR="00E9389A" w:rsidRPr="00E9389A" w:rsidRDefault="00E9389A" w:rsidP="00E9389A">
      <w:pPr>
        <w:spacing w:line="360" w:lineRule="auto"/>
        <w:rPr>
          <w:rFonts w:asciiTheme="minorHAnsi" w:hAnsiTheme="minorHAnsi" w:cstheme="minorHAnsi"/>
          <w:sz w:val="22"/>
          <w:szCs w:val="22"/>
        </w:rPr>
      </w:pPr>
    </w:p>
    <w:p w14:paraId="3EC293A8" w14:textId="77777777"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Police are also involved in Multi-Agency Risk Assessment Conferences. Studies have been completed to research the effectiveness of Multi-Agency Risk Assessment and the main obstacles multi-agencies face when completing a successful Multi-Agency Risk Assessment Conference. The Home Office Violent and Youth Crime Prevention Unit and Research Unit (2011) found that ‘there is a lack of referral from non-police agencies.’ 39% of those involved in the research reported this as one of the main points of improvement. Researchers also found that some key-agencies do not attend the conferences. 35% of those involved in the research reported this as one of the main issues. However, 65% respondents did find that the meetings were quite effective. The meetings ‘always’ or ‘most of the time’ have the appropriate training and understanding for the meetings, have </w:t>
      </w:r>
      <w:r w:rsidRPr="00E9389A">
        <w:rPr>
          <w:rFonts w:asciiTheme="minorHAnsi" w:hAnsiTheme="minorHAnsi" w:cstheme="minorHAnsi"/>
          <w:sz w:val="22"/>
          <w:szCs w:val="22"/>
        </w:rPr>
        <w:lastRenderedPageBreak/>
        <w:t>knowledge if those involved are repeat cases and the meetings identify the risk of the offender and also the risk to the victim (The Home Office Violent and Youth Crime Prevention Unit and Research Unit, 2011).</w:t>
      </w:r>
    </w:p>
    <w:p w14:paraId="49A77883" w14:textId="77777777" w:rsidR="00E9389A" w:rsidRPr="00E9389A" w:rsidRDefault="00E9389A" w:rsidP="00E9389A">
      <w:pPr>
        <w:spacing w:line="360" w:lineRule="auto"/>
        <w:rPr>
          <w:rFonts w:asciiTheme="minorHAnsi" w:hAnsiTheme="minorHAnsi" w:cstheme="minorHAnsi"/>
          <w:sz w:val="22"/>
          <w:szCs w:val="22"/>
        </w:rPr>
      </w:pPr>
    </w:p>
    <w:p w14:paraId="38C70352" w14:textId="77777777" w:rsidR="00E9389A" w:rsidRP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Theory also attempts to explain what motivates a human to achieve basic needs. This is shown in Maslow’s Hierarchy of Needs. This theory may be used to explain why a perpetrator abuses a victim in an incident of Domestic Abuse. Maslow’s argued that individuals are motivated the fulfil their basic needs (Maslow, 1943). Needs lower down the hierarchy must be fulfilled before they can move further up the hierarchy (Maslow, 1943).  The hierarchy starts with physiological needs, then safety needs, following this it is belonginess and love needs, followed by esteem needs and finally self-actualisation (Maslow, 1943). Maslow, 1943 argues that everyone has the desire to move up the hierarchy, however, this can be stalled by failure to meet the lower needs. For example, if an individual does not have employment, property, or good health; they cannot move up the scale. This may explain why a perpetrator abuses. In a majority of the incidents, I have attended many perpetrators lack good health, more often than not, having issues with drugs and alcohol. Therefore, they have not moved up the scale to have intimacy and a sense of connection with their partner. However, there are limitations to Maslow’s theory. The research Maslow conducted was based on the diaries of 18 individuals he deemed as self-actualised. Maslow then looked at the traits of these specific people rather than looking at the general popularisation. Due to this, the statistics are subjective and are therefore bias. This is then reducing the validity of the research (Mcleod, 2018).</w:t>
      </w:r>
    </w:p>
    <w:p w14:paraId="45D73070" w14:textId="77777777" w:rsid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I believe that using these resources and theories and acknowledging the pros and cons to all of them gave me a well-rounded response when police the domestic incident. I believe that I took initiated and was organised in my work. However, due to the complexity of the incident, I think time management was vital and if I were to deal with a similar incident in the future I now know exactly what I should take that call. This could potentially be a Witness Interview Booklet or an Onyx Booklet if there was an element of sexual assault.</w:t>
      </w:r>
    </w:p>
    <w:p w14:paraId="6B6A15BF" w14:textId="77777777" w:rsidR="00E9389A" w:rsidRPr="00E9389A" w:rsidRDefault="00E9389A" w:rsidP="00E9389A">
      <w:pPr>
        <w:spacing w:line="360" w:lineRule="auto"/>
        <w:rPr>
          <w:rFonts w:asciiTheme="minorHAnsi" w:hAnsiTheme="minorHAnsi" w:cstheme="minorHAnsi"/>
          <w:sz w:val="22"/>
          <w:szCs w:val="22"/>
        </w:rPr>
      </w:pPr>
    </w:p>
    <w:p w14:paraId="5FD13127" w14:textId="77777777" w:rsidR="00E9389A" w:rsidRP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 xml:space="preserve">From this incident I have learnt to be objective regarding what is said during the call. Furthermore, I have learnt how to safeguard victims effectively and what strategies police have to ensure that safeguarding takes place. I have gained an understanding using Maslow’s theory of the hierarchy of needs as to why a perpetrator may abuse and from that it gives the police options to try and prevent this. For example, liaising with the council for housing so that individual can fulfil basic needs. If I were to encounter that incident again, I would time block all that needed to be done and make sure to liaise with my sergeant and the detective sergeant to ensure that all gold hour enquires were </w:t>
      </w:r>
      <w:r w:rsidRPr="00E9389A">
        <w:rPr>
          <w:rFonts w:asciiTheme="minorHAnsi" w:hAnsiTheme="minorHAnsi" w:cstheme="minorHAnsi"/>
          <w:sz w:val="22"/>
          <w:szCs w:val="22"/>
        </w:rPr>
        <w:lastRenderedPageBreak/>
        <w:t>completed in a timely manner. However, I am confident that my response in this incident was professional throughout. If I were to encounter the job again, a second officer may have been beneficial as then we could lean on each for support in regard to work but also emotionally as it was emotionally draining at times.</w:t>
      </w:r>
    </w:p>
    <w:p w14:paraId="77578D3E" w14:textId="77777777" w:rsidR="00E9389A" w:rsidRPr="00E9389A" w:rsidRDefault="00E9389A" w:rsidP="00E9389A">
      <w:pPr>
        <w:spacing w:line="360" w:lineRule="auto"/>
        <w:rPr>
          <w:rFonts w:asciiTheme="minorHAnsi" w:hAnsiTheme="minorHAnsi" w:cstheme="minorHAnsi"/>
          <w:sz w:val="22"/>
          <w:szCs w:val="22"/>
        </w:rPr>
      </w:pPr>
      <w:r w:rsidRPr="00E9389A">
        <w:rPr>
          <w:rFonts w:asciiTheme="minorHAnsi" w:hAnsiTheme="minorHAnsi" w:cstheme="minorHAnsi"/>
          <w:sz w:val="22"/>
          <w:szCs w:val="22"/>
        </w:rPr>
        <w:t>Word Count: 2006</w:t>
      </w:r>
    </w:p>
    <w:p w14:paraId="74D268D3" w14:textId="77777777" w:rsidR="00E9389A" w:rsidRPr="00E9389A" w:rsidRDefault="00E9389A" w:rsidP="00E9389A">
      <w:pPr>
        <w:ind w:right="237"/>
        <w:jc w:val="both"/>
        <w:rPr>
          <w:rFonts w:asciiTheme="minorHAnsi" w:hAnsiTheme="minorHAnsi" w:cstheme="minorHAnsi"/>
          <w:b/>
          <w:bCs/>
          <w:sz w:val="28"/>
          <w:szCs w:val="28"/>
        </w:rPr>
      </w:pPr>
    </w:p>
    <w:p w14:paraId="470C56AC" w14:textId="77777777" w:rsidR="00E9389A" w:rsidRPr="00E9389A" w:rsidRDefault="00E9389A" w:rsidP="00E9389A">
      <w:pPr>
        <w:ind w:right="237"/>
        <w:jc w:val="both"/>
        <w:rPr>
          <w:rFonts w:asciiTheme="minorHAnsi" w:hAnsiTheme="minorHAnsi" w:cstheme="minorHAnsi"/>
          <w:b/>
          <w:bCs/>
          <w:color w:val="000000" w:themeColor="text1"/>
          <w:sz w:val="28"/>
          <w:szCs w:val="28"/>
        </w:rPr>
      </w:pPr>
    </w:p>
    <w:p w14:paraId="5E3F05CD" w14:textId="77777777" w:rsidR="00E9389A" w:rsidRPr="00E676F7" w:rsidRDefault="00E9389A"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3F7F8550" w14:textId="77777777" w:rsidR="00E9389A" w:rsidRDefault="00E9389A" w:rsidP="5CE196A1">
      <w:pPr>
        <w:ind w:right="237"/>
        <w:jc w:val="center"/>
        <w:rPr>
          <w:b/>
          <w:bCs/>
          <w:color w:val="000000" w:themeColor="text1"/>
          <w:sz w:val="28"/>
          <w:szCs w:val="28"/>
          <w:u w:val="single"/>
        </w:rPr>
      </w:pPr>
    </w:p>
    <w:p w14:paraId="5B4CFCFD" w14:textId="77777777" w:rsidR="00E9389A" w:rsidRDefault="00E9389A" w:rsidP="5CE196A1">
      <w:pPr>
        <w:ind w:right="237"/>
        <w:jc w:val="center"/>
        <w:rPr>
          <w:b/>
          <w:bCs/>
          <w:color w:val="000000" w:themeColor="text1"/>
          <w:sz w:val="28"/>
          <w:szCs w:val="28"/>
          <w:u w:val="single"/>
        </w:rPr>
      </w:pPr>
    </w:p>
    <w:p w14:paraId="1246252E" w14:textId="77777777" w:rsidR="00E9389A" w:rsidRDefault="00E9389A" w:rsidP="5CE196A1">
      <w:pPr>
        <w:ind w:right="237"/>
        <w:jc w:val="center"/>
        <w:rPr>
          <w:b/>
          <w:bCs/>
          <w:color w:val="000000" w:themeColor="text1"/>
          <w:sz w:val="28"/>
          <w:szCs w:val="28"/>
          <w:u w:val="single"/>
        </w:rPr>
      </w:pPr>
    </w:p>
    <w:p w14:paraId="177104C0" w14:textId="77777777" w:rsidR="00E9389A" w:rsidRDefault="00E9389A" w:rsidP="5CE196A1">
      <w:pPr>
        <w:ind w:right="237"/>
        <w:jc w:val="center"/>
        <w:rPr>
          <w:b/>
          <w:bCs/>
          <w:color w:val="000000" w:themeColor="text1"/>
          <w:sz w:val="28"/>
          <w:szCs w:val="28"/>
          <w:u w:val="single"/>
        </w:rPr>
      </w:pPr>
    </w:p>
    <w:p w14:paraId="75EC0ECE" w14:textId="77777777" w:rsidR="00E9389A" w:rsidRDefault="00E9389A" w:rsidP="5CE196A1">
      <w:pPr>
        <w:ind w:right="237"/>
        <w:jc w:val="center"/>
        <w:rPr>
          <w:b/>
          <w:bCs/>
          <w:color w:val="000000" w:themeColor="text1"/>
          <w:sz w:val="28"/>
          <w:szCs w:val="28"/>
          <w:u w:val="single"/>
        </w:rPr>
      </w:pPr>
    </w:p>
    <w:p w14:paraId="4D2F8216" w14:textId="77777777" w:rsidR="00E9389A" w:rsidRDefault="00E9389A" w:rsidP="5CE196A1">
      <w:pPr>
        <w:ind w:right="237"/>
        <w:jc w:val="center"/>
        <w:rPr>
          <w:b/>
          <w:bCs/>
          <w:color w:val="000000" w:themeColor="text1"/>
          <w:sz w:val="28"/>
          <w:szCs w:val="28"/>
          <w:u w:val="single"/>
        </w:rPr>
      </w:pPr>
    </w:p>
    <w:p w14:paraId="7EB8981A" w14:textId="77777777" w:rsidR="00E9389A" w:rsidRDefault="00E9389A" w:rsidP="5CE196A1">
      <w:pPr>
        <w:ind w:right="237"/>
        <w:jc w:val="center"/>
        <w:rPr>
          <w:b/>
          <w:bCs/>
          <w:color w:val="000000" w:themeColor="text1"/>
          <w:sz w:val="28"/>
          <w:szCs w:val="28"/>
          <w:u w:val="single"/>
        </w:rPr>
      </w:pPr>
    </w:p>
    <w:p w14:paraId="21403D1F" w14:textId="77777777" w:rsidR="00E9389A" w:rsidRDefault="00E9389A" w:rsidP="5CE196A1">
      <w:pPr>
        <w:ind w:right="237"/>
        <w:jc w:val="center"/>
        <w:rPr>
          <w:b/>
          <w:bCs/>
          <w:color w:val="000000" w:themeColor="text1"/>
          <w:sz w:val="28"/>
          <w:szCs w:val="28"/>
          <w:u w:val="single"/>
        </w:rPr>
      </w:pPr>
    </w:p>
    <w:p w14:paraId="141AE67E" w14:textId="77777777" w:rsidR="00E9389A" w:rsidRDefault="00E9389A" w:rsidP="5CE196A1">
      <w:pPr>
        <w:ind w:right="237"/>
        <w:jc w:val="center"/>
        <w:rPr>
          <w:b/>
          <w:bCs/>
          <w:color w:val="000000" w:themeColor="text1"/>
          <w:sz w:val="28"/>
          <w:szCs w:val="28"/>
          <w:u w:val="single"/>
        </w:rPr>
      </w:pPr>
    </w:p>
    <w:p w14:paraId="653DF88C" w14:textId="77777777" w:rsidR="00E9389A" w:rsidRDefault="00E9389A" w:rsidP="5CE196A1">
      <w:pPr>
        <w:ind w:right="237"/>
        <w:jc w:val="center"/>
        <w:rPr>
          <w:b/>
          <w:bCs/>
          <w:color w:val="000000" w:themeColor="text1"/>
          <w:sz w:val="28"/>
          <w:szCs w:val="28"/>
          <w:u w:val="single"/>
        </w:rPr>
      </w:pPr>
    </w:p>
    <w:p w14:paraId="46A2C768" w14:textId="77777777" w:rsidR="00E9389A" w:rsidRDefault="00E9389A" w:rsidP="5CE196A1">
      <w:pPr>
        <w:ind w:right="237"/>
        <w:jc w:val="center"/>
        <w:rPr>
          <w:b/>
          <w:bCs/>
          <w:color w:val="000000" w:themeColor="text1"/>
          <w:sz w:val="28"/>
          <w:szCs w:val="28"/>
          <w:u w:val="single"/>
        </w:rPr>
      </w:pPr>
    </w:p>
    <w:p w14:paraId="4AF97CEC" w14:textId="77777777" w:rsidR="00E9389A" w:rsidRDefault="00E9389A" w:rsidP="5CE196A1">
      <w:pPr>
        <w:ind w:right="237"/>
        <w:jc w:val="center"/>
        <w:rPr>
          <w:b/>
          <w:bCs/>
          <w:color w:val="000000" w:themeColor="text1"/>
          <w:sz w:val="28"/>
          <w:szCs w:val="28"/>
          <w:u w:val="single"/>
        </w:rPr>
      </w:pPr>
    </w:p>
    <w:p w14:paraId="36113225" w14:textId="77777777" w:rsidR="00E9389A" w:rsidRDefault="00E9389A" w:rsidP="5CE196A1">
      <w:pPr>
        <w:ind w:right="237"/>
        <w:jc w:val="center"/>
        <w:rPr>
          <w:b/>
          <w:bCs/>
          <w:color w:val="000000" w:themeColor="text1"/>
          <w:sz w:val="28"/>
          <w:szCs w:val="28"/>
          <w:u w:val="single"/>
        </w:rPr>
      </w:pPr>
    </w:p>
    <w:p w14:paraId="1D7F623B" w14:textId="77777777" w:rsidR="00E9389A" w:rsidRDefault="00E9389A" w:rsidP="5CE196A1">
      <w:pPr>
        <w:ind w:right="237"/>
        <w:jc w:val="center"/>
        <w:rPr>
          <w:b/>
          <w:bCs/>
          <w:color w:val="000000" w:themeColor="text1"/>
          <w:sz w:val="28"/>
          <w:szCs w:val="28"/>
          <w:u w:val="single"/>
        </w:rPr>
      </w:pPr>
    </w:p>
    <w:p w14:paraId="77724997" w14:textId="77777777" w:rsidR="00E9389A" w:rsidRDefault="00E9389A" w:rsidP="5CE196A1">
      <w:pPr>
        <w:ind w:right="237"/>
        <w:jc w:val="center"/>
        <w:rPr>
          <w:b/>
          <w:bCs/>
          <w:color w:val="000000" w:themeColor="text1"/>
          <w:sz w:val="28"/>
          <w:szCs w:val="28"/>
          <w:u w:val="single"/>
        </w:rPr>
      </w:pPr>
    </w:p>
    <w:p w14:paraId="5D1746C5" w14:textId="77777777" w:rsidR="00E9389A" w:rsidRDefault="00E9389A" w:rsidP="5CE196A1">
      <w:pPr>
        <w:ind w:right="237"/>
        <w:jc w:val="center"/>
        <w:rPr>
          <w:b/>
          <w:bCs/>
          <w:color w:val="000000" w:themeColor="text1"/>
          <w:sz w:val="28"/>
          <w:szCs w:val="28"/>
          <w:u w:val="single"/>
        </w:rPr>
      </w:pPr>
    </w:p>
    <w:p w14:paraId="43CE1D9C" w14:textId="77777777" w:rsidR="00E9389A" w:rsidRDefault="00E9389A" w:rsidP="5CE196A1">
      <w:pPr>
        <w:ind w:right="237"/>
        <w:jc w:val="center"/>
        <w:rPr>
          <w:b/>
          <w:bCs/>
          <w:color w:val="000000" w:themeColor="text1"/>
          <w:sz w:val="28"/>
          <w:szCs w:val="28"/>
          <w:u w:val="single"/>
        </w:rPr>
      </w:pPr>
    </w:p>
    <w:p w14:paraId="60FB6317" w14:textId="77777777" w:rsidR="00E9389A" w:rsidRDefault="00E9389A" w:rsidP="5CE196A1">
      <w:pPr>
        <w:ind w:right="237"/>
        <w:jc w:val="center"/>
        <w:rPr>
          <w:b/>
          <w:bCs/>
          <w:color w:val="000000" w:themeColor="text1"/>
          <w:sz w:val="28"/>
          <w:szCs w:val="28"/>
          <w:u w:val="single"/>
        </w:rPr>
      </w:pPr>
    </w:p>
    <w:p w14:paraId="79463E39" w14:textId="77777777" w:rsidR="00E9389A" w:rsidRDefault="00E9389A" w:rsidP="5CE196A1">
      <w:pPr>
        <w:ind w:right="237"/>
        <w:jc w:val="center"/>
        <w:rPr>
          <w:b/>
          <w:bCs/>
          <w:color w:val="000000" w:themeColor="text1"/>
          <w:sz w:val="28"/>
          <w:szCs w:val="28"/>
          <w:u w:val="single"/>
        </w:rPr>
      </w:pPr>
    </w:p>
    <w:p w14:paraId="7BE6FB51" w14:textId="77777777" w:rsidR="00E9389A" w:rsidRDefault="00E9389A" w:rsidP="5CE196A1">
      <w:pPr>
        <w:ind w:right="237"/>
        <w:jc w:val="center"/>
        <w:rPr>
          <w:b/>
          <w:bCs/>
          <w:color w:val="000000" w:themeColor="text1"/>
          <w:sz w:val="28"/>
          <w:szCs w:val="28"/>
          <w:u w:val="single"/>
        </w:rPr>
      </w:pPr>
    </w:p>
    <w:p w14:paraId="43145CF5" w14:textId="77777777" w:rsidR="00E9389A" w:rsidRDefault="00E9389A" w:rsidP="5CE196A1">
      <w:pPr>
        <w:ind w:right="237"/>
        <w:jc w:val="center"/>
        <w:rPr>
          <w:b/>
          <w:bCs/>
          <w:color w:val="000000" w:themeColor="text1"/>
          <w:sz w:val="28"/>
          <w:szCs w:val="28"/>
          <w:u w:val="single"/>
        </w:rPr>
      </w:pPr>
    </w:p>
    <w:p w14:paraId="2DD2E383" w14:textId="77777777" w:rsidR="00E9389A" w:rsidRDefault="00E9389A" w:rsidP="5CE196A1">
      <w:pPr>
        <w:ind w:right="237"/>
        <w:jc w:val="center"/>
        <w:rPr>
          <w:b/>
          <w:bCs/>
          <w:color w:val="000000" w:themeColor="text1"/>
          <w:sz w:val="28"/>
          <w:szCs w:val="28"/>
          <w:u w:val="single"/>
        </w:rPr>
      </w:pPr>
    </w:p>
    <w:p w14:paraId="51FDF022" w14:textId="77777777" w:rsidR="00E9389A" w:rsidRDefault="00E9389A" w:rsidP="5CE196A1">
      <w:pPr>
        <w:ind w:right="237"/>
        <w:jc w:val="center"/>
        <w:rPr>
          <w:b/>
          <w:bCs/>
          <w:color w:val="000000" w:themeColor="text1"/>
          <w:sz w:val="28"/>
          <w:szCs w:val="28"/>
          <w:u w:val="single"/>
        </w:rPr>
      </w:pPr>
    </w:p>
    <w:p w14:paraId="03B21383" w14:textId="77777777" w:rsidR="00E9389A" w:rsidRDefault="00E9389A" w:rsidP="5CE196A1">
      <w:pPr>
        <w:ind w:right="237"/>
        <w:jc w:val="center"/>
        <w:rPr>
          <w:b/>
          <w:bCs/>
          <w:color w:val="000000" w:themeColor="text1"/>
          <w:sz w:val="28"/>
          <w:szCs w:val="28"/>
          <w:u w:val="single"/>
        </w:rPr>
      </w:pPr>
    </w:p>
    <w:p w14:paraId="440C1242" w14:textId="15F218E7"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43445652" w:rsidR="00025650" w:rsidRDefault="3E63D7DA" w:rsidP="0FF883D4">
      <w:pPr>
        <w:ind w:right="237"/>
        <w:jc w:val="both"/>
        <w:rPr>
          <w:b/>
          <w:bCs/>
          <w:sz w:val="24"/>
          <w:szCs w:val="24"/>
        </w:rPr>
      </w:pPr>
      <w:r w:rsidRPr="5CE196A1">
        <w:rPr>
          <w:b/>
          <w:bCs/>
          <w:sz w:val="24"/>
          <w:szCs w:val="24"/>
        </w:rPr>
        <w:t xml:space="preserve">Answer: </w:t>
      </w:r>
    </w:p>
    <w:p w14:paraId="3B3C141C" w14:textId="4E1A91A7" w:rsidR="00025650" w:rsidRPr="00E9389A" w:rsidRDefault="00025650" w:rsidP="0FF883D4">
      <w:pPr>
        <w:ind w:right="237"/>
        <w:jc w:val="both"/>
        <w:rPr>
          <w:rFonts w:asciiTheme="minorHAnsi" w:hAnsiTheme="minorHAnsi" w:cstheme="minorHAnsi"/>
          <w:b/>
          <w:bCs/>
          <w:color w:val="000000" w:themeColor="text1"/>
          <w:sz w:val="28"/>
          <w:szCs w:val="28"/>
        </w:rPr>
      </w:pPr>
    </w:p>
    <w:p w14:paraId="3B0A7DDB" w14:textId="6A31892C" w:rsidR="00025650" w:rsidRPr="00E9389A" w:rsidRDefault="00025650" w:rsidP="0FF883D4">
      <w:pPr>
        <w:ind w:right="237"/>
        <w:jc w:val="both"/>
        <w:rPr>
          <w:rFonts w:asciiTheme="minorHAnsi" w:hAnsiTheme="minorHAnsi" w:cstheme="minorHAnsi"/>
          <w:b/>
          <w:bCs/>
          <w:color w:val="000000" w:themeColor="text1"/>
          <w:sz w:val="28"/>
          <w:szCs w:val="28"/>
        </w:rPr>
      </w:pPr>
    </w:p>
    <w:p w14:paraId="20CB12E9" w14:textId="0C11CB62" w:rsidR="00025650" w:rsidRPr="00E9389A" w:rsidRDefault="00025650" w:rsidP="0FF883D4">
      <w:pPr>
        <w:ind w:right="237"/>
        <w:jc w:val="both"/>
        <w:rPr>
          <w:rFonts w:asciiTheme="minorHAnsi" w:hAnsiTheme="minorHAnsi" w:cstheme="minorHAnsi"/>
          <w:b/>
          <w:bCs/>
          <w:color w:val="000000" w:themeColor="text1"/>
          <w:sz w:val="28"/>
          <w:szCs w:val="28"/>
        </w:rPr>
      </w:pPr>
    </w:p>
    <w:p w14:paraId="37FD5A60" w14:textId="30198D46" w:rsidR="00025650" w:rsidRPr="00E9389A" w:rsidRDefault="00025650" w:rsidP="0FF883D4">
      <w:pPr>
        <w:ind w:right="237"/>
        <w:jc w:val="both"/>
        <w:rPr>
          <w:rFonts w:asciiTheme="minorHAnsi" w:hAnsiTheme="minorHAnsi" w:cstheme="minorHAnsi"/>
          <w:b/>
          <w:bCs/>
          <w:color w:val="000000" w:themeColor="text1"/>
          <w:sz w:val="28"/>
          <w:szCs w:val="28"/>
        </w:rPr>
      </w:pPr>
    </w:p>
    <w:p w14:paraId="05BAADFB" w14:textId="37C091BC" w:rsidR="00025650" w:rsidRPr="00E9389A" w:rsidRDefault="00025650" w:rsidP="0FF883D4">
      <w:pPr>
        <w:ind w:right="237"/>
        <w:jc w:val="both"/>
        <w:rPr>
          <w:rFonts w:asciiTheme="minorHAnsi" w:hAnsiTheme="minorHAnsi" w:cstheme="minorHAnsi"/>
          <w:b/>
          <w:bCs/>
          <w:color w:val="000000" w:themeColor="text1"/>
          <w:sz w:val="28"/>
          <w:szCs w:val="28"/>
        </w:rPr>
      </w:pPr>
    </w:p>
    <w:p w14:paraId="221D6578" w14:textId="5C63C1BA" w:rsidR="00025650" w:rsidRPr="00E9389A" w:rsidRDefault="00025650" w:rsidP="0FF883D4">
      <w:pPr>
        <w:ind w:right="237"/>
        <w:jc w:val="both"/>
        <w:rPr>
          <w:rFonts w:asciiTheme="minorHAnsi" w:hAnsiTheme="minorHAnsi" w:cstheme="minorHAnsi"/>
          <w:b/>
          <w:bCs/>
          <w:color w:val="000000" w:themeColor="text1"/>
          <w:sz w:val="28"/>
          <w:szCs w:val="28"/>
        </w:rPr>
      </w:pPr>
    </w:p>
    <w:p w14:paraId="644F8AC1" w14:textId="56BD8DA9" w:rsidR="00025650" w:rsidRPr="00E9389A" w:rsidRDefault="00025650" w:rsidP="0FF883D4">
      <w:pPr>
        <w:ind w:right="237"/>
        <w:jc w:val="both"/>
        <w:rPr>
          <w:rFonts w:asciiTheme="minorHAnsi" w:hAnsiTheme="minorHAnsi" w:cstheme="minorHAnsi"/>
          <w:b/>
          <w:bCs/>
          <w:color w:val="000000" w:themeColor="text1"/>
          <w:sz w:val="28"/>
          <w:szCs w:val="28"/>
        </w:rPr>
      </w:pPr>
    </w:p>
    <w:p w14:paraId="26AE6B03" w14:textId="3E9A3B87" w:rsidR="00025650" w:rsidRPr="00E9389A" w:rsidRDefault="00025650" w:rsidP="0FF883D4">
      <w:pPr>
        <w:ind w:right="237"/>
        <w:jc w:val="both"/>
        <w:rPr>
          <w:rFonts w:asciiTheme="minorHAnsi" w:hAnsiTheme="minorHAnsi" w:cstheme="minorHAnsi"/>
          <w:b/>
          <w:bCs/>
          <w:color w:val="000000" w:themeColor="text1"/>
          <w:sz w:val="28"/>
          <w:szCs w:val="28"/>
        </w:rPr>
      </w:pPr>
    </w:p>
    <w:p w14:paraId="01F3C28A" w14:textId="0B4F2CD3" w:rsidR="00025650" w:rsidRPr="00E9389A" w:rsidRDefault="00025650" w:rsidP="0FF883D4">
      <w:pPr>
        <w:ind w:right="237"/>
        <w:jc w:val="both"/>
        <w:rPr>
          <w:rFonts w:asciiTheme="minorHAnsi" w:hAnsiTheme="minorHAnsi" w:cstheme="minorHAnsi"/>
          <w:b/>
          <w:bCs/>
          <w:color w:val="000000" w:themeColor="text1"/>
          <w:sz w:val="28"/>
          <w:szCs w:val="28"/>
        </w:rPr>
      </w:pPr>
    </w:p>
    <w:p w14:paraId="14E66993" w14:textId="6421C222" w:rsidR="00025650" w:rsidRPr="00E9389A" w:rsidRDefault="00025650" w:rsidP="0FF883D4">
      <w:pPr>
        <w:ind w:right="237"/>
        <w:jc w:val="both"/>
        <w:rPr>
          <w:rFonts w:asciiTheme="minorHAnsi" w:hAnsiTheme="minorHAnsi" w:cstheme="minorHAnsi"/>
          <w:b/>
          <w:bCs/>
          <w:color w:val="000000" w:themeColor="text1"/>
          <w:sz w:val="28"/>
          <w:szCs w:val="28"/>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500A556A" w14:textId="77777777" w:rsidR="00E9389A" w:rsidRDefault="00E9389A" w:rsidP="5CE196A1">
      <w:pPr>
        <w:ind w:left="2880" w:right="237"/>
        <w:rPr>
          <w:rFonts w:eastAsia="Arial"/>
          <w:b/>
          <w:bCs/>
          <w:color w:val="000000" w:themeColor="text1"/>
          <w:sz w:val="28"/>
          <w:szCs w:val="28"/>
          <w:u w:val="single"/>
        </w:rPr>
      </w:pPr>
    </w:p>
    <w:p w14:paraId="43EC7FA9" w14:textId="61A347E7"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1C672FF9" w14:textId="77777777" w:rsidR="00E9389A" w:rsidRDefault="00E9389A" w:rsidP="5CE196A1">
      <w:pPr>
        <w:ind w:left="2880" w:right="237"/>
        <w:rPr>
          <w:color w:val="000000" w:themeColor="text1"/>
          <w:sz w:val="24"/>
          <w:szCs w:val="24"/>
        </w:rPr>
      </w:pPr>
    </w:p>
    <w:p w14:paraId="58751063" w14:textId="377B9DF2"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754257F5"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919BEF7" w:rsidR="0FF883D4" w:rsidRDefault="5CE196A1" w:rsidP="5CE196A1">
      <w:r w:rsidRPr="5CE196A1">
        <w:rPr>
          <w:rFonts w:eastAsia="Arial"/>
          <w:b/>
          <w:bCs/>
          <w:color w:val="000000" w:themeColor="text1"/>
          <w:sz w:val="24"/>
          <w:szCs w:val="24"/>
        </w:rPr>
        <w:t xml:space="preserve">Signed: </w:t>
      </w:r>
      <w:r w:rsidR="00E9389A">
        <w:rPr>
          <w:rFonts w:eastAsia="Arial"/>
          <w:b/>
          <w:bCs/>
          <w:color w:val="000000" w:themeColor="text1"/>
          <w:sz w:val="24"/>
          <w:szCs w:val="24"/>
        </w:rPr>
        <w:t>M Sephton</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8C2C488" w:rsidR="0FF883D4" w:rsidRPr="00E9389A" w:rsidRDefault="5CE196A1" w:rsidP="00E9389A">
      <w:pPr>
        <w:sectPr w:rsidR="0FF883D4" w:rsidRPr="00E9389A"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w:t>
      </w:r>
      <w:r w:rsidR="00E9389A">
        <w:rPr>
          <w:rFonts w:eastAsia="Arial"/>
          <w:b/>
          <w:bCs/>
          <w:color w:val="000000" w:themeColor="text1"/>
          <w:sz w:val="24"/>
          <w:szCs w:val="24"/>
        </w:rPr>
        <w:t>e: 06/02/2023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31D316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9D4F554" w14:textId="77777777" w:rsidR="00E9389A" w:rsidRDefault="00E9389A" w:rsidP="00E9389A">
      <w:pPr>
        <w:rPr>
          <w:sz w:val="24"/>
          <w:szCs w:val="24"/>
        </w:rPr>
      </w:pPr>
    </w:p>
    <w:p w14:paraId="2D34E907" w14:textId="6363E1A9"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Barnes, G.M., Welte, J.W., Hoffman, M.A., and Tidwell, C.O. (2009) ‘Gambling, Alcohol, and Other Substance Use Among Youth in United States’, </w:t>
      </w:r>
      <w:r w:rsidRPr="00E9389A">
        <w:rPr>
          <w:rFonts w:asciiTheme="minorHAnsi" w:hAnsiTheme="minorHAnsi" w:cstheme="minorHAnsi"/>
          <w:i/>
          <w:iCs/>
          <w:sz w:val="22"/>
          <w:szCs w:val="22"/>
        </w:rPr>
        <w:t xml:space="preserve">Journal of Studies on Alcohol and Drugs, </w:t>
      </w:r>
      <w:r w:rsidRPr="00E9389A">
        <w:rPr>
          <w:rFonts w:asciiTheme="minorHAnsi" w:hAnsiTheme="minorHAnsi" w:cstheme="minorHAnsi"/>
          <w:sz w:val="22"/>
          <w:szCs w:val="22"/>
        </w:rPr>
        <w:t xml:space="preserve">70(1), pp. 134-142. Available at: </w:t>
      </w:r>
      <w:hyperlink r:id="rId21" w:history="1">
        <w:r w:rsidRPr="00E9389A">
          <w:rPr>
            <w:rStyle w:val="Hyperlink"/>
            <w:rFonts w:asciiTheme="minorHAnsi" w:hAnsiTheme="minorHAnsi" w:cstheme="minorHAnsi"/>
            <w:sz w:val="22"/>
            <w:szCs w:val="22"/>
          </w:rPr>
          <w:t>Gambling, Alcohol, and Other Substance Use Among Youth in the United States - PMC (nih.gov)</w:t>
        </w:r>
      </w:hyperlink>
      <w:r w:rsidRPr="00E9389A">
        <w:rPr>
          <w:rFonts w:asciiTheme="minorHAnsi" w:hAnsiTheme="minorHAnsi" w:cstheme="minorHAnsi"/>
          <w:sz w:val="22"/>
          <w:szCs w:val="22"/>
        </w:rPr>
        <w:t xml:space="preserve"> (Accessed on 31 Jan 2023).</w:t>
      </w:r>
    </w:p>
    <w:p w14:paraId="0DAFB371" w14:textId="77777777" w:rsidR="00E9389A" w:rsidRPr="00E9389A" w:rsidRDefault="00E9389A" w:rsidP="00E9389A">
      <w:pPr>
        <w:rPr>
          <w:rFonts w:asciiTheme="minorHAnsi" w:hAnsiTheme="minorHAnsi" w:cstheme="minorHAnsi"/>
          <w:sz w:val="22"/>
          <w:szCs w:val="22"/>
        </w:rPr>
      </w:pPr>
    </w:p>
    <w:p w14:paraId="61DC8EAD" w14:textId="2883B538"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Brown, J., Belur, J., Tompson, L., McDowall, A,. Hunter, G., and May, T. (2018) ‘Extending the Remit of Evidence-Based Policing’ </w:t>
      </w:r>
      <w:r w:rsidRPr="00E9389A">
        <w:rPr>
          <w:rFonts w:asciiTheme="minorHAnsi" w:hAnsiTheme="minorHAnsi" w:cstheme="minorHAnsi"/>
          <w:i/>
          <w:iCs/>
          <w:sz w:val="22"/>
          <w:szCs w:val="22"/>
        </w:rPr>
        <w:t xml:space="preserve">International Journal of Police, </w:t>
      </w:r>
      <w:r w:rsidRPr="00E9389A">
        <w:rPr>
          <w:rFonts w:asciiTheme="minorHAnsi" w:hAnsiTheme="minorHAnsi" w:cstheme="minorHAnsi"/>
          <w:sz w:val="22"/>
          <w:szCs w:val="22"/>
        </w:rPr>
        <w:t xml:space="preserve">20(1), pp. 38-51. Available at: </w:t>
      </w:r>
      <w:hyperlink r:id="rId22" w:history="1">
        <w:r w:rsidRPr="00E9389A">
          <w:rPr>
            <w:rStyle w:val="Hyperlink"/>
            <w:rFonts w:asciiTheme="minorHAnsi" w:hAnsiTheme="minorHAnsi" w:cstheme="minorHAnsi"/>
            <w:sz w:val="22"/>
            <w:szCs w:val="22"/>
          </w:rPr>
          <w:t>Brown_Extending the remit of evidence-based policing2_.pdf (lse.ac.uk)</w:t>
        </w:r>
      </w:hyperlink>
      <w:r w:rsidRPr="00E9389A">
        <w:rPr>
          <w:rFonts w:asciiTheme="minorHAnsi" w:hAnsiTheme="minorHAnsi" w:cstheme="minorHAnsi"/>
          <w:sz w:val="22"/>
          <w:szCs w:val="22"/>
        </w:rPr>
        <w:t xml:space="preserve"> (Accessed on 01 Feb 2023).</w:t>
      </w:r>
    </w:p>
    <w:p w14:paraId="5FCBDD8A" w14:textId="77777777" w:rsidR="00E9389A" w:rsidRPr="00E9389A" w:rsidRDefault="00E9389A" w:rsidP="00E9389A">
      <w:pPr>
        <w:rPr>
          <w:rFonts w:asciiTheme="minorHAnsi" w:hAnsiTheme="minorHAnsi" w:cstheme="minorHAnsi"/>
          <w:sz w:val="22"/>
          <w:szCs w:val="22"/>
        </w:rPr>
      </w:pPr>
    </w:p>
    <w:p w14:paraId="655A7A95" w14:textId="2AFED9D1"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College of Policing (2018) </w:t>
      </w:r>
      <w:r w:rsidRPr="00E9389A">
        <w:rPr>
          <w:rFonts w:asciiTheme="minorHAnsi" w:hAnsiTheme="minorHAnsi" w:cstheme="minorHAnsi"/>
          <w:i/>
          <w:iCs/>
          <w:sz w:val="22"/>
          <w:szCs w:val="22"/>
        </w:rPr>
        <w:t xml:space="preserve">Definitions. </w:t>
      </w:r>
      <w:r w:rsidRPr="00E9389A">
        <w:rPr>
          <w:rFonts w:asciiTheme="minorHAnsi" w:hAnsiTheme="minorHAnsi" w:cstheme="minorHAnsi"/>
          <w:sz w:val="22"/>
          <w:szCs w:val="22"/>
        </w:rPr>
        <w:t xml:space="preserve">Available at: </w:t>
      </w:r>
      <w:hyperlink r:id="rId23" w:anchor=":~:text=A%20critical%20incident%20is%20any,family%20and%2For%20the%20community." w:history="1">
        <w:r w:rsidRPr="00E9389A">
          <w:rPr>
            <w:rStyle w:val="Hyperlink"/>
            <w:rFonts w:asciiTheme="minorHAnsi" w:hAnsiTheme="minorHAnsi" w:cstheme="minorHAnsi"/>
            <w:sz w:val="22"/>
            <w:szCs w:val="22"/>
          </w:rPr>
          <w:t>Definitions | College of Policing</w:t>
        </w:r>
      </w:hyperlink>
      <w:r w:rsidRPr="00E9389A">
        <w:rPr>
          <w:rFonts w:asciiTheme="minorHAnsi" w:hAnsiTheme="minorHAnsi" w:cstheme="minorHAnsi"/>
          <w:sz w:val="22"/>
          <w:szCs w:val="22"/>
        </w:rPr>
        <w:t xml:space="preserve"> (Accessed on 05 Feb 2023).</w:t>
      </w:r>
    </w:p>
    <w:p w14:paraId="0DF6E2DF" w14:textId="77777777" w:rsidR="00E9389A" w:rsidRPr="00E9389A" w:rsidRDefault="00E9389A" w:rsidP="00E9389A">
      <w:pPr>
        <w:rPr>
          <w:rFonts w:asciiTheme="minorHAnsi" w:hAnsiTheme="minorHAnsi" w:cstheme="minorHAnsi"/>
          <w:sz w:val="22"/>
          <w:szCs w:val="22"/>
        </w:rPr>
      </w:pPr>
    </w:p>
    <w:p w14:paraId="5B1D8A02" w14:textId="77777777" w:rsidR="00E9389A" w:rsidRP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College of Policing, (2020) </w:t>
      </w:r>
      <w:r w:rsidRPr="00E9389A">
        <w:rPr>
          <w:rFonts w:asciiTheme="minorHAnsi" w:hAnsiTheme="minorHAnsi" w:cstheme="minorHAnsi"/>
          <w:i/>
          <w:iCs/>
          <w:sz w:val="22"/>
          <w:szCs w:val="22"/>
        </w:rPr>
        <w:t xml:space="preserve">Recognising and responding to vulnerability related risks. </w:t>
      </w:r>
      <w:r w:rsidRPr="00E9389A">
        <w:rPr>
          <w:rFonts w:asciiTheme="minorHAnsi" w:hAnsiTheme="minorHAnsi" w:cstheme="minorHAnsi"/>
          <w:sz w:val="22"/>
          <w:szCs w:val="22"/>
        </w:rPr>
        <w:t>Coventry, p 1.</w:t>
      </w:r>
    </w:p>
    <w:p w14:paraId="17444D70" w14:textId="536A447A" w:rsidR="00E9389A" w:rsidRDefault="00E9389A" w:rsidP="00E9389A">
      <w:pPr>
        <w:rPr>
          <w:rFonts w:asciiTheme="minorHAnsi" w:hAnsiTheme="minorHAnsi" w:cstheme="minorHAnsi"/>
          <w:sz w:val="22"/>
          <w:szCs w:val="22"/>
        </w:rPr>
      </w:pPr>
      <w:r w:rsidRPr="00E9389A">
        <w:rPr>
          <w:rFonts w:asciiTheme="minorHAnsi" w:hAnsiTheme="minorHAnsi" w:cstheme="minorHAnsi"/>
          <w:i/>
          <w:iCs/>
          <w:sz w:val="22"/>
          <w:szCs w:val="22"/>
        </w:rPr>
        <w:t xml:space="preserve">Domestic Abuse Act 2021, c. 17. </w:t>
      </w:r>
      <w:r w:rsidRPr="00E9389A">
        <w:rPr>
          <w:rFonts w:asciiTheme="minorHAnsi" w:hAnsiTheme="minorHAnsi" w:cstheme="minorHAnsi"/>
          <w:sz w:val="22"/>
          <w:szCs w:val="22"/>
        </w:rPr>
        <w:t xml:space="preserve">Available at: </w:t>
      </w:r>
      <w:hyperlink r:id="rId24" w:history="1">
        <w:r w:rsidRPr="00E9389A">
          <w:rPr>
            <w:rStyle w:val="Hyperlink"/>
            <w:rFonts w:asciiTheme="minorHAnsi" w:hAnsiTheme="minorHAnsi" w:cstheme="minorHAnsi"/>
            <w:sz w:val="22"/>
            <w:szCs w:val="22"/>
          </w:rPr>
          <w:t>Domestic Abuse Act 2021 (legislation.gov.uk)</w:t>
        </w:r>
      </w:hyperlink>
      <w:r w:rsidRPr="00E9389A">
        <w:rPr>
          <w:rFonts w:asciiTheme="minorHAnsi" w:hAnsiTheme="minorHAnsi" w:cstheme="minorHAnsi"/>
          <w:sz w:val="22"/>
          <w:szCs w:val="22"/>
        </w:rPr>
        <w:t xml:space="preserve"> (Accessed on 05 Feb 2023).</w:t>
      </w:r>
    </w:p>
    <w:p w14:paraId="2ED1D064" w14:textId="77777777" w:rsidR="00E9389A" w:rsidRPr="00E9389A" w:rsidRDefault="00E9389A" w:rsidP="00E9389A">
      <w:pPr>
        <w:rPr>
          <w:rFonts w:asciiTheme="minorHAnsi" w:hAnsiTheme="minorHAnsi" w:cstheme="minorHAnsi"/>
          <w:sz w:val="22"/>
          <w:szCs w:val="22"/>
        </w:rPr>
      </w:pPr>
    </w:p>
    <w:p w14:paraId="325B8BF1" w14:textId="42345E86" w:rsidR="00E9389A" w:rsidRDefault="00E9389A" w:rsidP="00E9389A">
      <w:pPr>
        <w:rPr>
          <w:rFonts w:asciiTheme="minorHAnsi" w:hAnsiTheme="minorHAnsi" w:cstheme="minorHAnsi"/>
          <w:color w:val="333333"/>
          <w:sz w:val="22"/>
          <w:szCs w:val="22"/>
          <w:shd w:val="clear" w:color="auto" w:fill="FFFFFF"/>
        </w:rPr>
      </w:pPr>
      <w:r w:rsidRPr="00E9389A">
        <w:rPr>
          <w:rFonts w:asciiTheme="minorHAnsi" w:hAnsiTheme="minorHAnsi" w:cstheme="minorHAnsi"/>
          <w:color w:val="333333"/>
          <w:sz w:val="22"/>
          <w:szCs w:val="22"/>
          <w:shd w:val="clear" w:color="auto" w:fill="FFFFFF"/>
        </w:rPr>
        <w:t>Fisher, B. and Reyns, B. (2009) </w:t>
      </w:r>
      <w:r w:rsidRPr="00E9389A">
        <w:rPr>
          <w:rStyle w:val="Emphasis"/>
          <w:rFonts w:asciiTheme="minorHAnsi" w:hAnsiTheme="minorHAnsi" w:cstheme="minorHAnsi"/>
          <w:color w:val="333333"/>
          <w:sz w:val="22"/>
          <w:szCs w:val="22"/>
          <w:shd w:val="clear" w:color="auto" w:fill="FFFFFF"/>
        </w:rPr>
        <w:t>21st Century Criminology: A Reference Handbook</w:t>
      </w:r>
      <w:r w:rsidRPr="00E9389A">
        <w:rPr>
          <w:rFonts w:asciiTheme="minorHAnsi" w:hAnsiTheme="minorHAnsi" w:cstheme="minorHAnsi"/>
          <w:color w:val="333333"/>
          <w:sz w:val="22"/>
          <w:szCs w:val="22"/>
          <w:shd w:val="clear" w:color="auto" w:fill="FFFFFF"/>
        </w:rPr>
        <w:t>. Thousand Oaks, CA: SAGE Publications, Inc. Available at: &lt;https://dx.doi.org/10.4135/9781412971997&gt; (Accessed 30 Jan 2023).</w:t>
      </w:r>
    </w:p>
    <w:p w14:paraId="6E1B1E7B" w14:textId="77777777" w:rsidR="00E9389A" w:rsidRPr="00E9389A" w:rsidRDefault="00E9389A" w:rsidP="00E9389A">
      <w:pPr>
        <w:rPr>
          <w:rFonts w:asciiTheme="minorHAnsi" w:hAnsiTheme="minorHAnsi" w:cstheme="minorHAnsi"/>
          <w:color w:val="333333"/>
          <w:sz w:val="22"/>
          <w:szCs w:val="22"/>
          <w:shd w:val="clear" w:color="auto" w:fill="FFFFFF"/>
        </w:rPr>
      </w:pPr>
    </w:p>
    <w:p w14:paraId="7D14769C" w14:textId="216D52CA"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Harper, L (2022) ‘The Four Theories of Victimisation’, </w:t>
      </w:r>
      <w:r w:rsidRPr="00E9389A">
        <w:rPr>
          <w:rFonts w:asciiTheme="minorHAnsi" w:hAnsiTheme="minorHAnsi" w:cstheme="minorHAnsi"/>
          <w:i/>
          <w:iCs/>
          <w:sz w:val="22"/>
          <w:szCs w:val="22"/>
        </w:rPr>
        <w:t xml:space="preserve">Soapboxie, </w:t>
      </w:r>
      <w:r w:rsidRPr="00E9389A">
        <w:rPr>
          <w:rFonts w:asciiTheme="minorHAnsi" w:hAnsiTheme="minorHAnsi" w:cstheme="minorHAnsi"/>
          <w:sz w:val="22"/>
          <w:szCs w:val="22"/>
        </w:rPr>
        <w:t>15</w:t>
      </w:r>
      <w:r w:rsidRPr="00E9389A">
        <w:rPr>
          <w:rFonts w:asciiTheme="minorHAnsi" w:hAnsiTheme="minorHAnsi" w:cstheme="minorHAnsi"/>
          <w:sz w:val="22"/>
          <w:szCs w:val="22"/>
          <w:vertAlign w:val="superscript"/>
        </w:rPr>
        <w:t>th</w:t>
      </w:r>
      <w:r w:rsidRPr="00E9389A">
        <w:rPr>
          <w:rFonts w:asciiTheme="minorHAnsi" w:hAnsiTheme="minorHAnsi" w:cstheme="minorHAnsi"/>
          <w:sz w:val="22"/>
          <w:szCs w:val="22"/>
        </w:rPr>
        <w:t xml:space="preserve"> October. Available at: </w:t>
      </w:r>
      <w:hyperlink r:id="rId25" w:history="1">
        <w:r w:rsidRPr="00E9389A">
          <w:rPr>
            <w:rStyle w:val="Hyperlink"/>
            <w:rFonts w:asciiTheme="minorHAnsi" w:hAnsiTheme="minorHAnsi" w:cstheme="minorHAnsi"/>
            <w:sz w:val="22"/>
            <w:szCs w:val="22"/>
          </w:rPr>
          <w:t>The Four Theories of Victimization - Soapboxie</w:t>
        </w:r>
      </w:hyperlink>
      <w:r w:rsidRPr="00E9389A">
        <w:rPr>
          <w:rFonts w:asciiTheme="minorHAnsi" w:hAnsiTheme="minorHAnsi" w:cstheme="minorHAnsi"/>
          <w:sz w:val="22"/>
          <w:szCs w:val="22"/>
        </w:rPr>
        <w:t xml:space="preserve"> (Accessed on 01 Feb 2023).</w:t>
      </w:r>
    </w:p>
    <w:p w14:paraId="7A0DDDD4" w14:textId="77777777" w:rsidR="00E9389A" w:rsidRPr="00E9389A" w:rsidRDefault="00E9389A" w:rsidP="00E9389A">
      <w:pPr>
        <w:rPr>
          <w:rFonts w:asciiTheme="minorHAnsi" w:hAnsiTheme="minorHAnsi" w:cstheme="minorHAnsi"/>
          <w:sz w:val="22"/>
          <w:szCs w:val="22"/>
        </w:rPr>
      </w:pPr>
    </w:p>
    <w:p w14:paraId="15174B9D" w14:textId="77777777" w:rsidR="00E9389A" w:rsidRP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Her Majesty’s Inspectorate of Probation (2015) </w:t>
      </w:r>
      <w:r w:rsidRPr="00E9389A">
        <w:rPr>
          <w:rFonts w:asciiTheme="minorHAnsi" w:hAnsiTheme="minorHAnsi" w:cstheme="minorHAnsi"/>
          <w:i/>
          <w:iCs/>
          <w:sz w:val="22"/>
          <w:szCs w:val="22"/>
        </w:rPr>
        <w:t xml:space="preserve">A follow-up inspection of Multi-Agency Public Protection Arrangements. </w:t>
      </w:r>
      <w:r w:rsidRPr="00E9389A">
        <w:rPr>
          <w:rFonts w:asciiTheme="minorHAnsi" w:hAnsiTheme="minorHAnsi" w:cstheme="minorHAnsi"/>
          <w:sz w:val="22"/>
          <w:szCs w:val="22"/>
        </w:rPr>
        <w:t xml:space="preserve">Available at: </w:t>
      </w:r>
      <w:hyperlink r:id="rId26" w:history="1">
        <w:r w:rsidRPr="00E9389A">
          <w:rPr>
            <w:rStyle w:val="Hyperlink"/>
            <w:rFonts w:asciiTheme="minorHAnsi" w:hAnsiTheme="minorHAnsi" w:cstheme="minorHAnsi"/>
            <w:sz w:val="22"/>
            <w:szCs w:val="22"/>
          </w:rPr>
          <w:t>A follow-up inspection of Multi-Agency Public Protection Arrangements (justiceinspectorates.gov.uk)</w:t>
        </w:r>
      </w:hyperlink>
      <w:r w:rsidRPr="00E9389A">
        <w:rPr>
          <w:rFonts w:asciiTheme="minorHAnsi" w:hAnsiTheme="minorHAnsi" w:cstheme="minorHAnsi"/>
          <w:sz w:val="22"/>
          <w:szCs w:val="22"/>
        </w:rPr>
        <w:t xml:space="preserve"> (Accessed on 06 Feb 2022).</w:t>
      </w:r>
    </w:p>
    <w:p w14:paraId="39BC9323" w14:textId="0104150A"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Her Majesty’s Inspectorate of Probation (2022) </w:t>
      </w:r>
      <w:r w:rsidRPr="00E9389A">
        <w:rPr>
          <w:rFonts w:asciiTheme="minorHAnsi" w:hAnsiTheme="minorHAnsi" w:cstheme="minorHAnsi"/>
          <w:i/>
          <w:iCs/>
          <w:sz w:val="22"/>
          <w:szCs w:val="22"/>
        </w:rPr>
        <w:t xml:space="preserve">Effective Practice Guide MAPPA. </w:t>
      </w:r>
      <w:r w:rsidRPr="00E9389A">
        <w:rPr>
          <w:rFonts w:asciiTheme="minorHAnsi" w:hAnsiTheme="minorHAnsi" w:cstheme="minorHAnsi"/>
          <w:sz w:val="22"/>
          <w:szCs w:val="22"/>
        </w:rPr>
        <w:t xml:space="preserve">Available at: </w:t>
      </w:r>
      <w:hyperlink r:id="rId27" w:history="1">
        <w:r w:rsidRPr="00E9389A">
          <w:rPr>
            <w:rStyle w:val="Hyperlink"/>
            <w:rFonts w:asciiTheme="minorHAnsi" w:hAnsiTheme="minorHAnsi" w:cstheme="minorHAnsi"/>
            <w:sz w:val="22"/>
            <w:szCs w:val="22"/>
          </w:rPr>
          <w:t>Effective practice guide: MAPPA (justiceinspectorates.gov.uk)</w:t>
        </w:r>
      </w:hyperlink>
      <w:r w:rsidRPr="00E9389A">
        <w:rPr>
          <w:rFonts w:asciiTheme="minorHAnsi" w:hAnsiTheme="minorHAnsi" w:cstheme="minorHAnsi"/>
          <w:sz w:val="22"/>
          <w:szCs w:val="22"/>
        </w:rPr>
        <w:t xml:space="preserve"> (Accessed on 06 Feb 2022).</w:t>
      </w:r>
    </w:p>
    <w:p w14:paraId="14A7E066" w14:textId="77777777" w:rsidR="00E9389A" w:rsidRPr="00E9389A" w:rsidRDefault="00E9389A" w:rsidP="00E9389A">
      <w:pPr>
        <w:rPr>
          <w:rFonts w:asciiTheme="minorHAnsi" w:hAnsiTheme="minorHAnsi" w:cstheme="minorHAnsi"/>
          <w:sz w:val="22"/>
          <w:szCs w:val="22"/>
        </w:rPr>
      </w:pPr>
    </w:p>
    <w:p w14:paraId="12657C09" w14:textId="075872A4"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Home Office Violent and Youth Crime Prevention Unit and Research and Analysis Unit (2011) </w:t>
      </w:r>
      <w:r w:rsidRPr="00E9389A">
        <w:rPr>
          <w:rFonts w:asciiTheme="minorHAnsi" w:hAnsiTheme="minorHAnsi" w:cstheme="minorHAnsi"/>
          <w:i/>
          <w:iCs/>
          <w:sz w:val="22"/>
          <w:szCs w:val="22"/>
        </w:rPr>
        <w:t xml:space="preserve">Research into Multi-Agency Risk Assessment Conferences (MARACs). </w:t>
      </w:r>
      <w:r w:rsidRPr="00E9389A">
        <w:rPr>
          <w:rFonts w:asciiTheme="minorHAnsi" w:hAnsiTheme="minorHAnsi" w:cstheme="minorHAnsi"/>
          <w:sz w:val="22"/>
          <w:szCs w:val="22"/>
        </w:rPr>
        <w:t xml:space="preserve">Available at: </w:t>
      </w:r>
      <w:hyperlink r:id="rId28" w:history="1">
        <w:r w:rsidRPr="00E9389A">
          <w:rPr>
            <w:rStyle w:val="Hyperlink"/>
            <w:rFonts w:asciiTheme="minorHAnsi" w:hAnsiTheme="minorHAnsi" w:cstheme="minorHAnsi"/>
            <w:sz w:val="22"/>
            <w:szCs w:val="22"/>
          </w:rPr>
          <w:t>Research into Multi-Agency Risk Assessment Conferences (MARACs) (publishing.service.gov.uk)</w:t>
        </w:r>
      </w:hyperlink>
      <w:r w:rsidRPr="00E9389A">
        <w:rPr>
          <w:rFonts w:asciiTheme="minorHAnsi" w:hAnsiTheme="minorHAnsi" w:cstheme="minorHAnsi"/>
          <w:sz w:val="22"/>
          <w:szCs w:val="22"/>
        </w:rPr>
        <w:t xml:space="preserve"> (Accessed on 06 Feb 2023).</w:t>
      </w:r>
    </w:p>
    <w:p w14:paraId="6732A46D" w14:textId="77777777" w:rsidR="00E9389A" w:rsidRPr="00E9389A" w:rsidRDefault="00E9389A" w:rsidP="00E9389A">
      <w:pPr>
        <w:rPr>
          <w:rFonts w:asciiTheme="minorHAnsi" w:hAnsiTheme="minorHAnsi" w:cstheme="minorHAnsi"/>
          <w:sz w:val="22"/>
          <w:szCs w:val="22"/>
        </w:rPr>
      </w:pPr>
    </w:p>
    <w:p w14:paraId="5A542256" w14:textId="1CDADD8D"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Hussin, N., and Zawawi, M. (2012) ‘Preventing Criminal Victimization through Community Education: An Islamic’, </w:t>
      </w:r>
      <w:r w:rsidRPr="00E9389A">
        <w:rPr>
          <w:rFonts w:asciiTheme="minorHAnsi" w:hAnsiTheme="minorHAnsi" w:cstheme="minorHAnsi"/>
          <w:i/>
          <w:iCs/>
          <w:sz w:val="22"/>
          <w:szCs w:val="22"/>
        </w:rPr>
        <w:t xml:space="preserve">Procedia Social and Behavioural Sciences, </w:t>
      </w:r>
      <w:r w:rsidRPr="00E9389A">
        <w:rPr>
          <w:rFonts w:asciiTheme="minorHAnsi" w:hAnsiTheme="minorHAnsi" w:cstheme="minorHAnsi"/>
          <w:sz w:val="22"/>
          <w:szCs w:val="22"/>
        </w:rPr>
        <w:t xml:space="preserve">68, pp. 855 – 864. Available at: </w:t>
      </w:r>
      <w:hyperlink r:id="rId29" w:history="1">
        <w:r w:rsidRPr="00E9389A">
          <w:rPr>
            <w:rStyle w:val="Hyperlink"/>
            <w:rFonts w:asciiTheme="minorHAnsi" w:hAnsiTheme="minorHAnsi" w:cstheme="minorHAnsi"/>
            <w:sz w:val="22"/>
            <w:szCs w:val="22"/>
          </w:rPr>
          <w:t>Preventing Criminal Victimization through Community Education: An Islamic Formula | Elsevier Enhanced Reader</w:t>
        </w:r>
      </w:hyperlink>
      <w:r w:rsidRPr="00E9389A">
        <w:rPr>
          <w:rFonts w:asciiTheme="minorHAnsi" w:hAnsiTheme="minorHAnsi" w:cstheme="minorHAnsi"/>
          <w:sz w:val="22"/>
          <w:szCs w:val="22"/>
        </w:rPr>
        <w:t xml:space="preserve"> (Accessed on 31 Jan 2023).</w:t>
      </w:r>
    </w:p>
    <w:p w14:paraId="13723441" w14:textId="77777777" w:rsidR="00E9389A" w:rsidRPr="00E9389A" w:rsidRDefault="00E9389A" w:rsidP="00E9389A">
      <w:pPr>
        <w:rPr>
          <w:rFonts w:asciiTheme="minorHAnsi" w:hAnsiTheme="minorHAnsi" w:cstheme="minorHAnsi"/>
          <w:sz w:val="22"/>
          <w:szCs w:val="22"/>
        </w:rPr>
      </w:pPr>
    </w:p>
    <w:p w14:paraId="68B61881" w14:textId="77777777" w:rsidR="00E9389A" w:rsidRP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Maslow, A. H. (1943). A theory of human motivation. </w:t>
      </w:r>
      <w:r w:rsidRPr="00E9389A">
        <w:rPr>
          <w:rFonts w:asciiTheme="minorHAnsi" w:hAnsiTheme="minorHAnsi" w:cstheme="minorHAnsi"/>
          <w:i/>
          <w:iCs/>
          <w:sz w:val="22"/>
          <w:szCs w:val="22"/>
        </w:rPr>
        <w:t xml:space="preserve">Psychological Review, 50(4), </w:t>
      </w:r>
      <w:r w:rsidRPr="00E9389A">
        <w:rPr>
          <w:rFonts w:asciiTheme="minorHAnsi" w:hAnsiTheme="minorHAnsi" w:cstheme="minorHAnsi"/>
          <w:sz w:val="22"/>
          <w:szCs w:val="22"/>
        </w:rPr>
        <w:t>370-96.</w:t>
      </w:r>
    </w:p>
    <w:p w14:paraId="2CD6EFD8" w14:textId="1F4B66C6"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Mcleod, S.A. (2018) </w:t>
      </w:r>
      <w:r w:rsidRPr="00E9389A">
        <w:rPr>
          <w:rFonts w:asciiTheme="minorHAnsi" w:hAnsiTheme="minorHAnsi" w:cstheme="minorHAnsi"/>
          <w:i/>
          <w:iCs/>
          <w:sz w:val="22"/>
          <w:szCs w:val="22"/>
        </w:rPr>
        <w:t xml:space="preserve">Maslow’s Hierarchy of Needs. </w:t>
      </w:r>
      <w:r w:rsidRPr="00E9389A">
        <w:rPr>
          <w:rFonts w:asciiTheme="minorHAnsi" w:hAnsiTheme="minorHAnsi" w:cstheme="minorHAnsi"/>
          <w:sz w:val="22"/>
          <w:szCs w:val="22"/>
        </w:rPr>
        <w:t xml:space="preserve">Available at: </w:t>
      </w:r>
      <w:hyperlink r:id="rId30" w:history="1">
        <w:r w:rsidRPr="00E9389A">
          <w:rPr>
            <w:rStyle w:val="Hyperlink"/>
            <w:rFonts w:asciiTheme="minorHAnsi" w:hAnsiTheme="minorHAnsi" w:cstheme="minorHAnsi"/>
            <w:sz w:val="22"/>
            <w:szCs w:val="22"/>
          </w:rPr>
          <w:t>*Maslow's Hierarchy of Needs (canadacollege.edu)</w:t>
        </w:r>
      </w:hyperlink>
      <w:r w:rsidRPr="00E9389A">
        <w:rPr>
          <w:rFonts w:asciiTheme="minorHAnsi" w:hAnsiTheme="minorHAnsi" w:cstheme="minorHAnsi"/>
          <w:sz w:val="22"/>
          <w:szCs w:val="22"/>
        </w:rPr>
        <w:t xml:space="preserve"> (Accessed on 06 Feb 2023).</w:t>
      </w:r>
    </w:p>
    <w:p w14:paraId="2AB28682" w14:textId="77777777" w:rsidR="00E9389A" w:rsidRPr="00E9389A" w:rsidRDefault="00E9389A" w:rsidP="00E9389A">
      <w:pPr>
        <w:rPr>
          <w:rFonts w:asciiTheme="minorHAnsi" w:hAnsiTheme="minorHAnsi" w:cstheme="minorHAnsi"/>
          <w:sz w:val="22"/>
          <w:szCs w:val="22"/>
        </w:rPr>
      </w:pPr>
    </w:p>
    <w:p w14:paraId="4CBC0949" w14:textId="1DDEF522"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Pratt, T., and Turanovic, J. (2016) ‘Lifestyle and Routine Activity Theories Revisited: The Importance of Risk to the Study of Victimisation’, </w:t>
      </w:r>
      <w:r w:rsidRPr="00E9389A">
        <w:rPr>
          <w:rFonts w:asciiTheme="minorHAnsi" w:hAnsiTheme="minorHAnsi" w:cstheme="minorHAnsi"/>
          <w:i/>
          <w:iCs/>
          <w:sz w:val="22"/>
          <w:szCs w:val="22"/>
        </w:rPr>
        <w:t>Victims and Offenders</w:t>
      </w:r>
      <w:r w:rsidRPr="00E9389A">
        <w:rPr>
          <w:rFonts w:asciiTheme="minorHAnsi" w:hAnsiTheme="minorHAnsi" w:cstheme="minorHAnsi"/>
          <w:sz w:val="22"/>
          <w:szCs w:val="22"/>
        </w:rPr>
        <w:t xml:space="preserve">, 11, pp. 334-354. Available at: </w:t>
      </w:r>
      <w:hyperlink r:id="rId31" w:history="1">
        <w:r w:rsidRPr="00E9389A">
          <w:rPr>
            <w:rStyle w:val="Hyperlink"/>
            <w:rFonts w:asciiTheme="minorHAnsi" w:hAnsiTheme="minorHAnsi" w:cstheme="minorHAnsi"/>
            <w:sz w:val="22"/>
            <w:szCs w:val="22"/>
          </w:rPr>
          <w:t>prattturanovic2016-vo.pdf</w:t>
        </w:r>
      </w:hyperlink>
      <w:r w:rsidRPr="00E9389A">
        <w:rPr>
          <w:rFonts w:asciiTheme="minorHAnsi" w:hAnsiTheme="minorHAnsi" w:cstheme="minorHAnsi"/>
          <w:sz w:val="22"/>
          <w:szCs w:val="22"/>
        </w:rPr>
        <w:t xml:space="preserve"> (Accessed on 31 Jan 2023).</w:t>
      </w:r>
    </w:p>
    <w:p w14:paraId="0D6ECCE8" w14:textId="77777777" w:rsidR="00E9389A" w:rsidRPr="00E9389A" w:rsidRDefault="00E9389A" w:rsidP="00E9389A">
      <w:pPr>
        <w:rPr>
          <w:rFonts w:asciiTheme="minorHAnsi" w:hAnsiTheme="minorHAnsi" w:cstheme="minorHAnsi"/>
          <w:sz w:val="22"/>
          <w:szCs w:val="22"/>
        </w:rPr>
      </w:pPr>
    </w:p>
    <w:p w14:paraId="64BD0ADC" w14:textId="6EB7928E"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Public Health England (2019) </w:t>
      </w:r>
      <w:r w:rsidRPr="00E9389A">
        <w:rPr>
          <w:rFonts w:asciiTheme="minorHAnsi" w:hAnsiTheme="minorHAnsi" w:cstheme="minorHAnsi"/>
          <w:i/>
          <w:iCs/>
          <w:sz w:val="22"/>
          <w:szCs w:val="22"/>
        </w:rPr>
        <w:t xml:space="preserve">Collaborative approaches to preventing offending and re-offending in children (CAPRICORN). </w:t>
      </w:r>
      <w:r w:rsidRPr="00E9389A">
        <w:rPr>
          <w:rFonts w:asciiTheme="minorHAnsi" w:hAnsiTheme="minorHAnsi" w:cstheme="minorHAnsi"/>
          <w:sz w:val="22"/>
          <w:szCs w:val="22"/>
        </w:rPr>
        <w:t xml:space="preserve">Available at: </w:t>
      </w:r>
      <w:hyperlink r:id="rId32" w:anchor=":~:text=In%2Dtext%20citation%3A%20At%20the,in%20England%20(Cm%207985)." w:history="1">
        <w:r w:rsidRPr="00E9389A">
          <w:rPr>
            <w:rStyle w:val="Hyperlink"/>
            <w:rFonts w:asciiTheme="minorHAnsi" w:hAnsiTheme="minorHAnsi" w:cstheme="minorHAnsi"/>
            <w:sz w:val="22"/>
            <w:szCs w:val="22"/>
          </w:rPr>
          <w:t>Other legal resources - Citing and Referencing Legal Resources Using Harvard - Library Guides at City, University of London</w:t>
        </w:r>
      </w:hyperlink>
      <w:r w:rsidRPr="00E9389A">
        <w:rPr>
          <w:rFonts w:asciiTheme="minorHAnsi" w:hAnsiTheme="minorHAnsi" w:cstheme="minorHAnsi"/>
          <w:sz w:val="22"/>
          <w:szCs w:val="22"/>
        </w:rPr>
        <w:t xml:space="preserve"> (Accessed on 01 Feb 2023).</w:t>
      </w:r>
    </w:p>
    <w:p w14:paraId="137E4D38" w14:textId="77777777" w:rsidR="00E9389A" w:rsidRPr="00E9389A" w:rsidRDefault="00E9389A" w:rsidP="00E9389A">
      <w:pPr>
        <w:rPr>
          <w:rFonts w:asciiTheme="minorHAnsi" w:hAnsiTheme="minorHAnsi" w:cstheme="minorHAnsi"/>
          <w:sz w:val="22"/>
          <w:szCs w:val="22"/>
        </w:rPr>
      </w:pPr>
    </w:p>
    <w:p w14:paraId="435695DA" w14:textId="6F652C17"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Sherman, L. (1998), Evidence-based Policing: Ideas in American Policing, Police Foundation, Washington, DC.</w:t>
      </w:r>
    </w:p>
    <w:p w14:paraId="17596AE4" w14:textId="5C665C1B" w:rsidR="00E9389A" w:rsidRDefault="00E9389A" w:rsidP="00E9389A">
      <w:pPr>
        <w:rPr>
          <w:rFonts w:asciiTheme="minorHAnsi" w:hAnsiTheme="minorHAnsi" w:cstheme="minorHAnsi"/>
          <w:sz w:val="22"/>
          <w:szCs w:val="22"/>
        </w:rPr>
      </w:pPr>
    </w:p>
    <w:p w14:paraId="6BBFB6AB" w14:textId="381A963D"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Smith, R. (2018) ‘Fraud and Financial Abuse of Older Persons’, </w:t>
      </w:r>
      <w:r w:rsidRPr="00E9389A">
        <w:rPr>
          <w:rFonts w:asciiTheme="minorHAnsi" w:hAnsiTheme="minorHAnsi" w:cstheme="minorHAnsi"/>
          <w:i/>
          <w:iCs/>
          <w:sz w:val="22"/>
          <w:szCs w:val="22"/>
        </w:rPr>
        <w:t xml:space="preserve">Current Issues in Criminal Justice, </w:t>
      </w:r>
      <w:r w:rsidRPr="00E9389A">
        <w:rPr>
          <w:rFonts w:asciiTheme="minorHAnsi" w:hAnsiTheme="minorHAnsi" w:cstheme="minorHAnsi"/>
          <w:sz w:val="22"/>
          <w:szCs w:val="22"/>
        </w:rPr>
        <w:t xml:space="preserve">11(3), pp. 273-291. Available at: </w:t>
      </w:r>
      <w:hyperlink r:id="rId33" w:history="1">
        <w:r w:rsidRPr="00E9389A">
          <w:rPr>
            <w:rStyle w:val="Hyperlink"/>
            <w:rFonts w:asciiTheme="minorHAnsi" w:hAnsiTheme="minorHAnsi" w:cstheme="minorHAnsi"/>
            <w:sz w:val="22"/>
            <w:szCs w:val="22"/>
          </w:rPr>
          <w:t>Fraud and Financial Abuse of Older Persons: Current Issues in Criminal Justice: Vol 11, No 3 (tandfonline.com)</w:t>
        </w:r>
      </w:hyperlink>
      <w:r w:rsidRPr="00E9389A">
        <w:rPr>
          <w:rFonts w:asciiTheme="minorHAnsi" w:hAnsiTheme="minorHAnsi" w:cstheme="minorHAnsi"/>
          <w:sz w:val="22"/>
          <w:szCs w:val="22"/>
        </w:rPr>
        <w:t xml:space="preserve"> (Accessed 30 Jan 2023).</w:t>
      </w:r>
    </w:p>
    <w:p w14:paraId="6F0281C4" w14:textId="77777777" w:rsidR="00E9389A" w:rsidRPr="00E9389A" w:rsidRDefault="00E9389A" w:rsidP="00E9389A">
      <w:pPr>
        <w:rPr>
          <w:rFonts w:asciiTheme="minorHAnsi" w:hAnsiTheme="minorHAnsi" w:cstheme="minorHAnsi"/>
          <w:sz w:val="22"/>
          <w:szCs w:val="22"/>
        </w:rPr>
      </w:pPr>
    </w:p>
    <w:p w14:paraId="34CF9C3B" w14:textId="4E3933B7"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Staark, R. (1987) ‘Deviant Places: A Theory of the Ecology of Crime’ </w:t>
      </w:r>
      <w:r w:rsidRPr="00E9389A">
        <w:rPr>
          <w:rFonts w:asciiTheme="minorHAnsi" w:hAnsiTheme="minorHAnsi" w:cstheme="minorHAnsi"/>
          <w:i/>
          <w:iCs/>
          <w:sz w:val="22"/>
          <w:szCs w:val="22"/>
        </w:rPr>
        <w:t xml:space="preserve">Criminology, </w:t>
      </w:r>
      <w:r w:rsidRPr="00E9389A">
        <w:rPr>
          <w:rFonts w:asciiTheme="minorHAnsi" w:hAnsiTheme="minorHAnsi" w:cstheme="minorHAnsi"/>
          <w:sz w:val="22"/>
          <w:szCs w:val="22"/>
        </w:rPr>
        <w:t xml:space="preserve">25(4), pp. 893-910. Available at: </w:t>
      </w:r>
      <w:hyperlink r:id="rId34" w:history="1">
        <w:r w:rsidRPr="00E9389A">
          <w:rPr>
            <w:rStyle w:val="Hyperlink"/>
            <w:rFonts w:asciiTheme="minorHAnsi" w:hAnsiTheme="minorHAnsi" w:cstheme="minorHAnsi"/>
            <w:sz w:val="22"/>
            <w:szCs w:val="22"/>
          </w:rPr>
          <w:t>DEVIANT PLACES: A THEORY OF THE ECOLOGY OF CRIME - STARK - 1987 - Criminology - Wiley Online Library</w:t>
        </w:r>
      </w:hyperlink>
      <w:r w:rsidRPr="00E9389A">
        <w:rPr>
          <w:rFonts w:asciiTheme="minorHAnsi" w:hAnsiTheme="minorHAnsi" w:cstheme="minorHAnsi"/>
          <w:sz w:val="22"/>
          <w:szCs w:val="22"/>
        </w:rPr>
        <w:t xml:space="preserve"> (Accessed on 01 Feb 2023).</w:t>
      </w:r>
    </w:p>
    <w:p w14:paraId="0381C289" w14:textId="77777777" w:rsidR="00E9389A" w:rsidRPr="00E9389A" w:rsidRDefault="00E9389A" w:rsidP="00E9389A">
      <w:pPr>
        <w:rPr>
          <w:rFonts w:asciiTheme="minorHAnsi" w:hAnsiTheme="minorHAnsi" w:cstheme="minorHAnsi"/>
          <w:sz w:val="22"/>
          <w:szCs w:val="22"/>
        </w:rPr>
      </w:pPr>
    </w:p>
    <w:p w14:paraId="1BA962AC" w14:textId="2410A716"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Surrey Police. (2022). </w:t>
      </w:r>
      <w:r w:rsidRPr="00E9389A">
        <w:rPr>
          <w:rFonts w:asciiTheme="minorHAnsi" w:hAnsiTheme="minorHAnsi" w:cstheme="minorHAnsi"/>
          <w:i/>
          <w:iCs/>
          <w:sz w:val="22"/>
          <w:szCs w:val="22"/>
        </w:rPr>
        <w:t xml:space="preserve">Repeat Victim Policy. </w:t>
      </w:r>
      <w:r w:rsidRPr="00E9389A">
        <w:rPr>
          <w:rFonts w:asciiTheme="minorHAnsi" w:hAnsiTheme="minorHAnsi" w:cstheme="minorHAnsi"/>
          <w:sz w:val="22"/>
          <w:szCs w:val="22"/>
        </w:rPr>
        <w:t>Surrey. Surrey Police.</w:t>
      </w:r>
    </w:p>
    <w:p w14:paraId="2DE6BC01" w14:textId="77777777" w:rsidR="00E9389A" w:rsidRPr="00E9389A" w:rsidRDefault="00E9389A" w:rsidP="00E9389A">
      <w:pPr>
        <w:rPr>
          <w:rFonts w:asciiTheme="minorHAnsi" w:hAnsiTheme="minorHAnsi" w:cstheme="minorHAnsi"/>
          <w:sz w:val="22"/>
          <w:szCs w:val="22"/>
        </w:rPr>
      </w:pPr>
    </w:p>
    <w:p w14:paraId="4C3B0ECA" w14:textId="07C73102"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Sutton, J., and Austin, Z. (2015) ‘Qualitative Research: Data Collection, Analysis, and Management’ </w:t>
      </w:r>
      <w:r w:rsidRPr="00E9389A">
        <w:rPr>
          <w:rFonts w:asciiTheme="minorHAnsi" w:hAnsiTheme="minorHAnsi" w:cstheme="minorHAnsi"/>
          <w:i/>
          <w:iCs/>
          <w:sz w:val="22"/>
          <w:szCs w:val="22"/>
        </w:rPr>
        <w:t xml:space="preserve">The Canadian Journal of Hospital Pharmacy, </w:t>
      </w:r>
      <w:r w:rsidRPr="00E9389A">
        <w:rPr>
          <w:rFonts w:asciiTheme="minorHAnsi" w:hAnsiTheme="minorHAnsi" w:cstheme="minorHAnsi"/>
          <w:sz w:val="22"/>
          <w:szCs w:val="22"/>
        </w:rPr>
        <w:t xml:space="preserve">68(3), pp. 226-231. Available at: </w:t>
      </w:r>
      <w:hyperlink r:id="rId35" w:history="1">
        <w:r w:rsidRPr="00E9389A">
          <w:rPr>
            <w:rStyle w:val="Hyperlink"/>
            <w:rFonts w:asciiTheme="minorHAnsi" w:hAnsiTheme="minorHAnsi" w:cstheme="minorHAnsi"/>
            <w:sz w:val="22"/>
            <w:szCs w:val="22"/>
          </w:rPr>
          <w:t>Qualitative Research: Data Collection, Analysis, and Management - PMC (nih.gov)</w:t>
        </w:r>
      </w:hyperlink>
      <w:r w:rsidRPr="00E9389A">
        <w:rPr>
          <w:rFonts w:asciiTheme="minorHAnsi" w:hAnsiTheme="minorHAnsi" w:cstheme="minorHAnsi"/>
          <w:sz w:val="22"/>
          <w:szCs w:val="22"/>
        </w:rPr>
        <w:t xml:space="preserve"> (Accessed on 01 Feb 2023).</w:t>
      </w:r>
    </w:p>
    <w:p w14:paraId="7FAFC781" w14:textId="77777777" w:rsidR="00E9389A" w:rsidRPr="00E9389A" w:rsidRDefault="00E9389A" w:rsidP="00E9389A">
      <w:pPr>
        <w:rPr>
          <w:rFonts w:asciiTheme="minorHAnsi" w:hAnsiTheme="minorHAnsi" w:cstheme="minorHAnsi"/>
          <w:sz w:val="22"/>
          <w:szCs w:val="22"/>
        </w:rPr>
      </w:pPr>
    </w:p>
    <w:p w14:paraId="10B33EF7" w14:textId="15859F65" w:rsid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Tilley, N., and Webb, J. (1994) ‘Burglary Reduction: Findings from Safer Cities Schemes’, </w:t>
      </w:r>
      <w:r w:rsidRPr="00E9389A">
        <w:rPr>
          <w:rFonts w:asciiTheme="minorHAnsi" w:hAnsiTheme="minorHAnsi" w:cstheme="minorHAnsi"/>
          <w:i/>
          <w:iCs/>
          <w:sz w:val="22"/>
          <w:szCs w:val="22"/>
        </w:rPr>
        <w:t xml:space="preserve">Police Research Group, </w:t>
      </w:r>
      <w:r w:rsidRPr="00E9389A">
        <w:rPr>
          <w:rFonts w:asciiTheme="minorHAnsi" w:hAnsiTheme="minorHAnsi" w:cstheme="minorHAnsi"/>
          <w:sz w:val="22"/>
          <w:szCs w:val="22"/>
        </w:rPr>
        <w:t xml:space="preserve">51, pp 1-60. Available at: </w:t>
      </w:r>
      <w:hyperlink r:id="rId36" w:history="1">
        <w:r w:rsidRPr="00E9389A">
          <w:rPr>
            <w:rStyle w:val="Hyperlink"/>
            <w:rFonts w:asciiTheme="minorHAnsi" w:hAnsiTheme="minorHAnsi" w:cstheme="minorHAnsi"/>
            <w:sz w:val="22"/>
            <w:szCs w:val="22"/>
          </w:rPr>
          <w:t>Burglary reduction: findings from safer cities schemes (ojp.gov)</w:t>
        </w:r>
      </w:hyperlink>
      <w:r w:rsidRPr="00E9389A">
        <w:rPr>
          <w:rFonts w:asciiTheme="minorHAnsi" w:hAnsiTheme="minorHAnsi" w:cstheme="minorHAnsi"/>
          <w:sz w:val="22"/>
          <w:szCs w:val="22"/>
        </w:rPr>
        <w:t xml:space="preserve"> (Accessed on 01 Feb 2023).</w:t>
      </w:r>
    </w:p>
    <w:p w14:paraId="42409F29" w14:textId="77777777" w:rsidR="00E9389A" w:rsidRPr="00E9389A" w:rsidRDefault="00E9389A" w:rsidP="00E9389A">
      <w:pPr>
        <w:rPr>
          <w:rFonts w:asciiTheme="minorHAnsi" w:hAnsiTheme="minorHAnsi" w:cstheme="minorHAnsi"/>
          <w:sz w:val="22"/>
          <w:szCs w:val="22"/>
        </w:rPr>
      </w:pPr>
    </w:p>
    <w:p w14:paraId="47834C91" w14:textId="77777777" w:rsidR="00E9389A" w:rsidRPr="00E9389A" w:rsidRDefault="00E9389A" w:rsidP="00E9389A">
      <w:pPr>
        <w:rPr>
          <w:rFonts w:asciiTheme="minorHAnsi" w:hAnsiTheme="minorHAnsi" w:cstheme="minorHAnsi"/>
          <w:sz w:val="22"/>
          <w:szCs w:val="22"/>
        </w:rPr>
      </w:pPr>
      <w:r w:rsidRPr="00E9389A">
        <w:rPr>
          <w:rFonts w:asciiTheme="minorHAnsi" w:hAnsiTheme="minorHAnsi" w:cstheme="minorHAnsi"/>
          <w:sz w:val="22"/>
          <w:szCs w:val="22"/>
        </w:rPr>
        <w:t xml:space="preserve">UK Finance (2021) </w:t>
      </w:r>
      <w:r w:rsidRPr="00E9389A">
        <w:rPr>
          <w:rFonts w:asciiTheme="minorHAnsi" w:hAnsiTheme="minorHAnsi" w:cstheme="minorHAnsi"/>
          <w:i/>
          <w:iCs/>
          <w:sz w:val="22"/>
          <w:szCs w:val="22"/>
        </w:rPr>
        <w:t xml:space="preserve">Fraud – The Fact 2021, The Definitive Overview of Payment Industry Fraud. </w:t>
      </w:r>
      <w:r w:rsidRPr="00E9389A">
        <w:rPr>
          <w:rFonts w:asciiTheme="minorHAnsi" w:hAnsiTheme="minorHAnsi" w:cstheme="minorHAnsi"/>
          <w:sz w:val="22"/>
          <w:szCs w:val="22"/>
        </w:rPr>
        <w:t>United Kingdom, p 6.</w:t>
      </w:r>
    </w:p>
    <w:p w14:paraId="62B3F7C3" w14:textId="77777777" w:rsidR="00E9389A" w:rsidRPr="00E9389A" w:rsidRDefault="00E9389A" w:rsidP="00E9389A">
      <w:pPr>
        <w:keepNext/>
        <w:spacing w:before="240" w:after="60" w:line="360" w:lineRule="auto"/>
        <w:ind w:right="237"/>
        <w:jc w:val="both"/>
        <w:rPr>
          <w:rFonts w:asciiTheme="minorHAnsi" w:hAnsiTheme="minorHAnsi" w:cstheme="minorHAnsi"/>
          <w:sz w:val="22"/>
          <w:szCs w:val="22"/>
        </w:rPr>
      </w:pPr>
    </w:p>
    <w:sectPr w:rsidR="00E9389A" w:rsidRPr="00E9389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A89CF" w14:textId="77777777" w:rsidR="002B130A" w:rsidRDefault="002B13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5A51F" w14:textId="77777777" w:rsidR="002B130A" w:rsidRDefault="002B1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22277" w14:textId="77777777" w:rsidR="002B130A" w:rsidRDefault="002B13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3DC06" w14:textId="77777777" w:rsidR="002B130A" w:rsidRDefault="002B13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6E34B" w14:textId="77777777" w:rsidR="002B130A" w:rsidRDefault="002B130A">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4FC6EE8"/>
    <w:lvl w:ilvl="0" w:tplc="4280A3C4">
      <w:start w:val="1"/>
      <w:numFmt w:val="decimal"/>
      <w:lvlText w:val="%1."/>
      <w:lvlJc w:val="left"/>
      <w:pPr>
        <w:ind w:left="720" w:hanging="360"/>
      </w:pPr>
    </w:lvl>
    <w:lvl w:ilvl="1" w:tplc="48985B6E">
      <w:start w:val="1"/>
      <w:numFmt w:val="lowerLetter"/>
      <w:lvlText w:val="%2."/>
      <w:lvlJc w:val="left"/>
      <w:pPr>
        <w:ind w:left="1440" w:hanging="360"/>
      </w:pPr>
    </w:lvl>
    <w:lvl w:ilvl="2" w:tplc="FD5C7958">
      <w:start w:val="1"/>
      <w:numFmt w:val="lowerRoman"/>
      <w:lvlText w:val="%3."/>
      <w:lvlJc w:val="right"/>
      <w:pPr>
        <w:ind w:left="2160" w:hanging="180"/>
      </w:pPr>
    </w:lvl>
    <w:lvl w:ilvl="3" w:tplc="B13AA92A">
      <w:start w:val="1"/>
      <w:numFmt w:val="decimal"/>
      <w:lvlText w:val="%4."/>
      <w:lvlJc w:val="left"/>
      <w:pPr>
        <w:ind w:left="2880" w:hanging="360"/>
      </w:pPr>
    </w:lvl>
    <w:lvl w:ilvl="4" w:tplc="42C61F78">
      <w:start w:val="1"/>
      <w:numFmt w:val="lowerLetter"/>
      <w:lvlText w:val="%5."/>
      <w:lvlJc w:val="left"/>
      <w:pPr>
        <w:ind w:left="3600" w:hanging="360"/>
      </w:pPr>
    </w:lvl>
    <w:lvl w:ilvl="5" w:tplc="9EAC9C44">
      <w:start w:val="1"/>
      <w:numFmt w:val="lowerRoman"/>
      <w:lvlText w:val="%6."/>
      <w:lvlJc w:val="right"/>
      <w:pPr>
        <w:ind w:left="4320" w:hanging="180"/>
      </w:pPr>
    </w:lvl>
    <w:lvl w:ilvl="6" w:tplc="89223DD8">
      <w:start w:val="1"/>
      <w:numFmt w:val="decimal"/>
      <w:lvlText w:val="%7."/>
      <w:lvlJc w:val="left"/>
      <w:pPr>
        <w:ind w:left="5040" w:hanging="360"/>
      </w:pPr>
    </w:lvl>
    <w:lvl w:ilvl="7" w:tplc="E2B6DB64">
      <w:start w:val="1"/>
      <w:numFmt w:val="lowerLetter"/>
      <w:lvlText w:val="%8."/>
      <w:lvlJc w:val="left"/>
      <w:pPr>
        <w:ind w:left="5760" w:hanging="360"/>
      </w:pPr>
    </w:lvl>
    <w:lvl w:ilvl="8" w:tplc="1B921F8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0CA8D152"/>
    <w:lvl w:ilvl="0" w:tplc="AD285498">
      <w:start w:val="1"/>
      <w:numFmt w:val="decimal"/>
      <w:lvlText w:val="%1."/>
      <w:lvlJc w:val="left"/>
      <w:pPr>
        <w:ind w:left="720" w:hanging="360"/>
      </w:pPr>
    </w:lvl>
    <w:lvl w:ilvl="1" w:tplc="CC6CE796">
      <w:start w:val="1"/>
      <w:numFmt w:val="decimal"/>
      <w:lvlText w:val="%2."/>
      <w:lvlJc w:val="left"/>
      <w:pPr>
        <w:ind w:left="1440" w:hanging="360"/>
      </w:pPr>
    </w:lvl>
    <w:lvl w:ilvl="2" w:tplc="EDA6944E">
      <w:start w:val="1"/>
      <w:numFmt w:val="lowerRoman"/>
      <w:lvlText w:val="%3."/>
      <w:lvlJc w:val="right"/>
      <w:pPr>
        <w:ind w:left="2160" w:hanging="180"/>
      </w:pPr>
    </w:lvl>
    <w:lvl w:ilvl="3" w:tplc="E140E29C">
      <w:start w:val="1"/>
      <w:numFmt w:val="decimal"/>
      <w:lvlText w:val="%4."/>
      <w:lvlJc w:val="left"/>
      <w:pPr>
        <w:ind w:left="2880" w:hanging="360"/>
      </w:pPr>
    </w:lvl>
    <w:lvl w:ilvl="4" w:tplc="273ED24E">
      <w:start w:val="1"/>
      <w:numFmt w:val="lowerLetter"/>
      <w:lvlText w:val="%5."/>
      <w:lvlJc w:val="left"/>
      <w:pPr>
        <w:ind w:left="3600" w:hanging="360"/>
      </w:pPr>
    </w:lvl>
    <w:lvl w:ilvl="5" w:tplc="B6AEE8F8">
      <w:start w:val="1"/>
      <w:numFmt w:val="lowerRoman"/>
      <w:lvlText w:val="%6."/>
      <w:lvlJc w:val="right"/>
      <w:pPr>
        <w:ind w:left="4320" w:hanging="180"/>
      </w:pPr>
    </w:lvl>
    <w:lvl w:ilvl="6" w:tplc="F840541A">
      <w:start w:val="1"/>
      <w:numFmt w:val="decimal"/>
      <w:lvlText w:val="%7."/>
      <w:lvlJc w:val="left"/>
      <w:pPr>
        <w:ind w:left="5040" w:hanging="360"/>
      </w:pPr>
    </w:lvl>
    <w:lvl w:ilvl="7" w:tplc="D6F65094">
      <w:start w:val="1"/>
      <w:numFmt w:val="lowerLetter"/>
      <w:lvlText w:val="%8."/>
      <w:lvlJc w:val="left"/>
      <w:pPr>
        <w:ind w:left="5760" w:hanging="360"/>
      </w:pPr>
    </w:lvl>
    <w:lvl w:ilvl="8" w:tplc="AED4A1C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30A"/>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389A"/>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E938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justiceinspectorates.gov.uk/cjji/inspections/mappafollowup2015/" TargetMode="External"/><Relationship Id="rId21" Type="http://schemas.openxmlformats.org/officeDocument/2006/relationships/hyperlink" Target="https://www.ncbi.nlm.nih.gov/pmc/articles/PMC2629630/" TargetMode="External"/><Relationship Id="rId34" Type="http://schemas.openxmlformats.org/officeDocument/2006/relationships/hyperlink" Target="https://onlinelibrary.wiley.com/doi/epdf/10.1111/j.1745-9125.1987.tb00824.x?saml_referre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soapboxie.com/government/The-Four-Theories-of-Victimization" TargetMode="External"/><Relationship Id="rId33" Type="http://schemas.openxmlformats.org/officeDocument/2006/relationships/hyperlink" Target="https://www.tandfonline.com/doi/abs/10.1080/10345329.2000.12036165?journalCode=rcic20" TargetMode="External"/><Relationship Id="rId38" Type="http://schemas.openxmlformats.org/officeDocument/2006/relationships/theme" Target="theme/theme1.xml"/><Relationship Id="R5b5bfbccfd8c497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reader.elsevier.com/reader/sd/pii/S1877042812057552?token=665F83BF012B4032D872E503F391E2E1619FE5075B71811D6340DE7AE8F67162CE25A2A9890E1739D54AA3CEEDA90FE7&amp;originRegion=eu-west-1&amp;originCreation=2023013120040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21/17/part/1/enacted" TargetMode="External"/><Relationship Id="rId32" Type="http://schemas.openxmlformats.org/officeDocument/2006/relationships/hyperlink" Target="https://libguides.city.ac.uk/Harvardreferencinglawresources/other"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civil-emergencies/disaster-victim-identification/definitions" TargetMode="External"/><Relationship Id="rId28" Type="http://schemas.openxmlformats.org/officeDocument/2006/relationships/hyperlink" Target="https://assets.publishing.service.gov.uk/government/uploads/system/uploads/attachment_data/file/116538/horr55-technical-annex.pdf" TargetMode="External"/><Relationship Id="rId36" Type="http://schemas.openxmlformats.org/officeDocument/2006/relationships/hyperlink" Target="https://www.ojp.gov/pdffiles1/Photocopy/149304NCJRS.pdf"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file:///C:\Users\407852\Downloads\prattturanovic2016-vo.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eprints.lse.ac.uk/86612/7/Brown_Extending%20the%20remit%20of%20evidence-based%20policing2_.pdf" TargetMode="External"/><Relationship Id="rId27" Type="http://schemas.openxmlformats.org/officeDocument/2006/relationships/hyperlink" Target="https://www.justiceinspectorates.gov.uk/hmiprobation/wp-content/uploads/sites/5/2022/07/MAPPA-EP-Guide-design-v1.0.pdf" TargetMode="External"/><Relationship Id="rId30" Type="http://schemas.openxmlformats.org/officeDocument/2006/relationships/hyperlink" Target="https://canadacollege.edu/dreamers/docs/Maslows-Hierarchy-of-Needs.pdf" TargetMode="External"/><Relationship Id="rId35" Type="http://schemas.openxmlformats.org/officeDocument/2006/relationships/hyperlink" Target="https://www.ncbi.nlm.nih.gov/pmc/articles/PMC4485510/"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6394</Words>
  <Characters>37006</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Sephton, Myfanwy</cp:lastModifiedBy>
  <cp:revision>2</cp:revision>
  <cp:lastPrinted>2014-08-26T08:55:00Z</cp:lastPrinted>
  <dcterms:created xsi:type="dcterms:W3CDTF">2023-02-06T19:48:00Z</dcterms:created>
  <dcterms:modified xsi:type="dcterms:W3CDTF">2023-02-06T19:48:00Z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2023-02-06T19:32:04Z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06a8f2e8-5103-49ef-9f0e-5ecb77563d7b</vt:lpwstr>
  </property>
  <property fmtid="{D5CDD505-2E9C-101B-9397-08002B2CF9AE}" pid="9" name="MSIP_Label_f2acd28b-79a3-4a0f-b0ff-4b75658b1549_ContentBits">
    <vt:lpwstr>0</vt:lpwstr>
  </property>
</Properties>
</file>