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BDD450" w14:textId="7E0BFE90" w:rsidR="00C17145" w:rsidRPr="00C17145" w:rsidRDefault="00C17145" w:rsidP="00C17145">
      <w:pPr>
        <w:pStyle w:val="NormalWeb"/>
        <w:jc w:val="center"/>
        <w:rPr>
          <w:sz w:val="36"/>
          <w:szCs w:val="36"/>
        </w:rPr>
      </w:pPr>
      <w:r w:rsidRPr="00C17145">
        <w:rPr>
          <w:sz w:val="36"/>
          <w:szCs w:val="36"/>
        </w:rPr>
        <w:t xml:space="preserve">Lenuta Raducanu </w:t>
      </w:r>
    </w:p>
    <w:p w14:paraId="0F4AD915" w14:textId="39AC90AA" w:rsidR="00C17145" w:rsidRPr="00C17145" w:rsidRDefault="00C17145" w:rsidP="00C17145">
      <w:pPr>
        <w:pStyle w:val="NormalWeb"/>
        <w:jc w:val="center"/>
        <w:rPr>
          <w:sz w:val="36"/>
          <w:szCs w:val="36"/>
        </w:rPr>
      </w:pPr>
      <w:r w:rsidRPr="00C17145">
        <w:rPr>
          <w:sz w:val="36"/>
          <w:szCs w:val="36"/>
        </w:rPr>
        <w:t>Academic skills – Assessment 1</w:t>
      </w:r>
    </w:p>
    <w:p w14:paraId="6D568329" w14:textId="77777777" w:rsidR="00C17145" w:rsidRDefault="00C17145" w:rsidP="00C17145">
      <w:pPr>
        <w:pStyle w:val="NormalWeb"/>
        <w:jc w:val="center"/>
      </w:pPr>
    </w:p>
    <w:p w14:paraId="75E24964" w14:textId="2D31DF76" w:rsidR="00C17145" w:rsidRPr="00C17145" w:rsidRDefault="00C17145" w:rsidP="00C17145">
      <w:pPr>
        <w:pStyle w:val="NormalWeb"/>
        <w:jc w:val="center"/>
        <w:rPr>
          <w:sz w:val="36"/>
          <w:szCs w:val="36"/>
        </w:rPr>
      </w:pPr>
      <w:r w:rsidRPr="00C17145">
        <w:rPr>
          <w:sz w:val="36"/>
          <w:szCs w:val="36"/>
        </w:rPr>
        <w:t>The Role of Women in the Bible and Church</w:t>
      </w:r>
    </w:p>
    <w:p w14:paraId="2F052A05" w14:textId="77777777" w:rsidR="00C17145" w:rsidRDefault="00C17145" w:rsidP="00C17145">
      <w:pPr>
        <w:pStyle w:val="NormalWeb"/>
        <w:jc w:val="center"/>
      </w:pPr>
    </w:p>
    <w:p w14:paraId="11A635C0" w14:textId="77777777" w:rsidR="00C17145" w:rsidRDefault="00C17145" w:rsidP="00C17145">
      <w:pPr>
        <w:pStyle w:val="NormalWeb"/>
      </w:pPr>
      <w:r>
        <w:t xml:space="preserve">    </w:t>
      </w:r>
    </w:p>
    <w:p w14:paraId="3BC8BFBC" w14:textId="77777777" w:rsidR="00C17145" w:rsidRDefault="00C17145" w:rsidP="00C17145">
      <w:pPr>
        <w:pStyle w:val="NormalWeb"/>
      </w:pPr>
    </w:p>
    <w:p w14:paraId="75EF2D33" w14:textId="372D8D80" w:rsidR="00C17145" w:rsidRDefault="00C17145" w:rsidP="00C17145">
      <w:pPr>
        <w:pStyle w:val="NormalWeb"/>
      </w:pPr>
      <w:r>
        <w:t xml:space="preserve">  </w:t>
      </w:r>
      <w:r>
        <w:t xml:space="preserve">The biblical understanding of women and the church is a complex topic that has been read, interpreted, and reinterpreted countless times over the centuries. </w:t>
      </w:r>
      <w:proofErr w:type="gramStart"/>
      <w:r>
        <w:t>In particular, in</w:t>
      </w:r>
      <w:proofErr w:type="gramEnd"/>
      <w:r>
        <w:t xml:space="preserve"> the Old Testament, a few references to women as leaders, prophets, and model disciples are found along with men. The narrative and doctrine taught within Scripture serves to remind us that the important actions of women contribute</w:t>
      </w:r>
      <w:proofErr w:type="gramStart"/>
      <w:r>
        <w:t>, in their own right, to</w:t>
      </w:r>
      <w:proofErr w:type="gramEnd"/>
      <w:r>
        <w:t xml:space="preserve"> the unfolding of Gods plan; a history which has heavily influenced subsequent interpretations and practices regarding lay gender relations throughout Christian tradition.</w:t>
      </w:r>
    </w:p>
    <w:p w14:paraId="73A5F423" w14:textId="6DD70D2B" w:rsidR="00C17145" w:rsidRDefault="00C17145" w:rsidP="00C17145">
      <w:pPr>
        <w:pStyle w:val="NormalWeb"/>
      </w:pPr>
      <w:r>
        <w:t xml:space="preserve">Throughout the Old Testament, women are key influential and shaping figures in Israel’s lineage and history. People like Sarah, Rebekah, Leah, and Rachel play key roles in the covenant community. Deborah, a woman Israelite judge, is not just an army commander but also a prophet who guides and protects her people both in spiritual wisdom and practical manner. Deborah is a significant person in such patriarchal society who Judges 4:4-5 reveals; as it states, "Now Deborah, a prophetess, the wife of Lapidoth was judging Israel at that time"[1]. There are other women in the Hebrew Bible: Ruth and Esther, for example, who were </w:t>
      </w:r>
      <w:r>
        <w:t>honoured</w:t>
      </w:r>
      <w:r>
        <w:t xml:space="preserve"> because of their courage and loyalty to God’s people whom later Christian tradition would also praise.</w:t>
      </w:r>
    </w:p>
    <w:p w14:paraId="4093D13C" w14:textId="45303E60" w:rsidR="00C17145" w:rsidRDefault="00C17145" w:rsidP="00C17145">
      <w:pPr>
        <w:pStyle w:val="NormalWeb"/>
      </w:pPr>
      <w:r>
        <w:t xml:space="preserve">In the New Testament, we see how Jesus interacted with women and practiced true womanhood in countercultural ways for His time. In the time that Jesus lived, speaking to women in public was considered socially unacceptable among Jews; nevertheless, not only did the Lord speak with and to them, but he also involved one of these </w:t>
      </w:r>
      <w:proofErr w:type="gramStart"/>
      <w:r>
        <w:t>woman</w:t>
      </w:r>
      <w:proofErr w:type="gramEnd"/>
      <w:r>
        <w:t xml:space="preserve"> ministers into His ministry. For example, Mary Magdalene in John 20:18 is the first to see and proclaim resurrection. Mary’s title as the "apostle of apostles" emphasizes she was an important bearer of faith. Women of faith Women who followed were welcomed as disciples to receive from Jesus’ teachings and serving, such as Mary in Bethan </w:t>
      </w:r>
      <w:r>
        <w:t>why</w:t>
      </w:r>
      <w:r>
        <w:t xml:space="preserve">, </w:t>
      </w:r>
      <w:r>
        <w:t>who</w:t>
      </w:r>
      <w:r>
        <w:t xml:space="preserve"> at </w:t>
      </w:r>
      <w:r>
        <w:t>Jesus</w:t>
      </w:r>
      <w:r>
        <w:t xml:space="preserve"> </w:t>
      </w:r>
      <w:proofErr w:type="gramStart"/>
      <w:r>
        <w:t>feet(</w:t>
      </w:r>
      <w:proofErr w:type="gramEnd"/>
      <w:r>
        <w:t xml:space="preserve">Luke 10;39). Samaritan women came back start evangelizing her </w:t>
      </w:r>
      <w:proofErr w:type="gramStart"/>
      <w:r>
        <w:t>society(</w:t>
      </w:r>
      <w:proofErr w:type="gramEnd"/>
      <w:r>
        <w:t>John4:27). [2]</w:t>
      </w:r>
    </w:p>
    <w:p w14:paraId="01CEC1A5" w14:textId="77777777" w:rsidR="00C17145" w:rsidRDefault="00C17145" w:rsidP="00C17145">
      <w:pPr>
        <w:pStyle w:val="NormalWeb"/>
      </w:pPr>
      <w:r>
        <w:t xml:space="preserve">The Apostle Paul helps unlock a better understanding of early Church </w:t>
      </w:r>
      <w:proofErr w:type="gramStart"/>
      <w:r>
        <w:t>women,</w:t>
      </w:r>
      <w:proofErr w:type="gramEnd"/>
      <w:r>
        <w:t xml:space="preserve"> however his views are quite controversial. The women who assist feature in Romans 16—</w:t>
      </w:r>
      <w:proofErr w:type="gramStart"/>
      <w:r>
        <w:t>in particular Phoebe</w:t>
      </w:r>
      <w:proofErr w:type="gramEnd"/>
      <w:r>
        <w:t>, a "deacon of the church at Cenchreae", one sister presumably among many entrusting her spirit to God and willing herself into becoming an investment/sponsor/</w:t>
      </w:r>
      <w:proofErr w:type="spellStart"/>
      <w:r>
        <w:t>minas</w:t>
      </w:r>
      <w:proofErr w:type="spellEnd"/>
      <w:r>
        <w:t xml:space="preserve"> benefactor for subsequent use by Paul (Romans 16:1-2). [3] Paul recognizes the work of women like Phoebe, Priscilla, Junia, and Lydia among others show that these early Christian </w:t>
      </w:r>
      <w:r>
        <w:lastRenderedPageBreak/>
        <w:t>societies comprised significant leadership roles for a number of females Still, some passages like 1 Timothy 2:12 (“I do not permit a woman to teach or have authority over man.”), has been used as authority for limiting the role of women in Church. These texts have spawned various viewpoints on women in ministry and leadership by Christian denominations.[4]</w:t>
      </w:r>
    </w:p>
    <w:p w14:paraId="73E7780F" w14:textId="04F9FF1B" w:rsidR="00C17145" w:rsidRDefault="00C17145" w:rsidP="00C17145">
      <w:pPr>
        <w:pStyle w:val="NormalWeb"/>
      </w:pPr>
      <w:r>
        <w:t xml:space="preserve">Women have played a crucial role in church life since the early days. There is a long tradition in many Christian confessions of </w:t>
      </w:r>
      <w:r>
        <w:t>honouring</w:t>
      </w:r>
      <w:r>
        <w:t xml:space="preserve"> women saints, theologians and mystics—St. Teresa of Ávila, St. Catherine of Siena or Hildegard von Bingen, for instance,— whose message was seen as God given so that it needed to be heard out aloud by all the people around them without distinction due to their gender (even </w:t>
      </w:r>
      <w:proofErr w:type="spellStart"/>
      <w:r>
        <w:t>tho</w:t>
      </w:r>
      <w:proofErr w:type="spellEnd"/>
      <w:r>
        <w:t xml:space="preserve"> they often had male superiors over themselves). In his writings on spiritual leadership and social reforms, </w:t>
      </w:r>
      <w:proofErr w:type="spellStart"/>
      <w:r>
        <w:t>Hashee</w:t>
      </w:r>
      <w:proofErr w:type="spellEnd"/>
      <w:r>
        <w:t xml:space="preserve"> has pushed against traditional norms to broaden his theological perspectives. The observation of scholar Elizabeth A. Clark is relevant: "Women in the early Church were not only recipients of Christian teaching, but also transmitters of faith," emphasizing women as well who had shaped Christian doctrine and practice from the beginning. [5]</w:t>
      </w:r>
    </w:p>
    <w:p w14:paraId="11F5BC3C" w14:textId="1F975F26" w:rsidR="00C17145" w:rsidRDefault="00C17145" w:rsidP="00C17145">
      <w:pPr>
        <w:pStyle w:val="NormalWeb"/>
      </w:pPr>
      <w:r>
        <w:t xml:space="preserve">The role of women in church has substantially changed between different Christian denominations. Some Christian churches limit the term of office to one specific service, for example, preachers, ministers, or other Christians (e.g. Like others in addition, like many Protestant denominations only women can use pastors and bishops, into this </w:t>
      </w:r>
      <w:r>
        <w:t>order. Women</w:t>
      </w:r>
      <w:r>
        <w:t xml:space="preserve"> may also be ordered The Anglican Church is probably best known for their admission; Councils over time are increasingly willing to include them in that account when they ordain foreign </w:t>
      </w:r>
      <w:r>
        <w:t>priests [</w:t>
      </w:r>
      <w:r>
        <w:t>]. The role of women is still an ongoing theological conversation, somehow strangled by culture, history, and alternative biblical interpretations. Several evangelical Christians have asserted that Galatians 3:28 ("There is neither Jew nor Greek, there can no longer be slave or free man; there cannot be a male and female body for you are all the same in Christ Jesus") on the grounds that they consider it essential to proposition sexual orientation balance within Christianity.</w:t>
      </w:r>
    </w:p>
    <w:p w14:paraId="1B42F9AE" w14:textId="77777777" w:rsidR="00C17145" w:rsidRDefault="00C17145" w:rsidP="00C17145">
      <w:pPr>
        <w:pStyle w:val="NormalWeb"/>
      </w:pPr>
      <w:r>
        <w:t>Thus, the picture of women in both scripture and church is found to be a complex interplay between tradition and progress—both determined by the historical context and theological unfolding. Because women in biblical narratives are leaders, disciples, and witnesses, they have inspired generations and still influence discussions about gender and ministry.</w:t>
      </w:r>
    </w:p>
    <w:p w14:paraId="24C02D1B" w14:textId="77777777" w:rsidR="00C17145" w:rsidRDefault="00C17145" w:rsidP="00C17145">
      <w:pPr>
        <w:pStyle w:val="NormalWeb"/>
      </w:pPr>
    </w:p>
    <w:p w14:paraId="3E8ED891" w14:textId="77777777" w:rsidR="00C17145" w:rsidRDefault="00C17145" w:rsidP="00C17145">
      <w:pPr>
        <w:pStyle w:val="NormalWeb"/>
      </w:pPr>
    </w:p>
    <w:p w14:paraId="29E09CB9" w14:textId="77777777" w:rsidR="00C17145" w:rsidRPr="00C17145" w:rsidRDefault="00C17145" w:rsidP="00C17145">
      <w:pPr>
        <w:spacing w:before="100" w:beforeAutospacing="1" w:after="100" w:afterAutospacing="1" w:line="240" w:lineRule="auto"/>
        <w:rPr>
          <w:rFonts w:ascii="Times New Roman" w:eastAsia="Times New Roman" w:hAnsi="Times New Roman" w:cs="Times New Roman"/>
          <w:kern w:val="0"/>
          <w:lang w:eastAsia="en-GB"/>
          <w14:ligatures w14:val="none"/>
        </w:rPr>
      </w:pPr>
      <w:r w:rsidRPr="00C17145">
        <w:rPr>
          <w:rFonts w:ascii="Times New Roman" w:eastAsia="Times New Roman" w:hAnsi="Times New Roman" w:cs="Times New Roman"/>
          <w:b/>
          <w:bCs/>
          <w:kern w:val="0"/>
          <w:lang w:eastAsia="en-GB"/>
          <w14:ligatures w14:val="none"/>
        </w:rPr>
        <w:t>Footnotes</w:t>
      </w:r>
    </w:p>
    <w:p w14:paraId="28E92679" w14:textId="77777777" w:rsidR="00C17145" w:rsidRPr="00C17145" w:rsidRDefault="00C17145" w:rsidP="00C17145">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7145">
        <w:rPr>
          <w:rFonts w:ascii="Times New Roman" w:eastAsia="Times New Roman" w:hAnsi="Times New Roman" w:cs="Times New Roman"/>
          <w:kern w:val="0"/>
          <w:lang w:eastAsia="en-GB"/>
          <w14:ligatures w14:val="none"/>
        </w:rPr>
        <w:t>Judges 4:4-5, New International Version.</w:t>
      </w:r>
    </w:p>
    <w:p w14:paraId="1375AB74" w14:textId="77777777" w:rsidR="00C17145" w:rsidRPr="00C17145" w:rsidRDefault="00C17145" w:rsidP="00C17145">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7145">
        <w:rPr>
          <w:rFonts w:ascii="Times New Roman" w:eastAsia="Times New Roman" w:hAnsi="Times New Roman" w:cs="Times New Roman"/>
          <w:kern w:val="0"/>
          <w:lang w:eastAsia="en-GB"/>
          <w14:ligatures w14:val="none"/>
        </w:rPr>
        <w:t>John 20:18; Luke 10:39; John 4:39, New International Version.</w:t>
      </w:r>
    </w:p>
    <w:p w14:paraId="243F3D29" w14:textId="77777777" w:rsidR="00C17145" w:rsidRPr="00C17145" w:rsidRDefault="00C17145" w:rsidP="00C17145">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7145">
        <w:rPr>
          <w:rFonts w:ascii="Times New Roman" w:eastAsia="Times New Roman" w:hAnsi="Times New Roman" w:cs="Times New Roman"/>
          <w:kern w:val="0"/>
          <w:lang w:eastAsia="en-GB"/>
          <w14:ligatures w14:val="none"/>
        </w:rPr>
        <w:t>Romans 16:1-2, New International Version.</w:t>
      </w:r>
    </w:p>
    <w:p w14:paraId="291A1454" w14:textId="77777777" w:rsidR="00C17145" w:rsidRPr="00C17145" w:rsidRDefault="00C17145" w:rsidP="00C17145">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7145">
        <w:rPr>
          <w:rFonts w:ascii="Times New Roman" w:eastAsia="Times New Roman" w:hAnsi="Times New Roman" w:cs="Times New Roman"/>
          <w:kern w:val="0"/>
          <w:lang w:eastAsia="en-GB"/>
          <w14:ligatures w14:val="none"/>
        </w:rPr>
        <w:t>1 Timothy 2:12, New International Version.</w:t>
      </w:r>
    </w:p>
    <w:p w14:paraId="688AAA76" w14:textId="77777777" w:rsidR="00C17145" w:rsidRPr="00C17145" w:rsidRDefault="00C17145" w:rsidP="00C17145">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7145">
        <w:rPr>
          <w:rFonts w:ascii="Times New Roman" w:eastAsia="Times New Roman" w:hAnsi="Times New Roman" w:cs="Times New Roman"/>
          <w:kern w:val="0"/>
          <w:lang w:eastAsia="en-GB"/>
          <w14:ligatures w14:val="none"/>
        </w:rPr>
        <w:t xml:space="preserve">Elizabeth A. Clark, </w:t>
      </w:r>
      <w:r w:rsidRPr="00C17145">
        <w:rPr>
          <w:rFonts w:ascii="Times New Roman" w:eastAsia="Times New Roman" w:hAnsi="Times New Roman" w:cs="Times New Roman"/>
          <w:i/>
          <w:iCs/>
          <w:kern w:val="0"/>
          <w:lang w:eastAsia="en-GB"/>
          <w14:ligatures w14:val="none"/>
        </w:rPr>
        <w:t>Women in the Early Church</w:t>
      </w:r>
      <w:r w:rsidRPr="00C17145">
        <w:rPr>
          <w:rFonts w:ascii="Times New Roman" w:eastAsia="Times New Roman" w:hAnsi="Times New Roman" w:cs="Times New Roman"/>
          <w:kern w:val="0"/>
          <w:lang w:eastAsia="en-GB"/>
          <w14:ligatures w14:val="none"/>
        </w:rPr>
        <w:t xml:space="preserve"> (Michael Glazier, 1983), 5.</w:t>
      </w:r>
    </w:p>
    <w:p w14:paraId="2ABA69CE" w14:textId="77777777" w:rsidR="00C17145" w:rsidRPr="00C17145" w:rsidRDefault="00C17145" w:rsidP="00C17145">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7145">
        <w:rPr>
          <w:rFonts w:ascii="Times New Roman" w:eastAsia="Times New Roman" w:hAnsi="Times New Roman" w:cs="Times New Roman"/>
          <w:kern w:val="0"/>
          <w:lang w:eastAsia="en-GB"/>
          <w14:ligatures w14:val="none"/>
        </w:rPr>
        <w:t>Galatians 3:28, New International Version.</w:t>
      </w:r>
    </w:p>
    <w:p w14:paraId="4C79BDC1" w14:textId="77777777" w:rsidR="00C17145" w:rsidRPr="00C17145" w:rsidRDefault="00C17145" w:rsidP="00C17145">
      <w:pPr>
        <w:spacing w:after="0" w:line="240" w:lineRule="auto"/>
        <w:rPr>
          <w:rFonts w:ascii="Times New Roman" w:eastAsia="Times New Roman" w:hAnsi="Times New Roman" w:cs="Times New Roman"/>
          <w:kern w:val="0"/>
          <w:lang w:eastAsia="en-GB"/>
          <w14:ligatures w14:val="none"/>
        </w:rPr>
      </w:pPr>
      <w:r w:rsidRPr="00C17145">
        <w:rPr>
          <w:rFonts w:ascii="Times New Roman" w:eastAsia="Times New Roman" w:hAnsi="Times New Roman" w:cs="Times New Roman"/>
          <w:kern w:val="0"/>
          <w:lang w:eastAsia="en-GB"/>
          <w14:ligatures w14:val="none"/>
        </w:rPr>
        <w:pict w14:anchorId="79A77FD9">
          <v:rect id="_x0000_i1025" style="width:0;height:1.5pt" o:hralign="center" o:hrstd="t" o:hr="t" fillcolor="#a0a0a0" stroked="f"/>
        </w:pict>
      </w:r>
    </w:p>
    <w:p w14:paraId="75717E9C" w14:textId="77777777" w:rsidR="00C17145" w:rsidRPr="00C17145" w:rsidRDefault="00C17145" w:rsidP="00C17145">
      <w:pPr>
        <w:spacing w:before="100" w:beforeAutospacing="1" w:after="100" w:afterAutospacing="1" w:line="240" w:lineRule="auto"/>
        <w:rPr>
          <w:rFonts w:ascii="Times New Roman" w:eastAsia="Times New Roman" w:hAnsi="Times New Roman" w:cs="Times New Roman"/>
          <w:kern w:val="0"/>
          <w:lang w:eastAsia="en-GB"/>
          <w14:ligatures w14:val="none"/>
        </w:rPr>
      </w:pPr>
      <w:r w:rsidRPr="00C17145">
        <w:rPr>
          <w:rFonts w:ascii="Times New Roman" w:eastAsia="Times New Roman" w:hAnsi="Times New Roman" w:cs="Times New Roman"/>
          <w:b/>
          <w:bCs/>
          <w:kern w:val="0"/>
          <w:lang w:eastAsia="en-GB"/>
          <w14:ligatures w14:val="none"/>
        </w:rPr>
        <w:t>Bibliography</w:t>
      </w:r>
    </w:p>
    <w:p w14:paraId="1E131D49" w14:textId="77777777" w:rsidR="00C17145" w:rsidRPr="00C17145" w:rsidRDefault="00C17145" w:rsidP="00C17145">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7145">
        <w:rPr>
          <w:rFonts w:ascii="Times New Roman" w:eastAsia="Times New Roman" w:hAnsi="Times New Roman" w:cs="Times New Roman"/>
          <w:kern w:val="0"/>
          <w:lang w:eastAsia="en-GB"/>
          <w14:ligatures w14:val="none"/>
        </w:rPr>
        <w:lastRenderedPageBreak/>
        <w:t xml:space="preserve">Clark, Elizabeth A. </w:t>
      </w:r>
      <w:r w:rsidRPr="00C17145">
        <w:rPr>
          <w:rFonts w:ascii="Times New Roman" w:eastAsia="Times New Roman" w:hAnsi="Times New Roman" w:cs="Times New Roman"/>
          <w:i/>
          <w:iCs/>
          <w:kern w:val="0"/>
          <w:lang w:eastAsia="en-GB"/>
          <w14:ligatures w14:val="none"/>
        </w:rPr>
        <w:t>Women in the Early Church</w:t>
      </w:r>
      <w:r w:rsidRPr="00C17145">
        <w:rPr>
          <w:rFonts w:ascii="Times New Roman" w:eastAsia="Times New Roman" w:hAnsi="Times New Roman" w:cs="Times New Roman"/>
          <w:kern w:val="0"/>
          <w:lang w:eastAsia="en-GB"/>
          <w14:ligatures w14:val="none"/>
        </w:rPr>
        <w:t>. Michael Glazier, 1983.</w:t>
      </w:r>
    </w:p>
    <w:p w14:paraId="5E5741AD" w14:textId="77777777" w:rsidR="00C17145" w:rsidRPr="00C17145" w:rsidRDefault="00C17145" w:rsidP="00C17145">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7145">
        <w:rPr>
          <w:rFonts w:ascii="Times New Roman" w:eastAsia="Times New Roman" w:hAnsi="Times New Roman" w:cs="Times New Roman"/>
          <w:kern w:val="0"/>
          <w:lang w:eastAsia="en-GB"/>
          <w14:ligatures w14:val="none"/>
        </w:rPr>
        <w:t>The Holy Bible, New International Version. Zondervan, 1978.</w:t>
      </w:r>
    </w:p>
    <w:p w14:paraId="547F609D" w14:textId="77777777" w:rsidR="00C17145" w:rsidRPr="00C17145" w:rsidRDefault="00C17145" w:rsidP="00C17145">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7145">
        <w:rPr>
          <w:rFonts w:ascii="Times New Roman" w:eastAsia="Times New Roman" w:hAnsi="Times New Roman" w:cs="Times New Roman"/>
          <w:kern w:val="0"/>
          <w:lang w:eastAsia="en-GB"/>
          <w14:ligatures w14:val="none"/>
        </w:rPr>
        <w:t xml:space="preserve">Schreiner, Thomas R., and Piper, John, eds. </w:t>
      </w:r>
      <w:r w:rsidRPr="00C17145">
        <w:rPr>
          <w:rFonts w:ascii="Times New Roman" w:eastAsia="Times New Roman" w:hAnsi="Times New Roman" w:cs="Times New Roman"/>
          <w:i/>
          <w:iCs/>
          <w:kern w:val="0"/>
          <w:lang w:eastAsia="en-GB"/>
          <w14:ligatures w14:val="none"/>
        </w:rPr>
        <w:t>Recovering Biblical Manhood and Womanhood: A Response to Evangelical Feminism</w:t>
      </w:r>
      <w:r w:rsidRPr="00C17145">
        <w:rPr>
          <w:rFonts w:ascii="Times New Roman" w:eastAsia="Times New Roman" w:hAnsi="Times New Roman" w:cs="Times New Roman"/>
          <w:kern w:val="0"/>
          <w:lang w:eastAsia="en-GB"/>
          <w14:ligatures w14:val="none"/>
        </w:rPr>
        <w:t>. Crossway, 1991.</w:t>
      </w:r>
    </w:p>
    <w:p w14:paraId="35AA4DEA" w14:textId="1E50E110" w:rsidR="00C17145" w:rsidRPr="00C17145" w:rsidRDefault="00C17145" w:rsidP="00C17145">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C17145">
        <w:rPr>
          <w:rFonts w:ascii="Times New Roman" w:eastAsia="Times New Roman" w:hAnsi="Times New Roman" w:cs="Times New Roman"/>
          <w:kern w:val="0"/>
          <w:lang w:eastAsia="en-GB"/>
          <w14:ligatures w14:val="none"/>
        </w:rPr>
        <w:t>Torjesen</w:t>
      </w:r>
      <w:proofErr w:type="spellEnd"/>
      <w:r w:rsidRPr="00C17145">
        <w:rPr>
          <w:rFonts w:ascii="Times New Roman" w:eastAsia="Times New Roman" w:hAnsi="Times New Roman" w:cs="Times New Roman"/>
          <w:kern w:val="0"/>
          <w:lang w:eastAsia="en-GB"/>
          <w14:ligatures w14:val="none"/>
        </w:rPr>
        <w:t xml:space="preserve">, Karen Jo. </w:t>
      </w:r>
      <w:r w:rsidRPr="00C17145">
        <w:rPr>
          <w:rFonts w:ascii="Times New Roman" w:eastAsia="Times New Roman" w:hAnsi="Times New Roman" w:cs="Times New Roman"/>
          <w:i/>
          <w:iCs/>
          <w:kern w:val="0"/>
          <w:lang w:eastAsia="en-GB"/>
          <w14:ligatures w14:val="none"/>
        </w:rPr>
        <w:t>When Women Were Priests: Women’s Leadership in the Early Church and the Scandal of Their Subordination in the Rise of Christianity</w:t>
      </w:r>
      <w:r w:rsidRPr="00C17145">
        <w:rPr>
          <w:rFonts w:ascii="Times New Roman" w:eastAsia="Times New Roman" w:hAnsi="Times New Roman" w:cs="Times New Roman"/>
          <w:kern w:val="0"/>
          <w:lang w:eastAsia="en-GB"/>
          <w14:ligatures w14:val="none"/>
        </w:rPr>
        <w:t>. Harper</w:t>
      </w:r>
      <w:r>
        <w:rPr>
          <w:rFonts w:ascii="Times New Roman" w:eastAsia="Times New Roman" w:hAnsi="Times New Roman" w:cs="Times New Roman"/>
          <w:kern w:val="0"/>
          <w:lang w:eastAsia="en-GB"/>
          <w14:ligatures w14:val="none"/>
        </w:rPr>
        <w:t xml:space="preserve"> </w:t>
      </w:r>
      <w:r w:rsidRPr="00C17145">
        <w:rPr>
          <w:rFonts w:ascii="Times New Roman" w:eastAsia="Times New Roman" w:hAnsi="Times New Roman" w:cs="Times New Roman"/>
          <w:kern w:val="0"/>
          <w:lang w:eastAsia="en-GB"/>
          <w14:ligatures w14:val="none"/>
        </w:rPr>
        <w:t>One, 1993.</w:t>
      </w:r>
    </w:p>
    <w:p w14:paraId="54A3F17C" w14:textId="77777777" w:rsidR="00C17145" w:rsidRDefault="00C17145" w:rsidP="00C17145">
      <w:pPr>
        <w:pStyle w:val="NormalWeb"/>
      </w:pPr>
    </w:p>
    <w:p w14:paraId="2C4392C0" w14:textId="77777777" w:rsidR="001E5192" w:rsidRDefault="001E5192"/>
    <w:sectPr w:rsidR="001E51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EE39C3" w14:textId="77777777" w:rsidR="001E759D" w:rsidRDefault="001E759D" w:rsidP="00046AEE">
      <w:pPr>
        <w:spacing w:after="0" w:line="240" w:lineRule="auto"/>
      </w:pPr>
      <w:r>
        <w:separator/>
      </w:r>
    </w:p>
  </w:endnote>
  <w:endnote w:type="continuationSeparator" w:id="0">
    <w:p w14:paraId="2E589CA2" w14:textId="77777777" w:rsidR="001E759D" w:rsidRDefault="001E759D" w:rsidP="00046A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348308" w14:textId="77777777" w:rsidR="001E759D" w:rsidRDefault="001E759D" w:rsidP="00046AEE">
      <w:pPr>
        <w:spacing w:after="0" w:line="240" w:lineRule="auto"/>
      </w:pPr>
      <w:r>
        <w:separator/>
      </w:r>
    </w:p>
  </w:footnote>
  <w:footnote w:type="continuationSeparator" w:id="0">
    <w:p w14:paraId="344B7014" w14:textId="77777777" w:rsidR="001E759D" w:rsidRDefault="001E759D" w:rsidP="00046A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8C84763"/>
    <w:multiLevelType w:val="multilevel"/>
    <w:tmpl w:val="B8D8D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1297786"/>
    <w:multiLevelType w:val="multilevel"/>
    <w:tmpl w:val="1FF8B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5390867">
    <w:abstractNumId w:val="0"/>
  </w:num>
  <w:num w:numId="2" w16cid:durableId="2061147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145"/>
    <w:rsid w:val="00046AEE"/>
    <w:rsid w:val="001E5192"/>
    <w:rsid w:val="001E759D"/>
    <w:rsid w:val="00534447"/>
    <w:rsid w:val="00C171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78EF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71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71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71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71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71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71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71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71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71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1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71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71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71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71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71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71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71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7145"/>
    <w:rPr>
      <w:rFonts w:eastAsiaTheme="majorEastAsia" w:cstheme="majorBidi"/>
      <w:color w:val="272727" w:themeColor="text1" w:themeTint="D8"/>
    </w:rPr>
  </w:style>
  <w:style w:type="paragraph" w:styleId="Title">
    <w:name w:val="Title"/>
    <w:basedOn w:val="Normal"/>
    <w:next w:val="Normal"/>
    <w:link w:val="TitleChar"/>
    <w:uiPriority w:val="10"/>
    <w:qFormat/>
    <w:rsid w:val="00C171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71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71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71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7145"/>
    <w:pPr>
      <w:spacing w:before="160"/>
      <w:jc w:val="center"/>
    </w:pPr>
    <w:rPr>
      <w:i/>
      <w:iCs/>
      <w:color w:val="404040" w:themeColor="text1" w:themeTint="BF"/>
    </w:rPr>
  </w:style>
  <w:style w:type="character" w:customStyle="1" w:styleId="QuoteChar">
    <w:name w:val="Quote Char"/>
    <w:basedOn w:val="DefaultParagraphFont"/>
    <w:link w:val="Quote"/>
    <w:uiPriority w:val="29"/>
    <w:rsid w:val="00C17145"/>
    <w:rPr>
      <w:i/>
      <w:iCs/>
      <w:color w:val="404040" w:themeColor="text1" w:themeTint="BF"/>
    </w:rPr>
  </w:style>
  <w:style w:type="paragraph" w:styleId="ListParagraph">
    <w:name w:val="List Paragraph"/>
    <w:basedOn w:val="Normal"/>
    <w:uiPriority w:val="34"/>
    <w:qFormat/>
    <w:rsid w:val="00C17145"/>
    <w:pPr>
      <w:ind w:left="720"/>
      <w:contextualSpacing/>
    </w:pPr>
  </w:style>
  <w:style w:type="character" w:styleId="IntenseEmphasis">
    <w:name w:val="Intense Emphasis"/>
    <w:basedOn w:val="DefaultParagraphFont"/>
    <w:uiPriority w:val="21"/>
    <w:qFormat/>
    <w:rsid w:val="00C17145"/>
    <w:rPr>
      <w:i/>
      <w:iCs/>
      <w:color w:val="0F4761" w:themeColor="accent1" w:themeShade="BF"/>
    </w:rPr>
  </w:style>
  <w:style w:type="paragraph" w:styleId="IntenseQuote">
    <w:name w:val="Intense Quote"/>
    <w:basedOn w:val="Normal"/>
    <w:next w:val="Normal"/>
    <w:link w:val="IntenseQuoteChar"/>
    <w:uiPriority w:val="30"/>
    <w:qFormat/>
    <w:rsid w:val="00C171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7145"/>
    <w:rPr>
      <w:i/>
      <w:iCs/>
      <w:color w:val="0F4761" w:themeColor="accent1" w:themeShade="BF"/>
    </w:rPr>
  </w:style>
  <w:style w:type="character" w:styleId="IntenseReference">
    <w:name w:val="Intense Reference"/>
    <w:basedOn w:val="DefaultParagraphFont"/>
    <w:uiPriority w:val="32"/>
    <w:qFormat/>
    <w:rsid w:val="00C17145"/>
    <w:rPr>
      <w:b/>
      <w:bCs/>
      <w:smallCaps/>
      <w:color w:val="0F4761" w:themeColor="accent1" w:themeShade="BF"/>
      <w:spacing w:val="5"/>
    </w:rPr>
  </w:style>
  <w:style w:type="paragraph" w:styleId="NormalWeb">
    <w:name w:val="Normal (Web)"/>
    <w:basedOn w:val="Normal"/>
    <w:uiPriority w:val="99"/>
    <w:semiHidden/>
    <w:unhideWhenUsed/>
    <w:rsid w:val="00C1714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046A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6AEE"/>
  </w:style>
  <w:style w:type="paragraph" w:styleId="Footer">
    <w:name w:val="footer"/>
    <w:basedOn w:val="Normal"/>
    <w:link w:val="FooterChar"/>
    <w:uiPriority w:val="99"/>
    <w:unhideWhenUsed/>
    <w:rsid w:val="00046A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6A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4149503">
      <w:bodyDiv w:val="1"/>
      <w:marLeft w:val="0"/>
      <w:marRight w:val="0"/>
      <w:marTop w:val="0"/>
      <w:marBottom w:val="0"/>
      <w:divBdr>
        <w:top w:val="none" w:sz="0" w:space="0" w:color="auto"/>
        <w:left w:val="none" w:sz="0" w:space="0" w:color="auto"/>
        <w:bottom w:val="none" w:sz="0" w:space="0" w:color="auto"/>
        <w:right w:val="none" w:sz="0" w:space="0" w:color="auto"/>
      </w:divBdr>
    </w:div>
    <w:div w:id="184497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916</Words>
  <Characters>5227</Characters>
  <Application>Microsoft Office Word</Application>
  <DocSecurity>0</DocSecurity>
  <Lines>43</Lines>
  <Paragraphs>12</Paragraphs>
  <ScaleCrop>false</ScaleCrop>
  <Company/>
  <LinksUpToDate>false</LinksUpToDate>
  <CharactersWithSpaces>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2024-10-27T14:20:00Z</dcterms:created>
  <dcterms:modified xsi:type="dcterms:W3CDTF">2024-10-27T14:20:00Z</dcterms:modified>
</cp:coreProperties>
</file>