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CAE1E"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Module Title: Principles of Health and Social Care</w:t>
      </w:r>
    </w:p>
    <w:p w14:paraId="55307C61"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Module code: BMHP5016</w:t>
      </w:r>
    </w:p>
    <w:p w14:paraId="40207A04"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University: University of Wales Trinity Saint David (UWTSD)</w:t>
      </w:r>
    </w:p>
    <w:p w14:paraId="6DA1ECA7" w14:textId="77777777" w:rsidR="00864969" w:rsidRDefault="00864969" w:rsidP="00864969">
      <w:pPr>
        <w:jc w:val="center"/>
        <w:rPr>
          <w:rFonts w:ascii="Arial" w:hAnsi="Arial" w:cs="Arial"/>
          <w:sz w:val="40"/>
          <w:szCs w:val="40"/>
        </w:rPr>
      </w:pPr>
      <w:r w:rsidRPr="00864969">
        <w:rPr>
          <w:rFonts w:ascii="Arial" w:hAnsi="Arial" w:cs="Arial"/>
          <w:sz w:val="40"/>
          <w:szCs w:val="40"/>
        </w:rPr>
        <w:t>Assignment: An Evaluation of Person-Centred Care and Partnership Working in Residential Care Homes for Older Adults</w:t>
      </w:r>
    </w:p>
    <w:p w14:paraId="45EA34DE" w14:textId="00D10463" w:rsidR="00864969" w:rsidRPr="00864969" w:rsidRDefault="00864969" w:rsidP="00864969">
      <w:pPr>
        <w:jc w:val="center"/>
        <w:rPr>
          <w:rFonts w:ascii="Arial" w:hAnsi="Arial" w:cs="Arial"/>
          <w:sz w:val="40"/>
          <w:szCs w:val="40"/>
        </w:rPr>
      </w:pPr>
      <w:r w:rsidRPr="00864969">
        <w:rPr>
          <w:rFonts w:ascii="Arial" w:hAnsi="Arial" w:cs="Arial"/>
          <w:sz w:val="40"/>
          <w:szCs w:val="40"/>
        </w:rPr>
        <w:t>Name: Tasnim Khanom</w:t>
      </w:r>
    </w:p>
    <w:p w14:paraId="44FAF9B9"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Student Number: 2431177</w:t>
      </w:r>
    </w:p>
    <w:p w14:paraId="6B4AF636"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Lecture Name: Azida Zainol</w:t>
      </w:r>
    </w:p>
    <w:p w14:paraId="35D464D0" w14:textId="77777777" w:rsidR="00864969" w:rsidRPr="00864969" w:rsidRDefault="00864969" w:rsidP="00864969">
      <w:pPr>
        <w:jc w:val="center"/>
        <w:rPr>
          <w:rFonts w:ascii="Arial" w:hAnsi="Arial" w:cs="Arial"/>
          <w:sz w:val="40"/>
          <w:szCs w:val="40"/>
        </w:rPr>
      </w:pPr>
      <w:r w:rsidRPr="00864969">
        <w:rPr>
          <w:rFonts w:ascii="Arial" w:hAnsi="Arial" w:cs="Arial"/>
          <w:sz w:val="40"/>
          <w:szCs w:val="40"/>
        </w:rPr>
        <w:t>Date: 26/07/26</w:t>
      </w:r>
    </w:p>
    <w:p w14:paraId="50D35BA0" w14:textId="77777777" w:rsidR="00864969" w:rsidRDefault="00864969" w:rsidP="00864969">
      <w:pPr>
        <w:rPr>
          <w:rFonts w:ascii="Arial" w:hAnsi="Arial" w:cs="Arial"/>
          <w:sz w:val="26"/>
          <w:szCs w:val="26"/>
        </w:rPr>
      </w:pPr>
    </w:p>
    <w:p w14:paraId="56CECF54" w14:textId="77777777" w:rsidR="00864969" w:rsidRDefault="00864969" w:rsidP="00864969">
      <w:pPr>
        <w:rPr>
          <w:rFonts w:ascii="Arial" w:hAnsi="Arial" w:cs="Arial"/>
          <w:sz w:val="26"/>
          <w:szCs w:val="26"/>
        </w:rPr>
      </w:pPr>
    </w:p>
    <w:p w14:paraId="042B54B7" w14:textId="77777777" w:rsidR="00864969" w:rsidRDefault="00864969" w:rsidP="00864969">
      <w:pPr>
        <w:rPr>
          <w:rFonts w:ascii="Arial" w:hAnsi="Arial" w:cs="Arial"/>
          <w:sz w:val="26"/>
          <w:szCs w:val="26"/>
        </w:rPr>
      </w:pPr>
    </w:p>
    <w:p w14:paraId="5BA44878" w14:textId="77777777" w:rsidR="00864969" w:rsidRDefault="00864969" w:rsidP="00864969">
      <w:pPr>
        <w:rPr>
          <w:rFonts w:ascii="Arial" w:hAnsi="Arial" w:cs="Arial"/>
          <w:sz w:val="26"/>
          <w:szCs w:val="26"/>
        </w:rPr>
      </w:pPr>
    </w:p>
    <w:p w14:paraId="7FC28998" w14:textId="77777777" w:rsidR="00864969" w:rsidRDefault="00864969" w:rsidP="00864969">
      <w:pPr>
        <w:rPr>
          <w:rFonts w:ascii="Arial" w:hAnsi="Arial" w:cs="Arial"/>
          <w:sz w:val="26"/>
          <w:szCs w:val="26"/>
        </w:rPr>
      </w:pPr>
    </w:p>
    <w:p w14:paraId="6BD0E541" w14:textId="77777777" w:rsidR="00864969" w:rsidRDefault="00864969" w:rsidP="00864969">
      <w:pPr>
        <w:rPr>
          <w:rFonts w:ascii="Arial" w:hAnsi="Arial" w:cs="Arial"/>
          <w:sz w:val="26"/>
          <w:szCs w:val="26"/>
        </w:rPr>
      </w:pPr>
    </w:p>
    <w:p w14:paraId="0DD3B6C7" w14:textId="77777777" w:rsidR="00864969" w:rsidRDefault="00864969" w:rsidP="00864969">
      <w:pPr>
        <w:rPr>
          <w:rFonts w:ascii="Arial" w:hAnsi="Arial" w:cs="Arial"/>
          <w:sz w:val="26"/>
          <w:szCs w:val="26"/>
        </w:rPr>
      </w:pPr>
    </w:p>
    <w:p w14:paraId="3B433621" w14:textId="77777777" w:rsidR="00864969" w:rsidRDefault="00864969" w:rsidP="00864969">
      <w:pPr>
        <w:rPr>
          <w:rFonts w:ascii="Arial" w:hAnsi="Arial" w:cs="Arial"/>
          <w:sz w:val="26"/>
          <w:szCs w:val="26"/>
        </w:rPr>
      </w:pPr>
    </w:p>
    <w:p w14:paraId="02C53A15" w14:textId="77777777" w:rsidR="00864969" w:rsidRDefault="00864969" w:rsidP="00864969">
      <w:pPr>
        <w:rPr>
          <w:rFonts w:ascii="Arial" w:hAnsi="Arial" w:cs="Arial"/>
          <w:sz w:val="26"/>
          <w:szCs w:val="26"/>
        </w:rPr>
      </w:pPr>
    </w:p>
    <w:p w14:paraId="5A0B4D17" w14:textId="77777777" w:rsidR="00864969" w:rsidRDefault="00864969" w:rsidP="00864969">
      <w:pPr>
        <w:rPr>
          <w:rFonts w:ascii="Arial" w:hAnsi="Arial" w:cs="Arial"/>
          <w:sz w:val="26"/>
          <w:szCs w:val="26"/>
        </w:rPr>
      </w:pPr>
    </w:p>
    <w:p w14:paraId="5DA0AB8D" w14:textId="77777777" w:rsidR="00864969" w:rsidRDefault="00864969" w:rsidP="00864969">
      <w:pPr>
        <w:rPr>
          <w:rFonts w:ascii="Arial" w:hAnsi="Arial" w:cs="Arial"/>
          <w:sz w:val="26"/>
          <w:szCs w:val="26"/>
        </w:rPr>
      </w:pPr>
    </w:p>
    <w:p w14:paraId="3C4778DC" w14:textId="77777777" w:rsidR="00864969" w:rsidRDefault="00864969" w:rsidP="00864969">
      <w:pPr>
        <w:rPr>
          <w:rFonts w:ascii="Arial" w:hAnsi="Arial" w:cs="Arial"/>
          <w:sz w:val="26"/>
          <w:szCs w:val="26"/>
        </w:rPr>
      </w:pPr>
    </w:p>
    <w:p w14:paraId="653FC9E4" w14:textId="77777777" w:rsidR="00864969" w:rsidRDefault="00864969" w:rsidP="00864969">
      <w:pPr>
        <w:rPr>
          <w:rFonts w:ascii="Arial" w:hAnsi="Arial" w:cs="Arial"/>
          <w:sz w:val="26"/>
          <w:szCs w:val="26"/>
        </w:rPr>
      </w:pPr>
    </w:p>
    <w:p w14:paraId="6E473AF2" w14:textId="5B312C48" w:rsidR="00864969" w:rsidRPr="002C1BC8" w:rsidRDefault="00864969" w:rsidP="002C1BC8">
      <w:pPr>
        <w:spacing w:line="360" w:lineRule="auto"/>
        <w:jc w:val="both"/>
        <w:rPr>
          <w:rFonts w:ascii="Arial" w:hAnsi="Arial" w:cs="Arial"/>
          <w:sz w:val="22"/>
          <w:szCs w:val="22"/>
        </w:rPr>
      </w:pPr>
      <w:r w:rsidRPr="002C1BC8">
        <w:rPr>
          <w:rFonts w:ascii="Arial" w:hAnsi="Arial" w:cs="Arial"/>
          <w:sz w:val="22"/>
          <w:szCs w:val="22"/>
        </w:rPr>
        <w:lastRenderedPageBreak/>
        <w:t>Abstract</w:t>
      </w:r>
    </w:p>
    <w:p w14:paraId="7A5AC900" w14:textId="6D2E571A" w:rsidR="00864969" w:rsidRPr="002C1BC8" w:rsidRDefault="00DA2C8F" w:rsidP="002C1BC8">
      <w:pPr>
        <w:spacing w:line="360" w:lineRule="auto"/>
        <w:jc w:val="both"/>
        <w:rPr>
          <w:rFonts w:ascii="Arial" w:hAnsi="Arial" w:cs="Arial"/>
          <w:sz w:val="22"/>
          <w:szCs w:val="22"/>
        </w:rPr>
      </w:pPr>
      <w:r w:rsidRPr="002C1BC8">
        <w:rPr>
          <w:rFonts w:ascii="Arial" w:hAnsi="Arial" w:cs="Arial"/>
          <w:sz w:val="22"/>
          <w:szCs w:val="22"/>
        </w:rPr>
        <w:t xml:space="preserve">This report evaluates the importance of person-centred care (PCC) and partnership working (PW) in delivering high-quality care within residential care homes for older adults. It explores the principles of person-centred care, supported by </w:t>
      </w:r>
      <w:r w:rsidRPr="002C1BC8">
        <w:rPr>
          <w:rFonts w:ascii="Arial" w:hAnsi="Arial" w:cs="Arial"/>
          <w:b/>
          <w:bCs/>
          <w:sz w:val="22"/>
          <w:szCs w:val="22"/>
        </w:rPr>
        <w:t>Maslow's Hierarchy of Needs</w:t>
      </w:r>
      <w:r w:rsidRPr="002C1BC8">
        <w:rPr>
          <w:rFonts w:ascii="Arial" w:hAnsi="Arial" w:cs="Arial"/>
          <w:sz w:val="22"/>
          <w:szCs w:val="22"/>
        </w:rPr>
        <w:t xml:space="preserve">, which emphasises meeting individuals' physiological, safety, social, esteem and self-actualisation </w:t>
      </w:r>
      <w:proofErr w:type="gramStart"/>
      <w:r w:rsidRPr="002C1BC8">
        <w:rPr>
          <w:rFonts w:ascii="Arial" w:hAnsi="Arial" w:cs="Arial"/>
          <w:sz w:val="22"/>
          <w:szCs w:val="22"/>
        </w:rPr>
        <w:t>need</w:t>
      </w:r>
      <w:r w:rsidR="00657041" w:rsidRPr="002C1BC8">
        <w:rPr>
          <w:rFonts w:ascii="Arial" w:hAnsi="Arial" w:cs="Arial"/>
          <w:sz w:val="22"/>
          <w:szCs w:val="22"/>
        </w:rPr>
        <w:t>s</w:t>
      </w:r>
      <w:proofErr w:type="gramEnd"/>
      <w:r w:rsidRPr="002C1BC8">
        <w:rPr>
          <w:rFonts w:ascii="Arial" w:hAnsi="Arial" w:cs="Arial"/>
          <w:sz w:val="22"/>
          <w:szCs w:val="22"/>
        </w:rPr>
        <w:t xml:space="preserve"> to promote holistic wellbeing and improve quality of life.</w:t>
      </w:r>
      <w:r w:rsidRPr="002C1BC8">
        <w:rPr>
          <w:rFonts w:ascii="Arial" w:hAnsi="Arial" w:cs="Arial"/>
          <w:sz w:val="22"/>
          <w:szCs w:val="22"/>
        </w:rPr>
        <w:t xml:space="preserve"> </w:t>
      </w:r>
      <w:r w:rsidR="00F67A09" w:rsidRPr="002C1BC8">
        <w:rPr>
          <w:rFonts w:ascii="Arial" w:hAnsi="Arial" w:cs="Arial"/>
          <w:sz w:val="22"/>
          <w:szCs w:val="22"/>
        </w:rPr>
        <w:t>The report also examines partnership working, including the role of Integrated Care Systems (ICSs) in improving collaboration between organisations to deliver coordinated care</w:t>
      </w:r>
      <w:r w:rsidR="00F069B3" w:rsidRPr="002C1BC8">
        <w:rPr>
          <w:rFonts w:ascii="Arial" w:hAnsi="Arial" w:cs="Arial"/>
          <w:sz w:val="22"/>
          <w:szCs w:val="22"/>
        </w:rPr>
        <w:t>. It considers the benefits and challenges of implementing PCC and PW, including communication barriers, workforce shortages, and resource limitations. The report concludes that integrating person-centred care with effective partnership working improves residents' health, wellbeing, safety, and quality of life. It recommends strengthening staff training, multidisciplinary collaboration, digital information sharing, and adherence to relevant legislation to support consistent, high-quality, person-centred care.</w:t>
      </w:r>
      <w:r w:rsidR="00864969" w:rsidRPr="002C1BC8">
        <w:rPr>
          <w:rFonts w:ascii="Arial" w:hAnsi="Arial" w:cs="Arial"/>
          <w:sz w:val="22"/>
          <w:szCs w:val="22"/>
        </w:rPr>
        <w:br w:type="page"/>
      </w:r>
    </w:p>
    <w:p w14:paraId="668E0B91" w14:textId="41D9E205" w:rsidR="00864969" w:rsidRPr="002C1BC8" w:rsidRDefault="00864969" w:rsidP="002C1BC8">
      <w:pPr>
        <w:spacing w:line="360" w:lineRule="auto"/>
        <w:jc w:val="both"/>
        <w:rPr>
          <w:rFonts w:ascii="Arial" w:hAnsi="Arial" w:cs="Arial"/>
          <w:sz w:val="22"/>
          <w:szCs w:val="22"/>
        </w:rPr>
      </w:pPr>
      <w:r w:rsidRPr="002C1BC8">
        <w:rPr>
          <w:rFonts w:ascii="Arial" w:hAnsi="Arial" w:cs="Arial"/>
          <w:b/>
          <w:bCs/>
          <w:sz w:val="22"/>
          <w:szCs w:val="22"/>
        </w:rPr>
        <w:lastRenderedPageBreak/>
        <w:t xml:space="preserve">Introduction </w:t>
      </w:r>
    </w:p>
    <w:p w14:paraId="3EECA86C" w14:textId="0009E5E4" w:rsidR="00864969" w:rsidRPr="002C1BC8" w:rsidRDefault="004F3B2B" w:rsidP="002C1BC8">
      <w:pPr>
        <w:spacing w:line="360" w:lineRule="auto"/>
        <w:jc w:val="both"/>
        <w:rPr>
          <w:rFonts w:ascii="Arial" w:hAnsi="Arial" w:cs="Arial"/>
          <w:sz w:val="22"/>
          <w:szCs w:val="22"/>
        </w:rPr>
      </w:pPr>
      <w:r w:rsidRPr="004F3B2B">
        <w:rPr>
          <w:rFonts w:ascii="Arial" w:hAnsi="Arial" w:cs="Arial"/>
          <w:sz w:val="22"/>
          <w:szCs w:val="22"/>
        </w:rPr>
        <w:t xml:space="preserve">As the UK population continues to age and more older adults require residential care, delivering high-quality, person-centred care through effective partnership working has become increasingly important </w:t>
      </w:r>
      <w:r w:rsidRPr="004F3B2B">
        <w:rPr>
          <w:rFonts w:ascii="Arial" w:hAnsi="Arial" w:cs="Arial"/>
          <w:b/>
          <w:bCs/>
          <w:sz w:val="22"/>
          <w:szCs w:val="22"/>
        </w:rPr>
        <w:t>(Age UK, 2023)</w:t>
      </w:r>
      <w:r w:rsidRPr="004F3B2B">
        <w:rPr>
          <w:rFonts w:ascii="Arial" w:hAnsi="Arial" w:cs="Arial"/>
          <w:sz w:val="22"/>
          <w:szCs w:val="22"/>
        </w:rPr>
        <w:t xml:space="preserve">. Person-centred care promotes dignity, autonomy and individualised support, while partnership working enables health and social care professionals, families and organisations to collaborate in meeting residents' complex physical, emotional and social needs </w:t>
      </w:r>
      <w:r w:rsidRPr="004F3B2B">
        <w:rPr>
          <w:rFonts w:ascii="Arial" w:hAnsi="Arial" w:cs="Arial"/>
          <w:b/>
          <w:bCs/>
          <w:sz w:val="22"/>
          <w:szCs w:val="22"/>
        </w:rPr>
        <w:t>(WHO, 2025)</w:t>
      </w:r>
      <w:r w:rsidRPr="004F3B2B">
        <w:rPr>
          <w:rFonts w:ascii="Arial" w:hAnsi="Arial" w:cs="Arial"/>
          <w:sz w:val="22"/>
          <w:szCs w:val="22"/>
        </w:rPr>
        <w:t>. This report critically evaluates the principles of person-centred care, supported by Maslow's Hierarchy of Needs, alongside partnership working, ethical principles and relevant legislation within residential care homes for older adults. It also examines the benefits and challenges of implementing these approaches before presenting evidence-based recommendations for improving practice and enhancing the quality of care.</w:t>
      </w:r>
    </w:p>
    <w:p w14:paraId="60E1E696" w14:textId="77777777" w:rsidR="00864969" w:rsidRPr="002C1BC8" w:rsidRDefault="00864969" w:rsidP="002C1BC8">
      <w:pPr>
        <w:spacing w:line="360" w:lineRule="auto"/>
        <w:jc w:val="both"/>
        <w:rPr>
          <w:rFonts w:ascii="Arial" w:hAnsi="Arial" w:cs="Arial"/>
          <w:sz w:val="22"/>
          <w:szCs w:val="22"/>
        </w:rPr>
      </w:pPr>
      <w:r w:rsidRPr="002C1BC8">
        <w:rPr>
          <w:rFonts w:ascii="Arial" w:hAnsi="Arial" w:cs="Arial"/>
          <w:sz w:val="22"/>
          <w:szCs w:val="22"/>
        </w:rPr>
        <w:br w:type="page"/>
      </w:r>
    </w:p>
    <w:p w14:paraId="3ACB4FC1" w14:textId="79890D43" w:rsidR="00864969" w:rsidRPr="002C1BC8" w:rsidRDefault="000C3CB7" w:rsidP="002C1BC8">
      <w:pPr>
        <w:spacing w:line="360" w:lineRule="auto"/>
        <w:jc w:val="both"/>
        <w:rPr>
          <w:rFonts w:ascii="Arial" w:hAnsi="Arial" w:cs="Arial"/>
          <w:b/>
          <w:bCs/>
          <w:sz w:val="22"/>
          <w:szCs w:val="22"/>
        </w:rPr>
      </w:pPr>
      <w:r w:rsidRPr="002C1BC8">
        <w:rPr>
          <w:rFonts w:ascii="Arial" w:hAnsi="Arial" w:cs="Arial"/>
          <w:b/>
          <w:bCs/>
          <w:sz w:val="22"/>
          <w:szCs w:val="22"/>
        </w:rPr>
        <w:lastRenderedPageBreak/>
        <w:t xml:space="preserve">What is </w:t>
      </w:r>
      <w:r w:rsidR="00D27420" w:rsidRPr="002C1BC8">
        <w:rPr>
          <w:rFonts w:ascii="Arial" w:hAnsi="Arial" w:cs="Arial"/>
          <w:b/>
          <w:bCs/>
          <w:sz w:val="22"/>
          <w:szCs w:val="22"/>
        </w:rPr>
        <w:t>Person-Centred Care?</w:t>
      </w:r>
    </w:p>
    <w:p w14:paraId="5A4D4B8B" w14:textId="370869B3" w:rsidR="0089668D" w:rsidRPr="002C1BC8" w:rsidRDefault="0089668D" w:rsidP="002C1BC8">
      <w:pPr>
        <w:spacing w:line="360" w:lineRule="auto"/>
        <w:jc w:val="both"/>
        <w:rPr>
          <w:rFonts w:ascii="Arial" w:hAnsi="Arial" w:cs="Arial"/>
          <w:sz w:val="22"/>
          <w:szCs w:val="22"/>
        </w:rPr>
      </w:pPr>
      <w:r w:rsidRPr="002C1BC8">
        <w:rPr>
          <w:rFonts w:ascii="Arial" w:hAnsi="Arial" w:cs="Arial"/>
          <w:sz w:val="22"/>
          <w:szCs w:val="22"/>
        </w:rPr>
        <w:t xml:space="preserve">McCormack and McCance (2025) define person-centred care (PCC) as an approach that develops respectful and collaborative relationships between healthcare professionals and individuals, ensuring care is based on each person's values, preferences, beliefs and needs. This approach recognises that people should be active partners in decisions about their own care rather than passive recipients of services. </w:t>
      </w:r>
      <w:r w:rsidR="008528FB" w:rsidRPr="002C1BC8">
        <w:rPr>
          <w:rFonts w:ascii="Arial" w:hAnsi="Arial" w:cs="Arial"/>
          <w:sz w:val="22"/>
          <w:szCs w:val="22"/>
        </w:rPr>
        <w:t>Within residential care homes for older adults, this means staff work closely with residents, their families and multidisciplinary professionals to develop personalised care plans that promote dignity, independence and wellbeing (Care Quality Commission, 2023).</w:t>
      </w:r>
    </w:p>
    <w:p w14:paraId="6257FC2B" w14:textId="1A2844CB" w:rsidR="0089668D" w:rsidRPr="002C1BC8" w:rsidRDefault="0089668D" w:rsidP="002C1BC8">
      <w:pPr>
        <w:spacing w:line="360" w:lineRule="auto"/>
        <w:jc w:val="both"/>
        <w:rPr>
          <w:rFonts w:ascii="Arial" w:hAnsi="Arial" w:cs="Arial"/>
          <w:sz w:val="22"/>
          <w:szCs w:val="22"/>
        </w:rPr>
      </w:pPr>
      <w:r w:rsidRPr="002C1BC8">
        <w:rPr>
          <w:rFonts w:ascii="Arial" w:hAnsi="Arial" w:cs="Arial"/>
          <w:sz w:val="22"/>
          <w:szCs w:val="22"/>
        </w:rPr>
        <w:t>Person-centred care within residential care homes involves respecting residents' choices, promoting independence and maintaining dignity while addressing their physical, emotional, psychological, social and cultural needs (</w:t>
      </w:r>
      <w:proofErr w:type="spellStart"/>
      <w:r w:rsidRPr="002C1BC8">
        <w:rPr>
          <w:rFonts w:ascii="Arial" w:hAnsi="Arial" w:cs="Arial"/>
          <w:sz w:val="22"/>
          <w:szCs w:val="22"/>
        </w:rPr>
        <w:t>Roos</w:t>
      </w:r>
      <w:proofErr w:type="spellEnd"/>
      <w:r w:rsidRPr="002C1BC8">
        <w:rPr>
          <w:rFonts w:ascii="Arial" w:hAnsi="Arial" w:cs="Arial"/>
          <w:sz w:val="22"/>
          <w:szCs w:val="22"/>
        </w:rPr>
        <w:t xml:space="preserve"> et al., 2023). </w:t>
      </w:r>
      <w:r w:rsidR="00F67A09" w:rsidRPr="002C1BC8">
        <w:rPr>
          <w:rFonts w:ascii="Arial" w:hAnsi="Arial" w:cs="Arial"/>
          <w:sz w:val="22"/>
          <w:szCs w:val="22"/>
        </w:rPr>
        <w:t>For example, staff adapt care plans and daily routines to reflect residents' preferences and maintain their quality of life</w:t>
      </w:r>
      <w:r w:rsidR="008528FB" w:rsidRPr="002C1BC8">
        <w:rPr>
          <w:rFonts w:ascii="Arial" w:hAnsi="Arial" w:cs="Arial"/>
          <w:sz w:val="22"/>
          <w:szCs w:val="22"/>
        </w:rPr>
        <w:t xml:space="preserve"> </w:t>
      </w:r>
      <w:r w:rsidR="008528FB" w:rsidRPr="002C1BC8">
        <w:rPr>
          <w:rFonts w:ascii="Arial" w:hAnsi="Arial" w:cs="Arial"/>
          <w:sz w:val="22"/>
          <w:szCs w:val="22"/>
        </w:rPr>
        <w:t>(Care Quality Commission, 2023).</w:t>
      </w:r>
      <w:r w:rsidR="00F67A09" w:rsidRPr="002C1BC8">
        <w:rPr>
          <w:rFonts w:ascii="Arial" w:hAnsi="Arial" w:cs="Arial"/>
          <w:sz w:val="22"/>
          <w:szCs w:val="22"/>
        </w:rPr>
        <w:t xml:space="preserve"> </w:t>
      </w:r>
      <w:r w:rsidRPr="002C1BC8">
        <w:rPr>
          <w:rFonts w:ascii="Arial" w:hAnsi="Arial" w:cs="Arial"/>
          <w:sz w:val="22"/>
          <w:szCs w:val="22"/>
        </w:rPr>
        <w:t>The approach is supported by Maslow's Hierarchy of Needs, which recognises that meeting individuals' physiological, safety, social, esteem and self-actualisation needs is essential for promoting holistic wellbeing and improving quality of life (Maslow, 1943; McLeod, 2025).</w:t>
      </w:r>
    </w:p>
    <w:p w14:paraId="28CF443F" w14:textId="6F9B3EFB" w:rsidR="00A50711" w:rsidRPr="002C1BC8" w:rsidRDefault="00A50711" w:rsidP="002C1BC8">
      <w:pPr>
        <w:spacing w:line="360" w:lineRule="auto"/>
        <w:jc w:val="both"/>
        <w:rPr>
          <w:rFonts w:ascii="Arial" w:hAnsi="Arial" w:cs="Arial"/>
          <w:sz w:val="22"/>
          <w:szCs w:val="22"/>
        </w:rPr>
      </w:pPr>
    </w:p>
    <w:p w14:paraId="6524A0EF" w14:textId="268D48E8" w:rsidR="00A9617A" w:rsidRPr="002C1BC8" w:rsidRDefault="00A9617A" w:rsidP="002C1BC8">
      <w:pPr>
        <w:spacing w:line="360" w:lineRule="auto"/>
        <w:jc w:val="both"/>
        <w:rPr>
          <w:rFonts w:ascii="Arial" w:hAnsi="Arial" w:cs="Arial"/>
          <w:b/>
          <w:bCs/>
          <w:sz w:val="22"/>
          <w:szCs w:val="22"/>
        </w:rPr>
      </w:pPr>
      <w:r w:rsidRPr="002C1BC8">
        <w:rPr>
          <w:rFonts w:ascii="Arial" w:hAnsi="Arial" w:cs="Arial"/>
          <w:b/>
          <w:bCs/>
          <w:sz w:val="22"/>
          <w:szCs w:val="22"/>
        </w:rPr>
        <w:t>Relevant Theory: Maslow's Hierarchy of Needs</w:t>
      </w:r>
    </w:p>
    <w:p w14:paraId="7F203A0B" w14:textId="5BCDEF46" w:rsidR="00C83ED5" w:rsidRPr="002C1BC8" w:rsidRDefault="00C83ED5" w:rsidP="002C1BC8">
      <w:pPr>
        <w:spacing w:line="360" w:lineRule="auto"/>
        <w:jc w:val="both"/>
        <w:rPr>
          <w:rFonts w:ascii="Arial" w:hAnsi="Arial" w:cs="Arial"/>
          <w:b/>
          <w:bCs/>
          <w:sz w:val="22"/>
          <w:szCs w:val="22"/>
        </w:rPr>
      </w:pPr>
      <w:r w:rsidRPr="002C1BC8">
        <w:rPr>
          <w:rFonts w:ascii="Arial" w:hAnsi="Arial" w:cs="Arial"/>
          <w:sz w:val="22"/>
          <w:szCs w:val="22"/>
        </w:rPr>
        <w:t>Maslow's Hierarchy of Needs proposes that individuals are motivated to satisfy five levels of needs, beginning with physiological needs and progressing towards self-actualisation (Maslow, 1943). McLeod (2025) further explains that this hierarchy provides a useful framework for understanding how meeting these needs promotes wellbeing and personal development.</w:t>
      </w:r>
      <w:r w:rsidRPr="002C1BC8">
        <w:rPr>
          <w:rFonts w:ascii="Arial" w:hAnsi="Arial" w:cs="Arial"/>
          <w:sz w:val="22"/>
          <w:szCs w:val="22"/>
        </w:rPr>
        <w:t xml:space="preserve"> </w:t>
      </w:r>
      <w:r w:rsidR="004F3B2B" w:rsidRPr="004F3B2B">
        <w:rPr>
          <w:rFonts w:ascii="Arial" w:hAnsi="Arial" w:cs="Arial"/>
          <w:sz w:val="22"/>
          <w:szCs w:val="22"/>
        </w:rPr>
        <w:t>The hierarchy comprises physiological, safety, love and belonging, esteem and self-actualisation needs (Maslow, 1943)</w:t>
      </w:r>
      <w:r w:rsidR="005D4426" w:rsidRPr="002C1BC8">
        <w:rPr>
          <w:rFonts w:ascii="Arial" w:hAnsi="Arial" w:cs="Arial"/>
          <w:sz w:val="22"/>
          <w:szCs w:val="22"/>
        </w:rPr>
        <w:t xml:space="preserve">. </w:t>
      </w:r>
      <w:r w:rsidR="00F67A09" w:rsidRPr="002C1BC8">
        <w:rPr>
          <w:rFonts w:ascii="Arial" w:hAnsi="Arial" w:cs="Arial"/>
          <w:sz w:val="22"/>
          <w:szCs w:val="22"/>
        </w:rPr>
        <w:t>Although developed within psychology, the theory is widely used in health and social care because it promotes holistic wellbeing (Maslow, 1943; McLeod, 2025).</w:t>
      </w:r>
      <w:r w:rsidR="00F67A09" w:rsidRPr="002C1BC8">
        <w:rPr>
          <w:rFonts w:ascii="Arial" w:hAnsi="Arial" w:cs="Arial"/>
          <w:sz w:val="22"/>
          <w:szCs w:val="22"/>
        </w:rPr>
        <w:t xml:space="preserve"> T</w:t>
      </w:r>
      <w:r w:rsidRPr="002C1BC8">
        <w:rPr>
          <w:rFonts w:ascii="Arial" w:hAnsi="Arial" w:cs="Arial"/>
          <w:sz w:val="22"/>
          <w:szCs w:val="22"/>
        </w:rPr>
        <w:t xml:space="preserve">his aligns with person-centred care, which values individuals as active partners in decisions about their care and support </w:t>
      </w:r>
      <w:r w:rsidRPr="004F3B2B">
        <w:rPr>
          <w:rFonts w:ascii="Arial" w:hAnsi="Arial" w:cs="Arial"/>
          <w:sz w:val="22"/>
          <w:szCs w:val="22"/>
        </w:rPr>
        <w:t>(McCormack and McCance, 2025).</w:t>
      </w:r>
    </w:p>
    <w:p w14:paraId="66649174" w14:textId="428DB468" w:rsidR="005D4426" w:rsidRPr="002C1BC8" w:rsidRDefault="005D4426" w:rsidP="002C1BC8">
      <w:pPr>
        <w:spacing w:line="360" w:lineRule="auto"/>
        <w:jc w:val="both"/>
        <w:rPr>
          <w:rFonts w:ascii="Arial" w:hAnsi="Arial" w:cs="Arial"/>
          <w:sz w:val="22"/>
          <w:szCs w:val="22"/>
        </w:rPr>
      </w:pPr>
      <w:r w:rsidRPr="002C1BC8">
        <w:rPr>
          <w:rFonts w:ascii="Arial" w:hAnsi="Arial" w:cs="Arial"/>
          <w:sz w:val="22"/>
          <w:szCs w:val="22"/>
        </w:rPr>
        <w:t xml:space="preserve">Within residential care homes for older adults, Maslow's theory underpins person-centred care by encouraging professionals to recognise the whole person rather than focusing solely on illness. Physiological needs are met through adequate nutrition, hydration, medication and personal care, while safety needs are addressed through safeguarding, risk assessments and falls prevention. Love and belonging are promoted by maintaining relationships with family members, care staff and other residents to reduce loneliness and social isolation. Esteem is </w:t>
      </w:r>
      <w:r w:rsidRPr="002C1BC8">
        <w:rPr>
          <w:rFonts w:ascii="Arial" w:hAnsi="Arial" w:cs="Arial"/>
          <w:sz w:val="22"/>
          <w:szCs w:val="22"/>
        </w:rPr>
        <w:lastRenderedPageBreak/>
        <w:t xml:space="preserve">supported by respecting residents' choices, encouraging independence and involving them in decisions about their care. </w:t>
      </w:r>
      <w:r w:rsidR="00F67A09" w:rsidRPr="002C1BC8">
        <w:rPr>
          <w:rFonts w:ascii="Arial" w:hAnsi="Arial" w:cs="Arial"/>
          <w:sz w:val="22"/>
          <w:szCs w:val="22"/>
        </w:rPr>
        <w:t>Meaningful activities promote self-actualisation by helping residents maintain purpose and identity.</w:t>
      </w:r>
      <w:r w:rsidR="00F67A09" w:rsidRPr="002C1BC8">
        <w:rPr>
          <w:rFonts w:ascii="Arial" w:hAnsi="Arial" w:cs="Arial"/>
          <w:sz w:val="22"/>
          <w:szCs w:val="22"/>
        </w:rPr>
        <w:t xml:space="preserve"> </w:t>
      </w:r>
      <w:r w:rsidRPr="002C1BC8">
        <w:rPr>
          <w:rFonts w:ascii="Arial" w:hAnsi="Arial" w:cs="Arial"/>
          <w:sz w:val="22"/>
          <w:szCs w:val="22"/>
        </w:rPr>
        <w:t>Consequently, Maslow's theory reinforces the principles of person-centred care by promoting dignity, independence and holistic wellbeing.</w:t>
      </w:r>
    </w:p>
    <w:p w14:paraId="3B2CFDBC" w14:textId="3034C7E6" w:rsidR="005D4426" w:rsidRPr="002C1BC8" w:rsidRDefault="00F67A09" w:rsidP="002C1BC8">
      <w:pPr>
        <w:spacing w:line="360" w:lineRule="auto"/>
        <w:jc w:val="both"/>
        <w:rPr>
          <w:rFonts w:ascii="Arial" w:hAnsi="Arial" w:cs="Arial"/>
          <w:sz w:val="22"/>
          <w:szCs w:val="22"/>
        </w:rPr>
      </w:pPr>
      <w:r w:rsidRPr="002C1BC8">
        <w:rPr>
          <w:rFonts w:ascii="Arial" w:hAnsi="Arial" w:cs="Arial"/>
          <w:sz w:val="22"/>
          <w:szCs w:val="22"/>
        </w:rPr>
        <w:t>Applying Maslow's theory requires multidisciplinary collaboration to develop personalised care plans that reflect residents' needs and preferences.</w:t>
      </w:r>
      <w:r w:rsidRPr="002C1BC8">
        <w:rPr>
          <w:rFonts w:ascii="Arial" w:hAnsi="Arial" w:cs="Arial"/>
          <w:sz w:val="22"/>
          <w:szCs w:val="22"/>
        </w:rPr>
        <w:t xml:space="preserve"> </w:t>
      </w:r>
      <w:r w:rsidR="005D4426" w:rsidRPr="002C1BC8">
        <w:rPr>
          <w:rFonts w:ascii="Arial" w:hAnsi="Arial" w:cs="Arial"/>
          <w:sz w:val="22"/>
          <w:szCs w:val="22"/>
        </w:rPr>
        <w:t>For example, following a fall, professionals may provide rehabilitation and medication management while involving the resident in decisions about their recovery and encouraging family involvement and meaningful activities to support emotional wellbeing.</w:t>
      </w:r>
    </w:p>
    <w:p w14:paraId="480EF308" w14:textId="77777777" w:rsidR="005D4426" w:rsidRPr="002C1BC8" w:rsidRDefault="005D4426" w:rsidP="002C1BC8">
      <w:pPr>
        <w:spacing w:line="360" w:lineRule="auto"/>
        <w:jc w:val="both"/>
        <w:rPr>
          <w:rFonts w:ascii="Arial" w:hAnsi="Arial" w:cs="Arial"/>
          <w:sz w:val="22"/>
          <w:szCs w:val="22"/>
        </w:rPr>
      </w:pPr>
      <w:r w:rsidRPr="002C1BC8">
        <w:rPr>
          <w:rFonts w:ascii="Arial" w:hAnsi="Arial" w:cs="Arial"/>
          <w:sz w:val="22"/>
          <w:szCs w:val="22"/>
        </w:rPr>
        <w:t>A key strength of Maslow's theory is its holistic approach, which supports person-centred care by recognising the diverse needs of older adults. However, the hierarchy assumes that needs are met in a fixed order, whereas residents may prioritise dignity or relationships despite ongoing physical illness. In contrast, the medical model focuses primarily on diagnosing and treating disease through clinical interventions. Although essential for managing health conditions, it may overlook emotional and social wellbeing if used alone. Therefore, Maslow's Hierarchy of Needs provides a broader framework that aligns more closely with person-centred care by supporting individualised, holistic care within residential care homes.</w:t>
      </w:r>
    </w:p>
    <w:p w14:paraId="34E8326D" w14:textId="37E63A1B" w:rsidR="00C1658A" w:rsidRPr="002C1BC8" w:rsidRDefault="00C1658A" w:rsidP="002C1BC8">
      <w:pPr>
        <w:spacing w:line="360" w:lineRule="auto"/>
        <w:jc w:val="both"/>
        <w:rPr>
          <w:rFonts w:ascii="Arial" w:hAnsi="Arial" w:cs="Arial"/>
          <w:sz w:val="22"/>
          <w:szCs w:val="22"/>
        </w:rPr>
      </w:pPr>
    </w:p>
    <w:p w14:paraId="02B97F8A" w14:textId="087C5E18" w:rsidR="006A678D" w:rsidRPr="002C1BC8" w:rsidRDefault="006A678D" w:rsidP="002C1BC8">
      <w:pPr>
        <w:spacing w:line="360" w:lineRule="auto"/>
        <w:jc w:val="both"/>
        <w:rPr>
          <w:rFonts w:ascii="Arial" w:hAnsi="Arial" w:cs="Arial"/>
          <w:b/>
          <w:bCs/>
          <w:sz w:val="22"/>
          <w:szCs w:val="22"/>
        </w:rPr>
      </w:pPr>
      <w:r w:rsidRPr="002C1BC8">
        <w:rPr>
          <w:rFonts w:ascii="Arial" w:hAnsi="Arial" w:cs="Arial"/>
          <w:b/>
          <w:bCs/>
          <w:sz w:val="22"/>
          <w:szCs w:val="22"/>
        </w:rPr>
        <w:t>Ethical Fundamentals</w:t>
      </w:r>
    </w:p>
    <w:p w14:paraId="217FC326" w14:textId="77777777" w:rsidR="005D4426" w:rsidRPr="002C1BC8" w:rsidRDefault="005D4426" w:rsidP="002C1BC8">
      <w:pPr>
        <w:spacing w:line="360" w:lineRule="auto"/>
        <w:jc w:val="both"/>
        <w:rPr>
          <w:rFonts w:ascii="Arial" w:hAnsi="Arial" w:cs="Arial"/>
          <w:sz w:val="22"/>
          <w:szCs w:val="22"/>
        </w:rPr>
      </w:pPr>
      <w:r w:rsidRPr="002C1BC8">
        <w:rPr>
          <w:rFonts w:ascii="Arial" w:hAnsi="Arial" w:cs="Arial"/>
          <w:sz w:val="22"/>
          <w:szCs w:val="22"/>
        </w:rPr>
        <w:t>Ethical principles provide the foundation for delivering safe, respectful and person-centred care within residential care homes for older adults. The four key principles of healthcare ethics—autonomy, beneficence, non-maleficence and justice—guide professionals in making decisions that promote residents' wellbeing while protecting their rights (Podgorica et al., 2021). These principles also support partnership working by encouraging collaboration between residents, families and multidisciplinary professionals to deliver coordinated, high-quality care.</w:t>
      </w:r>
    </w:p>
    <w:p w14:paraId="3D6E3F34" w14:textId="018118FC" w:rsidR="005D4426" w:rsidRPr="002C1BC8" w:rsidRDefault="00F67A09" w:rsidP="002C1BC8">
      <w:pPr>
        <w:spacing w:line="360" w:lineRule="auto"/>
        <w:jc w:val="both"/>
        <w:rPr>
          <w:rFonts w:ascii="Arial" w:hAnsi="Arial" w:cs="Arial"/>
          <w:sz w:val="22"/>
          <w:szCs w:val="22"/>
        </w:rPr>
      </w:pPr>
      <w:r w:rsidRPr="002C1BC8">
        <w:rPr>
          <w:rFonts w:ascii="Arial" w:hAnsi="Arial" w:cs="Arial"/>
          <w:b/>
          <w:bCs/>
          <w:sz w:val="22"/>
          <w:szCs w:val="22"/>
        </w:rPr>
        <w:t xml:space="preserve">Autonomy </w:t>
      </w:r>
      <w:r w:rsidRPr="002C1BC8">
        <w:rPr>
          <w:rFonts w:ascii="Arial" w:hAnsi="Arial" w:cs="Arial"/>
          <w:sz w:val="22"/>
          <w:szCs w:val="22"/>
        </w:rPr>
        <w:t>enables residents to make informed decisions about their care.</w:t>
      </w:r>
      <w:r w:rsidRPr="002C1BC8">
        <w:rPr>
          <w:rFonts w:ascii="Arial" w:hAnsi="Arial" w:cs="Arial"/>
          <w:b/>
          <w:bCs/>
          <w:sz w:val="22"/>
          <w:szCs w:val="22"/>
        </w:rPr>
        <w:t xml:space="preserve"> </w:t>
      </w:r>
      <w:r w:rsidR="005D4426" w:rsidRPr="002C1BC8">
        <w:rPr>
          <w:rFonts w:ascii="Arial" w:hAnsi="Arial" w:cs="Arial"/>
          <w:sz w:val="22"/>
          <w:szCs w:val="22"/>
        </w:rPr>
        <w:t>Within residential care homes, respecting autonomy supports person-centred care by involving residents in decisions about their daily routines, personal care, meals and activities. It also promotes partnership working by encouraging professionals to work collaboratively with residents, family members and advocates to ensure care reflects the resident's wishes, particularly when mental capacity may be reduced.</w:t>
      </w:r>
    </w:p>
    <w:p w14:paraId="497B82C9" w14:textId="5B103A84" w:rsidR="005D4426" w:rsidRPr="002C1BC8" w:rsidRDefault="00F67A09" w:rsidP="002C1BC8">
      <w:pPr>
        <w:spacing w:line="360" w:lineRule="auto"/>
        <w:jc w:val="both"/>
        <w:rPr>
          <w:rFonts w:ascii="Arial" w:hAnsi="Arial" w:cs="Arial"/>
          <w:sz w:val="22"/>
          <w:szCs w:val="22"/>
        </w:rPr>
      </w:pPr>
      <w:r w:rsidRPr="002C1BC8">
        <w:rPr>
          <w:rFonts w:ascii="Arial" w:hAnsi="Arial" w:cs="Arial"/>
          <w:b/>
          <w:bCs/>
          <w:sz w:val="22"/>
          <w:szCs w:val="22"/>
        </w:rPr>
        <w:t xml:space="preserve">Beneficence </w:t>
      </w:r>
      <w:r w:rsidRPr="002C1BC8">
        <w:rPr>
          <w:rFonts w:ascii="Arial" w:hAnsi="Arial" w:cs="Arial"/>
          <w:sz w:val="22"/>
          <w:szCs w:val="22"/>
        </w:rPr>
        <w:t>requires professionals to promote residents' wellbeing.</w:t>
      </w:r>
      <w:r w:rsidRPr="002C1BC8">
        <w:rPr>
          <w:rFonts w:ascii="Arial" w:hAnsi="Arial" w:cs="Arial"/>
          <w:b/>
          <w:bCs/>
          <w:sz w:val="22"/>
          <w:szCs w:val="22"/>
        </w:rPr>
        <w:t xml:space="preserve"> </w:t>
      </w:r>
      <w:r w:rsidR="005D4426" w:rsidRPr="002C1BC8">
        <w:rPr>
          <w:rFonts w:ascii="Arial" w:hAnsi="Arial" w:cs="Arial"/>
          <w:sz w:val="22"/>
          <w:szCs w:val="22"/>
        </w:rPr>
        <w:t xml:space="preserve">For example, nurses, physiotherapists and care staff may work together to develop a rehabilitation plan following a </w:t>
      </w:r>
      <w:r w:rsidR="005D4426" w:rsidRPr="002C1BC8">
        <w:rPr>
          <w:rFonts w:ascii="Arial" w:hAnsi="Arial" w:cs="Arial"/>
          <w:sz w:val="22"/>
          <w:szCs w:val="22"/>
        </w:rPr>
        <w:lastRenderedPageBreak/>
        <w:t>fall, helping the resident regain independence. This collaborative approach demonstrates partnership working while ensuring care remains personalised and focused on achieving positive outcomes.</w:t>
      </w:r>
    </w:p>
    <w:p w14:paraId="22552B25" w14:textId="088F76C2" w:rsidR="005D4426" w:rsidRPr="002C1BC8" w:rsidRDefault="005D4426" w:rsidP="002C1BC8">
      <w:pPr>
        <w:spacing w:line="360" w:lineRule="auto"/>
        <w:jc w:val="both"/>
        <w:rPr>
          <w:rFonts w:ascii="Arial" w:hAnsi="Arial" w:cs="Arial"/>
          <w:sz w:val="22"/>
          <w:szCs w:val="22"/>
        </w:rPr>
      </w:pPr>
      <w:r w:rsidRPr="002C1BC8">
        <w:rPr>
          <w:rFonts w:ascii="Arial" w:hAnsi="Arial" w:cs="Arial"/>
          <w:b/>
          <w:bCs/>
          <w:sz w:val="22"/>
          <w:szCs w:val="22"/>
        </w:rPr>
        <w:t>Non-maleficence</w:t>
      </w:r>
      <w:r w:rsidRPr="002C1BC8">
        <w:rPr>
          <w:rFonts w:ascii="Arial" w:hAnsi="Arial" w:cs="Arial"/>
          <w:sz w:val="22"/>
          <w:szCs w:val="22"/>
        </w:rPr>
        <w:t xml:space="preserve"> </w:t>
      </w:r>
      <w:r w:rsidR="00F67A09" w:rsidRPr="002C1BC8">
        <w:rPr>
          <w:rFonts w:ascii="Arial" w:hAnsi="Arial" w:cs="Arial"/>
          <w:sz w:val="22"/>
          <w:szCs w:val="22"/>
        </w:rPr>
        <w:t>requires safe care that avoids harm.</w:t>
      </w:r>
      <w:r w:rsidR="00F67A09" w:rsidRPr="002C1BC8">
        <w:rPr>
          <w:rFonts w:ascii="Arial" w:hAnsi="Arial" w:cs="Arial"/>
          <w:sz w:val="22"/>
          <w:szCs w:val="22"/>
        </w:rPr>
        <w:t xml:space="preserve"> </w:t>
      </w:r>
      <w:r w:rsidRPr="002C1BC8">
        <w:rPr>
          <w:rFonts w:ascii="Arial" w:hAnsi="Arial" w:cs="Arial"/>
          <w:sz w:val="22"/>
          <w:szCs w:val="22"/>
        </w:rPr>
        <w:t>Within residential care homes, this includes safe medication administration, safeguarding procedures and falls prevention. Effective communication between multidisciplinary professionals reduces the risk of errors and ensures residents receive consistent, coordinated care, supporting both partnership working and person-centred care.</w:t>
      </w:r>
    </w:p>
    <w:p w14:paraId="3864E0EA" w14:textId="350C15BB" w:rsidR="005D4426" w:rsidRPr="002C1BC8" w:rsidRDefault="005D4426" w:rsidP="002C1BC8">
      <w:pPr>
        <w:spacing w:line="360" w:lineRule="auto"/>
        <w:jc w:val="both"/>
        <w:rPr>
          <w:rFonts w:ascii="Arial" w:hAnsi="Arial" w:cs="Arial"/>
          <w:sz w:val="22"/>
          <w:szCs w:val="22"/>
        </w:rPr>
      </w:pPr>
      <w:r w:rsidRPr="002C1BC8">
        <w:rPr>
          <w:rFonts w:ascii="Arial" w:hAnsi="Arial" w:cs="Arial"/>
          <w:b/>
          <w:bCs/>
          <w:sz w:val="22"/>
          <w:szCs w:val="22"/>
        </w:rPr>
        <w:t>Justice</w:t>
      </w:r>
      <w:r w:rsidRPr="002C1BC8">
        <w:rPr>
          <w:rFonts w:ascii="Arial" w:hAnsi="Arial" w:cs="Arial"/>
          <w:sz w:val="22"/>
          <w:szCs w:val="22"/>
        </w:rPr>
        <w:t xml:space="preserve"> </w:t>
      </w:r>
      <w:r w:rsidR="00F67A09" w:rsidRPr="002C1BC8">
        <w:rPr>
          <w:rFonts w:ascii="Arial" w:hAnsi="Arial" w:cs="Arial"/>
          <w:sz w:val="22"/>
          <w:szCs w:val="22"/>
        </w:rPr>
        <w:t>ensures fair and equitable care for all residents</w:t>
      </w:r>
      <w:r w:rsidRPr="002C1BC8">
        <w:rPr>
          <w:rFonts w:ascii="Arial" w:hAnsi="Arial" w:cs="Arial"/>
          <w:sz w:val="22"/>
          <w:szCs w:val="22"/>
        </w:rPr>
        <w:t>. Applying justice requires professionals and organisations to work together to provide equitable access to healthcare services and resources while respecting each resident's individual needs. By applying these ethical principles collectively, residential care homes can strengthen person-centred care and partnership working, improving residents' safety, dignity and overall quality of life</w:t>
      </w:r>
      <w:r w:rsidR="00674781" w:rsidRPr="002C1BC8">
        <w:rPr>
          <w:rFonts w:ascii="Arial" w:hAnsi="Arial" w:cs="Arial"/>
          <w:sz w:val="22"/>
          <w:szCs w:val="22"/>
        </w:rPr>
        <w:t xml:space="preserve"> </w:t>
      </w:r>
      <w:r w:rsidR="00674781" w:rsidRPr="002C1BC8">
        <w:rPr>
          <w:rFonts w:ascii="Arial" w:hAnsi="Arial" w:cs="Arial"/>
          <w:sz w:val="22"/>
          <w:szCs w:val="22"/>
        </w:rPr>
        <w:t>(Podgorica et al., 2021).</w:t>
      </w:r>
    </w:p>
    <w:p w14:paraId="3A115203" w14:textId="77777777" w:rsidR="00864969" w:rsidRPr="002C1BC8" w:rsidRDefault="00864969" w:rsidP="002C1BC8">
      <w:pPr>
        <w:spacing w:line="360" w:lineRule="auto"/>
        <w:jc w:val="both"/>
        <w:rPr>
          <w:rFonts w:ascii="Arial" w:hAnsi="Arial" w:cs="Arial"/>
          <w:sz w:val="22"/>
          <w:szCs w:val="22"/>
        </w:rPr>
      </w:pPr>
    </w:p>
    <w:p w14:paraId="6C3570D8" w14:textId="258FF36F" w:rsidR="005C150E" w:rsidRPr="002C1BC8" w:rsidRDefault="005C150E" w:rsidP="002C1BC8">
      <w:pPr>
        <w:spacing w:line="360" w:lineRule="auto"/>
        <w:jc w:val="both"/>
        <w:rPr>
          <w:sz w:val="22"/>
          <w:szCs w:val="22"/>
        </w:rPr>
      </w:pPr>
    </w:p>
    <w:p w14:paraId="245A3CDF" w14:textId="5580409C" w:rsidR="005C5BBD" w:rsidRPr="002C1BC8" w:rsidRDefault="005C5BBD" w:rsidP="002C1BC8">
      <w:pPr>
        <w:spacing w:line="360" w:lineRule="auto"/>
        <w:jc w:val="both"/>
        <w:rPr>
          <w:sz w:val="22"/>
          <w:szCs w:val="22"/>
        </w:rPr>
      </w:pPr>
      <w:r w:rsidRPr="002C1BC8">
        <w:rPr>
          <w:rFonts w:ascii="Arial" w:hAnsi="Arial" w:cs="Arial"/>
          <w:b/>
          <w:bCs/>
          <w:sz w:val="22"/>
          <w:szCs w:val="22"/>
        </w:rPr>
        <w:t>Partnership Working</w:t>
      </w:r>
    </w:p>
    <w:p w14:paraId="3063CBB8" w14:textId="2BAA80ED" w:rsidR="00C1658A" w:rsidRPr="002C1BC8" w:rsidRDefault="00C1658A" w:rsidP="002C1BC8">
      <w:pPr>
        <w:spacing w:line="360" w:lineRule="auto"/>
        <w:jc w:val="both"/>
        <w:rPr>
          <w:rFonts w:ascii="Arial" w:hAnsi="Arial" w:cs="Arial"/>
          <w:sz w:val="22"/>
          <w:szCs w:val="22"/>
        </w:rPr>
      </w:pPr>
      <w:r w:rsidRPr="002C1BC8">
        <w:rPr>
          <w:rFonts w:ascii="Arial" w:hAnsi="Arial" w:cs="Arial"/>
          <w:sz w:val="22"/>
          <w:szCs w:val="22"/>
        </w:rPr>
        <w:t>Partnership working refers to the collaborative approach in which health and social care professionals, organisations, service users, families, and carers work together to plan, deliver, and evaluate care. In residential care homes for older adults, partnership working is essential because many residents have complex health conditions requiring input from a range of professionals and services.</w:t>
      </w:r>
    </w:p>
    <w:p w14:paraId="7F8B20F7" w14:textId="149F2201" w:rsidR="00C1658A" w:rsidRPr="002C1BC8" w:rsidRDefault="00C1658A" w:rsidP="002C1BC8">
      <w:pPr>
        <w:spacing w:line="360" w:lineRule="auto"/>
        <w:jc w:val="both"/>
        <w:rPr>
          <w:rFonts w:ascii="Arial" w:hAnsi="Arial" w:cs="Arial"/>
          <w:sz w:val="22"/>
          <w:szCs w:val="22"/>
        </w:rPr>
      </w:pPr>
      <w:r w:rsidRPr="002C1BC8">
        <w:rPr>
          <w:rFonts w:ascii="Arial" w:hAnsi="Arial" w:cs="Arial"/>
          <w:sz w:val="22"/>
          <w:szCs w:val="22"/>
        </w:rPr>
        <w:t xml:space="preserve">A </w:t>
      </w:r>
      <w:r w:rsidR="00764EFC">
        <w:rPr>
          <w:rFonts w:ascii="Arial" w:hAnsi="Arial" w:cs="Arial"/>
          <w:sz w:val="22"/>
          <w:szCs w:val="22"/>
        </w:rPr>
        <w:t>significant</w:t>
      </w:r>
      <w:r w:rsidRPr="002C1BC8">
        <w:rPr>
          <w:rFonts w:ascii="Arial" w:hAnsi="Arial" w:cs="Arial"/>
          <w:sz w:val="22"/>
          <w:szCs w:val="22"/>
        </w:rPr>
        <w:t xml:space="preserve"> development in England has been the introduction of </w:t>
      </w:r>
      <w:r w:rsidRPr="002C1BC8">
        <w:rPr>
          <w:rFonts w:ascii="Arial" w:hAnsi="Arial" w:cs="Arial"/>
          <w:b/>
          <w:bCs/>
          <w:sz w:val="22"/>
          <w:szCs w:val="22"/>
        </w:rPr>
        <w:t>Integrated Care Systems (ICSs)</w:t>
      </w:r>
      <w:r w:rsidRPr="002C1BC8">
        <w:rPr>
          <w:rFonts w:ascii="Arial" w:hAnsi="Arial" w:cs="Arial"/>
          <w:sz w:val="22"/>
          <w:szCs w:val="22"/>
        </w:rPr>
        <w:t xml:space="preserve"> under the </w:t>
      </w:r>
      <w:r w:rsidRPr="002C1BC8">
        <w:rPr>
          <w:rFonts w:ascii="Arial" w:hAnsi="Arial" w:cs="Arial"/>
          <w:b/>
          <w:bCs/>
          <w:sz w:val="22"/>
          <w:szCs w:val="22"/>
        </w:rPr>
        <w:t>Health and Care Act 2022</w:t>
      </w:r>
      <w:r w:rsidRPr="002C1BC8">
        <w:rPr>
          <w:rFonts w:ascii="Arial" w:hAnsi="Arial" w:cs="Arial"/>
          <w:sz w:val="22"/>
          <w:szCs w:val="22"/>
        </w:rPr>
        <w:t xml:space="preserve">. </w:t>
      </w:r>
      <w:r w:rsidR="00F67A09" w:rsidRPr="002C1BC8">
        <w:rPr>
          <w:rFonts w:ascii="Arial" w:hAnsi="Arial" w:cs="Arial"/>
          <w:sz w:val="22"/>
          <w:szCs w:val="22"/>
        </w:rPr>
        <w:t>ICSs bring together health, social care and voluntary organisations to coordinate care and improve outcomes</w:t>
      </w:r>
      <w:r w:rsidR="008528FB" w:rsidRPr="002C1BC8">
        <w:rPr>
          <w:rFonts w:ascii="Arial" w:hAnsi="Arial" w:cs="Arial"/>
          <w:sz w:val="22"/>
          <w:szCs w:val="22"/>
        </w:rPr>
        <w:t xml:space="preserve"> </w:t>
      </w:r>
      <w:r w:rsidR="008528FB" w:rsidRPr="002C1BC8">
        <w:rPr>
          <w:rFonts w:ascii="Arial" w:hAnsi="Arial" w:cs="Arial"/>
          <w:sz w:val="22"/>
          <w:szCs w:val="22"/>
        </w:rPr>
        <w:t>(NHS England, 2024</w:t>
      </w:r>
      <w:r w:rsidR="008528FB" w:rsidRPr="002C1BC8">
        <w:rPr>
          <w:rFonts w:ascii="Arial" w:hAnsi="Arial" w:cs="Arial"/>
          <w:sz w:val="22"/>
          <w:szCs w:val="22"/>
        </w:rPr>
        <w:t>)</w:t>
      </w:r>
      <w:r w:rsidR="00F67A09" w:rsidRPr="002C1BC8">
        <w:rPr>
          <w:rFonts w:ascii="Arial" w:hAnsi="Arial" w:cs="Arial"/>
          <w:sz w:val="22"/>
          <w:szCs w:val="22"/>
        </w:rPr>
        <w:t>.</w:t>
      </w:r>
      <w:r w:rsidR="00F67A09" w:rsidRPr="002C1BC8">
        <w:rPr>
          <w:rFonts w:ascii="Arial" w:hAnsi="Arial" w:cs="Arial"/>
          <w:sz w:val="22"/>
          <w:szCs w:val="22"/>
        </w:rPr>
        <w:t xml:space="preserve"> </w:t>
      </w:r>
      <w:r w:rsidRPr="002C1BC8">
        <w:rPr>
          <w:rFonts w:ascii="Arial" w:hAnsi="Arial" w:cs="Arial"/>
          <w:sz w:val="22"/>
          <w:szCs w:val="22"/>
        </w:rPr>
        <w:t>Within residential care homes, ICSs enable professionals from different organisations to share information appropriately, coordinate care plans, and provide timely interventions. For example, a resident with multiple long-term conditions may receive integrated support from a general practitioner, community nurses, physiotherapists, pharmacists, social workers, and care home staff, reducing duplication of services and avoidable hospital admissions.</w:t>
      </w:r>
    </w:p>
    <w:p w14:paraId="07AD7C8D" w14:textId="21E36803" w:rsidR="00833BFC" w:rsidRPr="002C1BC8" w:rsidRDefault="005D4426" w:rsidP="002C1BC8">
      <w:pPr>
        <w:spacing w:line="360" w:lineRule="auto"/>
        <w:jc w:val="both"/>
        <w:rPr>
          <w:rFonts w:ascii="Arial" w:hAnsi="Arial" w:cs="Arial"/>
          <w:sz w:val="22"/>
          <w:szCs w:val="22"/>
        </w:rPr>
      </w:pPr>
      <w:r w:rsidRPr="002C1BC8">
        <w:rPr>
          <w:rFonts w:ascii="Arial" w:hAnsi="Arial" w:cs="Arial"/>
          <w:sz w:val="22"/>
          <w:szCs w:val="22"/>
        </w:rPr>
        <w:t xml:space="preserve">Multidisciplinary teams (MDTs) are central to effective partnership working. Collaborative decision-making improves continuity, quality and safety of care while promoting residents' independence and wellbeing. For example, when a resident experiences a fall and has </w:t>
      </w:r>
      <w:r w:rsidRPr="002C1BC8">
        <w:rPr>
          <w:rFonts w:ascii="Arial" w:hAnsi="Arial" w:cs="Arial"/>
          <w:sz w:val="22"/>
          <w:szCs w:val="22"/>
        </w:rPr>
        <w:lastRenderedPageBreak/>
        <w:t xml:space="preserve">multiple long-term conditions, the care home nurse may assess their immediate health needs while the general practitioner reviews medication to reduce the risk of further falls. A physiotherapist develops a rehabilitation programme to improve mobility, and an occupational therapist recommends equipment or environmental adaptations to maintain independence. Social workers and family members contribute to care planning by ensuring the resident's preferences and support needs are considered. </w:t>
      </w:r>
      <w:r w:rsidR="00F67A09" w:rsidRPr="002C1BC8">
        <w:rPr>
          <w:rFonts w:ascii="Arial" w:hAnsi="Arial" w:cs="Arial"/>
          <w:sz w:val="22"/>
          <w:szCs w:val="22"/>
        </w:rPr>
        <w:t>Through the ICS, professionals coordinate care, share information and review care plans, improving continuity for residents (NICE, 2018)</w:t>
      </w:r>
      <w:r w:rsidR="00725636" w:rsidRPr="002C1BC8">
        <w:rPr>
          <w:rFonts w:ascii="Arial" w:hAnsi="Arial" w:cs="Arial"/>
          <w:sz w:val="22"/>
          <w:szCs w:val="22"/>
        </w:rPr>
        <w:t>.</w:t>
      </w:r>
      <w:r w:rsidRPr="002C1BC8">
        <w:rPr>
          <w:rFonts w:ascii="Arial" w:hAnsi="Arial" w:cs="Arial"/>
          <w:sz w:val="22"/>
          <w:szCs w:val="22"/>
        </w:rPr>
        <w:t xml:space="preserve"> However, partnership working is not without challenges. </w:t>
      </w:r>
      <w:r w:rsidR="00F67A09" w:rsidRPr="002C1BC8">
        <w:rPr>
          <w:rFonts w:ascii="Arial" w:hAnsi="Arial" w:cs="Arial"/>
          <w:sz w:val="22"/>
          <w:szCs w:val="22"/>
        </w:rPr>
        <w:t>Workforce shortages, incompatible digital systems and organisational priorities may hinder effective partnership working</w:t>
      </w:r>
      <w:r w:rsidRPr="002C1BC8">
        <w:rPr>
          <w:rFonts w:ascii="Arial" w:hAnsi="Arial" w:cs="Arial"/>
          <w:sz w:val="22"/>
          <w:szCs w:val="22"/>
        </w:rPr>
        <w:t xml:space="preserve">. Consequently, although ICSs provide a strong framework for integrated care, their success depends on continued investment in digital infrastructure, workforce development and inter-professional communication to ensure older adults consistently receive coordinated, high-quality, person-centred care </w:t>
      </w:r>
      <w:r w:rsidRPr="002C1BC8">
        <w:rPr>
          <w:rFonts w:ascii="Arial" w:hAnsi="Arial" w:cs="Arial"/>
          <w:b/>
          <w:bCs/>
          <w:sz w:val="22"/>
          <w:szCs w:val="22"/>
        </w:rPr>
        <w:t>(NICE, 2018).</w:t>
      </w:r>
    </w:p>
    <w:p w14:paraId="4C3C2ACE" w14:textId="77777777" w:rsidR="002C1BC8" w:rsidRDefault="002C1BC8" w:rsidP="002C1BC8">
      <w:pPr>
        <w:spacing w:line="360" w:lineRule="auto"/>
        <w:jc w:val="both"/>
        <w:rPr>
          <w:rFonts w:ascii="Arial" w:hAnsi="Arial" w:cs="Arial"/>
          <w:sz w:val="22"/>
          <w:szCs w:val="22"/>
        </w:rPr>
      </w:pPr>
    </w:p>
    <w:p w14:paraId="2858284B" w14:textId="74ED3CA3" w:rsidR="00341CB6" w:rsidRPr="002C1BC8" w:rsidRDefault="00341CB6" w:rsidP="002C1BC8">
      <w:pPr>
        <w:spacing w:line="360" w:lineRule="auto"/>
        <w:jc w:val="both"/>
        <w:rPr>
          <w:rFonts w:ascii="Arial" w:hAnsi="Arial" w:cs="Arial"/>
          <w:sz w:val="22"/>
          <w:szCs w:val="22"/>
        </w:rPr>
      </w:pPr>
      <w:r w:rsidRPr="002C1BC8">
        <w:rPr>
          <w:rFonts w:ascii="Arial" w:hAnsi="Arial" w:cs="Arial"/>
          <w:b/>
          <w:bCs/>
          <w:sz w:val="22"/>
          <w:szCs w:val="22"/>
        </w:rPr>
        <w:t>Policy and Legislation</w:t>
      </w:r>
    </w:p>
    <w:p w14:paraId="397A23EC" w14:textId="77777777" w:rsidR="00F069B3" w:rsidRPr="002C1BC8" w:rsidRDefault="00F069B3" w:rsidP="002C1BC8">
      <w:pPr>
        <w:spacing w:line="360" w:lineRule="auto"/>
        <w:jc w:val="both"/>
        <w:rPr>
          <w:rFonts w:ascii="Arial" w:hAnsi="Arial" w:cs="Arial"/>
          <w:sz w:val="22"/>
          <w:szCs w:val="22"/>
        </w:rPr>
      </w:pPr>
      <w:r w:rsidRPr="002C1BC8">
        <w:rPr>
          <w:rFonts w:ascii="Arial" w:hAnsi="Arial" w:cs="Arial"/>
          <w:sz w:val="22"/>
          <w:szCs w:val="22"/>
        </w:rPr>
        <w:t xml:space="preserve">Legislation plays a vital role in promoting person-centred care (PCC) and partnership working within residential care homes for older adults by establishing legal responsibilities that protect residents' rights, wellbeing, and safety. The </w:t>
      </w:r>
      <w:r w:rsidRPr="002C1BC8">
        <w:rPr>
          <w:rFonts w:ascii="Arial" w:hAnsi="Arial" w:cs="Arial"/>
          <w:b/>
          <w:bCs/>
          <w:sz w:val="22"/>
          <w:szCs w:val="22"/>
        </w:rPr>
        <w:t>Care Act 2014</w:t>
      </w:r>
      <w:r w:rsidRPr="002C1BC8">
        <w:rPr>
          <w:rFonts w:ascii="Arial" w:hAnsi="Arial" w:cs="Arial"/>
          <w:sz w:val="22"/>
          <w:szCs w:val="22"/>
        </w:rPr>
        <w:t xml:space="preserve">, </w:t>
      </w:r>
      <w:r w:rsidRPr="002C1BC8">
        <w:rPr>
          <w:rFonts w:ascii="Arial" w:hAnsi="Arial" w:cs="Arial"/>
          <w:b/>
          <w:bCs/>
          <w:sz w:val="22"/>
          <w:szCs w:val="22"/>
        </w:rPr>
        <w:t>Mental Capacity Act 2005</w:t>
      </w:r>
      <w:r w:rsidRPr="002C1BC8">
        <w:rPr>
          <w:rFonts w:ascii="Arial" w:hAnsi="Arial" w:cs="Arial"/>
          <w:sz w:val="22"/>
          <w:szCs w:val="22"/>
        </w:rPr>
        <w:t xml:space="preserve">, and </w:t>
      </w:r>
      <w:r w:rsidRPr="002C1BC8">
        <w:rPr>
          <w:rFonts w:ascii="Arial" w:hAnsi="Arial" w:cs="Arial"/>
          <w:b/>
          <w:bCs/>
          <w:sz w:val="22"/>
          <w:szCs w:val="22"/>
        </w:rPr>
        <w:t>Health and Care Act 2022</w:t>
      </w:r>
      <w:r w:rsidRPr="002C1BC8">
        <w:rPr>
          <w:rFonts w:ascii="Arial" w:hAnsi="Arial" w:cs="Arial"/>
          <w:sz w:val="22"/>
          <w:szCs w:val="22"/>
        </w:rPr>
        <w:t xml:space="preserve"> provide an important framework for delivering high-quality care while encouraging collaboration between health and social care professionals.</w:t>
      </w:r>
    </w:p>
    <w:p w14:paraId="4BBAD8AF" w14:textId="77777777" w:rsidR="00ED73E7" w:rsidRPr="002C1BC8" w:rsidRDefault="00ED73E7" w:rsidP="002C1BC8">
      <w:pPr>
        <w:spacing w:line="360" w:lineRule="auto"/>
        <w:jc w:val="both"/>
        <w:rPr>
          <w:rFonts w:ascii="Arial" w:hAnsi="Arial" w:cs="Arial"/>
          <w:b/>
          <w:bCs/>
          <w:sz w:val="22"/>
          <w:szCs w:val="22"/>
        </w:rPr>
      </w:pPr>
      <w:r w:rsidRPr="002C1BC8">
        <w:rPr>
          <w:rFonts w:ascii="Arial" w:hAnsi="Arial" w:cs="Arial"/>
          <w:sz w:val="22"/>
          <w:szCs w:val="22"/>
        </w:rPr>
        <w:t xml:space="preserve">The </w:t>
      </w:r>
      <w:r w:rsidRPr="002C1BC8">
        <w:rPr>
          <w:rFonts w:ascii="Arial" w:hAnsi="Arial" w:cs="Arial"/>
          <w:b/>
          <w:bCs/>
          <w:sz w:val="22"/>
          <w:szCs w:val="22"/>
        </w:rPr>
        <w:t>Care Act 2014</w:t>
      </w:r>
      <w:r w:rsidRPr="002C1BC8">
        <w:rPr>
          <w:rFonts w:ascii="Arial" w:hAnsi="Arial" w:cs="Arial"/>
          <w:sz w:val="22"/>
          <w:szCs w:val="22"/>
        </w:rPr>
        <w:t xml:space="preserve"> places wellbeing at the centre of care planning by requiring care providers to assess needs, promote independence, safeguard adults at risk and involve individuals in decisions about their care. Within residential care homes, this supports person-centred care through personalised care plans based on residents' preferences and outcomes. For example, when a resident is admitted, staff complete a holistic assessment with the resident and their family to develop and regularly review an individualised care plan. However, workforce shortages and financial pressures may affect consistent implementation </w:t>
      </w:r>
      <w:r w:rsidRPr="002C1BC8">
        <w:rPr>
          <w:rFonts w:ascii="Arial" w:hAnsi="Arial" w:cs="Arial"/>
          <w:b/>
          <w:bCs/>
          <w:sz w:val="22"/>
          <w:szCs w:val="22"/>
        </w:rPr>
        <w:t>(Care Act, 2014).</w:t>
      </w:r>
    </w:p>
    <w:p w14:paraId="45EA9672" w14:textId="38834F8C" w:rsidR="00ED73E7" w:rsidRPr="002C1BC8" w:rsidRDefault="00ED73E7" w:rsidP="002C1BC8">
      <w:pPr>
        <w:spacing w:line="360" w:lineRule="auto"/>
        <w:jc w:val="both"/>
        <w:rPr>
          <w:rFonts w:ascii="Arial" w:hAnsi="Arial" w:cs="Arial"/>
          <w:b/>
          <w:bCs/>
          <w:sz w:val="22"/>
          <w:szCs w:val="22"/>
        </w:rPr>
      </w:pPr>
      <w:r w:rsidRPr="002C1BC8">
        <w:rPr>
          <w:rFonts w:ascii="Arial" w:hAnsi="Arial" w:cs="Arial"/>
          <w:sz w:val="22"/>
          <w:szCs w:val="22"/>
        </w:rPr>
        <w:t xml:space="preserve">The </w:t>
      </w:r>
      <w:r w:rsidRPr="002C1BC8">
        <w:rPr>
          <w:rFonts w:ascii="Arial" w:hAnsi="Arial" w:cs="Arial"/>
          <w:b/>
          <w:bCs/>
          <w:sz w:val="22"/>
          <w:szCs w:val="22"/>
        </w:rPr>
        <w:t>Mental Capacity Act 2005</w:t>
      </w:r>
      <w:r w:rsidRPr="002C1BC8">
        <w:rPr>
          <w:rFonts w:ascii="Arial" w:hAnsi="Arial" w:cs="Arial"/>
          <w:sz w:val="22"/>
          <w:szCs w:val="22"/>
        </w:rPr>
        <w:t xml:space="preserve"> protects adults who may lack the capacity to make specific decisions while promoting their involvement wherever possible. In residential care homes, staff must presume capacity unless proven otherwise and make best-interest decisions only when necessary. For example, if a resident with dementia refuses personal care, staff assess capacity before working with family members and the multidisciplinary team to identify the least restrictive option</w:t>
      </w:r>
      <w:r w:rsidR="008528FB" w:rsidRPr="002C1BC8">
        <w:rPr>
          <w:rFonts w:ascii="Arial" w:hAnsi="Arial" w:cs="Arial"/>
          <w:sz w:val="22"/>
          <w:szCs w:val="22"/>
        </w:rPr>
        <w:t xml:space="preserve"> </w:t>
      </w:r>
      <w:r w:rsidR="008528FB" w:rsidRPr="002C1BC8">
        <w:rPr>
          <w:rFonts w:ascii="Arial" w:hAnsi="Arial" w:cs="Arial"/>
          <w:sz w:val="22"/>
          <w:szCs w:val="22"/>
        </w:rPr>
        <w:t>(Alzheimer's Society, 2024).</w:t>
      </w:r>
      <w:r w:rsidRPr="002C1BC8">
        <w:rPr>
          <w:rFonts w:ascii="Arial" w:hAnsi="Arial" w:cs="Arial"/>
          <w:sz w:val="22"/>
          <w:szCs w:val="22"/>
        </w:rPr>
        <w:t xml:space="preserve"> Although the Act protects residents' rights, balancing autonomy and safeguarding can present practical challenges </w:t>
      </w:r>
      <w:r w:rsidRPr="002C1BC8">
        <w:rPr>
          <w:rFonts w:ascii="Arial" w:hAnsi="Arial" w:cs="Arial"/>
          <w:b/>
          <w:bCs/>
          <w:sz w:val="22"/>
          <w:szCs w:val="22"/>
        </w:rPr>
        <w:t>(Mental Capacity Act, 2005).</w:t>
      </w:r>
    </w:p>
    <w:p w14:paraId="10BB604A" w14:textId="1AE154DF" w:rsidR="00341CB6" w:rsidRPr="002C1BC8" w:rsidRDefault="00ED73E7" w:rsidP="002C1BC8">
      <w:pPr>
        <w:spacing w:line="360" w:lineRule="auto"/>
        <w:jc w:val="both"/>
        <w:rPr>
          <w:rFonts w:ascii="Arial" w:hAnsi="Arial" w:cs="Arial"/>
          <w:b/>
          <w:bCs/>
          <w:sz w:val="22"/>
          <w:szCs w:val="22"/>
        </w:rPr>
      </w:pPr>
      <w:r w:rsidRPr="002C1BC8">
        <w:rPr>
          <w:rFonts w:ascii="Arial" w:hAnsi="Arial" w:cs="Arial"/>
          <w:sz w:val="22"/>
          <w:szCs w:val="22"/>
        </w:rPr>
        <w:lastRenderedPageBreak/>
        <w:t xml:space="preserve">The </w:t>
      </w:r>
      <w:r w:rsidRPr="002C1BC8">
        <w:rPr>
          <w:rFonts w:ascii="Arial" w:hAnsi="Arial" w:cs="Arial"/>
          <w:b/>
          <w:bCs/>
          <w:sz w:val="22"/>
          <w:szCs w:val="22"/>
        </w:rPr>
        <w:t>Health and Care Act 2022</w:t>
      </w:r>
      <w:r w:rsidRPr="002C1BC8">
        <w:rPr>
          <w:rFonts w:ascii="Arial" w:hAnsi="Arial" w:cs="Arial"/>
          <w:sz w:val="22"/>
          <w:szCs w:val="22"/>
        </w:rPr>
        <w:t xml:space="preserve"> </w:t>
      </w:r>
      <w:proofErr w:type="gramStart"/>
      <w:r w:rsidRPr="002C1BC8">
        <w:rPr>
          <w:rFonts w:ascii="Arial" w:hAnsi="Arial" w:cs="Arial"/>
          <w:sz w:val="22"/>
          <w:szCs w:val="22"/>
        </w:rPr>
        <w:t>strengthens</w:t>
      </w:r>
      <w:proofErr w:type="gramEnd"/>
      <w:r w:rsidRPr="002C1BC8">
        <w:rPr>
          <w:rFonts w:ascii="Arial" w:hAnsi="Arial" w:cs="Arial"/>
          <w:sz w:val="22"/>
          <w:szCs w:val="22"/>
        </w:rPr>
        <w:t xml:space="preserve"> partnership working by establishing Integrated Care Systems (ICSs), enabling NHS organisations, local authorities and care providers to coordinate services more effectively. Within residential care homes, this improves communication, shared care planning and access to specialist support. For example, collaboration between care home staff, general practitioners and community nurses can reduce avoidable hospital admissions and improve continuity of care. However, differences in organisational priorities and digital systems may limit effective collaboration </w:t>
      </w:r>
      <w:r w:rsidRPr="002C1BC8">
        <w:rPr>
          <w:rFonts w:ascii="Arial" w:hAnsi="Arial" w:cs="Arial"/>
          <w:b/>
          <w:bCs/>
          <w:sz w:val="22"/>
          <w:szCs w:val="22"/>
        </w:rPr>
        <w:t>(Health and Care Act, 2022; NICE, 2018).</w:t>
      </w:r>
    </w:p>
    <w:p w14:paraId="716BCBE1" w14:textId="77777777" w:rsidR="00ED73E7" w:rsidRPr="002C1BC8" w:rsidRDefault="00ED73E7" w:rsidP="002C1BC8">
      <w:pPr>
        <w:spacing w:line="360" w:lineRule="auto"/>
        <w:jc w:val="both"/>
        <w:rPr>
          <w:rFonts w:ascii="Arial" w:hAnsi="Arial" w:cs="Arial"/>
          <w:sz w:val="22"/>
          <w:szCs w:val="22"/>
        </w:rPr>
      </w:pPr>
    </w:p>
    <w:p w14:paraId="5B8E659A" w14:textId="7194599B" w:rsidR="00291FFB" w:rsidRPr="002C1BC8" w:rsidRDefault="00291FFB" w:rsidP="002C1BC8">
      <w:pPr>
        <w:spacing w:line="360" w:lineRule="auto"/>
        <w:jc w:val="both"/>
        <w:rPr>
          <w:rFonts w:ascii="Arial" w:hAnsi="Arial" w:cs="Arial"/>
          <w:sz w:val="22"/>
          <w:szCs w:val="22"/>
        </w:rPr>
      </w:pPr>
      <w:r w:rsidRPr="002C1BC8">
        <w:rPr>
          <w:rFonts w:ascii="Arial" w:hAnsi="Arial" w:cs="Arial"/>
          <w:b/>
          <w:bCs/>
          <w:sz w:val="22"/>
          <w:szCs w:val="22"/>
        </w:rPr>
        <w:t>Recommendations</w:t>
      </w:r>
    </w:p>
    <w:p w14:paraId="1E4868D7" w14:textId="0661C797" w:rsidR="00B41C7B" w:rsidRPr="002C1BC8" w:rsidRDefault="00B41C7B" w:rsidP="002C1BC8">
      <w:pPr>
        <w:spacing w:line="360" w:lineRule="auto"/>
        <w:jc w:val="both"/>
        <w:rPr>
          <w:rFonts w:ascii="Arial" w:hAnsi="Arial" w:cs="Arial"/>
          <w:sz w:val="22"/>
          <w:szCs w:val="22"/>
        </w:rPr>
      </w:pPr>
      <w:r w:rsidRPr="002C1BC8">
        <w:rPr>
          <w:rFonts w:ascii="Arial" w:hAnsi="Arial" w:cs="Arial"/>
          <w:sz w:val="22"/>
          <w:szCs w:val="22"/>
        </w:rPr>
        <w:t>Despite the benefits of person-centred care and partnership working, several challenges continue to affect their implementation within residential care homes. Workforce shortages, limited funding, increasing resident dependency, poor communication between organisations and incompatible digital information systems can reduce opportunities for personalised care and delay information sharing between professionals</w:t>
      </w:r>
      <w:r w:rsidR="002C1BC8" w:rsidRPr="002C1BC8">
        <w:rPr>
          <w:rFonts w:ascii="Arial" w:hAnsi="Arial" w:cs="Arial"/>
          <w:sz w:val="22"/>
          <w:szCs w:val="22"/>
        </w:rPr>
        <w:t xml:space="preserve"> </w:t>
      </w:r>
      <w:r w:rsidR="002C1BC8" w:rsidRPr="002C1BC8">
        <w:rPr>
          <w:rFonts w:ascii="Arial" w:hAnsi="Arial" w:cs="Arial"/>
          <w:sz w:val="22"/>
          <w:szCs w:val="22"/>
        </w:rPr>
        <w:t>(Anderson et al., 2021; Skills for Care, 2024)</w:t>
      </w:r>
      <w:r w:rsidR="002C1BC8" w:rsidRPr="002C1BC8">
        <w:rPr>
          <w:rFonts w:ascii="Arial" w:hAnsi="Arial" w:cs="Arial"/>
          <w:sz w:val="22"/>
          <w:szCs w:val="22"/>
        </w:rPr>
        <w:t>.</w:t>
      </w:r>
    </w:p>
    <w:p w14:paraId="15D62C42" w14:textId="3064EFF3" w:rsidR="00ED73E7" w:rsidRPr="002C1BC8" w:rsidRDefault="00B41C7B" w:rsidP="002C1BC8">
      <w:pPr>
        <w:spacing w:line="360" w:lineRule="auto"/>
        <w:jc w:val="both"/>
        <w:rPr>
          <w:rFonts w:ascii="Arial" w:hAnsi="Arial" w:cs="Arial"/>
          <w:sz w:val="22"/>
          <w:szCs w:val="22"/>
        </w:rPr>
      </w:pPr>
      <w:r w:rsidRPr="002C1BC8">
        <w:rPr>
          <w:rFonts w:ascii="Arial" w:hAnsi="Arial" w:cs="Arial"/>
          <w:sz w:val="22"/>
          <w:szCs w:val="22"/>
        </w:rPr>
        <w:t xml:space="preserve">To address these challenges, residential care homes should invest in continuous professional development that equips staff with the knowledge and skills required to deliver personalised, compassionate care. </w:t>
      </w:r>
      <w:r w:rsidR="00674781" w:rsidRPr="002C1BC8">
        <w:rPr>
          <w:rFonts w:ascii="Arial" w:hAnsi="Arial" w:cs="Arial"/>
          <w:sz w:val="22"/>
          <w:szCs w:val="22"/>
        </w:rPr>
        <w:t>NICE (2018) recommends regular training in person-centred care, effective communication and supporting people with complex care needs, including dementia where appropriate</w:t>
      </w:r>
      <w:r w:rsidRPr="002C1BC8">
        <w:rPr>
          <w:rFonts w:ascii="Arial" w:hAnsi="Arial" w:cs="Arial"/>
          <w:sz w:val="22"/>
          <w:szCs w:val="22"/>
        </w:rPr>
        <w:t xml:space="preserve">. </w:t>
      </w:r>
      <w:r w:rsidR="00ED73E7" w:rsidRPr="002C1BC8">
        <w:rPr>
          <w:rFonts w:ascii="Arial" w:hAnsi="Arial" w:cs="Arial"/>
          <w:sz w:val="22"/>
          <w:szCs w:val="22"/>
        </w:rPr>
        <w:t>Training improves communication, shared decision-making and person-centred care</w:t>
      </w:r>
      <w:r w:rsidR="008528FB" w:rsidRPr="002C1BC8">
        <w:rPr>
          <w:rFonts w:ascii="Arial" w:hAnsi="Arial" w:cs="Arial"/>
          <w:sz w:val="22"/>
          <w:szCs w:val="22"/>
        </w:rPr>
        <w:t xml:space="preserve"> </w:t>
      </w:r>
      <w:r w:rsidR="008528FB" w:rsidRPr="002C1BC8">
        <w:rPr>
          <w:rFonts w:ascii="Arial" w:hAnsi="Arial" w:cs="Arial"/>
          <w:sz w:val="22"/>
          <w:szCs w:val="22"/>
        </w:rPr>
        <w:t>(Skills for Care, 2024).</w:t>
      </w:r>
    </w:p>
    <w:p w14:paraId="799645AF" w14:textId="4BCD161D" w:rsidR="00B41C7B" w:rsidRPr="002C1BC8" w:rsidRDefault="00B41C7B" w:rsidP="002C1BC8">
      <w:pPr>
        <w:spacing w:line="360" w:lineRule="auto"/>
        <w:jc w:val="both"/>
        <w:rPr>
          <w:rFonts w:ascii="Arial" w:hAnsi="Arial" w:cs="Arial"/>
          <w:sz w:val="22"/>
          <w:szCs w:val="22"/>
        </w:rPr>
      </w:pPr>
      <w:r w:rsidRPr="002C1BC8">
        <w:rPr>
          <w:rFonts w:ascii="Arial" w:hAnsi="Arial" w:cs="Arial"/>
          <w:sz w:val="22"/>
          <w:szCs w:val="22"/>
        </w:rPr>
        <w:t>Partnership working should also be strengthened through regular multidisciplinary team meetings involving residents, family members, nurses, general practitioners, occupational therapists, physiotherapists and social workers. Collaborative care planning ensures that residents' changing physical, emotional and social needs are identified promptly while promoting continuity of care and reducing unnecessary hospital admissions (NICE, 2018).</w:t>
      </w:r>
    </w:p>
    <w:p w14:paraId="14FC4DDA" w14:textId="711A27C6" w:rsidR="00B41C7B" w:rsidRPr="002C1BC8" w:rsidRDefault="00B41C7B" w:rsidP="002C1BC8">
      <w:pPr>
        <w:spacing w:line="360" w:lineRule="auto"/>
        <w:jc w:val="both"/>
        <w:rPr>
          <w:rFonts w:ascii="Arial" w:hAnsi="Arial" w:cs="Arial"/>
          <w:sz w:val="22"/>
          <w:szCs w:val="22"/>
        </w:rPr>
      </w:pPr>
      <w:r w:rsidRPr="002C1BC8">
        <w:rPr>
          <w:rFonts w:ascii="Arial" w:hAnsi="Arial" w:cs="Arial"/>
          <w:sz w:val="22"/>
          <w:szCs w:val="22"/>
        </w:rPr>
        <w:t>Finally, organisations should improve secure digital information-sharing systems between residential care homes, NHS services and local authorities to reduce communication delays and support coordinated care. Although implementing these recommendations requires sustained investment, effective leadership and workforce development, they have the potential to overcome current barriers, strengthen person-centred care and partnership working, and improve the health, wellbeing and quality of life of older adults living in residential care homes</w:t>
      </w:r>
      <w:r w:rsidR="00ED73E7" w:rsidRPr="002C1BC8">
        <w:rPr>
          <w:rFonts w:ascii="Arial" w:hAnsi="Arial" w:cs="Arial"/>
          <w:sz w:val="22"/>
          <w:szCs w:val="22"/>
        </w:rPr>
        <w:t xml:space="preserve"> </w:t>
      </w:r>
      <w:r w:rsidRPr="002C1BC8">
        <w:rPr>
          <w:rFonts w:ascii="Arial" w:hAnsi="Arial" w:cs="Arial"/>
          <w:sz w:val="22"/>
          <w:szCs w:val="22"/>
        </w:rPr>
        <w:t>(Health and Care Act, 2022; NICE, 2018).</w:t>
      </w:r>
    </w:p>
    <w:p w14:paraId="67C1CABC" w14:textId="41F7E570" w:rsidR="00AB7757" w:rsidRPr="002C1BC8" w:rsidRDefault="00AB7757" w:rsidP="002C1BC8">
      <w:pPr>
        <w:spacing w:line="360" w:lineRule="auto"/>
        <w:jc w:val="both"/>
        <w:rPr>
          <w:rFonts w:ascii="Arial" w:hAnsi="Arial" w:cs="Arial"/>
          <w:sz w:val="22"/>
          <w:szCs w:val="22"/>
        </w:rPr>
      </w:pPr>
    </w:p>
    <w:p w14:paraId="18669518" w14:textId="7F062DA0" w:rsidR="00AF124A" w:rsidRPr="002C1BC8" w:rsidRDefault="00AF124A" w:rsidP="002C1BC8">
      <w:pPr>
        <w:spacing w:line="360" w:lineRule="auto"/>
        <w:jc w:val="both"/>
        <w:rPr>
          <w:rFonts w:ascii="Arial" w:hAnsi="Arial" w:cs="Arial"/>
          <w:sz w:val="22"/>
          <w:szCs w:val="22"/>
        </w:rPr>
      </w:pPr>
      <w:r w:rsidRPr="002C1BC8">
        <w:rPr>
          <w:rFonts w:ascii="Arial" w:hAnsi="Arial" w:cs="Arial"/>
          <w:b/>
          <w:bCs/>
          <w:sz w:val="22"/>
          <w:szCs w:val="22"/>
        </w:rPr>
        <w:t>Conclusion</w:t>
      </w:r>
    </w:p>
    <w:p w14:paraId="3272864C" w14:textId="49965B95" w:rsidR="00AF124A" w:rsidRPr="002C1BC8" w:rsidRDefault="00AF124A" w:rsidP="002C1BC8">
      <w:pPr>
        <w:spacing w:line="360" w:lineRule="auto"/>
        <w:jc w:val="both"/>
        <w:rPr>
          <w:rFonts w:ascii="Arial" w:hAnsi="Arial" w:cs="Arial"/>
          <w:sz w:val="22"/>
          <w:szCs w:val="22"/>
        </w:rPr>
      </w:pPr>
      <w:r w:rsidRPr="002C1BC8">
        <w:rPr>
          <w:rFonts w:ascii="Arial" w:hAnsi="Arial" w:cs="Arial"/>
          <w:sz w:val="22"/>
          <w:szCs w:val="22"/>
        </w:rPr>
        <w:t xml:space="preserve">This report has demonstrated that person-centred care and partnership working are fundamental to delivering high-quality care within residential care homes for older adults. Person-centred care promotes dignity, autonomy, and individualised support, while partnership working enables health and social care professionals, families, and other organisations to collaborate in meeting residents' complex needs. </w:t>
      </w:r>
      <w:r w:rsidR="0089668D" w:rsidRPr="002C1BC8">
        <w:rPr>
          <w:rFonts w:ascii="Arial" w:hAnsi="Arial" w:cs="Arial"/>
          <w:sz w:val="22"/>
          <w:szCs w:val="22"/>
        </w:rPr>
        <w:t>The discussion highlighted how Maslow's Hierarchy of Needs supports holistic, person-centred care by addressing residents' physical, emotional, psychological and social needs alongside ethical principles, multidisciplinary working and key legislation in supporting effective care delivery.</w:t>
      </w:r>
      <w:r w:rsidR="0089668D" w:rsidRPr="002C1BC8">
        <w:rPr>
          <w:rFonts w:ascii="Arial" w:hAnsi="Arial" w:cs="Arial"/>
          <w:sz w:val="22"/>
          <w:szCs w:val="22"/>
        </w:rPr>
        <w:t xml:space="preserve"> </w:t>
      </w:r>
      <w:r w:rsidRPr="002C1BC8">
        <w:rPr>
          <w:rFonts w:ascii="Arial" w:hAnsi="Arial" w:cs="Arial"/>
          <w:sz w:val="22"/>
          <w:szCs w:val="22"/>
        </w:rPr>
        <w:t>It also recognised that challenges such as workforce shortages, resource limitations, and communication barriers can affect the consistent implementation of these approaches. The report therefore recommends enhanced staff training, improved digital information sharing, stronger multidisciplinary collaboration, and greater family involvement to strengthen person-centred practice. By embedding these recommendations into everyday practice, residential care homes can improve the quality, safety, and continuity of care while enhancing the wellbeing and overall quality of life of older adults.</w:t>
      </w:r>
    </w:p>
    <w:p w14:paraId="5298D3F5" w14:textId="3AAF3CAF" w:rsidR="00E26BD1" w:rsidRPr="002C1BC8" w:rsidRDefault="00E26BD1" w:rsidP="002C1BC8">
      <w:pPr>
        <w:spacing w:line="360" w:lineRule="auto"/>
        <w:jc w:val="both"/>
        <w:rPr>
          <w:rFonts w:ascii="Arial" w:hAnsi="Arial" w:cs="Arial"/>
          <w:sz w:val="22"/>
          <w:szCs w:val="22"/>
        </w:rPr>
      </w:pPr>
      <w:r w:rsidRPr="002C1BC8">
        <w:rPr>
          <w:rFonts w:ascii="Arial" w:hAnsi="Arial" w:cs="Arial"/>
          <w:sz w:val="22"/>
          <w:szCs w:val="22"/>
        </w:rPr>
        <w:t>Ultimately, achieving effective person-centred care and partnership working requires not only appropriate legislation and professional commitment but also sustained organisational investment to ensure older adults receive safe, coordinated, and compassionate care.</w:t>
      </w:r>
    </w:p>
    <w:p w14:paraId="18F19AEE" w14:textId="77777777" w:rsidR="00AF124A" w:rsidRDefault="00AF124A">
      <w:pPr>
        <w:rPr>
          <w:rFonts w:ascii="Arial" w:hAnsi="Arial" w:cs="Arial"/>
          <w:sz w:val="22"/>
          <w:szCs w:val="22"/>
        </w:rPr>
      </w:pPr>
      <w:r>
        <w:rPr>
          <w:rFonts w:ascii="Arial" w:hAnsi="Arial" w:cs="Arial"/>
          <w:sz w:val="22"/>
          <w:szCs w:val="22"/>
        </w:rPr>
        <w:br w:type="page"/>
      </w:r>
    </w:p>
    <w:p w14:paraId="396BA8B4" w14:textId="4F3DC397" w:rsidR="009B4262" w:rsidRPr="009B4262" w:rsidRDefault="00AF124A" w:rsidP="009B4262">
      <w:pPr>
        <w:rPr>
          <w:rFonts w:ascii="Arial" w:hAnsi="Arial" w:cs="Arial"/>
          <w:b/>
          <w:bCs/>
          <w:sz w:val="22"/>
          <w:szCs w:val="22"/>
        </w:rPr>
      </w:pPr>
      <w:r w:rsidRPr="00AF124A">
        <w:rPr>
          <w:rFonts w:ascii="Arial" w:hAnsi="Arial" w:cs="Arial"/>
          <w:b/>
          <w:bCs/>
          <w:sz w:val="22"/>
          <w:szCs w:val="22"/>
        </w:rPr>
        <w:lastRenderedPageBreak/>
        <w:t>References</w:t>
      </w:r>
    </w:p>
    <w:p w14:paraId="22666D12"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Age UK (2023) Later life in the United Kingdom. Available at: https://www.ageuk.org.uk/information-advice/later-life-uk-facts-figures/ (Accessed: 16 July 2026).</w:t>
      </w:r>
    </w:p>
    <w:p w14:paraId="4E732348"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Alzheimer's Society (2024) Mental Capacity Act and dementia. Available at: </w:t>
      </w:r>
      <w:hyperlink r:id="rId8" w:tgtFrame="_new" w:history="1">
        <w:r w:rsidRPr="00764EFC">
          <w:rPr>
            <w:rStyle w:val="Hyperlink"/>
            <w:rFonts w:ascii="Arial" w:hAnsi="Arial" w:cs="Arial"/>
            <w:i/>
            <w:iCs/>
            <w:sz w:val="22"/>
            <w:szCs w:val="22"/>
          </w:rPr>
          <w:t>https://www.alzheimers.org.uk</w:t>
        </w:r>
      </w:hyperlink>
      <w:r w:rsidRPr="00764EFC">
        <w:rPr>
          <w:rFonts w:ascii="Arial" w:hAnsi="Arial" w:cs="Arial"/>
          <w:i/>
          <w:iCs/>
          <w:sz w:val="22"/>
          <w:szCs w:val="22"/>
        </w:rPr>
        <w:t xml:space="preserve"> (Accessed: 16 July 2026).</w:t>
      </w:r>
    </w:p>
    <w:p w14:paraId="321D4F88"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Anderson, M., O'Neill, C., Clark, J., Street, A., Woods, M. et al. (2021) 'Securing a sustainable and fit-for-purpose UK health and care workforce', The Lancet, 397(10288), pp. 1992–2011.</w:t>
      </w:r>
    </w:p>
    <w:p w14:paraId="2980EE19"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Care Act 2014 (2014) Care Act 2014. c.23. Available at: </w:t>
      </w:r>
      <w:hyperlink r:id="rId9" w:tgtFrame="_new" w:history="1">
        <w:r w:rsidRPr="00764EFC">
          <w:rPr>
            <w:rStyle w:val="Hyperlink"/>
            <w:rFonts w:ascii="Arial" w:hAnsi="Arial" w:cs="Arial"/>
            <w:i/>
            <w:iCs/>
            <w:sz w:val="22"/>
            <w:szCs w:val="22"/>
          </w:rPr>
          <w:t>https://www.legislation.gov.uk/ukpga/2014/23</w:t>
        </w:r>
      </w:hyperlink>
      <w:r w:rsidRPr="00764EFC">
        <w:rPr>
          <w:rFonts w:ascii="Arial" w:hAnsi="Arial" w:cs="Arial"/>
          <w:i/>
          <w:iCs/>
          <w:sz w:val="22"/>
          <w:szCs w:val="22"/>
        </w:rPr>
        <w:t xml:space="preserve"> (Accessed: 16 July 2026).</w:t>
      </w:r>
    </w:p>
    <w:p w14:paraId="523AF8D1"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Health and Care Act 2022 (2022) Health and Care Act 2022. c.31. Available at: </w:t>
      </w:r>
      <w:hyperlink r:id="rId10" w:tgtFrame="_new" w:history="1">
        <w:r w:rsidRPr="00764EFC">
          <w:rPr>
            <w:rStyle w:val="Hyperlink"/>
            <w:rFonts w:ascii="Arial" w:hAnsi="Arial" w:cs="Arial"/>
            <w:i/>
            <w:iCs/>
            <w:sz w:val="22"/>
            <w:szCs w:val="22"/>
          </w:rPr>
          <w:t>https://www.legislation.gov.uk/ukpga/2022/31</w:t>
        </w:r>
      </w:hyperlink>
      <w:r w:rsidRPr="00764EFC">
        <w:rPr>
          <w:rFonts w:ascii="Arial" w:hAnsi="Arial" w:cs="Arial"/>
          <w:i/>
          <w:iCs/>
          <w:sz w:val="22"/>
          <w:szCs w:val="22"/>
        </w:rPr>
        <w:t xml:space="preserve"> (Accessed: 16 July 2026).</w:t>
      </w:r>
    </w:p>
    <w:p w14:paraId="3B684B8F"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Maslow, A.H. (1943) 'A theory of human motivation', Psychological Review, 50(4), pp. 370–396.</w:t>
      </w:r>
    </w:p>
    <w:p w14:paraId="2B277A6D"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McCance, T. and McCormack, B. (2025) 'The person-centred nursing framework: A mid-range theory for nursing practice', Journal of Research in Nursing, 30(1), pp. 47–60. Available at: </w:t>
      </w:r>
      <w:hyperlink r:id="rId11" w:tgtFrame="_new" w:history="1">
        <w:r w:rsidRPr="00764EFC">
          <w:rPr>
            <w:rStyle w:val="Hyperlink"/>
            <w:rFonts w:ascii="Arial" w:hAnsi="Arial" w:cs="Arial"/>
            <w:i/>
            <w:iCs/>
            <w:sz w:val="22"/>
            <w:szCs w:val="22"/>
          </w:rPr>
          <w:t>https://doi.org/10.1177/17449871241281428</w:t>
        </w:r>
      </w:hyperlink>
      <w:r w:rsidRPr="00764EFC">
        <w:rPr>
          <w:rFonts w:ascii="Arial" w:hAnsi="Arial" w:cs="Arial"/>
          <w:i/>
          <w:iCs/>
          <w:sz w:val="22"/>
          <w:szCs w:val="22"/>
        </w:rPr>
        <w:t xml:space="preserve"> (Accessed: 9 July 2026).</w:t>
      </w:r>
    </w:p>
    <w:p w14:paraId="24907A65"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McLeod, S. (2025) Maslow's Hierarchy of Needs. Simply Psychology. Available at: </w:t>
      </w:r>
      <w:hyperlink r:id="rId12" w:tgtFrame="_new" w:history="1">
        <w:r w:rsidRPr="00764EFC">
          <w:rPr>
            <w:rStyle w:val="Hyperlink"/>
            <w:rFonts w:ascii="Arial" w:hAnsi="Arial" w:cs="Arial"/>
            <w:i/>
            <w:iCs/>
            <w:sz w:val="22"/>
            <w:szCs w:val="22"/>
          </w:rPr>
          <w:t>https://www.simplypsychology.org/maslow.html</w:t>
        </w:r>
      </w:hyperlink>
      <w:r w:rsidRPr="00764EFC">
        <w:rPr>
          <w:rFonts w:ascii="Arial" w:hAnsi="Arial" w:cs="Arial"/>
          <w:i/>
          <w:iCs/>
          <w:sz w:val="22"/>
          <w:szCs w:val="22"/>
        </w:rPr>
        <w:t xml:space="preserve"> (Accessed: 16 July 2026).</w:t>
      </w:r>
    </w:p>
    <w:p w14:paraId="55B44384"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Mental Capacity Act 2005 (2005) Mental Capacity Act 2005. c.9. Available at: </w:t>
      </w:r>
      <w:hyperlink r:id="rId13" w:tgtFrame="_new" w:history="1">
        <w:r w:rsidRPr="00764EFC">
          <w:rPr>
            <w:rStyle w:val="Hyperlink"/>
            <w:rFonts w:ascii="Arial" w:hAnsi="Arial" w:cs="Arial"/>
            <w:i/>
            <w:iCs/>
            <w:sz w:val="22"/>
            <w:szCs w:val="22"/>
          </w:rPr>
          <w:t>https://www.legislation.gov.uk/ukpga/2005/9</w:t>
        </w:r>
      </w:hyperlink>
      <w:r w:rsidRPr="00764EFC">
        <w:rPr>
          <w:rFonts w:ascii="Arial" w:hAnsi="Arial" w:cs="Arial"/>
          <w:i/>
          <w:iCs/>
          <w:sz w:val="22"/>
          <w:szCs w:val="22"/>
        </w:rPr>
        <w:t xml:space="preserve"> (Accessed: 16 July 2026).</w:t>
      </w:r>
    </w:p>
    <w:p w14:paraId="7F8EFC16"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National Institute for Health and Care Excellence (NICE) (2018) Dementia: assessment, management and support for people living with dementia and their carers (NG97). Available at: </w:t>
      </w:r>
      <w:hyperlink r:id="rId14" w:tgtFrame="_new" w:history="1">
        <w:r w:rsidRPr="00764EFC">
          <w:rPr>
            <w:rStyle w:val="Hyperlink"/>
            <w:rFonts w:ascii="Arial" w:hAnsi="Arial" w:cs="Arial"/>
            <w:i/>
            <w:iCs/>
            <w:sz w:val="22"/>
            <w:szCs w:val="22"/>
          </w:rPr>
          <w:t>https://www.nice.org.uk/guidance/ng97</w:t>
        </w:r>
      </w:hyperlink>
      <w:r w:rsidRPr="00764EFC">
        <w:rPr>
          <w:rFonts w:ascii="Arial" w:hAnsi="Arial" w:cs="Arial"/>
          <w:i/>
          <w:iCs/>
          <w:sz w:val="22"/>
          <w:szCs w:val="22"/>
        </w:rPr>
        <w:t xml:space="preserve"> (Accessed: 16 July 2026).</w:t>
      </w:r>
    </w:p>
    <w:p w14:paraId="2B69CFBB"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NHS England (2024) What are Integrated Care Systems? Available at: </w:t>
      </w:r>
      <w:hyperlink r:id="rId15" w:tgtFrame="_new" w:history="1">
        <w:r w:rsidRPr="00764EFC">
          <w:rPr>
            <w:rStyle w:val="Hyperlink"/>
            <w:rFonts w:ascii="Arial" w:hAnsi="Arial" w:cs="Arial"/>
            <w:i/>
            <w:iCs/>
            <w:sz w:val="22"/>
            <w:szCs w:val="22"/>
          </w:rPr>
          <w:t>https://www.england.nhs.uk/integratedcare</w:t>
        </w:r>
      </w:hyperlink>
      <w:r w:rsidRPr="00764EFC">
        <w:rPr>
          <w:rFonts w:ascii="Arial" w:hAnsi="Arial" w:cs="Arial"/>
          <w:i/>
          <w:iCs/>
          <w:sz w:val="22"/>
          <w:szCs w:val="22"/>
        </w:rPr>
        <w:t xml:space="preserve"> (Accessed: 16 July 2026).</w:t>
      </w:r>
    </w:p>
    <w:p w14:paraId="1552F69A"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Podgorica, N., </w:t>
      </w:r>
      <w:proofErr w:type="spellStart"/>
      <w:r w:rsidRPr="00764EFC">
        <w:rPr>
          <w:rFonts w:ascii="Arial" w:hAnsi="Arial" w:cs="Arial"/>
          <w:i/>
          <w:iCs/>
          <w:sz w:val="22"/>
          <w:szCs w:val="22"/>
        </w:rPr>
        <w:t>Flatscher-Thöni</w:t>
      </w:r>
      <w:proofErr w:type="spellEnd"/>
      <w:r w:rsidRPr="00764EFC">
        <w:rPr>
          <w:rFonts w:ascii="Arial" w:hAnsi="Arial" w:cs="Arial"/>
          <w:i/>
          <w:iCs/>
          <w:sz w:val="22"/>
          <w:szCs w:val="22"/>
        </w:rPr>
        <w:t xml:space="preserve">, M., </w:t>
      </w:r>
      <w:proofErr w:type="spellStart"/>
      <w:r w:rsidRPr="00764EFC">
        <w:rPr>
          <w:rFonts w:ascii="Arial" w:hAnsi="Arial" w:cs="Arial"/>
          <w:i/>
          <w:iCs/>
          <w:sz w:val="22"/>
          <w:szCs w:val="22"/>
        </w:rPr>
        <w:t>Deufert</w:t>
      </w:r>
      <w:proofErr w:type="spellEnd"/>
      <w:r w:rsidRPr="00764EFC">
        <w:rPr>
          <w:rFonts w:ascii="Arial" w:hAnsi="Arial" w:cs="Arial"/>
          <w:i/>
          <w:iCs/>
          <w:sz w:val="22"/>
          <w:szCs w:val="22"/>
        </w:rPr>
        <w:t>, D., Siebert, U. and Ganner, M. (2021) 'A systematic review of ethical and legal issues in elder care', Nursing Ethics, 28(6), pp. 895–910.</w:t>
      </w:r>
    </w:p>
    <w:p w14:paraId="2ACB383B" w14:textId="77777777" w:rsidR="00764EFC" w:rsidRPr="00764EFC" w:rsidRDefault="00764EFC" w:rsidP="00764EFC">
      <w:pPr>
        <w:rPr>
          <w:rFonts w:ascii="Arial" w:hAnsi="Arial" w:cs="Arial"/>
          <w:i/>
          <w:iCs/>
          <w:sz w:val="22"/>
          <w:szCs w:val="22"/>
        </w:rPr>
      </w:pPr>
      <w:proofErr w:type="spellStart"/>
      <w:r w:rsidRPr="00764EFC">
        <w:rPr>
          <w:rFonts w:ascii="Arial" w:hAnsi="Arial" w:cs="Arial"/>
          <w:i/>
          <w:iCs/>
          <w:sz w:val="22"/>
          <w:szCs w:val="22"/>
        </w:rPr>
        <w:t>Roos</w:t>
      </w:r>
      <w:proofErr w:type="spellEnd"/>
      <w:r w:rsidRPr="00764EFC">
        <w:rPr>
          <w:rFonts w:ascii="Arial" w:hAnsi="Arial" w:cs="Arial"/>
          <w:i/>
          <w:iCs/>
          <w:sz w:val="22"/>
          <w:szCs w:val="22"/>
        </w:rPr>
        <w:t xml:space="preserve">, C., Swall, A., </w:t>
      </w:r>
      <w:proofErr w:type="spellStart"/>
      <w:r w:rsidRPr="00764EFC">
        <w:rPr>
          <w:rFonts w:ascii="Arial" w:hAnsi="Arial" w:cs="Arial"/>
          <w:i/>
          <w:iCs/>
          <w:sz w:val="22"/>
          <w:szCs w:val="22"/>
        </w:rPr>
        <w:t>Marmstål</w:t>
      </w:r>
      <w:proofErr w:type="spellEnd"/>
      <w:r w:rsidRPr="00764EFC">
        <w:rPr>
          <w:rFonts w:ascii="Arial" w:hAnsi="Arial" w:cs="Arial"/>
          <w:i/>
          <w:iCs/>
          <w:sz w:val="22"/>
          <w:szCs w:val="22"/>
        </w:rPr>
        <w:t xml:space="preserve"> Hammar, L., Boström, A.M. and Skytt, B. (2023) 'Promoting the person-centred aspects of dignity and well-being: Learning from older persons' experiences of living in residential care facilities', Working with Older People, 27(3), pp. 219–229.</w:t>
      </w:r>
    </w:p>
    <w:p w14:paraId="5138F172"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Skills for Care (2024) Learning and development. Available at: </w:t>
      </w:r>
      <w:hyperlink r:id="rId16" w:tgtFrame="_new" w:history="1">
        <w:r w:rsidRPr="00764EFC">
          <w:rPr>
            <w:rStyle w:val="Hyperlink"/>
            <w:rFonts w:ascii="Arial" w:hAnsi="Arial" w:cs="Arial"/>
            <w:i/>
            <w:iCs/>
            <w:sz w:val="22"/>
            <w:szCs w:val="22"/>
          </w:rPr>
          <w:t>https://www.skillsforcare.org.uk</w:t>
        </w:r>
      </w:hyperlink>
      <w:r w:rsidRPr="00764EFC">
        <w:rPr>
          <w:rFonts w:ascii="Arial" w:hAnsi="Arial" w:cs="Arial"/>
          <w:i/>
          <w:iCs/>
          <w:sz w:val="22"/>
          <w:szCs w:val="22"/>
        </w:rPr>
        <w:t xml:space="preserve"> (Accessed: 16 July 2026).</w:t>
      </w:r>
    </w:p>
    <w:p w14:paraId="10937D3B" w14:textId="77777777" w:rsidR="00764EFC" w:rsidRPr="00764EFC" w:rsidRDefault="00764EFC" w:rsidP="00764EFC">
      <w:pPr>
        <w:rPr>
          <w:rFonts w:ascii="Arial" w:hAnsi="Arial" w:cs="Arial"/>
          <w:i/>
          <w:iCs/>
          <w:sz w:val="22"/>
          <w:szCs w:val="22"/>
        </w:rPr>
      </w:pPr>
      <w:r w:rsidRPr="00764EFC">
        <w:rPr>
          <w:rFonts w:ascii="Arial" w:hAnsi="Arial" w:cs="Arial"/>
          <w:i/>
          <w:iCs/>
          <w:sz w:val="22"/>
          <w:szCs w:val="22"/>
        </w:rPr>
        <w:t xml:space="preserve">World Health Organization (WHO) (2025) Quality health services. Available at: </w:t>
      </w:r>
      <w:hyperlink r:id="rId17" w:tgtFrame="_new" w:history="1">
        <w:r w:rsidRPr="00764EFC">
          <w:rPr>
            <w:rStyle w:val="Hyperlink"/>
            <w:rFonts w:ascii="Arial" w:hAnsi="Arial" w:cs="Arial"/>
            <w:i/>
            <w:iCs/>
            <w:sz w:val="22"/>
            <w:szCs w:val="22"/>
          </w:rPr>
          <w:t>https://www.who.int</w:t>
        </w:r>
      </w:hyperlink>
      <w:r w:rsidRPr="00764EFC">
        <w:rPr>
          <w:rFonts w:ascii="Arial" w:hAnsi="Arial" w:cs="Arial"/>
          <w:i/>
          <w:iCs/>
          <w:sz w:val="22"/>
          <w:szCs w:val="22"/>
        </w:rPr>
        <w:t xml:space="preserve"> (Accessed: 16 July 2026).</w:t>
      </w:r>
    </w:p>
    <w:p w14:paraId="00FE971D" w14:textId="6E96DD82" w:rsidR="007A0B3A" w:rsidRPr="005C5BBD" w:rsidRDefault="007A0B3A" w:rsidP="005C5BBD">
      <w:pPr>
        <w:rPr>
          <w:rFonts w:ascii="Arial" w:hAnsi="Arial" w:cs="Arial"/>
          <w:sz w:val="22"/>
          <w:szCs w:val="22"/>
        </w:rPr>
      </w:pPr>
    </w:p>
    <w:sectPr w:rsidR="007A0B3A" w:rsidRPr="005C5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969"/>
    <w:rsid w:val="00001219"/>
    <w:rsid w:val="00025DD7"/>
    <w:rsid w:val="000711B8"/>
    <w:rsid w:val="000C3CB7"/>
    <w:rsid w:val="000E1616"/>
    <w:rsid w:val="001B67F0"/>
    <w:rsid w:val="001D70BD"/>
    <w:rsid w:val="002157FA"/>
    <w:rsid w:val="002320DB"/>
    <w:rsid w:val="00291FFB"/>
    <w:rsid w:val="002C1BC8"/>
    <w:rsid w:val="00341CB6"/>
    <w:rsid w:val="00343226"/>
    <w:rsid w:val="003974A1"/>
    <w:rsid w:val="003C1875"/>
    <w:rsid w:val="00406DE8"/>
    <w:rsid w:val="004F2870"/>
    <w:rsid w:val="004F3B2B"/>
    <w:rsid w:val="005B4417"/>
    <w:rsid w:val="005C150E"/>
    <w:rsid w:val="005C5BBD"/>
    <w:rsid w:val="005D4426"/>
    <w:rsid w:val="00657041"/>
    <w:rsid w:val="006634B1"/>
    <w:rsid w:val="00674781"/>
    <w:rsid w:val="006A678D"/>
    <w:rsid w:val="00725636"/>
    <w:rsid w:val="0073252E"/>
    <w:rsid w:val="00764EFC"/>
    <w:rsid w:val="007A0B3A"/>
    <w:rsid w:val="007E5419"/>
    <w:rsid w:val="00833BFC"/>
    <w:rsid w:val="008528FB"/>
    <w:rsid w:val="00864969"/>
    <w:rsid w:val="00875385"/>
    <w:rsid w:val="0089668D"/>
    <w:rsid w:val="008C671C"/>
    <w:rsid w:val="00907291"/>
    <w:rsid w:val="009B4262"/>
    <w:rsid w:val="00A50711"/>
    <w:rsid w:val="00A9617A"/>
    <w:rsid w:val="00AB7757"/>
    <w:rsid w:val="00AE55F9"/>
    <w:rsid w:val="00AF124A"/>
    <w:rsid w:val="00B21A18"/>
    <w:rsid w:val="00B41C7B"/>
    <w:rsid w:val="00B64660"/>
    <w:rsid w:val="00B70EB6"/>
    <w:rsid w:val="00C12CDC"/>
    <w:rsid w:val="00C1658A"/>
    <w:rsid w:val="00C83ED5"/>
    <w:rsid w:val="00D27420"/>
    <w:rsid w:val="00D278C7"/>
    <w:rsid w:val="00DA2C8F"/>
    <w:rsid w:val="00DC142B"/>
    <w:rsid w:val="00DD2561"/>
    <w:rsid w:val="00E26BD1"/>
    <w:rsid w:val="00E47E89"/>
    <w:rsid w:val="00E6665E"/>
    <w:rsid w:val="00ED59B4"/>
    <w:rsid w:val="00ED73E7"/>
    <w:rsid w:val="00F069B3"/>
    <w:rsid w:val="00F06DE0"/>
    <w:rsid w:val="00F67A09"/>
    <w:rsid w:val="00FD3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81DEB"/>
  <w15:chartTrackingRefBased/>
  <w15:docId w15:val="{42CD819C-C169-44D0-822A-B5CF551E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969"/>
    <w:rPr>
      <w:rFonts w:eastAsiaTheme="majorEastAsia" w:cstheme="majorBidi"/>
      <w:color w:val="272727" w:themeColor="text1" w:themeTint="D8"/>
    </w:rPr>
  </w:style>
  <w:style w:type="paragraph" w:styleId="Title">
    <w:name w:val="Title"/>
    <w:basedOn w:val="Normal"/>
    <w:next w:val="Normal"/>
    <w:link w:val="TitleChar"/>
    <w:uiPriority w:val="10"/>
    <w:qFormat/>
    <w:rsid w:val="00864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969"/>
    <w:pPr>
      <w:spacing w:before="160"/>
      <w:jc w:val="center"/>
    </w:pPr>
    <w:rPr>
      <w:i/>
      <w:iCs/>
      <w:color w:val="404040" w:themeColor="text1" w:themeTint="BF"/>
    </w:rPr>
  </w:style>
  <w:style w:type="character" w:customStyle="1" w:styleId="QuoteChar">
    <w:name w:val="Quote Char"/>
    <w:basedOn w:val="DefaultParagraphFont"/>
    <w:link w:val="Quote"/>
    <w:uiPriority w:val="29"/>
    <w:rsid w:val="00864969"/>
    <w:rPr>
      <w:i/>
      <w:iCs/>
      <w:color w:val="404040" w:themeColor="text1" w:themeTint="BF"/>
    </w:rPr>
  </w:style>
  <w:style w:type="paragraph" w:styleId="ListParagraph">
    <w:name w:val="List Paragraph"/>
    <w:basedOn w:val="Normal"/>
    <w:uiPriority w:val="34"/>
    <w:qFormat/>
    <w:rsid w:val="00864969"/>
    <w:pPr>
      <w:ind w:left="720"/>
      <w:contextualSpacing/>
    </w:pPr>
  </w:style>
  <w:style w:type="character" w:styleId="IntenseEmphasis">
    <w:name w:val="Intense Emphasis"/>
    <w:basedOn w:val="DefaultParagraphFont"/>
    <w:uiPriority w:val="21"/>
    <w:qFormat/>
    <w:rsid w:val="00864969"/>
    <w:rPr>
      <w:i/>
      <w:iCs/>
      <w:color w:val="0F4761" w:themeColor="accent1" w:themeShade="BF"/>
    </w:rPr>
  </w:style>
  <w:style w:type="paragraph" w:styleId="IntenseQuote">
    <w:name w:val="Intense Quote"/>
    <w:basedOn w:val="Normal"/>
    <w:next w:val="Normal"/>
    <w:link w:val="IntenseQuoteChar"/>
    <w:uiPriority w:val="30"/>
    <w:qFormat/>
    <w:rsid w:val="00864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969"/>
    <w:rPr>
      <w:i/>
      <w:iCs/>
      <w:color w:val="0F4761" w:themeColor="accent1" w:themeShade="BF"/>
    </w:rPr>
  </w:style>
  <w:style w:type="character" w:styleId="IntenseReference">
    <w:name w:val="Intense Reference"/>
    <w:basedOn w:val="DefaultParagraphFont"/>
    <w:uiPriority w:val="32"/>
    <w:qFormat/>
    <w:rsid w:val="00864969"/>
    <w:rPr>
      <w:b/>
      <w:bCs/>
      <w:smallCaps/>
      <w:color w:val="0F4761" w:themeColor="accent1" w:themeShade="BF"/>
      <w:spacing w:val="5"/>
    </w:rPr>
  </w:style>
  <w:style w:type="character" w:styleId="Hyperlink">
    <w:name w:val="Hyperlink"/>
    <w:basedOn w:val="DefaultParagraphFont"/>
    <w:rsid w:val="00AE55F9"/>
    <w:rPr>
      <w:color w:val="467886"/>
      <w:u w:val="single"/>
    </w:rPr>
  </w:style>
  <w:style w:type="character" w:styleId="UnresolvedMention">
    <w:name w:val="Unresolved Mention"/>
    <w:basedOn w:val="DefaultParagraphFont"/>
    <w:uiPriority w:val="99"/>
    <w:semiHidden/>
    <w:unhideWhenUsed/>
    <w:rsid w:val="00DA2C8F"/>
    <w:rPr>
      <w:color w:val="605E5C"/>
      <w:shd w:val="clear" w:color="auto" w:fill="E1DFDD"/>
    </w:rPr>
  </w:style>
  <w:style w:type="paragraph" w:styleId="NormalWeb">
    <w:name w:val="Normal (Web)"/>
    <w:basedOn w:val="Normal"/>
    <w:uiPriority w:val="99"/>
    <w:semiHidden/>
    <w:unhideWhenUsed/>
    <w:rsid w:val="00F67A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 TargetMode="External"/><Relationship Id="rId13" Type="http://schemas.openxmlformats.org/officeDocument/2006/relationships/hyperlink" Target="https://www.legislation.gov.uk/ukpga/2005/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maslow.html" TargetMode="External"/><Relationship Id="rId17" Type="http://schemas.openxmlformats.org/officeDocument/2006/relationships/hyperlink" Target="https://www.who.int" TargetMode="External"/><Relationship Id="rId2" Type="http://schemas.openxmlformats.org/officeDocument/2006/relationships/customXml" Target="../customXml/item2.xml"/><Relationship Id="rId16" Type="http://schemas.openxmlformats.org/officeDocument/2006/relationships/hyperlink" Target="https://www.skillsforcare.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77/17449871241281428?utm_source=chatgpt.com" TargetMode="External"/><Relationship Id="rId5" Type="http://schemas.openxmlformats.org/officeDocument/2006/relationships/styles" Target="styles.xml"/><Relationship Id="rId15" Type="http://schemas.openxmlformats.org/officeDocument/2006/relationships/hyperlink" Target="https://www.england.nhs.uk/integratedcare" TargetMode="External"/><Relationship Id="rId10" Type="http://schemas.openxmlformats.org/officeDocument/2006/relationships/hyperlink" Target="https://www.legislation.gov.uk/ukpga/2022/31"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legislation.gov.uk/ukpga/2014/23" TargetMode="External"/><Relationship Id="rId14" Type="http://schemas.openxmlformats.org/officeDocument/2006/relationships/hyperlink" Target="https://www.nice.org.uk/guidance/ng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cb8988c8b197138e76b7498fff10f15e">
  <xsd:schema xmlns:xsd="http://www.w3.org/2001/XMLSchema" xmlns:xs="http://www.w3.org/2001/XMLSchema" xmlns:p="http://schemas.microsoft.com/office/2006/metadata/properties" xmlns:ns3="c1d1778d-a818-455a-8cd4-46a2d86b45f1" targetNamespace="http://schemas.microsoft.com/office/2006/metadata/properties" ma:root="true" ma:fieldsID="00d33285fb2f817045800366c0051602"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Props1.xml><?xml version="1.0" encoding="utf-8"?>
<ds:datastoreItem xmlns:ds="http://schemas.openxmlformats.org/officeDocument/2006/customXml" ds:itemID="{DB875C0B-2C29-4F3D-88C3-2692DEFEB9D5}">
  <ds:schemaRefs>
    <ds:schemaRef ds:uri="http://schemas.microsoft.com/sharepoint/v3/contenttype/forms"/>
  </ds:schemaRefs>
</ds:datastoreItem>
</file>

<file path=customXml/itemProps2.xml><?xml version="1.0" encoding="utf-8"?>
<ds:datastoreItem xmlns:ds="http://schemas.openxmlformats.org/officeDocument/2006/customXml" ds:itemID="{6751E270-0F88-4CC1-A843-7E398AED3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AA8181-5EA9-4FAA-8A11-2C56722092D2}">
  <ds:schemaRefs>
    <ds:schemaRef ds:uri="http://schemas.openxmlformats.org/officeDocument/2006/bibliography"/>
  </ds:schemaRefs>
</ds:datastoreItem>
</file>

<file path=customXml/itemProps4.xml><?xml version="1.0" encoding="utf-8"?>
<ds:datastoreItem xmlns:ds="http://schemas.openxmlformats.org/officeDocument/2006/customXml" ds:itemID="{4E664100-A4AD-42AE-A227-9E05686551E6}">
  <ds:schemaRefs>
    <ds:schemaRef ds:uri="http://schemas.microsoft.com/office/2006/metadata/properties"/>
    <ds:schemaRef ds:uri="http://schemas.microsoft.com/office/infopath/2007/PartnerControls"/>
    <ds:schemaRef ds:uri="c1d1778d-a818-455a-8cd4-46a2d86b45f1"/>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10</Pages>
  <Words>3074</Words>
  <Characters>17525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 Khanom (2431177)</dc:creator>
  <cp:keywords/>
  <dc:description/>
  <cp:lastModifiedBy>Tasnim Khanom (2431177)</cp:lastModifiedBy>
  <cp:revision>22</cp:revision>
  <dcterms:created xsi:type="dcterms:W3CDTF">2026-07-09T13:50:00Z</dcterms:created>
  <dcterms:modified xsi:type="dcterms:W3CDTF">2026-07-16T15:31:00Z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