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3606913" cy="1392142"/>
            <wp:effectExtent b="0" l="0" r="0" t="0"/>
            <wp:docPr id="1" name="image15.jpg"/>
            <a:graphic>
              <a:graphicData uri="http://schemas.openxmlformats.org/drawingml/2006/picture">
                <pic:pic>
                  <pic:nvPicPr>
                    <pic:cNvPr id="0" name="image15.jpg"/>
                    <pic:cNvPicPr preferRelativeResize="0"/>
                  </pic:nvPicPr>
                  <pic:blipFill>
                    <a:blip r:embed="rId6"/>
                    <a:srcRect b="0" l="0" r="0" t="0"/>
                    <a:stretch>
                      <a:fillRect/>
                    </a:stretch>
                  </pic:blipFill>
                  <pic:spPr>
                    <a:xfrm>
                      <a:off x="0" y="0"/>
                      <a:ext cx="3606913" cy="13921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Student Name: Krinalben Rajeshbhai Patel </w:t>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Student ID: 2531474</w:t>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Program: MSc Public Health and Social Care in Practice </w:t>
      </w:r>
    </w:p>
    <w:p w:rsidR="00000000" w:rsidDel="00000000" w:rsidP="00000000" w:rsidRDefault="00000000" w:rsidRPr="00000000" w14:paraId="00000009">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Module: Social Epidemiology and Public Health Development </w:t>
      </w:r>
    </w:p>
    <w:p w:rsidR="00000000" w:rsidDel="00000000" w:rsidP="00000000" w:rsidRDefault="00000000" w:rsidRPr="00000000" w14:paraId="0000000A">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Module Code: LCHS7000</w:t>
      </w:r>
    </w:p>
    <w:p w:rsidR="00000000" w:rsidDel="00000000" w:rsidP="00000000" w:rsidRDefault="00000000" w:rsidRPr="00000000" w14:paraId="0000000B">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COMPONENT 2 ANALYTICAL REPORT</w:t>
      </w:r>
    </w:p>
    <w:p w:rsidR="00000000" w:rsidDel="00000000" w:rsidP="00000000" w:rsidRDefault="00000000" w:rsidRPr="00000000" w14:paraId="0000000C">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w:t>
      </w:r>
    </w:p>
    <w:sdt>
      <w:sdtPr>
        <w:id w:val="769924702"/>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ueea21azuan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1</w:t>
              <w:tab/>
              <w:t xml:space="preserve">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syrsj3bzxj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pbhnw55xfg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Contextual Background and Underlying Factors</w:t>
              <w:tab/>
              <w:t xml:space="preserve">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q073v66li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Diseases/Illness</w:t>
              <w:tab/>
              <w:t xml:space="preserve">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o4bdvuawye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Social Issues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voujb31brt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National Response to Reduce Health Inequalities in Black People</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xvicjdtq88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Organisations That Support Black People Facing Health Inequalities</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ctd6on7e8h2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mgtc132f1d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2</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p3j7o683nb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457oyoh8zd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Definition of the Health Problem and Its Social, Cultural, and Health Consequences</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yzowfe2fwt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Incidence and Prevalence: Global and UK Statistics</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dnyw6uolyd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Main Body</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v5cjxfhskb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Public Health Measures: The Three P's (Prevention, Protection, Promotion)</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fzq66l1vkk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Key Determinants and Risk Factors</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cwha4eescnf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Epidemiological Studies and Health Needs Assessment: Identifying At-Risk Populations</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syd3xnweud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Monitoring and Surveillance Systems</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frl0akhsrk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Public Health Impact: Short- and Long-Term Consequences</w:t>
              <w:tab/>
              <w:t xml:space="preserve">15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rnvborim0z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Intervention Programme Design and Evaluation</w:t>
              <w:tab/>
              <w:t xml:space="preserve">15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4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58ju99y53l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Strengths and Weaknesses of the Epidemiological Approach</w:t>
              <w:tab/>
              <w:t xml:space="preserve">16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2fdllcypl8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pStyle w:val="Heading1"/>
        <w:rPr>
          <w:sz w:val="24"/>
          <w:szCs w:val="24"/>
        </w:rPr>
      </w:pPr>
      <w:bookmarkStart w:colFirst="0" w:colLast="0" w:name="_ueea21azuanj" w:id="0"/>
      <w:bookmarkEnd w:id="0"/>
      <w:r w:rsidDel="00000000" w:rsidR="00000000" w:rsidRPr="00000000">
        <w:rPr>
          <w:rtl w:val="0"/>
        </w:rPr>
        <w:t xml:space="preserve">Task 1</w:t>
      </w:r>
      <w:r w:rsidDel="00000000" w:rsidR="00000000" w:rsidRPr="00000000">
        <w:rPr>
          <w:rtl w:val="0"/>
        </w:rPr>
      </w:r>
    </w:p>
    <w:p w:rsidR="00000000" w:rsidDel="00000000" w:rsidP="00000000" w:rsidRDefault="00000000" w:rsidRPr="00000000" w14:paraId="00000027">
      <w:pPr>
        <w:pStyle w:val="Heading2"/>
        <w:rPr/>
      </w:pPr>
      <w:bookmarkStart w:colFirst="0" w:colLast="0" w:name="_6syrsj3bzxjx" w:id="1"/>
      <w:bookmarkEnd w:id="1"/>
      <w:r w:rsidDel="00000000" w:rsidR="00000000" w:rsidRPr="00000000">
        <w:rPr>
          <w:rtl w:val="0"/>
        </w:rPr>
        <w:t xml:space="preserve">Introduction</w:t>
      </w:r>
    </w:p>
    <w:p w:rsidR="00000000" w:rsidDel="00000000" w:rsidP="00000000" w:rsidRDefault="00000000" w:rsidRPr="00000000" w14:paraId="00000028">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Considering Black population in the UK, Black African, Black Caribbean and Black British communities, define the most contextually number about 4% in the population, which face the persistent, well-evidenced health inequalities. Based on structural racism and socio-economic disadvantage, these disparities articulate the varied clinical outcomes and social conditions, making ethnicity the key determinant for health in the contemporary landscape of the United Kingdom. </w:t>
      </w:r>
      <w:r w:rsidDel="00000000" w:rsidR="00000000" w:rsidRPr="00000000">
        <w:rPr>
          <w:rtl w:val="0"/>
        </w:rPr>
      </w:r>
    </w:p>
    <w:p w:rsidR="00000000" w:rsidDel="00000000" w:rsidP="00000000" w:rsidRDefault="00000000" w:rsidRPr="00000000" w14:paraId="00000029">
      <w:pPr>
        <w:pStyle w:val="Heading2"/>
        <w:rPr/>
      </w:pPr>
      <w:bookmarkStart w:colFirst="0" w:colLast="0" w:name="_opbhnw55xfgz" w:id="2"/>
      <w:bookmarkEnd w:id="2"/>
      <w:r w:rsidDel="00000000" w:rsidR="00000000" w:rsidRPr="00000000">
        <w:rPr>
          <w:rtl w:val="0"/>
        </w:rPr>
        <w:t xml:space="preserve">Contextual Background and Underlying Factors</w:t>
      </w:r>
    </w:p>
    <w:p w:rsidR="00000000" w:rsidDel="00000000" w:rsidP="00000000" w:rsidRDefault="00000000" w:rsidRPr="00000000" w14:paraId="0000002A">
      <w:pPr>
        <w:pStyle w:val="Heading3"/>
        <w:rPr/>
      </w:pPr>
      <w:bookmarkStart w:colFirst="0" w:colLast="0" w:name="_kq073v66li7" w:id="3"/>
      <w:bookmarkEnd w:id="3"/>
      <w:r w:rsidDel="00000000" w:rsidR="00000000" w:rsidRPr="00000000">
        <w:rPr>
          <w:rtl w:val="0"/>
        </w:rPr>
        <w:t xml:space="preserve">3 Diseases/Illness</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Hypertension and Cardiovascular Disease</w:t>
      </w: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Hypertension is considered the major health inequality in the UK, most disproportionately affecting the Black populations, particularly the African and Caribbean groups. The Health Survey for England (2022) report demonstrates that overall, hypertension prevalence was 28%. But the Black Caribbean and Black African adults show the highest rates up to 39% after adjusting for age (Digital,2023). According to Yogarajah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a 2019 study of 320,000 records found significant cardiovascular inequality among the Black population in the UK. Black ethnicity was associated with poorer control (aOR 1.31 -- 1.39), with the increased cardiovascular risk. Solutions include the ethnicity-specific clinical programmes and targeted workforce development within NHS cardiology care services. </w:t>
      </w:r>
    </w:p>
    <w:p w:rsidR="00000000" w:rsidDel="00000000" w:rsidP="00000000" w:rsidRDefault="00000000" w:rsidRPr="00000000" w14:paraId="0000002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690938" cy="3241400"/>
            <wp:effectExtent b="0" l="0" r="0" t="0"/>
            <wp:docPr id="2"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690938" cy="32414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1: Hypertension prevalence of black people</w:t>
      </w:r>
      <w:r w:rsidDel="00000000" w:rsidR="00000000" w:rsidRPr="00000000">
        <w:rPr>
          <w:rFonts w:ascii="Times New Roman" w:cs="Times New Roman" w:eastAsia="Times New Roman" w:hAnsi="Times New Roman"/>
          <w:sz w:val="24"/>
          <w:szCs w:val="24"/>
          <w:rtl w:val="0"/>
        </w:rPr>
        <w:br w:type="textWrapping"/>
        <w:t xml:space="preserve">(Source: Digital, 2023)</w:t>
      </w:r>
    </w:p>
    <w:p w:rsidR="00000000" w:rsidDel="00000000" w:rsidP="00000000" w:rsidRDefault="00000000" w:rsidRPr="00000000" w14:paraId="0000002F">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Mental Illness and Disproportionate Detention</w:t>
      </w:r>
    </w:p>
    <w:p w:rsidR="00000000" w:rsidDel="00000000" w:rsidP="00000000" w:rsidRDefault="00000000" w:rsidRPr="00000000" w14:paraId="00000030">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Black people in the UK face the most persistent mental health inequalities, as evidence from the NHS England data, showing they are nearly four times more likely to be detained under the Mental Health Act (Selondoner, 2024). There are stark inequality as Black people face detention rates of 262.4 per 100,000 in comparison to the White individuals, for whom it stands 65.8. This articulates the systematic biases along with the inequality of access towards the early mental health supports. Solutions include the strategic full implementation of the NHS Patient and Carer Race Equality Frameworks and the reforming of the Mental Health Act.</w:t>
      </w:r>
      <w:r w:rsidDel="00000000" w:rsidR="00000000" w:rsidRPr="00000000">
        <w:rPr>
          <w:rtl w:val="0"/>
        </w:rPr>
      </w:r>
    </w:p>
    <w:p w:rsidR="00000000" w:rsidDel="00000000" w:rsidP="00000000" w:rsidRDefault="00000000" w:rsidRPr="00000000" w14:paraId="00000031">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110163" cy="3374018"/>
            <wp:effectExtent b="0" l="0" r="0" t="0"/>
            <wp:docPr id="4"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5110163" cy="3374018"/>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2: Rate of detention among black people</w:t>
        <w:br w:type="textWrapping"/>
      </w:r>
      <w:r w:rsidDel="00000000" w:rsidR="00000000" w:rsidRPr="00000000">
        <w:rPr>
          <w:rFonts w:ascii="Times New Roman" w:cs="Times New Roman" w:eastAsia="Times New Roman" w:hAnsi="Times New Roman"/>
          <w:sz w:val="24"/>
          <w:szCs w:val="24"/>
          <w:rtl w:val="0"/>
        </w:rPr>
        <w:t xml:space="preserve">(Source: Selondoner, 2024)</w:t>
      </w:r>
    </w:p>
    <w:p w:rsidR="00000000" w:rsidDel="00000000" w:rsidP="00000000" w:rsidRDefault="00000000" w:rsidRPr="00000000" w14:paraId="00000033">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Higher maternal mortality </w:t>
      </w:r>
    </w:p>
    <w:p w:rsidR="00000000" w:rsidDel="00000000" w:rsidP="00000000" w:rsidRDefault="00000000" w:rsidRPr="00000000" w14:paraId="00000034">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According to the study of MBRRACE-UK Maternal Report (2025), there is persistent maternal health inequality, with Black women in England facing a mortality rate of 28.21 per 100,000 maternities versus 12.44 for White women. This is over twice the first of RR 2.27 (NPEU, 2025). In this regard, the contributing factors include the deprivation of 24% in the poorest groups, barriers to care access and mistrust of healthcare systems, which exacerbate the adverse maternal outcomes. The most practical solution includes the stronger continuation of care, earlier risk screening and better interpretation of the maternity pathways and acting on them quickly.</w:t>
      </w: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6">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4271963" cy="2437209"/>
            <wp:effectExtent b="0" l="0" r="0" t="0"/>
            <wp:docPr id="3"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4271963" cy="2437209"/>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3: Maternal mortality case among black people</w:t>
        <w:br w:type="textWrapping"/>
      </w:r>
      <w:r w:rsidDel="00000000" w:rsidR="00000000" w:rsidRPr="00000000">
        <w:rPr>
          <w:rFonts w:ascii="Times New Roman" w:cs="Times New Roman" w:eastAsia="Times New Roman" w:hAnsi="Times New Roman"/>
          <w:sz w:val="24"/>
          <w:szCs w:val="24"/>
          <w:rtl w:val="0"/>
        </w:rPr>
        <w:t xml:space="preserve">(Source: NPEU, 2025)</w:t>
      </w:r>
      <w:r w:rsidDel="00000000" w:rsidR="00000000" w:rsidRPr="00000000">
        <w:rPr>
          <w:rtl w:val="0"/>
        </w:rPr>
      </w:r>
    </w:p>
    <w:p w:rsidR="00000000" w:rsidDel="00000000" w:rsidP="00000000" w:rsidRDefault="00000000" w:rsidRPr="00000000" w14:paraId="00000038">
      <w:pPr>
        <w:pStyle w:val="Heading3"/>
        <w:rPr/>
      </w:pPr>
      <w:bookmarkStart w:colFirst="0" w:colLast="0" w:name="_no4bdvuawyes" w:id="4"/>
      <w:bookmarkEnd w:id="4"/>
      <w:r w:rsidDel="00000000" w:rsidR="00000000" w:rsidRPr="00000000">
        <w:rPr>
          <w:rtl w:val="0"/>
        </w:rPr>
        <w:t xml:space="preserve">3 Social Issues</w:t>
      </w:r>
    </w:p>
    <w:p w:rsidR="00000000" w:rsidDel="00000000" w:rsidP="00000000" w:rsidRDefault="00000000" w:rsidRPr="00000000" w14:paraId="00000039">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Poverty and Economic Deprivation</w:t>
      </w:r>
    </w:p>
    <w:p w:rsidR="00000000" w:rsidDel="00000000" w:rsidP="00000000" w:rsidRDefault="00000000" w:rsidRPr="00000000" w14:paraId="0000003A">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Black households in the UK face severe economic inequality, with a poverty rate of 39%, which stands more than double that of White households of 18%. Rates are considered High among other Black African groups of 40% and remain persistently elevated. Even though there is the persistence of 5-8% experience of deep poverty compared to the 2% of the White population (JRF, 2026).  According to Lewis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 (2025), Black people are disproportionately affected by the cost-of-living crisis, though 15% of the population, ethnic minorities represent 26% of deep poverty and are 2.2× more likely to be affected. Addressing poverty requires structural reform, including fair wages, universal credit reform and targeted financial support for Black communities. </w:t>
      </w:r>
      <w:r w:rsidDel="00000000" w:rsidR="00000000" w:rsidRPr="00000000">
        <w:rPr>
          <w:rtl w:val="0"/>
        </w:rPr>
      </w:r>
    </w:p>
    <w:p w:rsidR="00000000" w:rsidDel="00000000" w:rsidP="00000000" w:rsidRDefault="00000000" w:rsidRPr="00000000" w14:paraId="0000003B">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943600" cy="3238500"/>
            <wp:effectExtent b="0" l="0" r="0" t="0"/>
            <wp:docPr id="6"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4: Poverty prevalence among black people</w:t>
        <w:br w:type="textWrapping"/>
      </w:r>
      <w:r w:rsidDel="00000000" w:rsidR="00000000" w:rsidRPr="00000000">
        <w:rPr>
          <w:rFonts w:ascii="Times New Roman" w:cs="Times New Roman" w:eastAsia="Times New Roman" w:hAnsi="Times New Roman"/>
          <w:sz w:val="24"/>
          <w:szCs w:val="24"/>
          <w:rtl w:val="0"/>
        </w:rPr>
        <w:t xml:space="preserve">(Source: JRF, 2026)</w:t>
      </w:r>
    </w:p>
    <w:p w:rsidR="00000000" w:rsidDel="00000000" w:rsidP="00000000" w:rsidRDefault="00000000" w:rsidRPr="00000000" w14:paraId="0000003D">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Employment Insecurity </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of Joseph Rowntree Foundation (2025) defines that there is structural inequality with Black workers disproportionately concentrated in insecure employment. It reports that 12% of Black workers are in temporary roles versus 5% of White workers. It is further evidence that 5.3% of Black workers are on severely insecure zero-hours contracts in comparison to 2.3% of the White workers (JRF 2026). They are also over twice as likely to rely on agency work. Solutions include stronger welfare advice, employment support, and living wage policies.</w:t>
      </w:r>
    </w:p>
    <w:p w:rsidR="00000000" w:rsidDel="00000000" w:rsidP="00000000" w:rsidRDefault="00000000" w:rsidRPr="00000000" w14:paraId="0000003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136900"/>
            <wp:effectExtent b="0" l="0" r="0" t="0"/>
            <wp:docPr id="5" name="image10.png"/>
            <a:graphic>
              <a:graphicData uri="http://schemas.openxmlformats.org/drawingml/2006/picture">
                <pic:pic>
                  <pic:nvPicPr>
                    <pic:cNvPr id="0" name="image10.png"/>
                    <pic:cNvPicPr preferRelativeResize="0"/>
                  </pic:nvPicPr>
                  <pic:blipFill>
                    <a:blip r:embed="rId11"/>
                    <a:srcRect b="0" l="0" r="0" t="0"/>
                    <a:stretch>
                      <a:fillRect/>
                    </a:stretch>
                  </pic:blipFill>
                  <pic:spPr>
                    <a:xfrm>
                      <a:off x="0" y="0"/>
                      <a:ext cx="5943600" cy="31369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5: Temporary employment among black people</w:t>
      </w:r>
      <w:r w:rsidDel="00000000" w:rsidR="00000000" w:rsidRPr="00000000">
        <w:rPr>
          <w:rFonts w:ascii="Times New Roman" w:cs="Times New Roman" w:eastAsia="Times New Roman" w:hAnsi="Times New Roman"/>
          <w:sz w:val="24"/>
          <w:szCs w:val="24"/>
          <w:rtl w:val="0"/>
        </w:rPr>
        <w:br w:type="textWrapping"/>
        <w:t xml:space="preserve">(Source: JRF, 2026)</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Housing Inequality </w:t>
      </w: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Housing inequality among Black people in the UK articulates systematic and environmental racism. Despite representing about 4% of households, Black-led households account for 23% of those in temporary accommodation and are nearly 13 times more likely to experience the homelessness (Shelter, 2026). They are also considered 51% more likely to live in poor housing conditions and 22% more likely to face damp and mould. Furthermore, only 32% also articulate landlord discrimination. Solutions include the enforceable housing standards with the increased social housing investment in deprived areas.</w:t>
      </w:r>
    </w:p>
    <w:p w:rsidR="00000000" w:rsidDel="00000000" w:rsidP="00000000" w:rsidRDefault="00000000" w:rsidRPr="00000000" w14:paraId="00000043">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5">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943600" cy="3441700"/>
            <wp:effectExtent b="0" l="0" r="0" t="0"/>
            <wp:docPr id="8"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943600" cy="34417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6: Temporary accommodation of black people</w:t>
      </w:r>
      <w:r w:rsidDel="00000000" w:rsidR="00000000" w:rsidRPr="00000000">
        <w:rPr>
          <w:rtl w:val="0"/>
        </w:rPr>
      </w:r>
    </w:p>
    <w:p w:rsidR="00000000" w:rsidDel="00000000" w:rsidP="00000000" w:rsidRDefault="00000000" w:rsidRPr="00000000" w14:paraId="00000047">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(Source: Shelter, 2026)</w:t>
      </w:r>
      <w:r w:rsidDel="00000000" w:rsidR="00000000" w:rsidRPr="00000000">
        <w:rPr>
          <w:rtl w:val="0"/>
        </w:rPr>
      </w:r>
    </w:p>
    <w:p w:rsidR="00000000" w:rsidDel="00000000" w:rsidP="00000000" w:rsidRDefault="00000000" w:rsidRPr="00000000" w14:paraId="00000048">
      <w:pPr>
        <w:pStyle w:val="Heading2"/>
        <w:rPr/>
      </w:pPr>
      <w:bookmarkStart w:colFirst="0" w:colLast="0" w:name="_6voujb31brtt" w:id="5"/>
      <w:bookmarkEnd w:id="5"/>
      <w:r w:rsidDel="00000000" w:rsidR="00000000" w:rsidRPr="00000000">
        <w:rPr>
          <w:rtl w:val="0"/>
        </w:rPr>
        <w:t xml:space="preserve">National Response to Reduce Health Inequalities in Black People</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Inclusive Britain Strategy (2022) outlined the 74 targeted actions to address ethnic disparities across health, education, employment, and justice. This is built on the three pillars, which include trust, fairness and opportunity by shifting towards evidence-based interventions (GOV). </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Patient and Carer Race Equality Framework (PCREF), launched by NHS England in 2023, articulates the mandatory anti-racist reforms in the mental health services. It targets the disparities, such as higher detention and restraint rates among Black patients (NHS, 2024). </w:t>
      </w:r>
    </w:p>
    <w:p w:rsidR="00000000" w:rsidDel="00000000" w:rsidP="00000000" w:rsidRDefault="00000000" w:rsidRPr="00000000" w14:paraId="0000004B">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014913" cy="2925366"/>
            <wp:effectExtent b="0" l="0" r="0" t="0"/>
            <wp:docPr id="7" name="image11.png"/>
            <a:graphic>
              <a:graphicData uri="http://schemas.openxmlformats.org/drawingml/2006/picture">
                <pic:pic>
                  <pic:nvPicPr>
                    <pic:cNvPr id="0" name="image11.png"/>
                    <pic:cNvPicPr preferRelativeResize="0"/>
                  </pic:nvPicPr>
                  <pic:blipFill>
                    <a:blip r:embed="rId13"/>
                    <a:srcRect b="0" l="0" r="0" t="0"/>
                    <a:stretch>
                      <a:fillRect/>
                    </a:stretch>
                  </pic:blipFill>
                  <pic:spPr>
                    <a:xfrm>
                      <a:off x="0" y="0"/>
                      <a:ext cx="5014913" cy="2925366"/>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7: PCREF framework</w:t>
        <w:br w:type="textWrapping"/>
      </w:r>
      <w:r w:rsidDel="00000000" w:rsidR="00000000" w:rsidRPr="00000000">
        <w:rPr>
          <w:rFonts w:ascii="Times New Roman" w:cs="Times New Roman" w:eastAsia="Times New Roman" w:hAnsi="Times New Roman"/>
          <w:sz w:val="24"/>
          <w:szCs w:val="24"/>
          <w:rtl w:val="0"/>
        </w:rPr>
        <w:t xml:space="preserve">(Source: NHS, 2024)</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effective anti-racist health framework requires measurable systemic change, not passive diversity efforts. Tools like LARCH’s REMI enable accountability by tracking progress on structural racism. The framework identifies racism as a fundamental driver for the ethnic health inequalities and promotes a system-wide anti-racist response (Transformationpartners, 2023). </w:t>
      </w:r>
    </w:p>
    <w:p w:rsidR="00000000" w:rsidDel="00000000" w:rsidP="00000000" w:rsidRDefault="00000000" w:rsidRPr="00000000" w14:paraId="0000004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948238" cy="2561347"/>
            <wp:effectExtent b="0" l="0" r="0" t="0"/>
            <wp:docPr id="10"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4948238" cy="2561347"/>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8: LARCH approach</w:t>
      </w:r>
      <w:r w:rsidDel="00000000" w:rsidR="00000000" w:rsidRPr="00000000">
        <w:rPr>
          <w:rFonts w:ascii="Times New Roman" w:cs="Times New Roman" w:eastAsia="Times New Roman" w:hAnsi="Times New Roman"/>
          <w:sz w:val="24"/>
          <w:szCs w:val="24"/>
          <w:rtl w:val="0"/>
        </w:rPr>
        <w:br w:type="textWrapping"/>
        <w:t xml:space="preserve">(Source: Transformationpartners, 2023)</w:t>
      </w:r>
    </w:p>
    <w:p w:rsidR="00000000" w:rsidDel="00000000" w:rsidP="00000000" w:rsidRDefault="00000000" w:rsidRPr="00000000" w14:paraId="00000051">
      <w:pPr>
        <w:pStyle w:val="Heading2"/>
        <w:rPr/>
      </w:pPr>
      <w:bookmarkStart w:colFirst="0" w:colLast="0" w:name="_6xvicjdtq882" w:id="6"/>
      <w:bookmarkEnd w:id="6"/>
      <w:r w:rsidDel="00000000" w:rsidR="00000000" w:rsidRPr="00000000">
        <w:rPr>
          <w:rtl w:val="0"/>
        </w:rPr>
        <w:t xml:space="preserve">Organisations That Support Black People Facing Health Inequalities </w:t>
      </w:r>
    </w:p>
    <w:p w:rsidR="00000000" w:rsidDel="00000000" w:rsidP="00000000" w:rsidRDefault="00000000" w:rsidRPr="00000000" w14:paraId="00000052">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The Runnymede Trust plays a central role in the articulation of the health inequalities affecting Black communities by providing evidence on how structural racism shapes access to key determinants of health. Through its 2023-2025 partnerships with the Health Foundation and contributions to the UK Covid-19 Inquiry, it articulates how poverty, overcrowded housing and underfunded public health systems harmed ethnic minorities. The trust remains as the trusted key for the communities experiencing racial inequality, ensuring the advocacy work. </w:t>
      </w:r>
      <w:r w:rsidDel="00000000" w:rsidR="00000000" w:rsidRPr="00000000">
        <w:rPr>
          <w:rtl w:val="0"/>
        </w:rPr>
      </w:r>
    </w:p>
    <w:p w:rsidR="00000000" w:rsidDel="00000000" w:rsidP="00000000" w:rsidRDefault="00000000" w:rsidRPr="00000000" w14:paraId="00000053">
      <w:pPr>
        <w:pStyle w:val="Heading2"/>
        <w:rPr/>
      </w:pPr>
      <w:bookmarkStart w:colFirst="0" w:colLast="0" w:name="_ctd6on7e8h29" w:id="7"/>
      <w:bookmarkEnd w:id="7"/>
      <w:r w:rsidDel="00000000" w:rsidR="00000000" w:rsidRPr="00000000">
        <w:rPr>
          <w:rtl w:val="0"/>
        </w:rPr>
        <w:t xml:space="preserve">Conclusion</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Black people in the UK face structural inequalities across hypertension, mental health, maternal mortality, poverty, employment and housing. All of these are associated with structural racism. National responses, including the Inclusive Britain and PCREF, mark progress, while organisations such as the Runnymede Trust remain the key advocates. Sustainable change also demands genuine anti-racist reform across the health systems and wider society.</w:t>
      </w:r>
    </w:p>
    <w:p w:rsidR="00000000" w:rsidDel="00000000" w:rsidP="00000000" w:rsidRDefault="00000000" w:rsidRPr="00000000" w14:paraId="00000055">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1"/>
        <w:rPr/>
      </w:pPr>
      <w:bookmarkStart w:colFirst="0" w:colLast="0" w:name="_2mgtc132f1dr" w:id="8"/>
      <w:bookmarkEnd w:id="8"/>
      <w:r w:rsidDel="00000000" w:rsidR="00000000" w:rsidRPr="00000000">
        <w:rPr>
          <w:rtl w:val="0"/>
        </w:rPr>
        <w:t xml:space="preserve">Task 2</w:t>
      </w:r>
    </w:p>
    <w:p w:rsidR="00000000" w:rsidDel="00000000" w:rsidP="00000000" w:rsidRDefault="00000000" w:rsidRPr="00000000" w14:paraId="00000057">
      <w:pPr>
        <w:pStyle w:val="Heading2"/>
        <w:rPr/>
      </w:pPr>
      <w:bookmarkStart w:colFirst="0" w:colLast="0" w:name="_ap3j7o683nbq" w:id="9"/>
      <w:bookmarkEnd w:id="9"/>
      <w:r w:rsidDel="00000000" w:rsidR="00000000" w:rsidRPr="00000000">
        <w:rPr>
          <w:rtl w:val="0"/>
        </w:rPr>
        <w:t xml:space="preserve">Introduction</w:t>
      </w:r>
    </w:p>
    <w:p w:rsidR="00000000" w:rsidDel="00000000" w:rsidP="00000000" w:rsidRDefault="00000000" w:rsidRPr="00000000" w14:paraId="00000058">
      <w:pPr>
        <w:pStyle w:val="Heading3"/>
        <w:rPr/>
      </w:pPr>
      <w:bookmarkStart w:colFirst="0" w:colLast="0" w:name="_t457oyoh8zdi" w:id="10"/>
      <w:bookmarkEnd w:id="10"/>
      <w:r w:rsidDel="00000000" w:rsidR="00000000" w:rsidRPr="00000000">
        <w:rPr>
          <w:rtl w:val="0"/>
        </w:rPr>
        <w:t xml:space="preserve">Definition of the Health Problem and Its Social, Cultural, and Health Consequences</w:t>
      </w:r>
    </w:p>
    <w:p w:rsidR="00000000" w:rsidDel="00000000" w:rsidP="00000000" w:rsidRDefault="00000000" w:rsidRPr="00000000" w14:paraId="00000059">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Type 2 diabetes mellitus (T2DM) is considered a chronic, non-communicable metabolic disorder characterised by persistent hyperglycaemia resulting in progressive defects in insulin secretion compounded by insulin resistance. The social consequences of T2DM in Tower Hamlets are pronounced as the borough is characterised by significant socioeconomic deprivation, high unemployment, and increased cardiovascular risk. </w:t>
      </w:r>
    </w:p>
    <w:p w:rsidR="00000000" w:rsidDel="00000000" w:rsidP="00000000" w:rsidRDefault="00000000" w:rsidRPr="00000000" w14:paraId="0000005A">
      <w:pPr>
        <w:pStyle w:val="Heading3"/>
        <w:rPr/>
      </w:pPr>
      <w:bookmarkStart w:colFirst="0" w:colLast="0" w:name="_iyzowfe2fwtt" w:id="11"/>
      <w:bookmarkEnd w:id="11"/>
      <w:r w:rsidDel="00000000" w:rsidR="00000000" w:rsidRPr="00000000">
        <w:rPr>
          <w:rtl w:val="0"/>
        </w:rPr>
        <w:t xml:space="preserve">Incidence and Prevalence: Global and UK Statistics</w:t>
      </w:r>
    </w:p>
    <w:p w:rsidR="00000000" w:rsidDel="00000000" w:rsidP="00000000" w:rsidRDefault="00000000" w:rsidRPr="00000000" w14:paraId="0000005B">
      <w:pPr>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study of IDF (2025), globally, Type 2 diabetes mellitus proves to dominate 589 million adults, about 11.1% in 2024, which is projected to reach 852.5 million by 2050 (International-diabetes-federation, 2025). Growth reflects ageing, urbanisation, obesity, and diet shifts, with 42.8% undiagnosed, highlighting substantial hidden prevalence and escalating public health impact.</w:t>
      </w:r>
    </w:p>
    <w:p w:rsidR="00000000" w:rsidDel="00000000" w:rsidP="00000000" w:rsidRDefault="00000000" w:rsidRPr="00000000" w14:paraId="0000005C">
      <w:pPr>
        <w:spacing w:after="8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4872038" cy="2318902"/>
            <wp:effectExtent b="0" l="0" r="0" t="0"/>
            <wp:docPr id="9" name="image13.png"/>
            <a:graphic>
              <a:graphicData uri="http://schemas.openxmlformats.org/drawingml/2006/picture">
                <pic:pic>
                  <pic:nvPicPr>
                    <pic:cNvPr id="0" name="image13.png"/>
                    <pic:cNvPicPr preferRelativeResize="0"/>
                  </pic:nvPicPr>
                  <pic:blipFill>
                    <a:blip r:embed="rId15"/>
                    <a:srcRect b="0" l="0" r="0" t="0"/>
                    <a:stretch>
                      <a:fillRect/>
                    </a:stretch>
                  </pic:blipFill>
                  <pic:spPr>
                    <a:xfrm>
                      <a:off x="0" y="0"/>
                      <a:ext cx="4872038" cy="2318902"/>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spacing w:after="8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9: Global prevalence of diabetes</w:t>
      </w:r>
    </w:p>
    <w:p w:rsidR="00000000" w:rsidDel="00000000" w:rsidP="00000000" w:rsidRDefault="00000000" w:rsidRPr="00000000" w14:paraId="0000005E">
      <w:pPr>
        <w:spacing w:after="8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International-diabetes-federation, 2025)</w:t>
      </w:r>
    </w:p>
    <w:p w:rsidR="00000000" w:rsidDel="00000000" w:rsidP="00000000" w:rsidRDefault="00000000" w:rsidRPr="00000000" w14:paraId="0000005F">
      <w:pPr>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England, the prevalence of Type 2 diabetes mellitus is contextually rising, with GP record rates increasing from 6.8% (2023) to 7.0% (2024), and the total prevalence is estimated at 7.8%, which stands about 3.6 million people. Despite improved care processes (54.3%), declining treatment target achievement and regional disparities (5.7%–11.1%) highlight worsening disease burden and inequalities (GOV, 2025).</w:t>
      </w:r>
    </w:p>
    <w:p w:rsidR="00000000" w:rsidDel="00000000" w:rsidP="00000000" w:rsidRDefault="00000000" w:rsidRPr="00000000" w14:paraId="00000060">
      <w:pPr>
        <w:spacing w:after="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after="8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190875" cy="2124943"/>
            <wp:effectExtent b="0" l="0" r="0" t="0"/>
            <wp:docPr id="13"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3190875" cy="2124943"/>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after="8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10: UK prevalence of diabetes</w:t>
      </w:r>
      <w:r w:rsidDel="00000000" w:rsidR="00000000" w:rsidRPr="00000000">
        <w:rPr>
          <w:rFonts w:ascii="Times New Roman" w:cs="Times New Roman" w:eastAsia="Times New Roman" w:hAnsi="Times New Roman"/>
          <w:sz w:val="24"/>
          <w:szCs w:val="24"/>
          <w:rtl w:val="0"/>
        </w:rPr>
        <w:br w:type="textWrapping"/>
        <w:t xml:space="preserve">(Source: GOV, 2025)</w:t>
      </w:r>
    </w:p>
    <w:p w:rsidR="00000000" w:rsidDel="00000000" w:rsidP="00000000" w:rsidRDefault="00000000" w:rsidRPr="00000000" w14:paraId="00000063">
      <w:pPr>
        <w:pStyle w:val="Heading2"/>
        <w:rPr/>
      </w:pPr>
      <w:bookmarkStart w:colFirst="0" w:colLast="0" w:name="_vdnyw6uolyd9" w:id="12"/>
      <w:bookmarkEnd w:id="12"/>
      <w:r w:rsidDel="00000000" w:rsidR="00000000" w:rsidRPr="00000000">
        <w:rPr>
          <w:rtl w:val="0"/>
        </w:rPr>
        <w:t xml:space="preserve">Main Body</w:t>
      </w:r>
    </w:p>
    <w:p w:rsidR="00000000" w:rsidDel="00000000" w:rsidP="00000000" w:rsidRDefault="00000000" w:rsidRPr="00000000" w14:paraId="00000064">
      <w:pPr>
        <w:pStyle w:val="Heading3"/>
        <w:rPr/>
      </w:pPr>
      <w:bookmarkStart w:colFirst="0" w:colLast="0" w:name="_3v5cjxfhskbe" w:id="13"/>
      <w:bookmarkEnd w:id="13"/>
      <w:r w:rsidDel="00000000" w:rsidR="00000000" w:rsidRPr="00000000">
        <w:rPr>
          <w:rtl w:val="0"/>
        </w:rPr>
        <w:t xml:space="preserve">Public Health Measures: The Three P's (Prevention, Protection, Promotion)</w:t>
      </w:r>
    </w:p>
    <w:p w:rsidR="00000000" w:rsidDel="00000000" w:rsidP="00000000" w:rsidRDefault="00000000" w:rsidRPr="00000000" w14:paraId="00000065">
      <w:pPr>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Public health meetings addressing T2DM in Tower Hamlets can be understood through the application of the three P’s framework of Prevention, Protection and Health Promotion, which together form the comprehensive population-level response. </w:t>
      </w:r>
    </w:p>
    <w:p w:rsidR="00000000" w:rsidDel="00000000" w:rsidP="00000000" w:rsidRDefault="00000000" w:rsidRPr="00000000" w14:paraId="00000066">
      <w:pPr>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Prevention</w:t>
      </w:r>
    </w:p>
    <w:p w:rsidR="00000000" w:rsidDel="00000000" w:rsidP="00000000" w:rsidRDefault="00000000" w:rsidRPr="00000000" w14:paraId="00000067">
      <w:pPr>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Prevention measures are centred on the reduction of new cases among at-risk populations. According to Calderón-Larrañaga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in Tower Hamlets, NHS Diabetes Prevention Programmes had limited reach despite the need, as 67% were eligible, yet only 10% were referred.</w:t>
      </w:r>
      <w:r w:rsidDel="00000000" w:rsidR="00000000" w:rsidRPr="00000000">
        <w:rPr>
          <w:rtl w:val="0"/>
        </w:rPr>
      </w:r>
    </w:p>
    <w:p w:rsidR="00000000" w:rsidDel="00000000" w:rsidP="00000000" w:rsidRDefault="00000000" w:rsidRPr="00000000" w14:paraId="00000068">
      <w:pPr>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Protection</w:t>
      </w:r>
    </w:p>
    <w:p w:rsidR="00000000" w:rsidDel="00000000" w:rsidP="00000000" w:rsidRDefault="00000000" w:rsidRPr="00000000" w14:paraId="00000069">
      <w:pPr>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Protection measures focus mostly on the management of the existing disease for the prevention of complications. In Tower Hamlets, the T2DAY programme strangles Type 2 diabetes mellitus management in under 40s through the intensive monitoring such as (HbA1c, BP, retinal, ACR), cardiovascular optimisation, and early specialist care (Csmgdata, 2024). </w:t>
        <w:tab/>
      </w:r>
      <w:r w:rsidDel="00000000" w:rsidR="00000000" w:rsidRPr="00000000">
        <w:rPr>
          <w:rtl w:val="0"/>
        </w:rPr>
      </w:r>
    </w:p>
    <w:p w:rsidR="00000000" w:rsidDel="00000000" w:rsidP="00000000" w:rsidRDefault="00000000" w:rsidRPr="00000000" w14:paraId="0000006A">
      <w:pPr>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Promotion</w:t>
      </w:r>
    </w:p>
    <w:p w:rsidR="00000000" w:rsidDel="00000000" w:rsidP="00000000" w:rsidRDefault="00000000" w:rsidRPr="00000000" w14:paraId="0000006B">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 promotion in Tower Hamlets has strategically incorporated the community engagement initiatives led by the London Bangladeshi Health Partnership (LBHP) in collaboration with NHS funding. In Tower Hamlets, co–produced workshops led by Voice4Change are culturally tailored Type 2 diabetes mellitus prevention and management solutions addressing the documented ethnic health inequalities (Voice4change-england, 2025). </w:t>
      </w:r>
    </w:p>
    <w:p w:rsidR="00000000" w:rsidDel="00000000" w:rsidP="00000000" w:rsidRDefault="00000000" w:rsidRPr="00000000" w14:paraId="0000006C">
      <w:pPr>
        <w:pStyle w:val="Heading3"/>
        <w:rPr/>
      </w:pPr>
      <w:bookmarkStart w:colFirst="0" w:colLast="0" w:name="_8fzq66l1vkkj" w:id="14"/>
      <w:bookmarkEnd w:id="14"/>
      <w:r w:rsidDel="00000000" w:rsidR="00000000" w:rsidRPr="00000000">
        <w:rPr>
          <w:rtl w:val="0"/>
        </w:rPr>
        <w:t xml:space="preserve">Key Determinants and Risk Factors</w:t>
      </w:r>
    </w:p>
    <w:p w:rsidR="00000000" w:rsidDel="00000000" w:rsidP="00000000" w:rsidRDefault="00000000" w:rsidRPr="00000000" w14:paraId="0000006D">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T2Dm in Tower Hamlets is strategically shaped by the various biological, behavioural, social and structural determinants. In terms of biological aspects, the study of Hodgson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demonstrates that South Asians develop Type 2 diabetes younger and leaner, with up to fourfold higher risk under 40 (Hodgson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Evidence shows an 8.2-year earlier onset and lower BMI, driven by insulin deficiency and lipodystrophy genetics, causing faster progression. About 59% of the Tower Hamlets diabetes register comes from the South Asian community.</w:t>
      </w:r>
    </w:p>
    <w:p w:rsidR="00000000" w:rsidDel="00000000" w:rsidP="00000000" w:rsidRDefault="00000000" w:rsidRPr="00000000" w14:paraId="0000006E">
      <w:pPr>
        <w:spacing w:after="16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943600" cy="2082800"/>
            <wp:effectExtent b="0" l="0" r="0" t="0"/>
            <wp:docPr id="11" name="image6.png"/>
            <a:graphic>
              <a:graphicData uri="http://schemas.openxmlformats.org/drawingml/2006/picture">
                <pic:pic>
                  <pic:nvPicPr>
                    <pic:cNvPr id="0" name="image6.png"/>
                    <pic:cNvPicPr preferRelativeResize="0"/>
                  </pic:nvPicPr>
                  <pic:blipFill>
                    <a:blip r:embed="rId17"/>
                    <a:srcRect b="0" l="0" r="0" t="0"/>
                    <a:stretch>
                      <a:fillRect/>
                    </a:stretch>
                  </pic:blipFill>
                  <pic:spPr>
                    <a:xfrm>
                      <a:off x="0" y="0"/>
                      <a:ext cx="5943600" cy="20828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11: South Asian Type 2</w:t>
        <w:br w:type="textWrapping"/>
      </w:r>
      <w:r w:rsidDel="00000000" w:rsidR="00000000" w:rsidRPr="00000000">
        <w:rPr>
          <w:rFonts w:ascii="Times New Roman" w:cs="Times New Roman" w:eastAsia="Times New Roman" w:hAnsi="Times New Roman"/>
          <w:sz w:val="24"/>
          <w:szCs w:val="24"/>
          <w:rtl w:val="0"/>
        </w:rPr>
        <w:t xml:space="preserve">(Source: Hodgson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w:t>
      </w:r>
    </w:p>
    <w:p w:rsidR="00000000" w:rsidDel="00000000" w:rsidP="00000000" w:rsidRDefault="00000000" w:rsidRPr="00000000" w14:paraId="00000070">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aspect of behavioural, risk factors include the low physical activity level, higher consumption of refined carbohydrates, traditional calorie-dense diets and tobacco use. Young Bangladeshis in Tower Hamlets have identified poor diet — both traditional and Westernised — as a central risk factor, while also recognising the role of limited exercise (van Blarikom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w:t>
      </w:r>
    </w:p>
    <w:p w:rsidR="00000000" w:rsidDel="00000000" w:rsidP="00000000" w:rsidRDefault="00000000" w:rsidRPr="00000000" w14:paraId="00000071">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regards the social context, poverty, unemployment and housing overcrowding reduce access to preventive care and health information. Structurally, Tower Hamlets has consistently ranked among the most deprived boroughs in England, and deprivation quintile analysis nationally confirms that the most deprived areas have the highest diabetes prescription rates</w:t>
      </w:r>
    </w:p>
    <w:p w:rsidR="00000000" w:rsidDel="00000000" w:rsidP="00000000" w:rsidRDefault="00000000" w:rsidRPr="00000000" w14:paraId="00000072">
      <w:pPr>
        <w:pStyle w:val="Heading3"/>
        <w:rPr/>
      </w:pPr>
      <w:bookmarkStart w:colFirst="0" w:colLast="0" w:name="_cwha4eescnfh" w:id="15"/>
      <w:bookmarkEnd w:id="15"/>
      <w:r w:rsidDel="00000000" w:rsidR="00000000" w:rsidRPr="00000000">
        <w:rPr>
          <w:rtl w:val="0"/>
        </w:rPr>
        <w:t xml:space="preserve">Epidemiological Studies and Health Needs Assessment: Identifying At-Risk Populations</w:t>
      </w:r>
    </w:p>
    <w:p w:rsidR="00000000" w:rsidDel="00000000" w:rsidP="00000000" w:rsidRDefault="00000000" w:rsidRPr="00000000" w14:paraId="00000073">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Tower Hamlets, the risk of Type 2 diabetes mellitus is highly unequal, shared by the contextual underlying ethnicity, deprivation, and life-course factors. The Bangladeshi population, which accounts for 34.6%, shows the highest diagnosis rates, with disparities widening by age. Furthermore, the inter-generational risk is well evidenced as &gt;50% of pregnancies in the overweight mothers, increasing the gestational diabetes and future T2DM risk for both mother and child. Even childhood obesity is contextually severe, as 42.7% overweight or obese by Year 6 versus 36.6% nationally, predicting early disease onset (Towerhamlets, 2025).  Even the structural deprivation intensifies this underlying burden, as 39% of households live in poverty, limiting healthy choices, while 8% of homeless individuals have diabetes. </w:t>
      </w:r>
    </w:p>
    <w:p w:rsidR="00000000" w:rsidDel="00000000" w:rsidP="00000000" w:rsidRDefault="00000000" w:rsidRPr="00000000" w14:paraId="00000074">
      <w:pPr>
        <w:spacing w:after="16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3690938" cy="2583656"/>
            <wp:effectExtent b="0" l="0" r="0" t="0"/>
            <wp:docPr id="12" name="image2.png"/>
            <a:graphic>
              <a:graphicData uri="http://schemas.openxmlformats.org/drawingml/2006/picture">
                <pic:pic>
                  <pic:nvPicPr>
                    <pic:cNvPr id="0" name="image2.png"/>
                    <pic:cNvPicPr preferRelativeResize="0"/>
                  </pic:nvPicPr>
                  <pic:blipFill>
                    <a:blip r:embed="rId18"/>
                    <a:srcRect b="0" l="0" r="0" t="0"/>
                    <a:stretch>
                      <a:fillRect/>
                    </a:stretch>
                  </pic:blipFill>
                  <pic:spPr>
                    <a:xfrm>
                      <a:off x="0" y="0"/>
                      <a:ext cx="3690938" cy="2583656"/>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12: Ethnicity of Tower Hamlet</w:t>
        <w:br w:type="textWrapping"/>
      </w:r>
      <w:r w:rsidDel="00000000" w:rsidR="00000000" w:rsidRPr="00000000">
        <w:rPr>
          <w:rFonts w:ascii="Times New Roman" w:cs="Times New Roman" w:eastAsia="Times New Roman" w:hAnsi="Times New Roman"/>
          <w:sz w:val="24"/>
          <w:szCs w:val="24"/>
          <w:rtl w:val="0"/>
        </w:rPr>
        <w:t xml:space="preserve">(Source: Towerhamlets, 2025)</w:t>
      </w:r>
    </w:p>
    <w:p w:rsidR="00000000" w:rsidDel="00000000" w:rsidP="00000000" w:rsidRDefault="00000000" w:rsidRPr="00000000" w14:paraId="00000076">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Tower Hamlets, adult oversights or obesity, which accounts for 47.8%, is lower than in London 55.9% and England 63.8% in line with higher physical activity. This supports evidence that activity reduces Type 2 diabetes mellitus risk, contributing about £50.5 million in health value. However, persistent inequalities mean benefits are unevenly distributed across high-risk groups.</w:t>
      </w:r>
    </w:p>
    <w:p w:rsidR="00000000" w:rsidDel="00000000" w:rsidP="00000000" w:rsidRDefault="00000000" w:rsidRPr="00000000" w14:paraId="00000077">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2349500"/>
            <wp:effectExtent b="0" l="0" r="0" t="0"/>
            <wp:docPr id="14" name="image14.png"/>
            <a:graphic>
              <a:graphicData uri="http://schemas.openxmlformats.org/drawingml/2006/picture">
                <pic:pic>
                  <pic:nvPicPr>
                    <pic:cNvPr id="0" name="image14.png"/>
                    <pic:cNvPicPr preferRelativeResize="0"/>
                  </pic:nvPicPr>
                  <pic:blipFill>
                    <a:blip r:embed="rId19"/>
                    <a:srcRect b="0" l="0" r="0" t="0"/>
                    <a:stretch>
                      <a:fillRect/>
                    </a:stretch>
                  </pic:blipFill>
                  <pic:spPr>
                    <a:xfrm>
                      <a:off x="0" y="0"/>
                      <a:ext cx="5943600" cy="234950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13: Tower Hamlet overweight and obesity</w:t>
        <w:br w:type="textWrapping"/>
      </w:r>
      <w:r w:rsidDel="00000000" w:rsidR="00000000" w:rsidRPr="00000000">
        <w:rPr>
          <w:rFonts w:ascii="Times New Roman" w:cs="Times New Roman" w:eastAsia="Times New Roman" w:hAnsi="Times New Roman"/>
          <w:sz w:val="24"/>
          <w:szCs w:val="24"/>
          <w:rtl w:val="0"/>
        </w:rPr>
        <w:t xml:space="preserve">(Source: Londonsport, 2025)</w:t>
      </w:r>
    </w:p>
    <w:p w:rsidR="00000000" w:rsidDel="00000000" w:rsidP="00000000" w:rsidRDefault="00000000" w:rsidRPr="00000000" w14:paraId="0000007B">
      <w:pPr>
        <w:pStyle w:val="Heading3"/>
        <w:rPr/>
      </w:pPr>
      <w:bookmarkStart w:colFirst="0" w:colLast="0" w:name="_7syd3xnweudi" w:id="16"/>
      <w:bookmarkEnd w:id="16"/>
      <w:r w:rsidDel="00000000" w:rsidR="00000000" w:rsidRPr="00000000">
        <w:rPr>
          <w:rtl w:val="0"/>
        </w:rPr>
        <w:t xml:space="preserve">Monitoring and Surveillance Systems</w:t>
      </w:r>
    </w:p>
    <w:p w:rsidR="00000000" w:rsidDel="00000000" w:rsidP="00000000" w:rsidRDefault="00000000" w:rsidRPr="00000000" w14:paraId="0000007C">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 Diabetes Audit (NDA), a national clinical audit of primary care data, strategically measures the care process and overall treatment targets as defined by the NICE guidelines (Chandok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In NHS England, GP workforce changes articulate how structural strain. Activity increased (377.4 million appointments), yet productivity fell 2.7%. Funding inequities persist, with deprived areas receiving £155.90 vs £169.12, reflecting inverse care law pressures. </w:t>
      </w:r>
    </w:p>
    <w:p w:rsidR="00000000" w:rsidDel="00000000" w:rsidP="00000000" w:rsidRDefault="00000000" w:rsidRPr="00000000" w14:paraId="0000007D">
      <w:pPr>
        <w:spacing w:after="16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4757738" cy="2401742"/>
            <wp:effectExtent b="0" l="0" r="0" t="0"/>
            <wp:docPr id="15" name="image5.png"/>
            <a:graphic>
              <a:graphicData uri="http://schemas.openxmlformats.org/drawingml/2006/picture">
                <pic:pic>
                  <pic:nvPicPr>
                    <pic:cNvPr id="0" name="image5.png"/>
                    <pic:cNvPicPr preferRelativeResize="0"/>
                  </pic:nvPicPr>
                  <pic:blipFill>
                    <a:blip r:embed="rId20"/>
                    <a:srcRect b="0" l="0" r="0" t="0"/>
                    <a:stretch>
                      <a:fillRect/>
                    </a:stretch>
                  </pic:blipFill>
                  <pic:spPr>
                    <a:xfrm>
                      <a:off x="0" y="0"/>
                      <a:ext cx="4757738" cy="2401742"/>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14: GP practice spending</w:t>
        <w:br w:type="textWrapping"/>
      </w:r>
      <w:r w:rsidDel="00000000" w:rsidR="00000000" w:rsidRPr="00000000">
        <w:rPr>
          <w:rFonts w:ascii="Times New Roman" w:cs="Times New Roman" w:eastAsia="Times New Roman" w:hAnsi="Times New Roman"/>
          <w:sz w:val="24"/>
          <w:szCs w:val="24"/>
          <w:rtl w:val="0"/>
        </w:rPr>
        <w:t xml:space="preserve">(Source: Instituteforgovernment, 2025)</w:t>
      </w:r>
    </w:p>
    <w:p w:rsidR="00000000" w:rsidDel="00000000" w:rsidP="00000000" w:rsidRDefault="00000000" w:rsidRPr="00000000" w14:paraId="0000007F">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the Quality and Outcomes Framework (QOF) offers the annual, practice-level data on the diabetes prevalence, care processes and treatment target achievement level, leveraging identification of under-performing areas. At the local level, the Clinical Effectiveness Group strategically leverages GP information covering about 2 million residents in North East London, for the addressing of health inequalities (Edwards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It improves the overall chronic disease management and coding accuracy, demonstrating the gains in outcomes such as immunisation uptake and long-term condition care. </w:t>
      </w:r>
    </w:p>
    <w:p w:rsidR="00000000" w:rsidDel="00000000" w:rsidP="00000000" w:rsidRDefault="00000000" w:rsidRPr="00000000" w14:paraId="00000080">
      <w:pPr>
        <w:pStyle w:val="Heading3"/>
        <w:rPr/>
      </w:pPr>
      <w:bookmarkStart w:colFirst="0" w:colLast="0" w:name="_afrl0akhsrkt" w:id="17"/>
      <w:bookmarkEnd w:id="17"/>
      <w:r w:rsidDel="00000000" w:rsidR="00000000" w:rsidRPr="00000000">
        <w:rPr>
          <w:rtl w:val="0"/>
        </w:rPr>
        <w:t xml:space="preserve">Public Health Impact: Short- and Long-Term Consequences</w:t>
      </w:r>
    </w:p>
    <w:p w:rsidR="00000000" w:rsidDel="00000000" w:rsidP="00000000" w:rsidRDefault="00000000" w:rsidRPr="00000000" w14:paraId="00000081">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short term, T2DM in Tower Hamlets contributes towards the higher GP and outpatient appointments, acute hospital admissions for hypoglycaemia emergencies and rising prescribing costs (Nugawela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In Tower Hamlets, workplace CVD health checks target early detection, addressing evidence that ~50% of hypertension cases remain undiagnosed and CVD costs the UK £25 billion annually (Towerhamlets, 2024).</w:t>
      </w:r>
    </w:p>
    <w:p w:rsidR="00000000" w:rsidDel="00000000" w:rsidP="00000000" w:rsidRDefault="00000000" w:rsidRPr="00000000" w14:paraId="00000082">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long term, without the intensified intervention, projects include T2DM prevalence in Tower Hamlets, with the continuous rise in cases in 2030 (Siddiqui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In the national aspect, it is estimated that the cost will rise to £18 billion by 2035, reflecting increasing prevalence and long-term healthcare burden.</w:t>
      </w:r>
    </w:p>
    <w:p w:rsidR="00000000" w:rsidDel="00000000" w:rsidP="00000000" w:rsidRDefault="00000000" w:rsidRPr="00000000" w14:paraId="00000083">
      <w:pPr>
        <w:pStyle w:val="Heading3"/>
        <w:rPr/>
      </w:pPr>
      <w:bookmarkStart w:colFirst="0" w:colLast="0" w:name="_3rnvborim0z2" w:id="18"/>
      <w:bookmarkEnd w:id="18"/>
      <w:r w:rsidDel="00000000" w:rsidR="00000000" w:rsidRPr="00000000">
        <w:rPr>
          <w:rtl w:val="0"/>
        </w:rPr>
        <w:t xml:space="preserve">Intervention Programme Design and Evaluation</w:t>
      </w:r>
    </w:p>
    <w:p w:rsidR="00000000" w:rsidDel="00000000" w:rsidP="00000000" w:rsidRDefault="00000000" w:rsidRPr="00000000" w14:paraId="00000084">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strategically drawing from the epidemiological evidence, a strong and strategic intervention programme is proposed for Tower Hamlets, which is aimed at delivering through three integrated components. </w:t>
      </w:r>
    </w:p>
    <w:p w:rsidR="00000000" w:rsidDel="00000000" w:rsidP="00000000" w:rsidRDefault="00000000" w:rsidRPr="00000000" w14:paraId="00000085">
      <w:pPr>
        <w:spacing w:after="16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Component 1-Culturally Adapted NDPP Intensification </w:t>
      </w:r>
    </w:p>
    <w:p w:rsidR="00000000" w:rsidDel="00000000" w:rsidP="00000000" w:rsidRDefault="00000000" w:rsidRPr="00000000" w14:paraId="00000086">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Building on the existing NHS Diabetes Prevention Programme infrastructure in Tower Hamlets would expand referral capacity for Bangladeshi adults aged 35-65 with pre-diabetic readings delivered in Bengali by community health workers (Ronaldson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Evaluation using NDA-linked electronic health records would measure HbA1c change and conversion for the diagnosis of T2DM in matching the controls from the CEG database. </w:t>
      </w:r>
    </w:p>
    <w:p w:rsidR="00000000" w:rsidDel="00000000" w:rsidP="00000000" w:rsidRDefault="00000000" w:rsidRPr="00000000" w14:paraId="00000087">
      <w:pPr>
        <w:spacing w:after="16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Component 2-Faith and Community Venue Engagement</w:t>
      </w:r>
    </w:p>
    <w:p w:rsidR="00000000" w:rsidDel="00000000" w:rsidP="00000000" w:rsidRDefault="00000000" w:rsidRPr="00000000" w14:paraId="00000088">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utilisation of the mosques, community centres, and trusted organisations such as LBHP and Bengal Housing Association, the programme would deliver structured diabetes awareness sessions and dietary counselling tailored to the cultural contexts. Evaluation would measure the screening uptake, risk score improvement and the participant health literacy of post-intervention (Shamsutdinova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w:t>
      </w:r>
    </w:p>
    <w:p w:rsidR="00000000" w:rsidDel="00000000" w:rsidP="00000000" w:rsidRDefault="00000000" w:rsidRPr="00000000" w14:paraId="00000089">
      <w:pPr>
        <w:spacing w:after="16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Component 3-Structural Social Prescribing Linkage</w:t>
      </w:r>
    </w:p>
    <w:p w:rsidR="00000000" w:rsidDel="00000000" w:rsidP="00000000" w:rsidRDefault="00000000" w:rsidRPr="00000000" w14:paraId="0000008A">
      <w:pPr>
        <w:spacing w:after="16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Extending the evidence-based social prescribing model, Link Workers embedded in GP practices would effectively connect the higher-risk individuals towards accessible physical activity options and employment support (Mallik</w:t>
      </w:r>
      <w:r w:rsidDel="00000000" w:rsidR="00000000" w:rsidRPr="00000000">
        <w:rPr>
          <w:rFonts w:ascii="Times New Roman" w:cs="Times New Roman" w:eastAsia="Times New Roman" w:hAnsi="Times New Roman"/>
          <w:i w:val="1"/>
          <w:iCs w:val="1"/>
          <w:sz w:val="24"/>
          <w:szCs w:val="24"/>
          <w:rtl w:val="0"/>
        </w:rPr>
        <w:t xml:space="preserve"> et al. </w:t>
      </w:r>
      <w:r w:rsidDel="00000000" w:rsidR="00000000" w:rsidRPr="00000000">
        <w:rPr>
          <w:rFonts w:ascii="Times New Roman" w:cs="Times New Roman" w:eastAsia="Times New Roman" w:hAnsi="Times New Roman"/>
          <w:sz w:val="24"/>
          <w:szCs w:val="24"/>
          <w:rtl w:val="0"/>
        </w:rPr>
        <w:t xml:space="preserve">2026). Evaluation would strategically trace the T2DM incidence at 24 and 36 months among referred cohorts using QOF and NDA data. This multi-component programme addresses holistically for equitable reach across the most deprived areas of the borough. </w:t>
      </w:r>
      <w:r w:rsidDel="00000000" w:rsidR="00000000" w:rsidRPr="00000000">
        <w:rPr>
          <w:rtl w:val="0"/>
        </w:rPr>
      </w:r>
    </w:p>
    <w:p w:rsidR="00000000" w:rsidDel="00000000" w:rsidP="00000000" w:rsidRDefault="00000000" w:rsidRPr="00000000" w14:paraId="0000008B">
      <w:pPr>
        <w:pStyle w:val="Heading3"/>
        <w:rPr/>
      </w:pPr>
      <w:bookmarkStart w:colFirst="0" w:colLast="0" w:name="_q58ju99y53lo" w:id="19"/>
      <w:bookmarkEnd w:id="19"/>
      <w:r w:rsidDel="00000000" w:rsidR="00000000" w:rsidRPr="00000000">
        <w:rPr>
          <w:rtl w:val="0"/>
        </w:rPr>
        <w:t xml:space="preserve">Strengths and Weaknesses of the Epidemiological Approach</w:t>
      </w:r>
    </w:p>
    <w:p w:rsidR="00000000" w:rsidDel="00000000" w:rsidP="00000000" w:rsidRDefault="00000000" w:rsidRPr="00000000" w14:paraId="0000008C">
      <w:pPr>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epidemiological approach includes the strength of the use of multiple complementary data sources, such as NDA, QOF, and Clinical Effectiveness Group (CEG) records covering the appropriate two million Northeast London residents, which enable robust triangulation and strengthen the validity of the needs assessment (Hodgson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w:t>
      </w:r>
    </w:p>
    <w:p w:rsidR="00000000" w:rsidDel="00000000" w:rsidP="00000000" w:rsidRDefault="00000000" w:rsidRPr="00000000" w14:paraId="0000008D">
      <w:pPr>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key limitations exist. QOF and NDA data are subject to coding inconsistencies across practices, potentially underestimating true prevalence. Furthermore, NDPP evaluation evidence primarily reflects programme completers, introducing selection bias that may overestimate real-world effectiveness.</w:t>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90">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2">
      <w:pPr>
        <w:pStyle w:val="Heading1"/>
        <w:rPr/>
      </w:pPr>
      <w:bookmarkStart w:colFirst="0" w:colLast="0" w:name="_s2fdllcypl8r" w:id="20"/>
      <w:bookmarkEnd w:id="20"/>
      <w:r w:rsidDel="00000000" w:rsidR="00000000" w:rsidRPr="00000000">
        <w:rPr>
          <w:rtl w:val="0"/>
        </w:rPr>
        <w:t xml:space="preserve">References</w:t>
      </w:r>
    </w:p>
    <w:p w:rsidR="00000000" w:rsidDel="00000000" w:rsidP="00000000" w:rsidRDefault="00000000" w:rsidRPr="00000000" w14:paraId="00000093">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Task 1</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(2023). Health Survey England Additional Analyses, Ethnicity and Health. Available at: </w:t>
      </w:r>
      <w:hyperlink r:id="rId21">
        <w:r w:rsidDel="00000000" w:rsidR="00000000" w:rsidRPr="00000000">
          <w:rPr>
            <w:rFonts w:ascii="Times New Roman" w:cs="Times New Roman" w:eastAsia="Times New Roman" w:hAnsi="Times New Roman"/>
            <w:sz w:val="24"/>
            <w:szCs w:val="24"/>
            <w:u w:val="single"/>
            <w:rtl w:val="0"/>
          </w:rPr>
          <w:t xml:space="preserve">https://digital.nhs.uk/data-and-information/publications/statistical/health-survey-england-additional-analyses/ethnicity-and-health-2011-2019-experimental-statistics/blood-pressure</w:t>
        </w:r>
      </w:hyperlink>
      <w:r w:rsidDel="00000000" w:rsidR="00000000" w:rsidRPr="00000000">
        <w:rPr>
          <w:rFonts w:ascii="Times New Roman" w:cs="Times New Roman" w:eastAsia="Times New Roman" w:hAnsi="Times New Roman"/>
          <w:sz w:val="24"/>
          <w:szCs w:val="24"/>
          <w:rtl w:val="0"/>
        </w:rPr>
        <w:t xml:space="preserve"> [Accessed on: 21.04.2026]</w:t>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 (2023). Inclusive Britain action plan: updates. Available at: </w:t>
      </w:r>
      <w:hyperlink r:id="rId22">
        <w:r w:rsidDel="00000000" w:rsidR="00000000" w:rsidRPr="00000000">
          <w:rPr>
            <w:rFonts w:ascii="Times New Roman" w:cs="Times New Roman" w:eastAsia="Times New Roman" w:hAnsi="Times New Roman"/>
            <w:sz w:val="24"/>
            <w:szCs w:val="24"/>
            <w:u w:val="single"/>
            <w:rtl w:val="0"/>
          </w:rPr>
          <w:t xml:space="preserve">https://www.gov.uk/guidance/inclusive-britain-action-plan-updates</w:t>
        </w:r>
      </w:hyperlink>
      <w:r w:rsidDel="00000000" w:rsidR="00000000" w:rsidRPr="00000000">
        <w:rPr>
          <w:rFonts w:ascii="Times New Roman" w:cs="Times New Roman" w:eastAsia="Times New Roman" w:hAnsi="Times New Roman"/>
          <w:sz w:val="24"/>
          <w:szCs w:val="24"/>
          <w:rtl w:val="0"/>
        </w:rPr>
        <w:t xml:space="preserve"> [Accessed on: 21.04.2026]</w:t>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JRF (2026). UK Poverty 2026: The essential guide to understanding poverty in the UK. Available at: </w:t>
      </w:r>
      <w:hyperlink r:id="rId23">
        <w:r w:rsidDel="00000000" w:rsidR="00000000" w:rsidRPr="00000000">
          <w:rPr>
            <w:rFonts w:ascii="Times New Roman" w:cs="Times New Roman" w:eastAsia="Times New Roman" w:hAnsi="Times New Roman"/>
            <w:sz w:val="24"/>
            <w:szCs w:val="24"/>
            <w:u w:val="single"/>
            <w:rtl w:val="0"/>
          </w:rPr>
          <w:t xml:space="preserve">https://www.jrf.org.uk/uk-poverty-2026-the-essential-guide-to-understanding-poverty-in-the-uk</w:t>
        </w:r>
      </w:hyperlink>
      <w:r w:rsidDel="00000000" w:rsidR="00000000" w:rsidRPr="00000000">
        <w:rPr>
          <w:rFonts w:ascii="Times New Roman" w:cs="Times New Roman" w:eastAsia="Times New Roman" w:hAnsi="Times New Roman"/>
          <w:sz w:val="24"/>
          <w:szCs w:val="24"/>
          <w:rtl w:val="0"/>
        </w:rPr>
        <w:t xml:space="preserve"> [Accessed on: 20.04.2026]</w:t>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JRF (2026). Ethnicity, poverty, and in-work inequalities in the UK. Available at: </w:t>
      </w:r>
      <w:hyperlink r:id="rId24">
        <w:r w:rsidDel="00000000" w:rsidR="00000000" w:rsidRPr="00000000">
          <w:rPr>
            <w:rFonts w:ascii="Times New Roman" w:cs="Times New Roman" w:eastAsia="Times New Roman" w:hAnsi="Times New Roman"/>
            <w:sz w:val="24"/>
            <w:szCs w:val="24"/>
            <w:u w:val="single"/>
            <w:rtl w:val="0"/>
          </w:rPr>
          <w:t xml:space="preserve">https://www.jrf.org.uk/sites/default/files/pdfs/ethnicity-poverty-and-in-work-inequalities-in-the-uk-91202e78d0df304ef39efa8af568905d.pdf</w:t>
        </w:r>
      </w:hyperlink>
      <w:r w:rsidDel="00000000" w:rsidR="00000000" w:rsidRPr="00000000">
        <w:rPr>
          <w:rFonts w:ascii="Times New Roman" w:cs="Times New Roman" w:eastAsia="Times New Roman" w:hAnsi="Times New Roman"/>
          <w:sz w:val="24"/>
          <w:szCs w:val="24"/>
          <w:rtl w:val="0"/>
        </w:rPr>
        <w:t xml:space="preserve"> [Accessed on: 19.04.2026] </w:t>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Lewis, C., Yarker, S. and Phillipson, C., (2025). Living with financial insecurity: Analysing the impact of the cost‐of‐living crisis on older ethnic minority people. Social Policy &amp; Administration, 59(2), pp.265-279.</w:t>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(2024). Patient and carer race equality framework. Available at: </w:t>
      </w:r>
      <w:hyperlink r:id="rId25">
        <w:r w:rsidDel="00000000" w:rsidR="00000000" w:rsidRPr="00000000">
          <w:rPr>
            <w:rFonts w:ascii="Times New Roman" w:cs="Times New Roman" w:eastAsia="Times New Roman" w:hAnsi="Times New Roman"/>
            <w:sz w:val="24"/>
            <w:szCs w:val="24"/>
            <w:u w:val="single"/>
            <w:rtl w:val="0"/>
          </w:rPr>
          <w:t xml:space="preserve">https://www.england.nhs.uk/mental-health/advancing-mental-health-equalities/pcref/</w:t>
        </w:r>
      </w:hyperlink>
      <w:r w:rsidDel="00000000" w:rsidR="00000000" w:rsidRPr="00000000">
        <w:rPr>
          <w:rFonts w:ascii="Times New Roman" w:cs="Times New Roman" w:eastAsia="Times New Roman" w:hAnsi="Times New Roman"/>
          <w:sz w:val="24"/>
          <w:szCs w:val="24"/>
          <w:rtl w:val="0"/>
        </w:rPr>
        <w:t xml:space="preserve"> [Accessed on: 18.04.2026]</w:t>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NPEU (2025). Saving Lives, Improving Mothers’ Care. Available at: </w:t>
      </w:r>
      <w:hyperlink r:id="rId26">
        <w:r w:rsidDel="00000000" w:rsidR="00000000" w:rsidRPr="00000000">
          <w:rPr>
            <w:rFonts w:ascii="Times New Roman" w:cs="Times New Roman" w:eastAsia="Times New Roman" w:hAnsi="Times New Roman"/>
            <w:sz w:val="24"/>
            <w:szCs w:val="24"/>
            <w:u w:val="single"/>
            <w:rtl w:val="0"/>
          </w:rPr>
          <w:t xml:space="preserve">https://www.npeu.ox.ac.uk/assets/downloads/mbrrace-uk/reports/maternal-report-2025/MBRRACE-UK%20Maternal%20Report%202025%20-%20Main%20ONLINE%20v1.0.pdf</w:t>
        </w:r>
      </w:hyperlink>
      <w:r w:rsidDel="00000000" w:rsidR="00000000" w:rsidRPr="00000000">
        <w:rPr>
          <w:rFonts w:ascii="Times New Roman" w:cs="Times New Roman" w:eastAsia="Times New Roman" w:hAnsi="Times New Roman"/>
          <w:sz w:val="24"/>
          <w:szCs w:val="24"/>
          <w:rtl w:val="0"/>
        </w:rPr>
        <w:t xml:space="preserve"> [Accessed on: 17.04.2026]</w:t>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Selondoner (2024). Black people more likely to be sectioned under the Mental Health Act. Available at: </w:t>
      </w:r>
      <w:hyperlink r:id="rId27">
        <w:r w:rsidDel="00000000" w:rsidR="00000000" w:rsidRPr="00000000">
          <w:rPr>
            <w:rFonts w:ascii="Times New Roman" w:cs="Times New Roman" w:eastAsia="Times New Roman" w:hAnsi="Times New Roman"/>
            <w:sz w:val="24"/>
            <w:szCs w:val="24"/>
            <w:u w:val="single"/>
            <w:rtl w:val="0"/>
          </w:rPr>
          <w:t xml:space="preserve">https://www.selondoner.co.uk/news/31012024-black-people-more-likely-to-be-sectioned-under-the-mental-health-act</w:t>
        </w:r>
      </w:hyperlink>
      <w:r w:rsidDel="00000000" w:rsidR="00000000" w:rsidRPr="00000000">
        <w:rPr>
          <w:rFonts w:ascii="Times New Roman" w:cs="Times New Roman" w:eastAsia="Times New Roman" w:hAnsi="Times New Roman"/>
          <w:sz w:val="24"/>
          <w:szCs w:val="24"/>
          <w:rtl w:val="0"/>
        </w:rPr>
        <w:t xml:space="preserve">[Accessed on: 16.04.2026]</w:t>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Shelter (2026). Why the fight for home is a fight against racism. Available at: </w:t>
      </w:r>
      <w:hyperlink r:id="rId28">
        <w:r w:rsidDel="00000000" w:rsidR="00000000" w:rsidRPr="00000000">
          <w:rPr>
            <w:rFonts w:ascii="Times New Roman" w:cs="Times New Roman" w:eastAsia="Times New Roman" w:hAnsi="Times New Roman"/>
            <w:sz w:val="24"/>
            <w:szCs w:val="24"/>
            <w:u w:val="single"/>
            <w:rtl w:val="0"/>
          </w:rPr>
          <w:t xml:space="preserve">https://england.shelter.org.uk/what_we_do/racism_in_our_housing_system</w:t>
        </w:r>
      </w:hyperlink>
      <w:r w:rsidDel="00000000" w:rsidR="00000000" w:rsidRPr="00000000">
        <w:rPr>
          <w:rFonts w:ascii="Times New Roman" w:cs="Times New Roman" w:eastAsia="Times New Roman" w:hAnsi="Times New Roman"/>
          <w:sz w:val="24"/>
          <w:szCs w:val="24"/>
          <w:rtl w:val="0"/>
        </w:rPr>
        <w:t xml:space="preserve"> [Accessed on: 21.04.2026]</w:t>
      </w:r>
    </w:p>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Transformationpartners (2023). A Strategic Framework to Tackling Ethnic Health Inequalities through an Anti-Racist approach. Available at: </w:t>
      </w:r>
      <w:hyperlink r:id="rId29">
        <w:r w:rsidDel="00000000" w:rsidR="00000000" w:rsidRPr="00000000">
          <w:rPr>
            <w:rFonts w:ascii="Times New Roman" w:cs="Times New Roman" w:eastAsia="Times New Roman" w:hAnsi="Times New Roman"/>
            <w:sz w:val="24"/>
            <w:szCs w:val="24"/>
            <w:u w:val="single"/>
            <w:rtl w:val="0"/>
          </w:rPr>
          <w:t xml:space="preserve">https://www.transformationpartners.nhs.uk/londonpartnership/wp-content/uploads/sites/2/2023/08/20230726_Strategic-framework-to-tackling-ethnic-health-inequalities-through-an-Anti-racist-approach.pdf</w:t>
        </w:r>
      </w:hyperlink>
      <w:r w:rsidDel="00000000" w:rsidR="00000000" w:rsidRPr="00000000">
        <w:rPr>
          <w:rFonts w:ascii="Times New Roman" w:cs="Times New Roman" w:eastAsia="Times New Roman" w:hAnsi="Times New Roman"/>
          <w:sz w:val="24"/>
          <w:szCs w:val="24"/>
          <w:rtl w:val="0"/>
        </w:rPr>
        <w:t xml:space="preserve"> [Accessed on: 20.04.2026]</w:t>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Yogarajah, N., Griffiths, K., Bramham, K. and Baraniak, A., (2025). Exploring adherence to antihypertensive medication in Black African and Black Caribbean residents in South East London: a qualitative study. </w:t>
      </w:r>
      <w:r w:rsidDel="00000000" w:rsidR="00000000" w:rsidRPr="00000000">
        <w:rPr>
          <w:rFonts w:ascii="Times New Roman" w:cs="Times New Roman" w:eastAsia="Times New Roman" w:hAnsi="Times New Roman"/>
          <w:i w:val="1"/>
          <w:iCs w:val="1"/>
          <w:sz w:val="24"/>
          <w:szCs w:val="24"/>
          <w:highlight w:val="white"/>
          <w:rtl w:val="0"/>
        </w:rPr>
        <w:t xml:space="preserve">BJGP open</w:t>
      </w:r>
      <w:r w:rsidDel="00000000" w:rsidR="00000000" w:rsidRPr="00000000">
        <w:rPr>
          <w:rFonts w:ascii="Times New Roman" w:cs="Times New Roman" w:eastAsia="Times New Roman" w:hAnsi="Times New Roman"/>
          <w:sz w:val="24"/>
          <w:szCs w:val="24"/>
          <w:highlight w:val="white"/>
          <w:rtl w:val="0"/>
        </w:rPr>
        <w:t xml:space="preserve">, p-</w:t>
      </w:r>
      <w:r w:rsidDel="00000000" w:rsidR="00000000" w:rsidRPr="00000000">
        <w:rPr>
          <w:rFonts w:ascii="Times New Roman" w:cs="Times New Roman" w:eastAsia="Times New Roman" w:hAnsi="Times New Roman"/>
          <w:i w:val="1"/>
          <w:iCs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(4).</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F">
      <w:pPr>
        <w:spacing w:after="8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Task 2</w:t>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Calderón-Larrañaga, S., Greenhalgh, T., Clinch, M., Robson, J., Dostal, I., Eto, F. and Finer, S., (2023). Unravelling the potential of social prescribing in individual-level type 2 diabetes prevention: a mixed-methods realist evaluation. </w:t>
      </w:r>
      <w:r w:rsidDel="00000000" w:rsidR="00000000" w:rsidRPr="00000000">
        <w:rPr>
          <w:rFonts w:ascii="Times New Roman" w:cs="Times New Roman" w:eastAsia="Times New Roman" w:hAnsi="Times New Roman"/>
          <w:i w:val="1"/>
          <w:iCs w:val="1"/>
          <w:sz w:val="24"/>
          <w:szCs w:val="24"/>
          <w:highlight w:val="white"/>
          <w:rtl w:val="0"/>
        </w:rPr>
        <w:t xml:space="preserve">BMC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21</w:t>
      </w:r>
      <w:r w:rsidDel="00000000" w:rsidR="00000000" w:rsidRPr="00000000">
        <w:rPr>
          <w:rFonts w:ascii="Times New Roman" w:cs="Times New Roman" w:eastAsia="Times New Roman" w:hAnsi="Times New Roman"/>
          <w:sz w:val="24"/>
          <w:szCs w:val="24"/>
          <w:highlight w:val="white"/>
          <w:rtl w:val="0"/>
        </w:rPr>
        <w:t xml:space="preserve">(1), p.91.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Chandok, R., Baynes, K. and Birnbaum, M., (2022). An update to collaborating for improving diabetes care in Ealing, London: investment, integration and innovation, years 2011–2020. </w:t>
      </w:r>
      <w:r w:rsidDel="00000000" w:rsidR="00000000" w:rsidRPr="00000000">
        <w:rPr>
          <w:rFonts w:ascii="Times New Roman" w:cs="Times New Roman" w:eastAsia="Times New Roman" w:hAnsi="Times New Roman"/>
          <w:i w:val="1"/>
          <w:iCs w:val="1"/>
          <w:sz w:val="24"/>
          <w:szCs w:val="24"/>
          <w:rtl w:val="0"/>
        </w:rPr>
        <w:t xml:space="preserve">Practical Diabetes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39</w:t>
      </w:r>
      <w:r w:rsidDel="00000000" w:rsidR="00000000" w:rsidRPr="00000000">
        <w:rPr>
          <w:rFonts w:ascii="Times New Roman" w:cs="Times New Roman" w:eastAsia="Times New Roman" w:hAnsi="Times New Roman"/>
          <w:sz w:val="24"/>
          <w:szCs w:val="24"/>
          <w:rtl w:val="0"/>
        </w:rPr>
        <w:t xml:space="preserve">(1), pp.23-29.</w:t>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Csmgdata (2024). T2DaY (Type 2 Diabetes in the Young) programme. Available at: </w:t>
      </w:r>
      <w:hyperlink r:id="rId30">
        <w:r w:rsidDel="00000000" w:rsidR="00000000" w:rsidRPr="00000000">
          <w:rPr>
            <w:rFonts w:ascii="Times New Roman" w:cs="Times New Roman" w:eastAsia="Times New Roman" w:hAnsi="Times New Roman"/>
            <w:sz w:val="24"/>
            <w:szCs w:val="24"/>
            <w:u w:val="single"/>
            <w:rtl w:val="0"/>
          </w:rPr>
          <w:t xml:space="preserve">https://csmgdata.co.uk/wp-content/uploads/2024/12/T2DaY-programme-guide-Tower-Hamlets.pdf</w:t>
        </w:r>
      </w:hyperlink>
      <w:r w:rsidDel="00000000" w:rsidR="00000000" w:rsidRPr="00000000">
        <w:rPr>
          <w:rFonts w:ascii="Times New Roman" w:cs="Times New Roman" w:eastAsia="Times New Roman" w:hAnsi="Times New Roman"/>
          <w:sz w:val="24"/>
          <w:szCs w:val="24"/>
          <w:rtl w:val="0"/>
        </w:rPr>
        <w:t xml:space="preserve"> [Accessed on: 19.04.2026]</w:t>
      </w:r>
    </w:p>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Edwards, L., Pickett, J., Ashcroft, D.M., Dambha-Miller, H., Majeed, A., Mallen, C., Petersen, I., Qureshi, N., van Staa, T., Abel, G. and Carvalho, C., (2023). UK research data resources based on primary care electronic health records: review and summary for potential users. </w:t>
      </w:r>
      <w:r w:rsidDel="00000000" w:rsidR="00000000" w:rsidRPr="00000000">
        <w:rPr>
          <w:rFonts w:ascii="Times New Roman" w:cs="Times New Roman" w:eastAsia="Times New Roman" w:hAnsi="Times New Roman"/>
          <w:i w:val="1"/>
          <w:iCs w:val="1"/>
          <w:sz w:val="24"/>
          <w:szCs w:val="24"/>
          <w:highlight w:val="white"/>
          <w:rtl w:val="0"/>
        </w:rPr>
        <w:t xml:space="preserve">BJGP open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iCs w:val="1"/>
          <w:sz w:val="24"/>
          <w:szCs w:val="24"/>
          <w:highlight w:val="white"/>
          <w:rtl w:val="0"/>
        </w:rPr>
        <w:t xml:space="preserve">7</w:t>
      </w:r>
      <w:r w:rsidDel="00000000" w:rsidR="00000000" w:rsidRPr="00000000">
        <w:rPr>
          <w:rFonts w:ascii="Times New Roman" w:cs="Times New Roman" w:eastAsia="Times New Roman" w:hAnsi="Times New Roman"/>
          <w:sz w:val="24"/>
          <w:szCs w:val="24"/>
          <w:highlight w:val="white"/>
          <w:rtl w:val="0"/>
        </w:rPr>
        <w:t xml:space="preserve">(3).</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 (2025). Diabetes profile: statistical commentary, March 2025. Available at: </w:t>
      </w:r>
      <w:hyperlink r:id="rId31">
        <w:r w:rsidDel="00000000" w:rsidR="00000000" w:rsidRPr="00000000">
          <w:rPr>
            <w:rFonts w:ascii="Times New Roman" w:cs="Times New Roman" w:eastAsia="Times New Roman" w:hAnsi="Times New Roman"/>
            <w:sz w:val="24"/>
            <w:szCs w:val="24"/>
            <w:u w:val="single"/>
            <w:rtl w:val="0"/>
          </w:rPr>
          <w:t xml:space="preserve">https://www.gov.uk/government/statistics/diabetes-profile-update-march-2025/diabetes-profile-statistical-commentary-march-2025</w:t>
        </w:r>
      </w:hyperlink>
      <w:r w:rsidDel="00000000" w:rsidR="00000000" w:rsidRPr="00000000">
        <w:rPr>
          <w:rFonts w:ascii="Times New Roman" w:cs="Times New Roman" w:eastAsia="Times New Roman" w:hAnsi="Times New Roman"/>
          <w:sz w:val="24"/>
          <w:szCs w:val="24"/>
          <w:rtl w:val="0"/>
        </w:rPr>
        <w:t xml:space="preserve"> [Accessed on: 18.04.2026]</w:t>
      </w:r>
    </w:p>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Hodgson, S., Huang, Q.Q., Sallah, N., Genes &amp; Health Research Team, Griffiths, C.J., Newman, W.G., Trembath, R.C., Wright, J., Lumbers, R.T., Kuchenbaecker, K. and van Heel, D.A., (2022). Integrating polygenic risk scores in the prediction of type 2 diabetes risk and subtypes in British Pakistanis and Bangladeshis: A population-based cohort study. </w:t>
      </w:r>
      <w:r w:rsidDel="00000000" w:rsidR="00000000" w:rsidRPr="00000000">
        <w:rPr>
          <w:rFonts w:ascii="Times New Roman" w:cs="Times New Roman" w:eastAsia="Times New Roman" w:hAnsi="Times New Roman"/>
          <w:i w:val="1"/>
          <w:iCs w:val="1"/>
          <w:sz w:val="24"/>
          <w:szCs w:val="24"/>
          <w:rtl w:val="0"/>
        </w:rPr>
        <w:t xml:space="preserve">PLoS medicine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19</w:t>
      </w:r>
      <w:r w:rsidDel="00000000" w:rsidR="00000000" w:rsidRPr="00000000">
        <w:rPr>
          <w:rFonts w:ascii="Times New Roman" w:cs="Times New Roman" w:eastAsia="Times New Roman" w:hAnsi="Times New Roman"/>
          <w:sz w:val="24"/>
          <w:szCs w:val="24"/>
          <w:rtl w:val="0"/>
        </w:rPr>
        <w:t xml:space="preserve">(5), p.e1003981.</w:t>
      </w:r>
    </w:p>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Hodgson, S., Williamson, A., Bigossi, M., Stow, D., Jacobs, B.M., Samuel, M., Gafton, J., Zöllner, J., Spreckley, M. and Langenberg, C., (2025). Genetic basis of early onset and progression of type 2 diabetes in South Asians. Nature Medicine, 31(1), pp.323-331.</w:t>
      </w:r>
    </w:p>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Instituteforgovernment (2025). Performance Tracker 2025: General practice. Available at: </w:t>
      </w:r>
      <w:hyperlink r:id="rId32">
        <w:r w:rsidDel="00000000" w:rsidR="00000000" w:rsidRPr="00000000">
          <w:rPr>
            <w:rFonts w:ascii="Times New Roman" w:cs="Times New Roman" w:eastAsia="Times New Roman" w:hAnsi="Times New Roman"/>
            <w:sz w:val="24"/>
            <w:szCs w:val="24"/>
            <w:u w:val="single"/>
            <w:rtl w:val="0"/>
          </w:rPr>
          <w:t xml:space="preserve">https://www.instituteforgovernment.org.uk/publication/performance-tracker-2025/nhs/general-practice</w:t>
        </w:r>
      </w:hyperlink>
      <w:r w:rsidDel="00000000" w:rsidR="00000000" w:rsidRPr="00000000">
        <w:rPr>
          <w:rFonts w:ascii="Times New Roman" w:cs="Times New Roman" w:eastAsia="Times New Roman" w:hAnsi="Times New Roman"/>
          <w:sz w:val="24"/>
          <w:szCs w:val="24"/>
          <w:rtl w:val="0"/>
        </w:rPr>
        <w:t xml:space="preserve"> [Accessed on: 17.04.2026]</w:t>
      </w:r>
    </w:p>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International-diabetes-federation (2025). Diabetes Atlas. Available at: </w:t>
      </w:r>
      <w:hyperlink r:id="rId33">
        <w:r w:rsidDel="00000000" w:rsidR="00000000" w:rsidRPr="00000000">
          <w:rPr>
            <w:rFonts w:ascii="Times New Roman" w:cs="Times New Roman" w:eastAsia="Times New Roman" w:hAnsi="Times New Roman"/>
            <w:sz w:val="24"/>
            <w:szCs w:val="24"/>
            <w:u w:val="single"/>
            <w:rtl w:val="0"/>
          </w:rPr>
          <w:t xml:space="preserve">https://international-diabetes-federation.s3.eu-west-1.amazonaws.com/media/uploads/sites/3/2025/10/IDF_Diabetes_Atlas_11th_Edition_2025_WEB.pdf</w:t>
        </w:r>
      </w:hyperlink>
      <w:r w:rsidDel="00000000" w:rsidR="00000000" w:rsidRPr="00000000">
        <w:rPr>
          <w:rFonts w:ascii="Times New Roman" w:cs="Times New Roman" w:eastAsia="Times New Roman" w:hAnsi="Times New Roman"/>
          <w:sz w:val="24"/>
          <w:szCs w:val="24"/>
          <w:rtl w:val="0"/>
        </w:rPr>
        <w:t xml:space="preserve"> [Accessed on: 16.04.2026]</w:t>
      </w:r>
    </w:p>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Londonsport (2025). Tower Hamlets Area profile. Available at: </w:t>
      </w:r>
      <w:hyperlink r:id="rId34">
        <w:r w:rsidDel="00000000" w:rsidR="00000000" w:rsidRPr="00000000">
          <w:rPr>
            <w:rFonts w:ascii="Times New Roman" w:cs="Times New Roman" w:eastAsia="Times New Roman" w:hAnsi="Times New Roman"/>
            <w:sz w:val="24"/>
            <w:szCs w:val="24"/>
            <w:u w:val="single"/>
            <w:rtl w:val="0"/>
          </w:rPr>
          <w:t xml:space="preserve">https://londonsport.org/wp-content/uploads/2024/04/Tower-Hamlets.pdf</w:t>
        </w:r>
      </w:hyperlink>
      <w:r w:rsidDel="00000000" w:rsidR="00000000" w:rsidRPr="00000000">
        <w:rPr>
          <w:rFonts w:ascii="Times New Roman" w:cs="Times New Roman" w:eastAsia="Times New Roman" w:hAnsi="Times New Roman"/>
          <w:sz w:val="24"/>
          <w:szCs w:val="24"/>
          <w:rtl w:val="0"/>
        </w:rPr>
        <w:t xml:space="preserve"> [Accessed on: 15.04.2026]</w:t>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Mallik, R., Marples, O., Vijayaraghavan, S., Garrett, C., Chowdhury, T.A., Anderson, J.V. and Huda, M.S., (2026). Addressing inequalities in access and care in type 1 diabetes–The North-East London Type 1 Diabetes Transformation (NATALIE) project. Primary Care Diabetes.</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Nugawela, M.D., Gurudas, S., Prevost, A.T., Mathur, R., Robson, J., Sathish, T., Rafferty, J.M., Rajalakshmi, R., Anjana, R.M., Jebarani, S. and Mohan, V., (2022). Development and validation of predictive risk models for sight threatening diabetic retinopathy in patients with type 2 diabetes to be applied as triage tools in resource limited settings. </w:t>
      </w:r>
      <w:r w:rsidDel="00000000" w:rsidR="00000000" w:rsidRPr="00000000">
        <w:rPr>
          <w:rFonts w:ascii="Times New Roman" w:cs="Times New Roman" w:eastAsia="Times New Roman" w:hAnsi="Times New Roman"/>
          <w:i w:val="1"/>
          <w:iCs w:val="1"/>
          <w:sz w:val="24"/>
          <w:szCs w:val="24"/>
          <w:rtl w:val="0"/>
        </w:rPr>
        <w:t xml:space="preserve">EClinicalMedicine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51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Ronaldson, A., Freestone, M., Zhang, H., Marsh, W. and Bhui, K., (2022). Using structural equation modelling in routine clinical data on diabetes and depression: Observational cohort study. JMIRx Med, 3(2), p.e22912.</w:t>
      </w:r>
    </w:p>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Shamsutdinova, D., Das-Munshi, J., Ashworth, M., Roberts, A. and Stahl, D., (2023). Predicting type 2 diabetes prevalence for people with severe mental illness in a multi-ethnic East London population. </w:t>
      </w:r>
      <w:r w:rsidDel="00000000" w:rsidR="00000000" w:rsidRPr="00000000">
        <w:rPr>
          <w:rFonts w:ascii="Times New Roman" w:cs="Times New Roman" w:eastAsia="Times New Roman" w:hAnsi="Times New Roman"/>
          <w:i w:val="1"/>
          <w:iCs w:val="1"/>
          <w:sz w:val="24"/>
          <w:szCs w:val="24"/>
          <w:rtl w:val="0"/>
        </w:rPr>
        <w:t xml:space="preserve">International Journal of Medical Informatics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172</w:t>
      </w:r>
      <w:r w:rsidDel="00000000" w:rsidR="00000000" w:rsidRPr="00000000">
        <w:rPr>
          <w:rFonts w:ascii="Times New Roman" w:cs="Times New Roman" w:eastAsia="Times New Roman" w:hAnsi="Times New Roman"/>
          <w:sz w:val="24"/>
          <w:szCs w:val="24"/>
          <w:rtl w:val="0"/>
        </w:rPr>
        <w:t xml:space="preserve">, p.105019.</w:t>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Siddiqui, M., Hodgson, S., Williamson, A., Stow, D., Jacobs, B., Samuel, M., Gafton, J., Zöllner, J., Spreckley, M., Langenberg, C. and van Heel, D., (2024). Partitioned polygenic scores highlight role of beta-cell function and unfavourable fat distribution patterns in young onset type 2 diabetes in south Asians.</w:t>
      </w:r>
    </w:p>
    <w:p w:rsidR="00000000" w:rsidDel="00000000" w:rsidP="00000000" w:rsidRDefault="00000000" w:rsidRPr="00000000" w14:paraId="000000A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Towerhamlets (2024). Tower Hamlets joins national initiative to bring life-saving heart checks to workplaces. Available at: </w:t>
      </w:r>
      <w:hyperlink r:id="rId35">
        <w:r w:rsidDel="00000000" w:rsidR="00000000" w:rsidRPr="00000000">
          <w:rPr>
            <w:rFonts w:ascii="Times New Roman" w:cs="Times New Roman" w:eastAsia="Times New Roman" w:hAnsi="Times New Roman"/>
            <w:sz w:val="24"/>
            <w:szCs w:val="24"/>
            <w:u w:val="single"/>
            <w:rtl w:val="0"/>
          </w:rPr>
          <w:t xml:space="preserve">https://www.towerhamlets.gov.uk/News_events/2024/September/Tower-Hamlets-joins-national-initiative-to-bring-life-saving-heart-checks-to-workplaces.aspx</w:t>
        </w:r>
      </w:hyperlink>
      <w:r w:rsidDel="00000000" w:rsidR="00000000" w:rsidRPr="00000000">
        <w:rPr>
          <w:rFonts w:ascii="Times New Roman" w:cs="Times New Roman" w:eastAsia="Times New Roman" w:hAnsi="Times New Roman"/>
          <w:sz w:val="24"/>
          <w:szCs w:val="24"/>
          <w:rtl w:val="0"/>
        </w:rPr>
        <w:t xml:space="preserve"> [Accessed on: 21.04.2026]</w:t>
      </w:r>
    </w:p>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Towerhamlets (2025). Tower Hamlets Public Health Joint Strategic Needs Assessment (JSNA) 2025. Available at: </w:t>
      </w:r>
      <w:hyperlink r:id="rId36">
        <w:r w:rsidDel="00000000" w:rsidR="00000000" w:rsidRPr="00000000">
          <w:rPr>
            <w:rFonts w:ascii="Times New Roman" w:cs="Times New Roman" w:eastAsia="Times New Roman" w:hAnsi="Times New Roman"/>
            <w:sz w:val="24"/>
            <w:szCs w:val="24"/>
            <w:u w:val="single"/>
            <w:rtl w:val="0"/>
          </w:rPr>
          <w:t xml:space="preserve">https://www.towerhamlets.gov.uk/Documents/Public-Health/JSNA/JSNA_Summary.pdf</w:t>
        </w:r>
      </w:hyperlink>
      <w:r w:rsidDel="00000000" w:rsidR="00000000" w:rsidRPr="00000000">
        <w:rPr>
          <w:rFonts w:ascii="Times New Roman" w:cs="Times New Roman" w:eastAsia="Times New Roman" w:hAnsi="Times New Roman"/>
          <w:sz w:val="24"/>
          <w:szCs w:val="24"/>
          <w:rtl w:val="0"/>
        </w:rPr>
        <w:t xml:space="preserve"> [Accessed on: 19.04.2026]</w:t>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 Blarikom, E., Fudge, N. and Swinglehurst, D., (2025). Living “Out of the Loop”: Unemployment in the Context of Long‐Term Illness. </w:t>
      </w:r>
      <w:r w:rsidDel="00000000" w:rsidR="00000000" w:rsidRPr="00000000">
        <w:rPr>
          <w:rFonts w:ascii="Times New Roman" w:cs="Times New Roman" w:eastAsia="Times New Roman" w:hAnsi="Times New Roman"/>
          <w:i w:val="1"/>
          <w:iCs w:val="1"/>
          <w:sz w:val="24"/>
          <w:szCs w:val="24"/>
          <w:rtl w:val="0"/>
        </w:rPr>
        <w:t xml:space="preserve">Anthropology of Work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46</w:t>
      </w:r>
      <w:r w:rsidDel="00000000" w:rsidR="00000000" w:rsidRPr="00000000">
        <w:rPr>
          <w:rFonts w:ascii="Times New Roman" w:cs="Times New Roman" w:eastAsia="Times New Roman" w:hAnsi="Times New Roman"/>
          <w:sz w:val="24"/>
          <w:szCs w:val="24"/>
          <w:rtl w:val="0"/>
        </w:rPr>
        <w:t xml:space="preserve">(1), p.e70004.</w:t>
      </w:r>
    </w:p>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Voice4change-england (2025). Bridging Voices, Building Change: Co-Producing Diabetes Care Solutions with The Bangladeshi Community in Tower Hamlets &amp; Newham.  Available at: </w:t>
      </w:r>
      <w:hyperlink r:id="rId37">
        <w:r w:rsidDel="00000000" w:rsidR="00000000" w:rsidRPr="00000000">
          <w:rPr>
            <w:rFonts w:ascii="Times New Roman" w:cs="Times New Roman" w:eastAsia="Times New Roman" w:hAnsi="Times New Roman"/>
            <w:sz w:val="24"/>
            <w:szCs w:val="24"/>
            <w:u w:val="single"/>
            <w:rtl w:val="0"/>
          </w:rPr>
          <w:t xml:space="preserve">https://www.voice4change-england.org/past-reports</w:t>
        </w:r>
      </w:hyperlink>
      <w:r w:rsidDel="00000000" w:rsidR="00000000" w:rsidRPr="00000000">
        <w:rPr>
          <w:rFonts w:ascii="Times New Roman" w:cs="Times New Roman" w:eastAsia="Times New Roman" w:hAnsi="Times New Roman"/>
          <w:sz w:val="24"/>
          <w:szCs w:val="24"/>
          <w:rtl w:val="0"/>
        </w:rPr>
        <w:t xml:space="preserve"> [Accessed on: 20.04.2026]</w:t>
      </w:r>
    </w:p>
    <w:p w:rsidR="00000000" w:rsidDel="00000000" w:rsidP="00000000" w:rsidRDefault="00000000" w:rsidRPr="00000000" w14:paraId="000000B3">
      <w:pPr>
        <w:spacing w:line="360" w:lineRule="auto"/>
        <w:jc w:val="both"/>
        <w:rPr>
          <w:rFonts w:ascii="Times New Roman" w:cs="Times New Roman" w:eastAsia="Times New Roman" w:hAnsi="Times New Roman"/>
          <w:b w:val="1"/>
          <w:bCs w:val="1"/>
          <w:sz w:val="24"/>
          <w:szCs w:val="24"/>
        </w:rPr>
      </w:pPr>
      <w:r w:rsidDel="00000000" w:rsidR="00000000" w:rsidRPr="00000000">
        <w:rPr>
          <w:rtl w:val="0"/>
        </w:rPr>
      </w:r>
    </w:p>
    <w:sectPr>
      <w:footerReference r:id="rId3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spacing w:line="360" w:lineRule="auto"/>
      <w:jc w:val="both"/>
    </w:pPr>
    <w:rPr>
      <w:rFonts w:ascii="Times New Roman" w:cs="Times New Roman" w:eastAsia="Times New Roman" w:hAnsi="Times New Roman"/>
      <w:b w:val="1"/>
      <w:bCs w:val="1"/>
      <w:sz w:val="26"/>
      <w:szCs w:val="26"/>
    </w:rPr>
  </w:style>
  <w:style w:type="paragraph" w:styleId="Heading3">
    <w:name w:val="heading 3"/>
    <w:basedOn w:val="Normal"/>
    <w:next w:val="Normal"/>
    <w:pPr>
      <w:keepNext w:val="1"/>
      <w:keepLines w:val="1"/>
      <w:spacing w:line="360" w:lineRule="auto"/>
      <w:jc w:val="both"/>
    </w:pPr>
    <w:rPr>
      <w:rFonts w:ascii="Times New Roman" w:cs="Times New Roman" w:eastAsia="Times New Roman" w:hAnsi="Times New Roman"/>
      <w:b w:val="1"/>
      <w:bCs w:val="1"/>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22" Type="http://schemas.openxmlformats.org/officeDocument/2006/relationships/hyperlink" Target="https://www.gov.uk/guidance/inclusive-britain-action-plan-updates" TargetMode="External"/><Relationship Id="rId21" Type="http://schemas.openxmlformats.org/officeDocument/2006/relationships/hyperlink" Target="https://digital.nhs.uk/data-and-information/publications/statistical/health-survey-england-additional-analyses/ethnicity-and-health-2011-2019-experimental-statistics/blood-pressure" TargetMode="External"/><Relationship Id="rId24" Type="http://schemas.openxmlformats.org/officeDocument/2006/relationships/hyperlink" Target="https://www.jrf.org.uk/sites/default/files/pdfs/ethnicity-poverty-and-in-work-inequalities-in-the-uk-91202e78d0df304ef39efa8af568905d.pdf" TargetMode="External"/><Relationship Id="rId23" Type="http://schemas.openxmlformats.org/officeDocument/2006/relationships/hyperlink" Target="https://www.jrf.org.uk/uk-poverty-2026-the-essential-guide-to-understanding-poverty-in-the-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26" Type="http://schemas.openxmlformats.org/officeDocument/2006/relationships/hyperlink" Target="https://www.npeu.ox.ac.uk/assets/downloads/mbrrace-uk/reports/maternal-report-2025/MBRRACE-UK%20Maternal%20Report%202025%20-%20Main%20ONLINE%20v1.0.pdf" TargetMode="External"/><Relationship Id="rId25" Type="http://schemas.openxmlformats.org/officeDocument/2006/relationships/hyperlink" Target="https://www.england.nhs.uk/mental-health/advancing-mental-health-equalities/pcref/" TargetMode="External"/><Relationship Id="rId28" Type="http://schemas.openxmlformats.org/officeDocument/2006/relationships/hyperlink" Target="https://england.shelter.org.uk/what_we_do/racism_in_our_housing_system" TargetMode="External"/><Relationship Id="rId27" Type="http://schemas.openxmlformats.org/officeDocument/2006/relationships/hyperlink" Target="https://www.selondoner.co.uk/news/31012024-black-people-more-likely-to-be-sectioned-under-the-mental-health-act" TargetMode="External"/><Relationship Id="rId5" Type="http://schemas.openxmlformats.org/officeDocument/2006/relationships/styles" Target="styles.xml"/><Relationship Id="rId6" Type="http://schemas.openxmlformats.org/officeDocument/2006/relationships/image" Target="media/image15.jpg"/><Relationship Id="rId29" Type="http://schemas.openxmlformats.org/officeDocument/2006/relationships/hyperlink" Target="https://www.transformationpartners.nhs.uk/londonpartnership/wp-content/uploads/sites/2/2023/08/20230726_Strategic-framework-to-tackling-ethnic-health-inequalities-through-an-Anti-racist-approach.pdf" TargetMode="External"/><Relationship Id="rId7" Type="http://schemas.openxmlformats.org/officeDocument/2006/relationships/image" Target="media/image4.png"/><Relationship Id="rId8" Type="http://schemas.openxmlformats.org/officeDocument/2006/relationships/image" Target="media/image9.png"/><Relationship Id="rId31" Type="http://schemas.openxmlformats.org/officeDocument/2006/relationships/hyperlink" Target="https://www.gov.uk/government/statistics/diabetes-profile-update-march-2025/diabetes-profile-statistical-commentary-march-2025" TargetMode="External"/><Relationship Id="rId30" Type="http://schemas.openxmlformats.org/officeDocument/2006/relationships/hyperlink" Target="https://csmgdata.co.uk/wp-content/uploads/2024/12/T2DaY-programme-guide-Tower-Hamlets.pdf" TargetMode="External"/><Relationship Id="rId11" Type="http://schemas.openxmlformats.org/officeDocument/2006/relationships/image" Target="media/image10.png"/><Relationship Id="rId33" Type="http://schemas.openxmlformats.org/officeDocument/2006/relationships/hyperlink" Target="https://international-diabetes-federation.s3.eu-west-1.amazonaws.com/media/uploads/sites/3/2025/10/IDF_Diabetes_Atlas_11th_Edition_2025_WEB.pdf" TargetMode="External"/><Relationship Id="rId10" Type="http://schemas.openxmlformats.org/officeDocument/2006/relationships/image" Target="media/image7.png"/><Relationship Id="rId32" Type="http://schemas.openxmlformats.org/officeDocument/2006/relationships/hyperlink" Target="https://www.instituteforgovernment.org.uk/publication/performance-tracker-2025/nhs/general-practice" TargetMode="External"/><Relationship Id="rId13" Type="http://schemas.openxmlformats.org/officeDocument/2006/relationships/image" Target="media/image11.png"/><Relationship Id="rId35" Type="http://schemas.openxmlformats.org/officeDocument/2006/relationships/hyperlink" Target="https://www.towerhamlets.gov.uk/News_events/2024/September/Tower-Hamlets-joins-national-initiative-to-bring-life-saving-heart-checks-to-workplaces.aspx" TargetMode="External"/><Relationship Id="rId12" Type="http://schemas.openxmlformats.org/officeDocument/2006/relationships/image" Target="media/image1.png"/><Relationship Id="rId34" Type="http://schemas.openxmlformats.org/officeDocument/2006/relationships/hyperlink" Target="https://londonsport.org/wp-content/uploads/2024/04/Tower-Hamlets.pdf" TargetMode="External"/><Relationship Id="rId15" Type="http://schemas.openxmlformats.org/officeDocument/2006/relationships/image" Target="media/image13.png"/><Relationship Id="rId37" Type="http://schemas.openxmlformats.org/officeDocument/2006/relationships/hyperlink" Target="https://www.voice4change-england.org/past-reports" TargetMode="External"/><Relationship Id="rId14" Type="http://schemas.openxmlformats.org/officeDocument/2006/relationships/image" Target="media/image8.png"/><Relationship Id="rId36" Type="http://schemas.openxmlformats.org/officeDocument/2006/relationships/hyperlink" Target="https://www.towerhamlets.gov.uk/Documents/Public-Health/JSNA/JSNA_Summary.pdf" TargetMode="External"/><Relationship Id="rId17" Type="http://schemas.openxmlformats.org/officeDocument/2006/relationships/image" Target="media/image6.png"/><Relationship Id="rId16" Type="http://schemas.openxmlformats.org/officeDocument/2006/relationships/image" Target="media/image3.png"/><Relationship Id="rId38" Type="http://schemas.openxmlformats.org/officeDocument/2006/relationships/footer" Target="footer1.xml"/><Relationship Id="rId19" Type="http://schemas.openxmlformats.org/officeDocument/2006/relationships/image" Target="media/image14.png"/><Relationship Id="rId1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