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In this assignment, the main aim will be to critically evaluate my own creativity by using the Entrecomp framework as a tool which will aid my decisions. As well as evaluating my own creativity as an individual, I will also show my understanding and knowledge of how creativity and entrepreneurship can be used inside and outside the classroom to benefit all people involved.  To gain a more clear understanding of how to develop creative learning and teaching I will research in detail as to what learning environments are best support this form of creativity for both learner and practitioner. This research will include analysing what makes the best environment to help foster creativity and why that environment has such a positive impact on the learner but what can hinder the capacity of both learners and teachers. To further my knowledge of creativity, I will critically reflect on a variety of strategies that play a part on practitioners when creating and developing new pedagogies and environments. This part will help to gain an insight in to creative manners of teaching in the new age of education and also help decide different techniques that may be used to promote creativity inside and outside the classroom. As the new curriculum is beginning to integrate through schools around the country it will also be beneficial to reflect on the potential of developing creativity and enterprise within a primary school setting. It makes sense to make this link as one of Donaldon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(2015) four purposes is for learners to become enterprising and creative contributors. With this in mind, it seems as though the new curriculum would compliment innovative and improved teaching strategies. A clear understanding of how creativity and enterprise has contributed to educational practice through the years, through analysing different documents and programmes that have been used within schools and institutions. Throughout this assignment, there will also be an analysis on a number of tests and literature as to whether or not creativity can be measured, and if so how would it be measured within an educational environment.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Through the years there have been many different definitions of what creativity is by many different people and what it is to actually be classed as being creative. </w:t>
      </w:r>
      <w:r>
        <w:rPr>
          <w:rFonts w:ascii="Times New Roman" w:hAnsi="Times New Roman"/>
          <w:sz w:val="24"/>
          <w:szCs w:val="24"/>
          <w:rtl w:val="0"/>
        </w:rPr>
        <w:t xml:space="preserve">Reid and Petocz (2004) </w:t>
      </w:r>
      <w:r>
        <w:rPr>
          <w:rFonts w:ascii="Times New Roman" w:hAnsi="Times New Roman"/>
          <w:sz w:val="24"/>
          <w:szCs w:val="24"/>
          <w:rtl w:val="0"/>
          <w:lang w:val="en-US"/>
        </w:rPr>
        <w:t xml:space="preserve">believe that creativity means different things in different fields. Two definitions that have been selected to suit this assignment is the view in education, where creativity is called </w:t>
      </w:r>
      <w:r>
        <w:rPr>
          <w:rFonts w:ascii="Times New Roman" w:hAnsi="Times New Roman" w:hint="default"/>
          <w:sz w:val="24"/>
          <w:szCs w:val="24"/>
          <w:rtl w:val="0"/>
          <w:lang w:val="en-US"/>
        </w:rPr>
        <w:t>“</w:t>
      </w:r>
      <w:r>
        <w:rPr>
          <w:rFonts w:ascii="Times New Roman" w:hAnsi="Times New Roman"/>
          <w:sz w:val="24"/>
          <w:szCs w:val="24"/>
          <w:rtl w:val="0"/>
          <w:lang w:val="en-US"/>
        </w:rPr>
        <w:t>innovation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in business it is called </w:t>
      </w:r>
      <w:r>
        <w:rPr>
          <w:rFonts w:ascii="Times New Roman" w:hAnsi="Times New Roman" w:hint="default"/>
          <w:sz w:val="24"/>
          <w:szCs w:val="24"/>
          <w:rtl w:val="0"/>
          <w:lang w:val="en-US"/>
        </w:rPr>
        <w:t>“</w:t>
      </w:r>
      <w:r>
        <w:rPr>
          <w:rFonts w:ascii="Times New Roman" w:hAnsi="Times New Roman"/>
          <w:sz w:val="24"/>
          <w:szCs w:val="24"/>
          <w:rtl w:val="0"/>
          <w:lang w:val="en-US"/>
        </w:rPr>
        <w:t>entrepreneurship</w:t>
      </w:r>
      <w:r>
        <w:rPr>
          <w:rFonts w:ascii="Times New Roman" w:hAnsi="Times New Roman" w:hint="default"/>
          <w:sz w:val="24"/>
          <w:szCs w:val="24"/>
          <w:rtl w:val="0"/>
          <w:lang w:val="en-US"/>
        </w:rPr>
        <w:t>”</w:t>
      </w:r>
      <w:r>
        <w:rPr>
          <w:rFonts w:ascii="Times New Roman" w:hAnsi="Times New Roman"/>
          <w:sz w:val="24"/>
          <w:szCs w:val="24"/>
          <w:rtl w:val="0"/>
          <w:lang w:val="en-US"/>
        </w:rPr>
        <w:t xml:space="preserve">. Both definitions of the word mean similar things but in both cases the end product is measured against the criteria or pattern in that certain domain. For the purpose of this assignment the definition that will be used is: </w:t>
      </w:r>
      <w:r>
        <w:rPr>
          <w:rFonts w:ascii="Times New Roman" w:hAnsi="Times New Roman" w:hint="default"/>
          <w:sz w:val="24"/>
          <w:szCs w:val="24"/>
          <w:rtl w:val="0"/>
          <w:lang w:val="en-US"/>
        </w:rPr>
        <w:t>“</w:t>
      </w:r>
      <w:r>
        <w:rPr>
          <w:rFonts w:ascii="Times New Roman" w:hAnsi="Times New Roman"/>
          <w:sz w:val="24"/>
          <w:szCs w:val="24"/>
          <w:rtl w:val="0"/>
          <w:lang w:val="en-US"/>
        </w:rPr>
        <w:t>The ability in all humans imaginatively or practically to connect two or more ideas together to make a valued new idea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(Barnes, 2015, p.11). This definition feels as though it covers many areas of creativity especially within the discipline of education. It has also been made apparent by an earlier view, that of Bohm (1998), that creativity is impossible to be defined by words. This may be because there are any different ways in which creativity can be measured and demonstrated in life. As there are many diffident views on how creativity is perceived </w:t>
      </w:r>
      <w:r>
        <w:rPr>
          <w:rFonts w:ascii="Times New Roman" w:hAnsi="Times New Roman"/>
          <w:sz w:val="24"/>
          <w:szCs w:val="24"/>
          <w:rtl w:val="0"/>
        </w:rPr>
        <w:t>MacKinnon (2005)</w:t>
      </w:r>
      <w:r>
        <w:rPr>
          <w:rFonts w:ascii="Times New Roman" w:hAnsi="Times New Roman"/>
          <w:sz w:val="24"/>
          <w:szCs w:val="24"/>
          <w:rtl w:val="0"/>
          <w:lang w:val="en-US"/>
        </w:rPr>
        <w:t>, decided there are three main kinds of creativity: artistic creativity, scientific and technological creativity and hybrid creativity. Artistic creativity reflects the individual needs and motivation, where as scientific and technological creativity looks at problems the environment around them and results with little personality. Then hybrid creativity, sees the individual solving problems but also displaying their personality when it comes to problems they are faced with. In education there is such great emphasis on statistics and results that it almost seems inevitable that there will be some sort of test to measure a learner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creativity. As this my be the case, there has been a long history of theorists and professionals making links and relationships between creativity and intelligence. On one hand, Hasan and Butcher (1996) established that there was such a strong link between creativity and intelligence that the two were virtually indistinguishable. Where as on the other hand, Getzel and Jackson (1992) produced evidence that the two traits were very much independent to one another. Although, for many years there has never been a test that is able to measure creativity accurately, as mentioned by Reeves and Clark (2000), where they express that most IQ tests measure convergent thinking which requires the participant to give a correct answer to a standard question. Furthermore, they go on to say that even the most common creativity tests can be seen as invalid because of their subjective nature.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In a world where employers are looking for more flexible and creative individuals, it is important that schools are able to teach children the skills that will allow them to thrive in a work place. That is why there is such an emphasis on enterprising skills throughout the curriculum. NPFS (2017) regard enterprising skills to be important to a child</w:t>
      </w:r>
      <w:r>
        <w:rPr>
          <w:rFonts w:ascii="Times New Roman" w:hAnsi="Times New Roman" w:hint="default"/>
          <w:sz w:val="24"/>
          <w:szCs w:val="24"/>
          <w:rtl w:val="0"/>
          <w:lang w:val="en-US"/>
        </w:rPr>
        <w:t>’</w:t>
      </w:r>
      <w:r>
        <w:rPr>
          <w:rFonts w:ascii="Times New Roman" w:hAnsi="Times New Roman"/>
          <w:sz w:val="24"/>
          <w:szCs w:val="24"/>
          <w:rtl w:val="0"/>
          <w:lang w:val="en-US"/>
        </w:rPr>
        <w:t xml:space="preserve">s development and believe that schools need to teach the children to have an enterprising outlook. Moreover, some enterprising skills that both NPFS (2017) and also Donaldson (2015) look to develop within schools include: reflection, critical thinking, risk taking and communication. These enterprise skills also link closely with the sixteen habits of mind, which helps decide what makes a person creative which will be discussed further later on in the assignment. After carrying out reading in to enterprise skills, I came across a definition that best suits this assignment which I will base my research around. </w:t>
      </w:r>
      <w:r>
        <w:rPr>
          <w:rFonts w:ascii="Times New Roman" w:hAnsi="Times New Roman" w:hint="default"/>
          <w:sz w:val="24"/>
          <w:szCs w:val="24"/>
          <w:rtl w:val="0"/>
          <w:lang w:val="en-US"/>
        </w:rPr>
        <w:t>“</w:t>
      </w:r>
      <w:r>
        <w:rPr>
          <w:rFonts w:ascii="Times New Roman" w:hAnsi="Times New Roman"/>
          <w:sz w:val="24"/>
          <w:szCs w:val="24"/>
          <w:rtl w:val="0"/>
          <w:lang w:val="en-US"/>
        </w:rPr>
        <w:t>Enterprise is defined here as the generation and application of ideas, which are set within practical situations during a project or undertaking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(QAA, 2018, p. 10). The document goes on to say that enterprise is a combination of creativity, originality, initiative etc. For this reason I decided that this definition encompasses all that enterprise is in education.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Within the world of creativity there are two main types of thinking: convergent and divergent thinking. Best described by Cropley (1998), convergent thinking is the ability to reiterate knowledge or data to help complete a task or solve a problem. Divergent thinking, is the ability to produce new/ innovative ideas by using a more flexible and original approach. Both types of thinking are characterised in different way. Convergent thinking is more rigid and is designed to narrow down to a single answer in the most efficient way and filters the best idea. Divergent thinking is a more flexible way of thinking, where an individual uses a more imaginative path thinking of many different solutions. A divergent thinker creates a larger quantity of solutions to a problem, where as a convergent thinker focuses more on the quality of solution. Gomez (2007) admits that both types of thinking are needed in order to come up with a creative solution, which is why schools should develop tasks and problems to encourage the use of both types.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As well as creating different tasks to encourage creative thinking, the type of environment that a learner is in can have an impact on the ability to think creatively. This is why schools need to create a more </w:t>
      </w:r>
      <w:r>
        <w:rPr>
          <w:rFonts w:ascii="Times New Roman" w:hAnsi="Times New Roman" w:hint="default"/>
          <w:sz w:val="24"/>
          <w:szCs w:val="24"/>
          <w:rtl w:val="0"/>
          <w:lang w:val="en-US"/>
        </w:rPr>
        <w:t>“</w:t>
      </w:r>
      <w:r>
        <w:rPr>
          <w:rFonts w:ascii="Times New Roman" w:hAnsi="Times New Roman"/>
          <w:sz w:val="24"/>
          <w:szCs w:val="24"/>
          <w:rtl w:val="0"/>
          <w:lang w:val="en-US"/>
        </w:rPr>
        <w:t>responsible environment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where teachers have an enthusiasm and appreciation of individual differences (Torrance, 1981). As well as this, Torrance (2005) defines the term of </w:t>
      </w:r>
      <w:r>
        <w:rPr>
          <w:rFonts w:ascii="Times New Roman" w:hAnsi="Times New Roman" w:hint="default"/>
          <w:sz w:val="24"/>
          <w:szCs w:val="24"/>
          <w:rtl w:val="0"/>
          <w:lang w:val="en-US"/>
        </w:rPr>
        <w:t>“</w:t>
      </w:r>
      <w:r>
        <w:rPr>
          <w:rFonts w:ascii="Times New Roman" w:hAnsi="Times New Roman"/>
          <w:sz w:val="24"/>
          <w:szCs w:val="24"/>
          <w:rtl w:val="0"/>
          <w:lang w:val="en-US"/>
        </w:rPr>
        <w:t>Learning environment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as </w:t>
      </w:r>
      <w:r>
        <w:rPr>
          <w:rFonts w:ascii="Times New Roman" w:hAnsi="Times New Roman"/>
          <w:sz w:val="24"/>
          <w:szCs w:val="24"/>
          <w:rtl w:val="0"/>
          <w:lang w:val="en-US"/>
        </w:rPr>
        <w:t>"one which involves absorbed listening, fighting off criticism and ridicule, stirring the unresponsive and deepening the superficial; one which requires that each honest effort to learn be met with enough reward to insure continued effort: the focus is on the potential rather than norms" (Torrance, 2005, p. 312).</w:t>
      </w:r>
      <w:r>
        <w:rPr>
          <w:rFonts w:ascii="Times New Roman" w:hAnsi="Times New Roman"/>
          <w:sz w:val="24"/>
          <w:szCs w:val="24"/>
          <w:rtl w:val="0"/>
          <w:lang w:val="en-US"/>
        </w:rPr>
        <w:t xml:space="preserve"> This felt like the most simplistic and clear description of a learning environment and fits the modern day classroom. Alongside a </w:t>
      </w:r>
      <w:r>
        <w:rPr>
          <w:rFonts w:ascii="Times New Roman" w:hAnsi="Times New Roman" w:hint="default"/>
          <w:sz w:val="24"/>
          <w:szCs w:val="24"/>
          <w:rtl w:val="0"/>
          <w:lang w:val="en-US"/>
        </w:rPr>
        <w:t>“</w:t>
      </w:r>
      <w:r>
        <w:rPr>
          <w:rFonts w:ascii="Times New Roman" w:hAnsi="Times New Roman"/>
          <w:sz w:val="24"/>
          <w:szCs w:val="24"/>
          <w:rtl w:val="0"/>
          <w:lang w:val="en-US"/>
        </w:rPr>
        <w:t>responsible environment</w:t>
      </w:r>
      <w:r>
        <w:rPr>
          <w:rFonts w:ascii="Times New Roman" w:hAnsi="Times New Roman" w:hint="default"/>
          <w:sz w:val="24"/>
          <w:szCs w:val="24"/>
          <w:rtl w:val="0"/>
          <w:lang w:val="en-US"/>
        </w:rPr>
        <w:t xml:space="preserve">” </w:t>
      </w:r>
      <w:r>
        <w:rPr>
          <w:rFonts w:ascii="Times New Roman" w:hAnsi="Times New Roman"/>
          <w:sz w:val="24"/>
          <w:szCs w:val="24"/>
          <w:rtl w:val="0"/>
          <w:lang w:val="de-DE"/>
        </w:rPr>
        <w:t xml:space="preserve">Feldhusen &amp; Treffinger (1980) </w:t>
      </w:r>
      <w:r>
        <w:rPr>
          <w:rFonts w:ascii="Times New Roman" w:hAnsi="Times New Roman"/>
          <w:sz w:val="24"/>
          <w:szCs w:val="24"/>
          <w:rtl w:val="0"/>
          <w:lang w:val="en-US"/>
        </w:rPr>
        <w:t xml:space="preserve">and Davis (1991) believed that to inspire creative thinking, a practitioner must also create an environment which has a </w:t>
      </w:r>
      <w:r>
        <w:rPr>
          <w:rFonts w:ascii="Times New Roman" w:hAnsi="Times New Roman" w:hint="default"/>
          <w:sz w:val="24"/>
          <w:szCs w:val="24"/>
          <w:rtl w:val="0"/>
          <w:lang w:val="en-US"/>
        </w:rPr>
        <w:t>“</w:t>
      </w:r>
      <w:r>
        <w:rPr>
          <w:rFonts w:ascii="Times New Roman" w:hAnsi="Times New Roman"/>
          <w:sz w:val="24"/>
          <w:szCs w:val="24"/>
          <w:rtl w:val="0"/>
          <w:lang w:val="en-US"/>
        </w:rPr>
        <w:t>creative climate</w:t>
      </w:r>
      <w:r>
        <w:rPr>
          <w:rFonts w:ascii="Times New Roman" w:hAnsi="Times New Roman" w:hint="default"/>
          <w:sz w:val="24"/>
          <w:szCs w:val="24"/>
          <w:rtl w:val="0"/>
          <w:lang w:val="en-US"/>
        </w:rPr>
        <w:t>”</w:t>
      </w:r>
      <w:r>
        <w:rPr>
          <w:rFonts w:ascii="Times New Roman" w:hAnsi="Times New Roman"/>
          <w:sz w:val="24"/>
          <w:szCs w:val="24"/>
          <w:rtl w:val="0"/>
          <w:lang w:val="en-US"/>
        </w:rPr>
        <w:t xml:space="preserve">. It has been observed on placement that to help create a positive, creative learning environment, a teacher must support and also encourage responses that seem unusual and ideas that are out of the norm. Two professionals that both support this are Axelrod (1997) and </w:t>
      </w:r>
      <w:r>
        <w:rPr>
          <w:rFonts w:ascii="Times New Roman" w:hAnsi="Times New Roman"/>
          <w:sz w:val="24"/>
          <w:szCs w:val="24"/>
          <w:rtl w:val="0"/>
          <w:lang w:val="de-DE"/>
        </w:rPr>
        <w:t>Feldhusen &amp; Treffinger (1980)</w:t>
      </w:r>
      <w:r>
        <w:rPr>
          <w:rFonts w:ascii="Times New Roman" w:hAnsi="Times New Roman"/>
          <w:sz w:val="24"/>
          <w:szCs w:val="24"/>
          <w:rtl w:val="0"/>
          <w:lang w:val="en-US"/>
        </w:rPr>
        <w:t xml:space="preserve"> who both believe that the unusual answers should be valued when a creative process is in motion. </w:t>
      </w:r>
      <w:r>
        <w:rPr>
          <w:rFonts w:ascii="Times New Roman" w:hAnsi="Times New Roman"/>
          <w:sz w:val="24"/>
          <w:szCs w:val="24"/>
          <w:rtl w:val="0"/>
          <w:lang w:val="de-DE"/>
        </w:rPr>
        <w:t>Feldhusen &amp; Treffinger (1980)</w:t>
      </w:r>
      <w:r>
        <w:rPr>
          <w:rFonts w:ascii="Times New Roman" w:hAnsi="Times New Roman"/>
          <w:sz w:val="24"/>
          <w:szCs w:val="24"/>
          <w:rtl w:val="0"/>
          <w:lang w:val="en-US"/>
        </w:rPr>
        <w:t xml:space="preserve"> go on to say that within a creative environment practitioners also need to have the ability to use failures as positives so that children understand that it is acceptable to make mistakes. This is further supported by Craft (2005), as she believes creativity can be repressed from a young age meaning the children soon learn to not share ideas in the future. Schools also need to allow time for children think about and develop their ideas further when they get the chance. By giving children the chance to develop their ideas it allows them to use ore creative and imaginative methods to come up with a solution. As previously mentioned, children who are divergent thinkers, if given more time on each task it allows them to think of a larger quantity of ideas meaning that they have a great opportunity to design or think of a more creative product. The same can be said for convergent thinkers. If learners with this type of thinking are given an extended amount of time on a problem they are able to narrow down their ideas to a more suitable and more well rounded solution. In both instances these two types of learner will benefit far more from extended time (McGabe, 1991; Parnes, 1967). Another factor that can benefit learners in a creative learning environment is that of group work. In the current climate of education, class sizes are becoming very large and it can be difficult to manage and support all learners. By creating projects and activities that involve group work can make it very economical for teachers around the country. It has been noted that creativity can be individualistic in nature but by working in a group, ideas can be further develop by someone that has more knowledge of a subject (</w:t>
      </w:r>
      <w:r>
        <w:rPr>
          <w:rFonts w:ascii="Times New Roman" w:hAnsi="Times New Roman"/>
          <w:sz w:val="24"/>
          <w:szCs w:val="24"/>
          <w:rtl w:val="0"/>
        </w:rPr>
        <w:t>Tuckman, 200</w:t>
      </w:r>
      <w:r>
        <w:rPr>
          <w:rFonts w:ascii="Times New Roman" w:hAnsi="Times New Roman"/>
          <w:sz w:val="24"/>
          <w:szCs w:val="24"/>
          <w:rtl w:val="0"/>
          <w:lang w:val="en-US"/>
        </w:rPr>
        <w:t xml:space="preserve">1; Vygotsky, 1962). In a classroom context, a strategy that can be used to foster creativity fairly whilst doing group work is by using a brainstorm. This way all children are able to have an input and ideas will not be questions as children just see it as an idea to add to the collection. However, the misuse of group work can lead to worsening of individual imagination and creation but also hinder the development of problem solving and creative freedom (Hillman, 2006; Woolfolk &amp; Murphy, 2001). Further more, Woolfolk &amp; Murphy (2001) also express that when children are placed in to groups , speed and finishing tend to take over rather than them taking their time and understanding the information. Opposed to Tuckman (2001), Woolfolk &amp; Murphy (2001) believe that the children that have the least amount of knowledge on a subject, shift the dependency to the more knowledgable pupils meaning the learning is still passive.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To evaluate my own creativity and enterprise skills I will be using the Entrecomp Framework as a tool to guide my decisions, as this is the case I will be measuring myself against the creativity competence found in the Ideas and Opportunities area. To help further my evaluation of my own creativity and enterprise skills I will also measure myself using the Ethical &amp; Sustainable Thinking competence. The Entrecomp Framework was created because the European Commission recognised e</w:t>
      </w:r>
      <w:r>
        <w:rPr>
          <w:rFonts w:ascii="Times New Roman" w:hAnsi="Times New Roman"/>
          <w:sz w:val="24"/>
          <w:szCs w:val="24"/>
          <w:rtl w:val="0"/>
          <w:lang w:val="fr-FR"/>
        </w:rPr>
        <w:t>ntrepreneurshi</w:t>
      </w:r>
      <w:r>
        <w:rPr>
          <w:rFonts w:ascii="Times New Roman" w:hAnsi="Times New Roman"/>
          <w:sz w:val="24"/>
          <w:szCs w:val="24"/>
          <w:rtl w:val="0"/>
          <w:lang w:val="en-US"/>
        </w:rPr>
        <w:t xml:space="preserve">p as a key competence which leads to a knowledge-based society. This framework was also created in the hope that a more clear connection could be made between education and the world of work. As a result the framework can also be used as a foundation for curricula and different activities for developing entrepreneurship as a competence (Bacigalupo et al., 2016). By judging myself against the creativity competence it means I will get the opportunity to demonstrate how I am able to develop original ideas to help create value to improved solutions to a number of challenges. It also gives me the opportunity to use my own knowledge of exploring and experimenting with new and developed approaches. With this, it will also allow me to utilise my knowledge and understanding to a more desired effect.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first thread that I will measure myself against is going to be </w:t>
      </w:r>
      <w:r>
        <w:rPr>
          <w:rFonts w:ascii="Times New Roman" w:hAnsi="Times New Roman" w:hint="default"/>
          <w:sz w:val="24"/>
          <w:szCs w:val="24"/>
          <w:rtl w:val="0"/>
          <w:lang w:val="en-US"/>
        </w:rPr>
        <w:t>“</w:t>
      </w:r>
      <w:r>
        <w:rPr>
          <w:rFonts w:ascii="Times New Roman" w:hAnsi="Times New Roman"/>
          <w:sz w:val="24"/>
          <w:szCs w:val="24"/>
          <w:rtl w:val="0"/>
          <w:lang w:val="en-US"/>
        </w:rPr>
        <w:t>Curious and open</w:t>
      </w:r>
      <w:r>
        <w:rPr>
          <w:rFonts w:ascii="Times New Roman" w:hAnsi="Times New Roman" w:hint="default"/>
          <w:sz w:val="24"/>
          <w:szCs w:val="24"/>
          <w:rtl w:val="0"/>
          <w:lang w:val="en-US"/>
        </w:rPr>
        <w:t>”</w:t>
      </w:r>
      <w:r>
        <w:rPr>
          <w:rFonts w:ascii="Times New Roman" w:hAnsi="Times New Roman"/>
          <w:sz w:val="24"/>
          <w:szCs w:val="24"/>
          <w:rtl w:val="0"/>
          <w:lang w:val="en-US"/>
        </w:rPr>
        <w:t xml:space="preserve">. After considering each level, it was decided that I was best fitted to the intermediate proficiency and placed myself at level 3. I found that this was a suitable level for me to be placed at because of a number of situations I have been in, linked to the description. I often find myself in situations that are new and require me to think on my feet. One such situation that stands out to me is an escape room experience that took place in the university, where me and a group of friends needed to unlock a box that contained code to unlock a chest to complete the challenge. This experience needed us to use our knowledge and understanding of both numbers and letters to decipher codes. It also demanded that we take measured risk to overcome the problems. One of the puzzles needed me to take a risk in which we were unsure if it would pay off or not. In the end, I took the risk and decided to go ahead with the decision which paid off. It has been conveyed by Kogan (1964), that an individual can be more likely to take risks when there is a reward involved. Although, he also claimed that for an individual to risks they must have positive experiences of it in the past. This leads me to think about why some group members may have been hesitant for me to take the risk as they may have a negative experience in that area. I believe that this is just one reason as to why my group finished the escape room experience with one of the quickest times (Appendix 1).As level 3 is linked to risk taking, it was for this reason that I decided to place myself there. For me to progress to the next level I feel that I need to develop wider skills to improve my creativity such as questioning and thinking flexibly which are both areas in the 16 habits of mind. De Bono (1991) refers to flexible thinking as lateral thinking where an individual approaches a challenge from a different angle. I have decided on these skills after researching in to </w:t>
      </w:r>
      <w:r>
        <w:rPr>
          <w:rFonts w:ascii="Times New Roman" w:hAnsi="Times New Roman" w:hint="default"/>
          <w:sz w:val="24"/>
          <w:szCs w:val="24"/>
          <w:rtl w:val="0"/>
          <w:lang w:val="en-US"/>
        </w:rPr>
        <w:t>“</w:t>
      </w:r>
      <w:r>
        <w:rPr>
          <w:rFonts w:ascii="Times New Roman" w:hAnsi="Times New Roman"/>
          <w:sz w:val="24"/>
          <w:szCs w:val="24"/>
          <w:rtl w:val="0"/>
          <w:lang w:val="en-US"/>
        </w:rPr>
        <w:t>Sandboxing</w:t>
      </w:r>
      <w:r>
        <w:rPr>
          <w:rFonts w:ascii="Times New Roman" w:hAnsi="Times New Roman" w:hint="default"/>
          <w:sz w:val="24"/>
          <w:szCs w:val="24"/>
          <w:rtl w:val="0"/>
          <w:lang w:val="en-US"/>
        </w:rPr>
        <w:t>”</w:t>
      </w:r>
      <w:r>
        <w:rPr>
          <w:rFonts w:ascii="Times New Roman" w:hAnsi="Times New Roman"/>
          <w:sz w:val="24"/>
          <w:szCs w:val="24"/>
          <w:rtl w:val="0"/>
          <w:lang w:val="en-US"/>
        </w:rPr>
        <w:t>, which describes creating solutions using interdisciplinary skills and feel as though I would benefit from these skills being developed.</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second thread that I will measure myself against is </w:t>
      </w:r>
      <w:r>
        <w:rPr>
          <w:rFonts w:ascii="Times New Roman" w:hAnsi="Times New Roman" w:hint="default"/>
          <w:sz w:val="24"/>
          <w:szCs w:val="24"/>
          <w:rtl w:val="0"/>
          <w:lang w:val="en-US"/>
        </w:rPr>
        <w:t>“</w:t>
      </w:r>
      <w:r>
        <w:rPr>
          <w:rFonts w:ascii="Times New Roman" w:hAnsi="Times New Roman"/>
          <w:sz w:val="24"/>
          <w:szCs w:val="24"/>
          <w:rtl w:val="0"/>
          <w:lang w:val="en-US"/>
        </w:rPr>
        <w:t>Developing ideas</w:t>
      </w:r>
      <w:r>
        <w:rPr>
          <w:rFonts w:ascii="Times New Roman" w:hAnsi="Times New Roman" w:hint="default"/>
          <w:sz w:val="24"/>
          <w:szCs w:val="24"/>
          <w:rtl w:val="0"/>
          <w:lang w:val="en-US"/>
        </w:rPr>
        <w:t>”</w:t>
      </w:r>
      <w:r>
        <w:rPr>
          <w:rFonts w:ascii="Times New Roman" w:hAnsi="Times New Roman"/>
          <w:sz w:val="24"/>
          <w:szCs w:val="24"/>
          <w:rtl w:val="0"/>
          <w:lang w:val="en-US"/>
        </w:rPr>
        <w:t>. For this thread, I have decided that my abilities are best suited to level 2 as I am able to work individually as well as in a team. The experience above is one piece of evidence that I am able develop ideas on my own but it is also evidence that I am able to work in collaboration with other people to develop creative solutions to different problems. For this thread, I placed myself at level 2 because I believe at this level a lot of consideration is taken in to the development of divergent thinking. In a lecture last term, we were placed in to small groups and given a puzzle to complete together. We first started with our own ideas and put them forward to the group where we would see if that solution was a valid one. As the group had a supportive ethos, each individual was able to put forward their own idea without having any criticism from others in the group (Barnes, 2015). Once we had all given a contribution to the problem we decided to start using each others ideas together and see if it would be more effective to use more than one idea at the time. By using this technique as a group we were able to give value to each others solutions. To develop my level in this I recognise that I need to work on my divergent thinking to be able to generate alternative solutions to problems in far more efficient ways. This goes back to me improving my thinking flexibility in situations. Along with this I could also improve my listening with understanding so that I am able to better empathise with other group members. To improve this I will need to listen more carefully to other members next time I am to carry out a creative task. Convey (1989) found that highly effective people spend a large amount of time listening to others.</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Within the thread of </w:t>
      </w:r>
      <w:r>
        <w:rPr>
          <w:rFonts w:ascii="Times New Roman" w:hAnsi="Times New Roman" w:hint="default"/>
          <w:sz w:val="24"/>
          <w:szCs w:val="24"/>
          <w:rtl w:val="0"/>
          <w:lang w:val="en-US"/>
        </w:rPr>
        <w:t>“</w:t>
      </w:r>
      <w:r>
        <w:rPr>
          <w:rFonts w:ascii="Times New Roman" w:hAnsi="Times New Roman"/>
          <w:sz w:val="24"/>
          <w:szCs w:val="24"/>
          <w:rtl w:val="0"/>
          <w:lang w:val="en-US"/>
        </w:rPr>
        <w:t>Define problems</w:t>
      </w:r>
      <w:r>
        <w:rPr>
          <w:rFonts w:ascii="Times New Roman" w:hAnsi="Times New Roman" w:hint="default"/>
          <w:sz w:val="24"/>
          <w:szCs w:val="24"/>
          <w:rtl w:val="0"/>
          <w:lang w:val="en-US"/>
        </w:rPr>
        <w:t>”</w:t>
      </w:r>
      <w:r>
        <w:rPr>
          <w:rFonts w:ascii="Times New Roman" w:hAnsi="Times New Roman"/>
          <w:sz w:val="24"/>
          <w:szCs w:val="24"/>
          <w:rtl w:val="0"/>
          <w:lang w:val="en-US"/>
        </w:rPr>
        <w:t xml:space="preserve">, I decided that the intermediate level of proficiency was the best fit for me at this moment in time. I placed myself at level level 4 as I feel that I have the ability to take open ended questions and use my knowledge of the situation and use my skills to my advantage. One moment that I have proved this is in another lecture where we were put in to pairs and given a sheet of A2 paper. The question was </w:t>
      </w:r>
      <w:r>
        <w:rPr>
          <w:rFonts w:ascii="Times New Roman" w:hAnsi="Times New Roman" w:hint="default"/>
          <w:sz w:val="24"/>
          <w:szCs w:val="24"/>
          <w:rtl w:val="0"/>
          <w:lang w:val="en-US"/>
        </w:rPr>
        <w:t>“</w:t>
      </w:r>
      <w:r>
        <w:rPr>
          <w:rFonts w:ascii="Times New Roman" w:hAnsi="Times New Roman"/>
          <w:sz w:val="24"/>
          <w:szCs w:val="24"/>
          <w:rtl w:val="0"/>
          <w:lang w:val="en-US"/>
        </w:rPr>
        <w:t>Can you both stand on the edge of the piece of paper without being able to touch each other?</w:t>
      </w:r>
      <w:r>
        <w:rPr>
          <w:rFonts w:ascii="Times New Roman" w:hAnsi="Times New Roman" w:hint="default"/>
          <w:sz w:val="24"/>
          <w:szCs w:val="24"/>
          <w:rtl w:val="0"/>
          <w:lang w:val="en-US"/>
        </w:rPr>
        <w:t>”</w:t>
      </w:r>
      <w:r>
        <w:rPr>
          <w:rFonts w:ascii="Times New Roman" w:hAnsi="Times New Roman"/>
          <w:sz w:val="24"/>
          <w:szCs w:val="24"/>
          <w:rtl w:val="0"/>
          <w:lang w:val="en-US"/>
        </w:rPr>
        <w:t>. After some time considering this question, with my partner, I decided that there must be an easy or rational way to achieve this goal. Reshaping the problem, I came up with the solution where we both stand the other side of a door and slide the paper underneath the door. That way we both were standing on each side of the paper but were unable to touch each other. In that situation I used the open ended question to my advantage and interpreted it in a different way. Creative people are able to find solutions outside of their understanding (Perkins, 1985). The next level would require me to develop my communication skills in order for me to progress to the next step. I feel as though my communication skills are one on my strengths and feel as though, with a bit more discipline I would be able make it to level 5. Within the 16 habits of mind one of the areas is th</w:t>
      </w:r>
      <w:r>
        <w:rPr>
          <w:rFonts w:ascii="Times New Roman" w:hAnsi="Times New Roman"/>
          <w:sz w:val="24"/>
          <w:szCs w:val="24"/>
          <w:rtl w:val="0"/>
          <w:lang w:val="en-US"/>
        </w:rPr>
        <w:t xml:space="preserve">inking and </w:t>
      </w:r>
      <w:r>
        <w:rPr>
          <w:rFonts w:ascii="Times New Roman" w:hAnsi="Times New Roman"/>
          <w:sz w:val="24"/>
          <w:szCs w:val="24"/>
          <w:rtl w:val="0"/>
          <w:lang w:val="en-US"/>
        </w:rPr>
        <w:t>c</w:t>
      </w:r>
      <w:r>
        <w:rPr>
          <w:rFonts w:ascii="Times New Roman" w:hAnsi="Times New Roman"/>
          <w:sz w:val="24"/>
          <w:szCs w:val="24"/>
          <w:rtl w:val="0"/>
          <w:lang w:val="en-US"/>
        </w:rPr>
        <w:t xml:space="preserve">ommunicating with </w:t>
      </w:r>
      <w:r>
        <w:rPr>
          <w:rFonts w:ascii="Times New Roman" w:hAnsi="Times New Roman"/>
          <w:sz w:val="24"/>
          <w:szCs w:val="24"/>
          <w:rtl w:val="0"/>
          <w:lang w:val="en-US"/>
        </w:rPr>
        <w:t>c</w:t>
      </w:r>
      <w:r>
        <w:rPr>
          <w:rFonts w:ascii="Times New Roman" w:hAnsi="Times New Roman"/>
          <w:sz w:val="24"/>
          <w:szCs w:val="24"/>
          <w:rtl w:val="0"/>
          <w:lang w:val="en-US"/>
        </w:rPr>
        <w:t xml:space="preserve">larity and </w:t>
      </w:r>
      <w:r>
        <w:rPr>
          <w:rFonts w:ascii="Times New Roman" w:hAnsi="Times New Roman"/>
          <w:sz w:val="24"/>
          <w:szCs w:val="24"/>
          <w:rtl w:val="0"/>
          <w:lang w:val="en-US"/>
        </w:rPr>
        <w:t>p</w:t>
      </w:r>
      <w:r>
        <w:rPr>
          <w:rFonts w:ascii="Times New Roman" w:hAnsi="Times New Roman"/>
          <w:sz w:val="24"/>
          <w:szCs w:val="24"/>
          <w:rtl w:val="0"/>
          <w:lang w:val="it-IT"/>
        </w:rPr>
        <w:t>recision</w:t>
      </w:r>
      <w:r>
        <w:rPr>
          <w:rFonts w:ascii="Times New Roman" w:hAnsi="Times New Roman"/>
          <w:sz w:val="24"/>
          <w:szCs w:val="24"/>
          <w:rtl w:val="0"/>
          <w:lang w:val="en-US"/>
        </w:rPr>
        <w:t>. Even though I believe communication is one of my strengths, I think that being able to communicate with more precision and fluency would be a great benefit to me and also my pupils in the future.</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next thread I measured myself against was </w:t>
      </w:r>
      <w:r>
        <w:rPr>
          <w:rFonts w:ascii="Times New Roman" w:hAnsi="Times New Roman" w:hint="default"/>
          <w:sz w:val="24"/>
          <w:szCs w:val="24"/>
          <w:rtl w:val="0"/>
          <w:lang w:val="en-US"/>
        </w:rPr>
        <w:t>“</w:t>
      </w:r>
      <w:r>
        <w:rPr>
          <w:rFonts w:ascii="Times New Roman" w:hAnsi="Times New Roman"/>
          <w:sz w:val="24"/>
          <w:szCs w:val="24"/>
          <w:rtl w:val="0"/>
          <w:lang w:val="en-US"/>
        </w:rPr>
        <w:t>Design value</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sz w:val="24"/>
          <w:szCs w:val="24"/>
          <w:rtl w:val="0"/>
          <w:lang w:val="en-US"/>
        </w:rPr>
        <w:t>it was felt that the most suitable level for me</w:t>
      </w:r>
      <w:r>
        <w:rPr>
          <w:rFonts w:ascii="Times New Roman" w:hAnsi="Times New Roman"/>
          <w:sz w:val="24"/>
          <w:szCs w:val="24"/>
          <w:rtl w:val="0"/>
          <w:lang w:val="en-US"/>
        </w:rPr>
        <w:t xml:space="preserve"> would be level 2 in the foundation proficiency. I felt as though at this level a main focus would be prototyping of a product or design as it describes the individual as being abel to improve existing processes which I believe I have achieved in my example (Appendix 2).</w:t>
      </w:r>
      <w:r>
        <w:rPr>
          <w:rFonts w:ascii="Times New Roman" w:hAnsi="Times New Roman"/>
          <w:sz w:val="24"/>
          <w:szCs w:val="24"/>
          <w:rtl w:val="0"/>
        </w:rPr>
        <w:t xml:space="preserve"> </w:t>
      </w:r>
      <w:r>
        <w:rPr>
          <w:rFonts w:ascii="Times New Roman" w:hAnsi="Times New Roman"/>
          <w:sz w:val="24"/>
          <w:szCs w:val="24"/>
          <w:rtl w:val="0"/>
          <w:lang w:val="en-US"/>
        </w:rPr>
        <w:t>In a separate lecture last term, in groups, we were set the challenge of who could build the tallest tower using only spaghetti and tape. The winning team would be the one that was standing at the end of the permitted time with a marshmallow balance on the top. As a group we were able to work together well and put ideas forward that were helpful to the creation of our tower. We first decided on using three pieces of spaghetti as the legs as we thought it would be the strongest form of a base. After trying that method out we found that using just three legs would be too weak to make the tower free standing, which was part of the criteria. After that first trial run we decided on using four legs instead as it appeared to be sturdier, which we then found was wrong. We finally decided on creating a foundation on the table to support the legs which made the tower a lot more steady and able to stand on its own. As a group, we decided to keep prototyping our design process because it has been shown that many groups will first, orient followed by planning, next building and just as the time runs out the tower would collapse because they hadn</w:t>
      </w:r>
      <w:r>
        <w:rPr>
          <w:rFonts w:ascii="Times New Roman" w:hAnsi="Times New Roman" w:hint="default"/>
          <w:sz w:val="24"/>
          <w:szCs w:val="24"/>
          <w:rtl w:val="0"/>
          <w:lang w:val="en-US"/>
        </w:rPr>
        <w:t>’</w:t>
      </w:r>
      <w:r>
        <w:rPr>
          <w:rFonts w:ascii="Times New Roman" w:hAnsi="Times New Roman"/>
          <w:sz w:val="24"/>
          <w:szCs w:val="24"/>
          <w:rtl w:val="0"/>
          <w:lang w:val="en-US"/>
        </w:rPr>
        <w:t xml:space="preserve">t thought through different factors that would affect their tower. The more a product or process is prototyped the more chances an individual has to refine their idea. Confucius once said </w:t>
      </w:r>
      <w:r>
        <w:rPr>
          <w:rFonts w:ascii="Times New Roman" w:hAnsi="Times New Roman" w:hint="default"/>
          <w:sz w:val="24"/>
          <w:szCs w:val="24"/>
          <w:rtl w:val="0"/>
          <w:lang w:val="en-US"/>
        </w:rPr>
        <w:t>“</w:t>
      </w:r>
      <w:r>
        <w:rPr>
          <w:rFonts w:ascii="Times New Roman" w:hAnsi="Times New Roman"/>
          <w:sz w:val="24"/>
          <w:szCs w:val="24"/>
          <w:rtl w:val="0"/>
          <w:lang w:val="en-US"/>
        </w:rPr>
        <w:t>A man who has committed a mistake and doesn't correct it is committing another mistake.</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 xml:space="preserve"> For me to move on to the next level I will need to be able to identify basic functions that  a prototype should have. To help me with this I feel as though I could use SCAMPER to develop my knowledge on different aspects of products and ideas. It would be a great opportunity to see how ideas can be changed to suit different situations.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When measuring myself against </w:t>
      </w:r>
      <w:r>
        <w:rPr>
          <w:rFonts w:ascii="Times New Roman" w:hAnsi="Times New Roman" w:hint="default"/>
          <w:sz w:val="24"/>
          <w:szCs w:val="24"/>
          <w:rtl w:val="0"/>
          <w:lang w:val="en-US"/>
        </w:rPr>
        <w:t>“</w:t>
      </w:r>
      <w:r>
        <w:rPr>
          <w:rFonts w:ascii="Times New Roman" w:hAnsi="Times New Roman"/>
          <w:sz w:val="24"/>
          <w:szCs w:val="24"/>
          <w:rtl w:val="0"/>
          <w:lang w:val="en-US"/>
        </w:rPr>
        <w:t>Be innovative</w:t>
      </w:r>
      <w:r>
        <w:rPr>
          <w:rFonts w:ascii="Times New Roman" w:hAnsi="Times New Roman" w:hint="default"/>
          <w:sz w:val="24"/>
          <w:szCs w:val="24"/>
          <w:rtl w:val="0"/>
          <w:lang w:val="en-US"/>
        </w:rPr>
        <w:t>”</w:t>
      </w:r>
      <w:r>
        <w:rPr>
          <w:rFonts w:ascii="Times New Roman" w:hAnsi="Times New Roman"/>
          <w:sz w:val="24"/>
          <w:szCs w:val="24"/>
          <w:rtl w:val="0"/>
          <w:lang w:val="en-US"/>
        </w:rPr>
        <w:t>, I decided to place myself at level 1 as I do not believe that I have the correct knowledge or understanding in this thread. I have the ability to find examples of innovative products and solutions but I would be unable to describe them at any depth. As far as my evaluation of creativity goes using the Entrecomp Framework, this thread is by far my weakest and will need improving drastically. Recognising this as my weakness it also gives me the most scope for improvement. Although looking at the thread in more detail I believe that, in terms of creativity, it would be the easiest to improve. To progress to the next level, I think that I would need to carry out some research in to the world of innovative business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to get a better understanding. As I am now aware how weak this particular area is in my creativity, I will be sure to find ways to improve this including, talking to peers and also professionals in this field.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One competence that runs parallel to creativity, in my opinion is, the ethical and sustainable thinking competence where I will be evaluating myself against the thinking sustainably thread. I have placed myself at level 2 because I am able to recognise examples of companies that carry out environmentally friendly behaviour. I know I am able to do this because in my first year of PTE I created a lesson on fair trade, where the children gained knowledge on different types of farming around the world where all workers involved were able to have a  fair pay and living conditions. I felt as though my subject knowledge was to a suitable level as all children had understood what was needed of them when I was marking their books. To improve my level in this thread, I would need to research companies and practices that are not sustainable to their environments or workers. An example of this could be a more local company that the children know of which would possibly interest them far more because they can relate to what is going on in their local community.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As previously mentioned, it is hard to assess and mark creativity as it comes in so many different forms that there is not one size fits all solution. Although, Barnes (2015) expresses that by asking the right questions and using key words, we are able to gain an insight in to the learners creativity. Key words such as, fluency, flexibility, elaboration and originality are all words that become apparent when talking about any form of creativity. This is because these words are all components by which an individuals creativity could be assessed (Torrance 1966, 1974). When talking about creativity in the arts, Robinson (2001) and Robinson &amp; Aronica (2010) display a model which describes a cycle of activity know as the </w:t>
      </w:r>
      <w:r>
        <w:rPr>
          <w:rFonts w:ascii="Times New Roman" w:hAnsi="Times New Roman"/>
          <w:i w:val="1"/>
          <w:iCs w:val="1"/>
          <w:sz w:val="24"/>
          <w:szCs w:val="24"/>
          <w:rtl w:val="0"/>
          <w:lang w:val="en-US"/>
        </w:rPr>
        <w:t xml:space="preserve"> Processes of the Arts.</w:t>
      </w:r>
      <w:r>
        <w:rPr>
          <w:rFonts w:ascii="Times New Roman" w:hAnsi="Times New Roman"/>
          <w:sz w:val="24"/>
          <w:szCs w:val="24"/>
          <w:rtl w:val="0"/>
          <w:lang w:val="en-US"/>
        </w:rPr>
        <w:t xml:space="preserve"> Using this it makes it possible to assess where a child may be at with their creativity by taking in to consideration the originality and also the collaboration aspect of creativity. By presenting to a class, other children who use a similar style or sequence automatically become more engaged as it is relevant to them. When processes such as this take place it has been made apparent by children that they learn far better in these situations where their peers unintentionally become the teacher (Barnes &amp; Shirley, 2007). This type of learning links directly to learning intelligence (Sternberg &amp; Williams, 1998). Presenting to groups not only works with peer assessing but it can be said that to would encourage self assessment also. As self assessment can be instant, the child will be able to make judgement almost right away linking to </w:t>
      </w:r>
      <w:r>
        <w:rPr>
          <w:rFonts w:ascii="Times New Roman" w:hAnsi="Times New Roman"/>
          <w:sz w:val="24"/>
          <w:szCs w:val="24"/>
          <w:rtl w:val="0"/>
        </w:rPr>
        <w:t>Csikszentmihalyi</w:t>
      </w:r>
      <w:r>
        <w:rPr>
          <w:rFonts w:ascii="Times New Roman" w:hAnsi="Times New Roman" w:hint="default"/>
          <w:sz w:val="24"/>
          <w:szCs w:val="24"/>
          <w:rtl w:val="0"/>
          <w:lang w:val="en-US"/>
        </w:rPr>
        <w:t>’</w:t>
      </w:r>
      <w:r>
        <w:rPr>
          <w:rFonts w:ascii="Times New Roman" w:hAnsi="Times New Roman"/>
          <w:sz w:val="24"/>
          <w:szCs w:val="24"/>
          <w:rtl w:val="0"/>
          <w:lang w:val="en-US"/>
        </w:rPr>
        <w:t>s</w:t>
      </w:r>
      <w:r>
        <w:rPr>
          <w:rFonts w:ascii="Times New Roman" w:hAnsi="Times New Roman"/>
          <w:sz w:val="24"/>
          <w:szCs w:val="24"/>
          <w:rtl w:val="0"/>
        </w:rPr>
        <w:t>(2002)</w:t>
      </w:r>
      <w:r>
        <w:rPr>
          <w:rFonts w:ascii="Times New Roman" w:hAnsi="Times New Roman"/>
          <w:sz w:val="24"/>
          <w:szCs w:val="24"/>
          <w:rtl w:val="0"/>
          <w:lang w:val="en-US"/>
        </w:rPr>
        <w:t xml:space="preserve"> concept of flow.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Creative acts are sudden, short lived and can happen spontaneously which can happen after long periods of searching or observation (Parnes &amp; Harding, 2001). More often than not, schools tend to hinder these moments of creativity as school days are often regimented to rigid timetables (Robinson, 2001; TED, 2007). Children will often get hour periods for each lesson and by the time they have had a chance to think about any creative solutions to the problems it is already too late.</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In conclusion , when looking to develop creativity in a classroom, a teacher needs to be fully aware of what type of leaners and thinkers they have in terms of divergent and convergent thinkers. With this in mind the teacher needs to create projects and activities that will suit both types of thinkers to make the optimum impact to a child</w:t>
      </w:r>
      <w:r>
        <w:rPr>
          <w:rFonts w:ascii="Times New Roman" w:hAnsi="Times New Roman" w:hint="default"/>
          <w:sz w:val="24"/>
          <w:szCs w:val="24"/>
          <w:rtl w:val="0"/>
          <w:lang w:val="en-US"/>
        </w:rPr>
        <w:t>’</w:t>
      </w:r>
      <w:r>
        <w:rPr>
          <w:rFonts w:ascii="Times New Roman" w:hAnsi="Times New Roman"/>
          <w:sz w:val="24"/>
          <w:szCs w:val="24"/>
          <w:rtl w:val="0"/>
          <w:lang w:val="en-US"/>
        </w:rPr>
        <w:t xml:space="preserve">s learning. Some recommendations that could be made to help develop and foster creativity in the classroom can be simple but effective, if planned correctly. According to Osborn (2000), the learners need to </w:t>
      </w:r>
      <w:r>
        <w:rPr>
          <w:rFonts w:ascii="Times New Roman" w:hAnsi="Times New Roman" w:hint="default"/>
          <w:sz w:val="24"/>
          <w:szCs w:val="24"/>
          <w:rtl w:val="0"/>
          <w:lang w:val="en-US"/>
        </w:rPr>
        <w:t>“</w:t>
      </w:r>
      <w:r>
        <w:rPr>
          <w:rFonts w:ascii="Times New Roman" w:hAnsi="Times New Roman"/>
          <w:sz w:val="24"/>
          <w:szCs w:val="24"/>
          <w:rtl w:val="0"/>
          <w:lang w:val="en-US"/>
        </w:rPr>
        <w:t>make a start</w:t>
      </w:r>
      <w:r>
        <w:rPr>
          <w:rFonts w:ascii="Times New Roman" w:hAnsi="Times New Roman" w:hint="default"/>
          <w:sz w:val="24"/>
          <w:szCs w:val="24"/>
          <w:rtl w:val="0"/>
          <w:lang w:val="en-US"/>
        </w:rPr>
        <w:t>”</w:t>
      </w:r>
      <w:r>
        <w:rPr>
          <w:rFonts w:ascii="Times New Roman" w:hAnsi="Times New Roman"/>
          <w:sz w:val="24"/>
          <w:szCs w:val="24"/>
          <w:rtl w:val="0"/>
          <w:lang w:val="en-US"/>
        </w:rPr>
        <w:t xml:space="preserve">, so that they have enough time to think creatively, this would especially benefit divergent thinkers. Furthermore, he believes that setting deadlines as it helps to intensify emotional power, as there is an element of fear about not meeting our goals. Another recommendation made by both Gomez (2007) and Osborn (2000) is to fix a time and place for creative learning. If we are to set aside a time and place for creativity then learners are more likely to have more original thought with no actual time limits. The more time that is set aside for creative thought, the more time learners have for an idea to spark.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u w:val="single"/>
        </w:rPr>
      </w:pPr>
    </w:p>
    <w:p>
      <w:pPr>
        <w:pStyle w:val="Body"/>
        <w:spacing w:line="360" w:lineRule="auto"/>
        <w:rPr>
          <w:rFonts w:ascii="Times New Roman" w:cs="Times New Roman" w:hAnsi="Times New Roman" w:eastAsia="Times New Roman"/>
          <w:sz w:val="24"/>
          <w:szCs w:val="24"/>
          <w:u w:val="single"/>
        </w:rPr>
      </w:pPr>
    </w:p>
    <w:p>
      <w:pPr>
        <w:pStyle w:val="Body"/>
        <w:spacing w:line="360" w:lineRule="auto"/>
        <w:rPr>
          <w:rFonts w:ascii="Times New Roman" w:cs="Times New Roman" w:hAnsi="Times New Roman" w:eastAsia="Times New Roman"/>
          <w:sz w:val="24"/>
          <w:szCs w:val="24"/>
          <w:u w:val="single"/>
        </w:rPr>
      </w:pPr>
    </w:p>
    <w:p>
      <w:pPr>
        <w:pStyle w:val="Body"/>
        <w:spacing w:line="360" w:lineRule="auto"/>
        <w:rPr>
          <w:rFonts w:ascii="Times New Roman" w:cs="Times New Roman" w:hAnsi="Times New Roman" w:eastAsia="Times New Roman"/>
          <w:sz w:val="24"/>
          <w:szCs w:val="24"/>
          <w:u w:val="single"/>
        </w:rPr>
      </w:pPr>
    </w:p>
    <w:p>
      <w:pPr>
        <w:pStyle w:val="Body"/>
        <w:spacing w:line="360" w:lineRule="auto"/>
        <w:rPr>
          <w:rFonts w:ascii="Times New Roman" w:cs="Times New Roman" w:hAnsi="Times New Roman" w:eastAsia="Times New Roman"/>
          <w:sz w:val="24"/>
          <w:szCs w:val="24"/>
          <w:u w:val="single"/>
        </w:rPr>
      </w:pPr>
    </w:p>
    <w:p>
      <w:pPr>
        <w:pStyle w:val="Body"/>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Reference List</w:t>
      </w:r>
    </w:p>
    <w:p>
      <w:pPr>
        <w:pStyle w:val="Body"/>
        <w:spacing w:line="360" w:lineRule="auto"/>
        <w:rPr>
          <w:rFonts w:ascii="Times New Roman" w:cs="Times New Roman" w:hAnsi="Times New Roman" w:eastAsia="Times New Roman"/>
          <w:sz w:val="24"/>
          <w:szCs w:val="24"/>
          <w:u w:val="singl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 xml:space="preserve">Axelrod, J. (1997). The University Teacher as Artist. San Francisco, CA: Jossey-Bass Inc. Berte, N. </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 xml:space="preserve">Bacigalupo, M., Kampylis, P., Punie, Y. &amp; Van den Brande, G. (2016) </w:t>
      </w:r>
      <w:r>
        <w:rPr>
          <w:rFonts w:ascii="Times New Roman" w:hAnsi="Times New Roman"/>
          <w:sz w:val="24"/>
          <w:szCs w:val="24"/>
          <w:rtl w:val="0"/>
          <w:lang w:val="en-US"/>
          <w14:textOutline w14:w="0" w14:cap="flat">
            <w14:solidFill>
              <w14:srgbClr w14:val="000000"/>
            </w14:solidFill>
            <w14:prstDash w14:val="solid"/>
            <w14:miter w14:lim="400000"/>
          </w14:textOutline>
        </w:rPr>
        <w:t>EntreComp: The Entrepreneurship Competence Framework</w:t>
      </w:r>
      <w:r>
        <w:rPr>
          <w:rFonts w:ascii="Times New Roman" w:hAnsi="Times New Roman"/>
          <w:sz w:val="24"/>
          <w:szCs w:val="24"/>
          <w:rtl w:val="0"/>
          <w:lang w:val="en-US"/>
          <w14:textOutline w14:w="0" w14:cap="flat">
            <w14:solidFill>
              <w14:srgbClr w14:val="000000"/>
            </w14:solidFill>
            <w14:prstDash w14:val="solid"/>
            <w14:miter w14:lim="400000"/>
          </w14:textOutline>
        </w:rPr>
        <w:t xml:space="preserve">. </w:t>
      </w:r>
      <w:r>
        <w:rPr>
          <w:rFonts w:ascii="Times New Roman" w:hAnsi="Times New Roman"/>
          <w:sz w:val="24"/>
          <w:szCs w:val="24"/>
          <w:rtl w:val="0"/>
          <w:lang w:val="en-US"/>
          <w14:textOutline w14:w="0" w14:cap="flat">
            <w14:solidFill>
              <w14:srgbClr w14:val="000000"/>
            </w14:solidFill>
            <w14:prstDash w14:val="solid"/>
            <w14:miter w14:lim="400000"/>
          </w14:textOutline>
        </w:rPr>
        <w:t>Publications Office of the European Union</w:t>
      </w:r>
      <w:r>
        <w:rPr>
          <w:rFonts w:ascii="Times New Roman" w:hAnsi="Times New Roman"/>
          <w:sz w:val="24"/>
          <w:szCs w:val="24"/>
          <w:rtl w:val="0"/>
          <w:lang w:val="en-US"/>
          <w14:textOutline w14:w="0" w14:cap="flat">
            <w14:solidFill>
              <w14:srgbClr w14:val="000000"/>
            </w14:solidFill>
            <w14:prstDash w14:val="solid"/>
            <w14:miter w14:lim="400000"/>
          </w14:textOutline>
        </w:rPr>
        <w:t xml:space="preserve"> 2016. </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Barnes, J. (2015)</w:t>
      </w:r>
      <w:r>
        <w:rPr>
          <w:rFonts w:ascii="Times New Roman" w:hAnsi="Times New Roman" w:hint="default"/>
          <w:sz w:val="24"/>
          <w:szCs w:val="24"/>
          <w:rtl w:val="0"/>
          <w:lang w:val="en-US"/>
        </w:rPr>
        <w:t> </w:t>
      </w:r>
      <w:r>
        <w:rPr>
          <w:rFonts w:ascii="Times New Roman" w:hAnsi="Times New Roman"/>
          <w:sz w:val="24"/>
          <w:szCs w:val="24"/>
          <w:rtl w:val="0"/>
          <w:lang w:val="en-US"/>
        </w:rPr>
        <w:t>Cross-curricular Learning 3-14. 3rd ed. London: SAGE.</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Barnes, J. &amp; Shirley, I. (2007) Strangely Familiar: Cross-curricular and Creative Thinking in Teacher Education, Improving Schools, 10 (2): 289-306.</w:t>
      </w:r>
    </w:p>
    <w:p>
      <w:pPr>
        <w:pStyle w:val="Body"/>
        <w:spacing w:line="360" w:lineRule="auto"/>
        <w:rPr>
          <w:rFonts w:ascii="Times New Roman" w:cs="Times New Roman" w:hAnsi="Times New Roman" w:eastAsia="Times New Roman"/>
          <w:sz w:val="24"/>
          <w:szCs w:val="24"/>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Bohm, A. (1998). On Creativity. New York: Harper and Row, Publishers.</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 xml:space="preserve">Covey, S. (1989) The Seven Habits Of Highly Effective People. New York: Simon and Schuster. </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 xml:space="preserve">Craft, A (2005) </w:t>
      </w:r>
      <w:r>
        <w:rPr>
          <w:rFonts w:ascii="Times New Roman" w:hAnsi="Times New Roman"/>
          <w:sz w:val="24"/>
          <w:szCs w:val="24"/>
          <w:rtl w:val="0"/>
          <w:lang w:val="en-US"/>
          <w14:textOutline w14:w="0" w14:cap="flat">
            <w14:solidFill>
              <w14:srgbClr w14:val="000000"/>
            </w14:solidFill>
            <w14:prstDash w14:val="solid"/>
            <w14:miter w14:lim="400000"/>
          </w14:textOutline>
        </w:rPr>
        <w:t>Creativity in Schools: Tensions and Dilemmas</w:t>
      </w:r>
      <w:r>
        <w:rPr>
          <w:rFonts w:ascii="Times New Roman" w:hAnsi="Times New Roman"/>
          <w:sz w:val="24"/>
          <w:szCs w:val="24"/>
          <w:rtl w:val="0"/>
          <w:lang w:val="en-US"/>
          <w14:textOutline w14:w="0" w14:cap="flat">
            <w14:solidFill>
              <w14:srgbClr w14:val="000000"/>
            </w14:solidFill>
            <w14:prstDash w14:val="solid"/>
            <w14:miter w14:lim="400000"/>
          </w14:textOutline>
        </w:rPr>
        <w:t>. London: Routledge.</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 xml:space="preserve">Cropley, A. J. (1998). Creativity. London: Longmans, Green &amp; Company. </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Csikszentmihalyi, M. (2002) Flow: The Classic Work on How to Achieve Happiness. New York: Ebury Press.</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Davis, G. A. (1991). Teaching creativity thinking. In N. Colangelo &amp; G. A. Davis (Eds.), Handbook of gifted education (pp. 236</w:t>
      </w:r>
      <w:r>
        <w:rPr>
          <w:rFonts w:ascii="Times New Roman" w:hAnsi="Times New Roman" w:hint="default"/>
          <w:sz w:val="24"/>
          <w:szCs w:val="24"/>
          <w:rtl w:val="0"/>
          <w14:textOutline w14:w="0" w14:cap="flat">
            <w14:solidFill>
              <w14:srgbClr w14:val="000000"/>
            </w14:solidFill>
            <w14:prstDash w14:val="solid"/>
            <w14:miter w14:lim="400000"/>
          </w14:textOutline>
        </w:rPr>
        <w:t>–</w:t>
      </w:r>
      <w:r>
        <w:rPr>
          <w:rFonts w:ascii="Times New Roman" w:hAnsi="Times New Roman"/>
          <w:sz w:val="24"/>
          <w:szCs w:val="24"/>
          <w:rtl w:val="0"/>
          <w:lang w:val="en-US"/>
          <w14:textOutline w14:w="0" w14:cap="flat">
            <w14:solidFill>
              <w14:srgbClr w14:val="000000"/>
            </w14:solidFill>
            <w14:prstDash w14:val="solid"/>
            <w14:miter w14:lim="400000"/>
          </w14:textOutline>
        </w:rPr>
        <w:t>244). Boston: Allyn &amp; Bacon.</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DeBono, E. (1991) The Cort Thinking Program in A. Costa (Ed) Developing Minds: Programs for Teaching Thinking. Alexandria, VA pp. 27-32: Association for Supervision and Curriculum Development.</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Donaldson, G. (2015) Successful Futures. Cardiff: Crown.</w:t>
      </w:r>
    </w:p>
    <w:p>
      <w:pPr>
        <w:pStyle w:val="Body"/>
        <w:spacing w:line="360" w:lineRule="auto"/>
        <w:rPr>
          <w:rFonts w:ascii="Times New Roman" w:cs="Times New Roman" w:hAnsi="Times New Roman" w:eastAsia="Times New Roman"/>
          <w:sz w:val="24"/>
          <w:szCs w:val="24"/>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Getzels, J.W. &amp; Jackson, P. W. (1992) Creativity and Intelligence. New York: John Wiley &amp; Sons.</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 xml:space="preserve">Gomez, J.G. (2007) </w:t>
      </w:r>
      <w:r>
        <w:rPr>
          <w:rFonts w:ascii="Times New Roman" w:hAnsi="Times New Roman"/>
          <w:sz w:val="24"/>
          <w:szCs w:val="24"/>
          <w:rtl w:val="0"/>
          <w:lang w:val="en-US"/>
          <w14:textOutline w14:w="0" w14:cap="flat">
            <w14:solidFill>
              <w14:srgbClr w14:val="000000"/>
            </w14:solidFill>
            <w14:prstDash w14:val="solid"/>
            <w14:miter w14:lim="400000"/>
          </w14:textOutline>
        </w:rPr>
        <w:t>The Journal of Effective Teaching, Vol. 7, No. 1, 2007 31-43</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Hasan, P. &amp; Butcher, H.U. (1996) Creativity and Intelligence: A Partial Replication with Scottish Children of Getzels and Jackson's Study. British Journal of Psychology.</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 xml:space="preserve">Hillmann, P. J. (2006). Fostering Creativity, Individuation, and the Imaginative Spirit: Are Collaborative Thinking and Cooperative Learning Over emphasised in Education Today?. </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Kogan, N., &amp; Wallach, M. A. (1964). Risk taking: A study in cognition and personality. Holt, Rinehart &amp; Winston.</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MacKinnon, D. W. (2005) IPAR's Contributions to the Conceptualization and Study of Creativity. Perspectives in Creativity. Chicago, IL: Aldine Publishing Company</w:t>
      </w:r>
      <w:r>
        <w:rPr>
          <w:rFonts w:ascii="Times New Roman" w:hAnsi="Times New Roman"/>
          <w:sz w:val="24"/>
          <w:szCs w:val="24"/>
          <w:rtl w:val="0"/>
          <w:lang w:val="en-US"/>
          <w14:textOutline w14:w="0" w14:cap="flat">
            <w14:solidFill>
              <w14:srgbClr w14:val="000000"/>
            </w14:solidFill>
            <w14:prstDash w14:val="solid"/>
            <w14:miter w14:lim="400000"/>
          </w14:textOutline>
        </w:rPr>
        <w:t>.</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 xml:space="preserve">McCabe, M. P. (1991). Influence of </w:t>
      </w:r>
      <w:r>
        <w:rPr>
          <w:rFonts w:ascii="Times New Roman" w:hAnsi="Times New Roman"/>
          <w:sz w:val="24"/>
          <w:szCs w:val="24"/>
          <w:rtl w:val="0"/>
          <w:lang w:val="en-US"/>
          <w14:textOutline w14:w="0" w14:cap="flat">
            <w14:solidFill>
              <w14:srgbClr w14:val="000000"/>
            </w14:solidFill>
            <w14:prstDash w14:val="solid"/>
            <w14:miter w14:lim="400000"/>
          </w14:textOutline>
        </w:rPr>
        <w:t>C</w:t>
      </w:r>
      <w:r>
        <w:rPr>
          <w:rFonts w:ascii="Times New Roman" w:hAnsi="Times New Roman"/>
          <w:sz w:val="24"/>
          <w:szCs w:val="24"/>
          <w:rtl w:val="0"/>
          <w:lang w:val="en-US"/>
          <w14:textOutline w14:w="0" w14:cap="flat">
            <w14:solidFill>
              <w14:srgbClr w14:val="000000"/>
            </w14:solidFill>
            <w14:prstDash w14:val="solid"/>
            <w14:miter w14:lim="400000"/>
          </w14:textOutline>
        </w:rPr>
        <w:t xml:space="preserve">reativity and </w:t>
      </w:r>
      <w:r>
        <w:rPr>
          <w:rFonts w:ascii="Times New Roman" w:hAnsi="Times New Roman"/>
          <w:sz w:val="24"/>
          <w:szCs w:val="24"/>
          <w:rtl w:val="0"/>
          <w:lang w:val="en-US"/>
          <w14:textOutline w14:w="0" w14:cap="flat">
            <w14:solidFill>
              <w14:srgbClr w14:val="000000"/>
            </w14:solidFill>
            <w14:prstDash w14:val="solid"/>
            <w14:miter w14:lim="400000"/>
          </w14:textOutline>
        </w:rPr>
        <w:t>I</w:t>
      </w:r>
      <w:r>
        <w:rPr>
          <w:rFonts w:ascii="Times New Roman" w:hAnsi="Times New Roman"/>
          <w:sz w:val="24"/>
          <w:szCs w:val="24"/>
          <w:rtl w:val="0"/>
          <w:lang w:val="fr-FR"/>
          <w14:textOutline w14:w="0" w14:cap="flat">
            <w14:solidFill>
              <w14:srgbClr w14:val="000000"/>
            </w14:solidFill>
            <w14:prstDash w14:val="solid"/>
            <w14:miter w14:lim="400000"/>
          </w14:textOutline>
        </w:rPr>
        <w:t xml:space="preserve">ntelligence on </w:t>
      </w:r>
      <w:r>
        <w:rPr>
          <w:rFonts w:ascii="Times New Roman" w:hAnsi="Times New Roman"/>
          <w:sz w:val="24"/>
          <w:szCs w:val="24"/>
          <w:rtl w:val="0"/>
          <w:lang w:val="en-US"/>
          <w14:textOutline w14:w="0" w14:cap="flat">
            <w14:solidFill>
              <w14:srgbClr w14:val="000000"/>
            </w14:solidFill>
            <w14:prstDash w14:val="solid"/>
            <w14:miter w14:lim="400000"/>
          </w14:textOutline>
        </w:rPr>
        <w:t>A</w:t>
      </w:r>
      <w:r>
        <w:rPr>
          <w:rFonts w:ascii="Times New Roman" w:hAnsi="Times New Roman"/>
          <w:sz w:val="24"/>
          <w:szCs w:val="24"/>
          <w:rtl w:val="0"/>
          <w:lang w:val="en-US"/>
          <w14:textOutline w14:w="0" w14:cap="flat">
            <w14:solidFill>
              <w14:srgbClr w14:val="000000"/>
            </w14:solidFill>
            <w14:prstDash w14:val="solid"/>
            <w14:miter w14:lim="400000"/>
          </w14:textOutline>
        </w:rPr>
        <w:t>cademic performance. Journal of Creative Behavior, 25, 116</w:t>
      </w:r>
      <w:r>
        <w:rPr>
          <w:rFonts w:ascii="Times New Roman" w:hAnsi="Times New Roman" w:hint="default"/>
          <w:sz w:val="24"/>
          <w:szCs w:val="24"/>
          <w:rtl w:val="0"/>
          <w14:textOutline w14:w="0" w14:cap="flat">
            <w14:solidFill>
              <w14:srgbClr w14:val="000000"/>
            </w14:solidFill>
            <w14:prstDash w14:val="solid"/>
            <w14:miter w14:lim="400000"/>
          </w14:textOutline>
        </w:rPr>
        <w:t>–</w:t>
      </w:r>
      <w:r>
        <w:rPr>
          <w:rFonts w:ascii="Times New Roman" w:hAnsi="Times New Roman"/>
          <w:sz w:val="24"/>
          <w:szCs w:val="24"/>
          <w:rtl w:val="0"/>
          <w14:textOutline w14:w="0" w14:cap="flat">
            <w14:solidFill>
              <w14:srgbClr w14:val="000000"/>
            </w14:solidFill>
            <w14:prstDash w14:val="solid"/>
            <w14:miter w14:lim="400000"/>
          </w14:textOutline>
        </w:rPr>
        <w:t>122.</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Osborn, A. F. (2000). Applied Imagination. (3rd. ed.). New York, NY: Charles Scribner's Sons.</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Parnes, S. J. (1967). Creative behavior guidebook. New York: Scribners.</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Parnes, S. J. &amp; Harding, H. J.(2001). A Source Book for Creative Thinking. New York, NY: Charles Scribner's Sons</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Perkins, D. (1985). What Creative Thinking Is. In A. L. Costa (Ed.), Developing Minds: A Resource Book for Teaching Thinking. pp. 85-88 Alexandria, VA: Association for Supervision and Curriculum Development.</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 xml:space="preserve">The Quality Assurance Agency for Higher Education (QAA). (2018) </w:t>
      </w:r>
      <w:r>
        <w:rPr>
          <w:rFonts w:ascii="Times New Roman" w:hAnsi="Times New Roman"/>
          <w:sz w:val="24"/>
          <w:szCs w:val="24"/>
          <w:rtl w:val="0"/>
          <w:lang w:val="en-US"/>
          <w14:textOutline w14:w="0" w14:cap="flat">
            <w14:solidFill>
              <w14:srgbClr w14:val="000000"/>
            </w14:solidFill>
            <w14:prstDash w14:val="solid"/>
            <w14:miter w14:lim="400000"/>
          </w14:textOutline>
        </w:rPr>
        <w:t>Enterprise and Entrepreneurship Education: Guidance for UK Higher Education Providers</w:t>
      </w:r>
      <w:r>
        <w:rPr>
          <w:rFonts w:ascii="Times New Roman" w:hAnsi="Times New Roman"/>
          <w:sz w:val="24"/>
          <w:szCs w:val="24"/>
          <w:rtl w:val="0"/>
          <w:lang w:val="en-US"/>
          <w14:textOutline w14:w="0" w14:cap="flat">
            <w14:solidFill>
              <w14:srgbClr w14:val="000000"/>
            </w14:solidFill>
            <w14:prstDash w14:val="solid"/>
            <w14:miter w14:lim="400000"/>
          </w14:textOutline>
        </w:rPr>
        <w:t xml:space="preserve">. Available at: </w:t>
      </w:r>
      <w:r>
        <w:rPr>
          <w:rStyle w:val="Hyperlink.0"/>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fldChar w:fldCharType="begin" w:fldLock="0"/>
      </w:r>
      <w:r>
        <w:rPr>
          <w:rStyle w:val="Hyperlink.0"/>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instrText xml:space="preserve"> HYPERLINK "https://www.qaa.ac.uk/docs/qaas/enhancement-and-development/enterprise-and-entrpreneurship-education-2018.pdf?sfvrsn=15f1f981_8"</w:instrText>
      </w:r>
      <w:r>
        <w:rPr>
          <w:rStyle w:val="Hyperlink.0"/>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fldChar w:fldCharType="separate" w:fldLock="0"/>
      </w:r>
      <w:r>
        <w:rPr>
          <w:rStyle w:val="Hyperlink.0"/>
          <w:rFonts w:ascii="Times New Roman" w:hAnsi="Times New Roman"/>
          <w:sz w:val="24"/>
          <w:szCs w:val="24"/>
          <w:rtl w:val="0"/>
          <w:lang w:val="en-US"/>
          <w14:textOutline w14:w="0" w14:cap="flat">
            <w14:solidFill>
              <w14:srgbClr w14:val="000000"/>
            </w14:solidFill>
            <w14:prstDash w14:val="solid"/>
            <w14:miter w14:lim="400000"/>
          </w14:textOutline>
        </w:rPr>
        <w:t>https://www.qaa.ac.uk/docs/qaas/enhancement-and-development/enterprise-and-entrpreneurship-education-2018.pdf?sfvrsn=15f1f981_8</w:t>
      </w:r>
      <w:r>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fldChar w:fldCharType="end" w:fldLock="0"/>
      </w:r>
      <w:r>
        <w:rPr>
          <w:rFonts w:ascii="Times New Roman" w:hAnsi="Times New Roman"/>
          <w:sz w:val="24"/>
          <w:szCs w:val="24"/>
          <w:rtl w:val="0"/>
          <w:lang w:val="en-US"/>
          <w14:textOutline w14:w="0" w14:cap="flat">
            <w14:solidFill>
              <w14:srgbClr w14:val="000000"/>
            </w14:solidFill>
            <w14:prstDash w14:val="solid"/>
            <w14:miter w14:lim="400000"/>
          </w14:textOutline>
        </w:rPr>
        <w:t>. (Accessed: 26th December 2019).</w:t>
      </w:r>
    </w:p>
    <w:p>
      <w:pPr>
        <w:pStyle w:val="Body"/>
        <w:spacing w:line="360" w:lineRule="auto"/>
        <w:rPr>
          <w:rFonts w:ascii="Times New Roman" w:cs="Times New Roman" w:hAnsi="Times New Roman" w:eastAsia="Times New Roman"/>
          <w:sz w:val="24"/>
          <w:szCs w:val="24"/>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Reid, A. &amp; Petocz, P. (2004). Learning Domains and the Process of Creativity. The Australian Educational Researcher, 31(2).</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Robinson, K (2001) Out of Our Minds. London: Capstone.</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Robinson, K. &amp; Aronica, L. (2010) The Element: How Finding your Passion Changes Everything. London: Penguin.</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Stenberg, R. and Williams, W. (1998) Intelligence, Instruction and Assessment. Mahwah, NJ: Lawrence Erlbaum Associates.</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TED (2007) Do School Kill Creativity?. [video]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"https://www.youtube.com/watch?v=iG9CE55wbtY"</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https://www.youtube.com/watch?v=iG9CE55wbtY</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29 December 2019).</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 xml:space="preserve">The National Parent Forum of Scotland Guide to Creativity (NPFS). (2017) </w:t>
      </w:r>
      <w:r>
        <w:rPr>
          <w:rFonts w:ascii="Times New Roman" w:hAnsi="Times New Roman"/>
          <w:sz w:val="24"/>
          <w:szCs w:val="24"/>
          <w:rtl w:val="0"/>
          <w:lang w:val="en-US"/>
          <w14:textOutline w14:w="0" w14:cap="flat">
            <w14:solidFill>
              <w14:srgbClr w14:val="000000"/>
            </w14:solidFill>
            <w14:prstDash w14:val="solid"/>
            <w14:miter w14:lim="400000"/>
          </w14:textOutline>
        </w:rPr>
        <w:t>Creativity, Enterprise and Employability: Skills for Learning, Life and Work</w:t>
      </w:r>
      <w:r>
        <w:rPr>
          <w:rFonts w:ascii="Times New Roman" w:hAnsi="Times New Roman"/>
          <w:sz w:val="24"/>
          <w:szCs w:val="24"/>
          <w:rtl w:val="0"/>
          <w:lang w:val="en-US"/>
          <w14:textOutline w14:w="0" w14:cap="flat">
            <w14:solidFill>
              <w14:srgbClr w14:val="000000"/>
            </w14:solidFill>
            <w14:prstDash w14:val="solid"/>
            <w14:miter w14:lim="400000"/>
          </w14:textOutline>
        </w:rPr>
        <w:t xml:space="preserve">. Available at: </w:t>
      </w:r>
      <w:r>
        <w:rPr>
          <w:rStyle w:val="Hyperlink.0"/>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fldChar w:fldCharType="begin" w:fldLock="0"/>
      </w:r>
      <w:r>
        <w:rPr>
          <w:rStyle w:val="Hyperlink.0"/>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instrText xml:space="preserve"> HYPERLINK "https://www.npfs.org.uk/wp-content/uploads/2017/05/creativity_E.pdf"</w:instrText>
      </w:r>
      <w:r>
        <w:rPr>
          <w:rStyle w:val="Hyperlink.0"/>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fldChar w:fldCharType="separate" w:fldLock="0"/>
      </w:r>
      <w:r>
        <w:rPr>
          <w:rStyle w:val="Hyperlink.0"/>
          <w:rFonts w:ascii="Times New Roman" w:hAnsi="Times New Roman"/>
          <w:sz w:val="24"/>
          <w:szCs w:val="24"/>
          <w:rtl w:val="0"/>
          <w:lang w:val="en-US"/>
          <w14:textOutline w14:w="0" w14:cap="flat">
            <w14:solidFill>
              <w14:srgbClr w14:val="000000"/>
            </w14:solidFill>
            <w14:prstDash w14:val="solid"/>
            <w14:miter w14:lim="400000"/>
          </w14:textOutline>
        </w:rPr>
        <w:t>https://www.npfs.org.uk/wp-content/uploads/2017/05/creativity_E.pdf</w:t>
      </w:r>
      <w:r>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fldChar w:fldCharType="end" w:fldLock="0"/>
      </w:r>
      <w:r>
        <w:rPr>
          <w:rFonts w:ascii="Times New Roman" w:hAnsi="Times New Roman"/>
          <w:sz w:val="24"/>
          <w:szCs w:val="24"/>
          <w:rtl w:val="0"/>
          <w:lang w:val="en-US"/>
          <w14:textOutline w14:w="0" w14:cap="flat">
            <w14:solidFill>
              <w14:srgbClr w14:val="000000"/>
            </w14:solidFill>
            <w14:prstDash w14:val="solid"/>
            <w14:miter w14:lim="400000"/>
          </w14:textOutline>
        </w:rPr>
        <w:t xml:space="preserve">. (Accessed: 26 December 2019). </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it-IT"/>
          <w14:textOutline w14:w="0" w14:cap="flat">
            <w14:solidFill>
              <w14:srgbClr w14:val="000000"/>
            </w14:solidFill>
            <w14:prstDash w14:val="solid"/>
            <w14:miter w14:lim="400000"/>
          </w14:textOutline>
        </w:rPr>
        <w:t xml:space="preserve">Torrance, E. P. (1966). Torrance </w:t>
      </w:r>
      <w:r>
        <w:rPr>
          <w:rFonts w:ascii="Times New Roman" w:hAnsi="Times New Roman"/>
          <w:sz w:val="24"/>
          <w:szCs w:val="24"/>
          <w:rtl w:val="0"/>
          <w:lang w:val="en-US"/>
          <w14:textOutline w14:w="0" w14:cap="flat">
            <w14:solidFill>
              <w14:srgbClr w14:val="000000"/>
            </w14:solidFill>
            <w14:prstDash w14:val="solid"/>
            <w14:miter w14:lim="400000"/>
          </w14:textOutline>
        </w:rPr>
        <w:t>T</w:t>
      </w:r>
      <w:r>
        <w:rPr>
          <w:rFonts w:ascii="Times New Roman" w:hAnsi="Times New Roman"/>
          <w:sz w:val="24"/>
          <w:szCs w:val="24"/>
          <w:rtl w:val="0"/>
          <w:lang w:val="en-US"/>
          <w14:textOutline w14:w="0" w14:cap="flat">
            <w14:solidFill>
              <w14:srgbClr w14:val="000000"/>
            </w14:solidFill>
            <w14:prstDash w14:val="solid"/>
            <w14:miter w14:lim="400000"/>
          </w14:textOutline>
        </w:rPr>
        <w:t xml:space="preserve">ests of </w:t>
      </w:r>
      <w:r>
        <w:rPr>
          <w:rFonts w:ascii="Times New Roman" w:hAnsi="Times New Roman"/>
          <w:sz w:val="24"/>
          <w:szCs w:val="24"/>
          <w:rtl w:val="0"/>
          <w:lang w:val="en-US"/>
          <w14:textOutline w14:w="0" w14:cap="flat">
            <w14:solidFill>
              <w14:srgbClr w14:val="000000"/>
            </w14:solidFill>
            <w14:prstDash w14:val="solid"/>
            <w14:miter w14:lim="400000"/>
          </w14:textOutline>
        </w:rPr>
        <w:t>C</w:t>
      </w:r>
      <w:r>
        <w:rPr>
          <w:rFonts w:ascii="Times New Roman" w:hAnsi="Times New Roman"/>
          <w:sz w:val="24"/>
          <w:szCs w:val="24"/>
          <w:rtl w:val="0"/>
          <w:lang w:val="en-US"/>
          <w14:textOutline w14:w="0" w14:cap="flat">
            <w14:solidFill>
              <w14:srgbClr w14:val="000000"/>
            </w14:solidFill>
            <w14:prstDash w14:val="solid"/>
            <w14:miter w14:lim="400000"/>
          </w14:textOutline>
        </w:rPr>
        <w:t xml:space="preserve">reative </w:t>
      </w:r>
      <w:r>
        <w:rPr>
          <w:rFonts w:ascii="Times New Roman" w:hAnsi="Times New Roman"/>
          <w:sz w:val="24"/>
          <w:szCs w:val="24"/>
          <w:rtl w:val="0"/>
          <w:lang w:val="en-US"/>
          <w14:textOutline w14:w="0" w14:cap="flat">
            <w14:solidFill>
              <w14:srgbClr w14:val="000000"/>
            </w14:solidFill>
            <w14:prstDash w14:val="solid"/>
            <w14:miter w14:lim="400000"/>
          </w14:textOutline>
        </w:rPr>
        <w:t>T</w:t>
      </w:r>
      <w:r>
        <w:rPr>
          <w:rFonts w:ascii="Times New Roman" w:hAnsi="Times New Roman"/>
          <w:sz w:val="24"/>
          <w:szCs w:val="24"/>
          <w:rtl w:val="0"/>
          <w:lang w:val="en-US"/>
          <w14:textOutline w14:w="0" w14:cap="flat">
            <w14:solidFill>
              <w14:srgbClr w14:val="000000"/>
            </w14:solidFill>
            <w14:prstDash w14:val="solid"/>
            <w14:miter w14:lim="400000"/>
          </w14:textOutline>
        </w:rPr>
        <w:t xml:space="preserve">hinking: Technical-norms </w:t>
      </w:r>
      <w:r>
        <w:rPr>
          <w:rFonts w:ascii="Times New Roman" w:hAnsi="Times New Roman"/>
          <w:sz w:val="24"/>
          <w:szCs w:val="24"/>
          <w:rtl w:val="0"/>
          <w:lang w:val="en-US"/>
          <w14:textOutline w14:w="0" w14:cap="flat">
            <w14:solidFill>
              <w14:srgbClr w14:val="000000"/>
            </w14:solidFill>
            <w14:prstDash w14:val="solid"/>
            <w14:miter w14:lim="400000"/>
          </w14:textOutline>
        </w:rPr>
        <w:t>M</w:t>
      </w:r>
      <w:r>
        <w:rPr>
          <w:rFonts w:ascii="Times New Roman" w:hAnsi="Times New Roman"/>
          <w:sz w:val="24"/>
          <w:szCs w:val="24"/>
          <w:rtl w:val="0"/>
          <w:lang w:val="it-IT"/>
          <w14:textOutline w14:w="0" w14:cap="flat">
            <w14:solidFill>
              <w14:srgbClr w14:val="000000"/>
            </w14:solidFill>
            <w14:prstDash w14:val="solid"/>
            <w14:miter w14:lim="400000"/>
          </w14:textOutline>
        </w:rPr>
        <w:t>anual. Lexington, MA: Personnel Press.</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rPr>
      </w:pPr>
      <w:r>
        <w:rPr>
          <w:rFonts w:ascii="Times New Roman" w:hAnsi="Times New Roman"/>
          <w:sz w:val="24"/>
          <w:szCs w:val="24"/>
          <w:rtl w:val="0"/>
          <w:lang w:val="en-US"/>
        </w:rPr>
        <w:t>Torrance, E. P. (1974). The Torrance Tests of Creative Thinking: Norms-Technical Manual. Princeton, NJ: Personal Press.</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fr-FR"/>
          <w14:textOutline w14:w="0" w14:cap="flat">
            <w14:solidFill>
              <w14:srgbClr w14:val="000000"/>
            </w14:solidFill>
            <w14:prstDash w14:val="solid"/>
            <w14:miter w14:lim="400000"/>
          </w14:textOutline>
        </w:rPr>
        <w:t xml:space="preserve">Torrance, </w:t>
      </w:r>
      <w:r>
        <w:rPr>
          <w:rFonts w:ascii="Times New Roman" w:hAnsi="Times New Roman"/>
          <w:sz w:val="24"/>
          <w:szCs w:val="24"/>
          <w:rtl w:val="0"/>
          <w:lang w:val="en-US"/>
          <w14:textOutline w14:w="0" w14:cap="flat">
            <w14:solidFill>
              <w14:srgbClr w14:val="000000"/>
            </w14:solidFill>
            <w14:prstDash w14:val="solid"/>
            <w14:miter w14:lim="400000"/>
          </w14:textOutline>
        </w:rPr>
        <w:t>E. P</w:t>
      </w:r>
      <w:r>
        <w:rPr>
          <w:rFonts w:ascii="Times New Roman" w:hAnsi="Times New Roman"/>
          <w:sz w:val="24"/>
          <w:szCs w:val="24"/>
          <w:rtl w:val="0"/>
          <w:lang w:val="it-IT"/>
          <w14:textOutline w14:w="0" w14:cap="flat">
            <w14:solidFill>
              <w14:srgbClr w14:val="000000"/>
            </w14:solidFill>
            <w14:prstDash w14:val="solid"/>
            <w14:miter w14:lim="400000"/>
          </w14:textOutline>
        </w:rPr>
        <w:t xml:space="preserve">. (1981). Creative </w:t>
      </w:r>
      <w:r>
        <w:rPr>
          <w:rFonts w:ascii="Times New Roman" w:hAnsi="Times New Roman"/>
          <w:sz w:val="24"/>
          <w:szCs w:val="24"/>
          <w:rtl w:val="0"/>
          <w:lang w:val="en-US"/>
          <w14:textOutline w14:w="0" w14:cap="flat">
            <w14:solidFill>
              <w14:srgbClr w14:val="000000"/>
            </w14:solidFill>
            <w14:prstDash w14:val="solid"/>
            <w14:miter w14:lim="400000"/>
          </w14:textOutline>
        </w:rPr>
        <w:t>T</w:t>
      </w:r>
      <w:r>
        <w:rPr>
          <w:rFonts w:ascii="Times New Roman" w:hAnsi="Times New Roman"/>
          <w:sz w:val="24"/>
          <w:szCs w:val="24"/>
          <w:rtl w:val="0"/>
          <w:lang w:val="en-US"/>
          <w14:textOutline w14:w="0" w14:cap="flat">
            <w14:solidFill>
              <w14:srgbClr w14:val="000000"/>
            </w14:solidFill>
            <w14:prstDash w14:val="solid"/>
            <w14:miter w14:lim="400000"/>
          </w14:textOutline>
        </w:rPr>
        <w:t xml:space="preserve">eaching </w:t>
      </w:r>
      <w:r>
        <w:rPr>
          <w:rFonts w:ascii="Times New Roman" w:hAnsi="Times New Roman"/>
          <w:sz w:val="24"/>
          <w:szCs w:val="24"/>
          <w:rtl w:val="0"/>
          <w:lang w:val="en-US"/>
          <w14:textOutline w14:w="0" w14:cap="flat">
            <w14:solidFill>
              <w14:srgbClr w14:val="000000"/>
            </w14:solidFill>
            <w14:prstDash w14:val="solid"/>
            <w14:miter w14:lim="400000"/>
          </w14:textOutline>
        </w:rPr>
        <w:t>M</w:t>
      </w:r>
      <w:r>
        <w:rPr>
          <w:rFonts w:ascii="Times New Roman" w:hAnsi="Times New Roman"/>
          <w:sz w:val="24"/>
          <w:szCs w:val="24"/>
          <w:rtl w:val="0"/>
          <w:lang w:val="en-US"/>
          <w14:textOutline w14:w="0" w14:cap="flat">
            <w14:solidFill>
              <w14:srgbClr w14:val="000000"/>
            </w14:solidFill>
            <w14:prstDash w14:val="solid"/>
            <w14:miter w14:lim="400000"/>
          </w14:textOutline>
        </w:rPr>
        <w:t xml:space="preserve">akes a </w:t>
      </w:r>
      <w:r>
        <w:rPr>
          <w:rFonts w:ascii="Times New Roman" w:hAnsi="Times New Roman"/>
          <w:sz w:val="24"/>
          <w:szCs w:val="24"/>
          <w:rtl w:val="0"/>
          <w:lang w:val="en-US"/>
          <w14:textOutline w14:w="0" w14:cap="flat">
            <w14:solidFill>
              <w14:srgbClr w14:val="000000"/>
            </w14:solidFill>
            <w14:prstDash w14:val="solid"/>
            <w14:miter w14:lim="400000"/>
          </w14:textOutline>
        </w:rPr>
        <w:t>D</w:t>
      </w:r>
      <w:r>
        <w:rPr>
          <w:rFonts w:ascii="Times New Roman" w:hAnsi="Times New Roman"/>
          <w:sz w:val="24"/>
          <w:szCs w:val="24"/>
          <w:rtl w:val="0"/>
          <w:lang w:val="en-US"/>
          <w14:textOutline w14:w="0" w14:cap="flat">
            <w14:solidFill>
              <w14:srgbClr w14:val="000000"/>
            </w14:solidFill>
            <w14:prstDash w14:val="solid"/>
            <w14:miter w14:lim="400000"/>
          </w14:textOutline>
        </w:rPr>
        <w:t xml:space="preserve">ifference. In J. C. Gowan, J. Khatena, &amp; E. P. Torrance (Eds.), Creativity: Its </w:t>
      </w:r>
      <w:r>
        <w:rPr>
          <w:rFonts w:ascii="Times New Roman" w:hAnsi="Times New Roman"/>
          <w:sz w:val="24"/>
          <w:szCs w:val="24"/>
          <w:rtl w:val="0"/>
          <w:lang w:val="en-US"/>
          <w14:textOutline w14:w="0" w14:cap="flat">
            <w14:solidFill>
              <w14:srgbClr w14:val="000000"/>
            </w14:solidFill>
            <w14:prstDash w14:val="solid"/>
            <w14:miter w14:lim="400000"/>
          </w14:textOutline>
        </w:rPr>
        <w:t>E</w:t>
      </w:r>
      <w:r>
        <w:rPr>
          <w:rFonts w:ascii="Times New Roman" w:hAnsi="Times New Roman"/>
          <w:sz w:val="24"/>
          <w:szCs w:val="24"/>
          <w:rtl w:val="0"/>
          <w:lang w:val="fr-FR"/>
          <w14:textOutline w14:w="0" w14:cap="flat">
            <w14:solidFill>
              <w14:srgbClr w14:val="000000"/>
            </w14:solidFill>
            <w14:prstDash w14:val="solid"/>
            <w14:miter w14:lim="400000"/>
          </w14:textOutline>
        </w:rPr>
        <w:t xml:space="preserve">ducational </w:t>
      </w:r>
      <w:r>
        <w:rPr>
          <w:rFonts w:ascii="Times New Roman" w:hAnsi="Times New Roman"/>
          <w:sz w:val="24"/>
          <w:szCs w:val="24"/>
          <w:rtl w:val="0"/>
          <w:lang w:val="en-US"/>
          <w14:textOutline w14:w="0" w14:cap="flat">
            <w14:solidFill>
              <w14:srgbClr w14:val="000000"/>
            </w14:solidFill>
            <w14:prstDash w14:val="solid"/>
            <w14:miter w14:lim="400000"/>
          </w14:textOutline>
        </w:rPr>
        <w:t>I</w:t>
      </w:r>
      <w:r>
        <w:rPr>
          <w:rFonts w:ascii="Times New Roman" w:hAnsi="Times New Roman"/>
          <w:sz w:val="24"/>
          <w:szCs w:val="24"/>
          <w:rtl w:val="0"/>
          <w:lang w:val="en-US"/>
          <w14:textOutline w14:w="0" w14:cap="flat">
            <w14:solidFill>
              <w14:srgbClr w14:val="000000"/>
            </w14:solidFill>
            <w14:prstDash w14:val="solid"/>
            <w14:miter w14:lim="400000"/>
          </w14:textOutline>
        </w:rPr>
        <w:t>mplications (2nd ed., pp. 99</w:t>
      </w:r>
      <w:r>
        <w:rPr>
          <w:rFonts w:ascii="Times New Roman" w:hAnsi="Times New Roman" w:hint="default"/>
          <w:sz w:val="24"/>
          <w:szCs w:val="24"/>
          <w:rtl w:val="0"/>
          <w14:textOutline w14:w="0" w14:cap="flat">
            <w14:solidFill>
              <w14:srgbClr w14:val="000000"/>
            </w14:solidFill>
            <w14:prstDash w14:val="solid"/>
            <w14:miter w14:lim="400000"/>
          </w14:textOutline>
        </w:rPr>
        <w:t>–</w:t>
      </w:r>
      <w:r>
        <w:rPr>
          <w:rFonts w:ascii="Times New Roman" w:hAnsi="Times New Roman"/>
          <w:sz w:val="24"/>
          <w:szCs w:val="24"/>
          <w:rtl w:val="0"/>
          <w:lang w:val="pt-PT"/>
          <w14:textOutline w14:w="0" w14:cap="flat">
            <w14:solidFill>
              <w14:srgbClr w14:val="000000"/>
            </w14:solidFill>
            <w14:prstDash w14:val="solid"/>
            <w14:miter w14:lim="400000"/>
          </w14:textOutline>
        </w:rPr>
        <w:t>108). Dubuque: Kendall/Hunt.</w:t>
      </w:r>
      <w:r>
        <w:rPr>
          <w:rFonts w:ascii="Times New Roman" w:hAnsi="Times New Roman"/>
          <w:sz w:val="24"/>
          <w:szCs w:val="24"/>
          <w:rtl w:val="0"/>
          <w:lang w:val="en-US"/>
          <w14:textOutline w14:w="0" w14:cap="flat">
            <w14:solidFill>
              <w14:srgbClr w14:val="000000"/>
            </w14:solidFill>
            <w14:prstDash w14:val="solid"/>
            <w14:miter w14:lim="400000"/>
          </w14:textOutline>
        </w:rPr>
        <w:t xml:space="preserve"> </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 xml:space="preserve">Torrance, E. P. (2005). Different Ways of Learning for Different Kinds of Children. Mental Health and Achievement. Torrance, E. P. &amp; Strom, R. D. (Eds.). New York, NY: John Wiley and Sons. </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r>
        <w:rPr>
          <w:rFonts w:ascii="Times New Roman" w:hAnsi="Times New Roman"/>
          <w:sz w:val="24"/>
          <w:szCs w:val="24"/>
          <w:rtl w:val="0"/>
          <w:lang w:val="en-US"/>
          <w14:textOutline w14:w="0" w14:cap="flat">
            <w14:solidFill>
              <w14:srgbClr w14:val="000000"/>
            </w14:solidFill>
            <w14:prstDash w14:val="solid"/>
            <w14:miter w14:lim="400000"/>
          </w14:textOutline>
        </w:rPr>
        <w:t>Tuckman, B. W. (2001). Educational Psychology: From Theory to Application. HarcourtBrace Jovanovich College Publishers.</w:t>
      </w:r>
    </w:p>
    <w:p>
      <w:pPr>
        <w:pStyle w:val="Default"/>
        <w:bidi w:val="0"/>
        <w:spacing w:line="360" w:lineRule="auto"/>
        <w:ind w:left="0" w:right="0" w:firstLine="0"/>
        <w:jc w:val="left"/>
        <w:rPr>
          <w:rFonts w:ascii="Times New Roman" w:cs="Times New Roman" w:hAnsi="Times New Roman" w:eastAsia="Times New Roman"/>
          <w:sz w:val="24"/>
          <w:szCs w:val="24"/>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r>
        <w:rPr>
          <w:rFonts w:ascii="Times New Roman" w:hAnsi="Times New Roman"/>
          <w:sz w:val="24"/>
          <w:szCs w:val="24"/>
          <w:shd w:val="clear" w:color="auto" w:fill="ffffff"/>
          <w:rtl w:val="0"/>
          <w:lang w:val="en-US"/>
          <w14:textOutline w14:w="0" w14:cap="flat">
            <w14:solidFill>
              <w14:srgbClr w14:val="000000"/>
            </w14:solidFill>
            <w14:prstDash w14:val="solid"/>
            <w14:miter w14:lim="400000"/>
          </w14:textOutline>
        </w:rPr>
        <w:t>Vygotsky, L. S (1962) Thought and language. Cambridge MA: MIT Press.</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r>
        <w:rPr>
          <w:rFonts w:ascii="Times New Roman" w:hAnsi="Times New Roman"/>
          <w:sz w:val="24"/>
          <w:szCs w:val="24"/>
          <w:shd w:val="clear" w:color="auto" w:fill="ffffff"/>
          <w:rtl w:val="0"/>
          <w:lang w:val="en-US"/>
          <w14:textOutline w14:w="0" w14:cap="flat">
            <w14:solidFill>
              <w14:srgbClr w14:val="000000"/>
            </w14:solidFill>
            <w14:prstDash w14:val="solid"/>
            <w14:miter w14:lim="400000"/>
          </w14:textOutline>
        </w:rPr>
        <w:t>Woolfolk, A., &amp; Murphy, P. K. (2001). Teaching Educational Psychology to the Implicit Mind. In B. Torff &amp; R. J. Sternberg (Eds.),</w:t>
      </w:r>
      <w:r>
        <w:rPr>
          <w:rFonts w:ascii="Times New Roman" w:hAnsi="Times New Roman" w:hint="default"/>
          <w:sz w:val="24"/>
          <w:szCs w:val="24"/>
          <w:shd w:val="clear" w:color="auto" w:fill="ffffff"/>
          <w:rtl w:val="0"/>
          <w:lang w:val="en-US"/>
          <w14:textOutline w14:w="0" w14:cap="flat">
            <w14:solidFill>
              <w14:srgbClr w14:val="000000"/>
            </w14:solidFill>
            <w14:prstDash w14:val="solid"/>
            <w14:miter w14:lim="400000"/>
          </w14:textOutline>
        </w:rPr>
        <w:t> </w:t>
      </w:r>
      <w:r>
        <w:rPr>
          <w:rFonts w:ascii="Times New Roman" w:hAnsi="Times New Roman"/>
          <w:i w:val="1"/>
          <w:iCs w:val="1"/>
          <w:sz w:val="24"/>
          <w:szCs w:val="24"/>
          <w:shd w:val="clear" w:color="auto" w:fill="ffffff"/>
          <w:rtl w:val="0"/>
          <w:lang w:val="en-US"/>
          <w14:textOutline w14:w="0" w14:cap="flat">
            <w14:solidFill>
              <w14:srgbClr w14:val="000000"/>
            </w14:solidFill>
            <w14:prstDash w14:val="solid"/>
            <w14:miter w14:lim="400000"/>
          </w14:textOutline>
        </w:rPr>
        <w:t>The educational pscyhology series. Understanding and Teaching the Intuitive Mind: Student and Teacher Learning</w:t>
      </w:r>
      <w:r>
        <w:rPr>
          <w:rFonts w:ascii="Times New Roman" w:hAnsi="Times New Roman" w:hint="default"/>
          <w:sz w:val="24"/>
          <w:szCs w:val="24"/>
          <w:shd w:val="clear" w:color="auto" w:fill="ffffff"/>
          <w:rtl w:val="0"/>
          <w:lang w:val="en-US"/>
          <w14:textOutline w14:w="0" w14:cap="flat">
            <w14:solidFill>
              <w14:srgbClr w14:val="000000"/>
            </w14:solidFill>
            <w14:prstDash w14:val="solid"/>
            <w14:miter w14:lim="400000"/>
          </w14:textOutline>
        </w:rPr>
        <w:t> </w:t>
      </w:r>
      <w:r>
        <w:rPr>
          <w:rFonts w:ascii="Times New Roman" w:hAnsi="Times New Roman"/>
          <w:sz w:val="24"/>
          <w:szCs w:val="24"/>
          <w:shd w:val="clear" w:color="auto" w:fill="ffffff"/>
          <w:rtl w:val="0"/>
          <w:lang w:val="en-US"/>
          <w14:textOutline w14:w="0" w14:cap="flat">
            <w14:solidFill>
              <w14:srgbClr w14:val="000000"/>
            </w14:solidFill>
            <w14:prstDash w14:val="solid"/>
            <w14:miter w14:lim="400000"/>
          </w14:textOutline>
        </w:rPr>
        <w:t>(p. 145</w:t>
      </w:r>
      <w:r>
        <w:rPr>
          <w:rFonts w:ascii="Times New Roman" w:hAnsi="Times New Roman" w:hint="default"/>
          <w:sz w:val="24"/>
          <w:szCs w:val="24"/>
          <w:shd w:val="clear" w:color="auto" w:fill="ffffff"/>
          <w:rtl w:val="0"/>
          <w:lang w:val="en-US"/>
          <w14:textOutline w14:w="0" w14:cap="flat">
            <w14:solidFill>
              <w14:srgbClr w14:val="000000"/>
            </w14:solidFill>
            <w14:prstDash w14:val="solid"/>
            <w14:miter w14:lim="400000"/>
          </w14:textOutline>
        </w:rPr>
        <w:t>–</w:t>
      </w:r>
      <w:r>
        <w:rPr>
          <w:rFonts w:ascii="Times New Roman" w:hAnsi="Times New Roman"/>
          <w:sz w:val="24"/>
          <w:szCs w:val="24"/>
          <w:shd w:val="clear" w:color="auto" w:fill="ffffff"/>
          <w:rtl w:val="0"/>
          <w:lang w:val="en-US"/>
          <w14:textOutline w14:w="0" w14:cap="flat">
            <w14:solidFill>
              <w14:srgbClr w14:val="000000"/>
            </w14:solidFill>
            <w14:prstDash w14:val="solid"/>
            <w14:miter w14:lim="400000"/>
          </w14:textOutline>
        </w:rPr>
        <w:t>185). Lawrence Erlbaum Associates Publishers.</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r>
        <w:rPr>
          <w:rFonts w:ascii="Arial Unicode MS" w:cs="Arial Unicode MS" w:hAnsi="Arial Unicode MS" w:eastAsia="Arial Unicode MS"/>
          <w:b w:val="0"/>
          <w:bCs w:val="0"/>
          <w:i w:val="0"/>
          <w:iCs w:val="0"/>
          <w:sz w:val="24"/>
          <w:szCs w:val="24"/>
          <w:shd w:val="clear" w:color="auto" w:fill="ffffff"/>
          <w:rtl w:val="0"/>
          <w14:textOutline w14:w="0" w14:cap="flat">
            <w14:solidFill>
              <w14:srgbClr w14:val="000000"/>
            </w14:solidFill>
            <w14:prstDash w14:val="solid"/>
            <w14:miter w14:lim="400000"/>
          </w14:textOutline>
        </w:rPr>
        <w:br w:type="textWrapping"/>
      </w:r>
      <w:r>
        <w:rPr>
          <w:rFonts w:ascii="Times New Roman" w:hAnsi="Times New Roman"/>
          <w:sz w:val="24"/>
          <w:szCs w:val="24"/>
          <w:u w:val="single"/>
          <w:shd w:val="clear" w:color="auto" w:fill="ffffff"/>
          <w:rtl w:val="0"/>
          <w:lang w:val="en-US"/>
          <w14:textOutline w14:w="0" w14:cap="flat">
            <w14:solidFill>
              <w14:srgbClr w14:val="000000"/>
            </w14:solidFill>
            <w14:prstDash w14:val="solid"/>
            <w14:miter w14:lim="400000"/>
          </w14:textOutline>
        </w:rPr>
        <w:t>Appendix 1</w:t>
      </w:r>
      <w:r>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drawing>
          <wp:anchor distT="152400" distB="152400" distL="152400" distR="152400" simplePos="0" relativeHeight="251659264" behindDoc="0" locked="0" layoutInCell="1" allowOverlap="1">
            <wp:simplePos x="0" y="0"/>
            <wp:positionH relativeFrom="margin">
              <wp:posOffset>-234442</wp:posOffset>
            </wp:positionH>
            <wp:positionV relativeFrom="line">
              <wp:posOffset>276058</wp:posOffset>
            </wp:positionV>
            <wp:extent cx="5601322" cy="3234847"/>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 Shot 2020-01-13 at 19.55.30.png"/>
                    <pic:cNvPicPr>
                      <a:picLocks noChangeAspect="1"/>
                    </pic:cNvPicPr>
                  </pic:nvPicPr>
                  <pic:blipFill>
                    <a:blip r:embed="rId4">
                      <a:extLst/>
                    </a:blip>
                    <a:stretch>
                      <a:fillRect/>
                    </a:stretch>
                  </pic:blipFill>
                  <pic:spPr>
                    <a:xfrm>
                      <a:off x="0" y="0"/>
                      <a:ext cx="5601322" cy="3234847"/>
                    </a:xfrm>
                    <a:prstGeom prst="rect">
                      <a:avLst/>
                    </a:prstGeom>
                    <a:ln w="12700" cap="flat">
                      <a:noFill/>
                      <a:miter lim="400000"/>
                    </a:ln>
                    <a:effectLst/>
                  </pic:spPr>
                </pic:pic>
              </a:graphicData>
            </a:graphic>
          </wp:anchor>
        </w:drawing>
      </w: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r>
        <w:rPr>
          <w:rFonts w:ascii="Times New Roman" w:hAnsi="Times New Roman"/>
          <w:sz w:val="24"/>
          <w:szCs w:val="24"/>
          <w:u w:val="single"/>
          <w:shd w:val="clear" w:color="auto" w:fill="ffffff"/>
          <w:rtl w:val="0"/>
          <w:lang w:val="en-US"/>
          <w14:textOutline w14:w="0" w14:cap="flat">
            <w14:solidFill>
              <w14:srgbClr w14:val="000000"/>
            </w14:solidFill>
            <w14:prstDash w14:val="solid"/>
            <w14:miter w14:lim="400000"/>
          </w14:textOutline>
        </w:rPr>
        <w:t>Appendix 2</w:t>
      </w:r>
      <w:r>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drawing>
          <wp:anchor distT="152400" distB="152400" distL="152400" distR="152400" simplePos="0" relativeHeight="251660288" behindDoc="0" locked="0" layoutInCell="1" allowOverlap="1">
            <wp:simplePos x="0" y="0"/>
            <wp:positionH relativeFrom="margin">
              <wp:posOffset>-6350</wp:posOffset>
            </wp:positionH>
            <wp:positionV relativeFrom="line">
              <wp:posOffset>264332</wp:posOffset>
            </wp:positionV>
            <wp:extent cx="1837046" cy="4735060"/>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 Shot 2020-01-13 at 20.49.28.png"/>
                    <pic:cNvPicPr>
                      <a:picLocks noChangeAspect="1"/>
                    </pic:cNvPicPr>
                  </pic:nvPicPr>
                  <pic:blipFill>
                    <a:blip r:embed="rId5">
                      <a:extLst/>
                    </a:blip>
                    <a:stretch>
                      <a:fillRect/>
                    </a:stretch>
                  </pic:blipFill>
                  <pic:spPr>
                    <a:xfrm>
                      <a:off x="0" y="0"/>
                      <a:ext cx="1837046" cy="4735060"/>
                    </a:xfrm>
                    <a:prstGeom prst="rect">
                      <a:avLst/>
                    </a:prstGeom>
                    <a:ln w="12700" cap="flat">
                      <a:noFill/>
                      <a:miter lim="400000"/>
                    </a:ln>
                    <a:effectLst/>
                  </pic:spPr>
                </pic:pic>
              </a:graphicData>
            </a:graphic>
          </wp:anchor>
        </w:drawing>
      </w: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14:textOutline w14:w="0" w14:cap="flat">
            <w14:solidFill>
              <w14:srgbClr w14:val="000000"/>
            </w14:solidFill>
            <w14:prstDash w14:val="solid"/>
            <w14:miter w14:lim="400000"/>
          </w14:textOutline>
        </w:rPr>
      </w:pPr>
    </w:p>
    <w:p>
      <w:pPr>
        <w:pStyle w:val="Default"/>
        <w:bidi w:val="0"/>
        <w:spacing w:line="360" w:lineRule="auto"/>
        <w:ind w:left="0" w:right="0" w:firstLine="0"/>
        <w:jc w:val="left"/>
        <w:rPr>
          <w:rtl w:val="0"/>
        </w:rPr>
      </w:pPr>
      <w:r>
        <w:rPr>
          <w:rFonts w:ascii="Times New Roman" w:cs="Times New Roman" w:hAnsi="Times New Roman" w:eastAsia="Times New Roman"/>
          <w:sz w:val="24"/>
          <w:szCs w:val="24"/>
          <w:shd w:val="clear" w:color="auto" w:fill="ffffff"/>
          <w:rtl w:val="0"/>
          <w14:textOutline w14:w="0" w14:cap="flat">
            <w14:solidFill>
              <w14:srgbClr w14:val="000000"/>
            </w14:solidFill>
            <w14:prstDash w14:val="solid"/>
            <w14:miter w14:lim="400000"/>
          </w14:textOutline>
        </w:rPr>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hAnsi="Times New Roman"/>
        <w:sz w:val="22"/>
        <w:szCs w:val="22"/>
        <w:rtl w:val="0"/>
        <w:lang w:val="en-US"/>
      </w:rPr>
      <w:t>1501341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