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cs="Times New Roman"/>
          <w:b/>
          <w:bCs/>
          <w:szCs w:val="24"/>
        </w:rPr>
      </w:pPr>
      <w:r>
        <w:rPr>
          <w:rFonts w:hint="eastAsia" w:eastAsia="宋体" w:cs="Times New Roman"/>
          <w:b/>
          <w:bCs/>
          <w:szCs w:val="24"/>
          <w:lang w:val="en-US" w:eastAsia="zh-CN"/>
        </w:rPr>
        <w:t xml:space="preserve">Presentation link: </w:t>
      </w:r>
      <w:r>
        <w:rPr>
          <w:rFonts w:hint="eastAsia" w:cs="Times New Roman"/>
          <w:b/>
          <w:bCs/>
          <w:szCs w:val="24"/>
        </w:rPr>
        <w:t>https://web.microsoftstream.com/video/989a2333-2b4f-4ed8-96b4-a776a93cc213</w:t>
      </w:r>
    </w:p>
    <w:p>
      <w:pPr>
        <w:ind w:left="0" w:leftChars="0" w:firstLine="1681" w:firstLineChars="700"/>
        <w:rPr>
          <w:rFonts w:cs="Times New Roman"/>
          <w:b/>
          <w:bCs/>
          <w:szCs w:val="24"/>
        </w:rPr>
      </w:pPr>
    </w:p>
    <w:p>
      <w:pPr>
        <w:ind w:left="0" w:leftChars="0" w:firstLine="1681" w:firstLineChars="700"/>
        <w:rPr>
          <w:rFonts w:hint="eastAsia" w:eastAsia="宋体"/>
          <w:lang w:val="en-US" w:eastAsia="zh-CN"/>
        </w:rPr>
      </w:pPr>
      <w:r>
        <w:rPr>
          <w:rFonts w:cs="Times New Roman"/>
          <w:b/>
          <w:bCs/>
          <w:szCs w:val="24"/>
        </w:rPr>
        <w:t>Analysis of the Design of the Learning and Development Plan</w:t>
      </w:r>
    </w:p>
    <w:p>
      <w:r>
        <w:t>In the future,</w:t>
      </w:r>
      <w:r>
        <w:rPr>
          <w:rFonts w:hint="eastAsia" w:eastAsia="宋体"/>
          <w:lang w:val="en-US" w:eastAsia="zh-CN"/>
        </w:rPr>
        <w:t xml:space="preserve"> </w:t>
      </w:r>
      <w:r>
        <w:t xml:space="preserve">business organisations will face challenges such as talent and skill shortage. </w:t>
      </w:r>
      <w:r>
        <w:rPr>
          <w:rFonts w:cs="Times New Roman"/>
          <w:szCs w:val="24"/>
          <w:shd w:val="clear" w:color="auto" w:fill="FFFFFF"/>
        </w:rPr>
        <w:t>Masenya and others (2022)</w:t>
      </w:r>
      <w:r>
        <w:t xml:space="preserve"> note that in an effort to combat the skills shortage problem, firms are embracing opportunities such as those Learning and Development (L&amp;D) programmes provide. In reference to Nottingham</w:t>
      </w:r>
      <w:r>
        <w:rPr>
          <w:rFonts w:hint="eastAsia" w:eastAsia="宋体"/>
          <w:lang w:val="en-US" w:eastAsia="zh-CN"/>
        </w:rPr>
        <w:t xml:space="preserve"> </w:t>
      </w:r>
      <w:r>
        <w:t>Healthcare NHS Trust L &amp; D plan, this presentation will critically analyse the design of the (L&amp;D) framework, the components included in the framework, the key objectives of the strategy, the driving strategies of the plan, its success in boosting the effectiveness of the company's workforce, its capacity to handle the current and future demands of an organisation, as well as the limits inherent to the L &amp; D framework. This study will also support considerations regarding the significance of successful (L&amp;D) techniques.</w:t>
      </w:r>
    </w:p>
    <w:p>
      <w:pPr>
        <w:rPr>
          <w:szCs w:val="24"/>
        </w:rPr>
      </w:pPr>
      <w:r>
        <w:rPr>
          <w:szCs w:val="24"/>
        </w:rPr>
        <w:t xml:space="preserve">An </w:t>
      </w:r>
      <w:r>
        <w:t xml:space="preserve">L&amp;D </w:t>
      </w:r>
      <w:r>
        <w:rPr>
          <w:szCs w:val="24"/>
        </w:rPr>
        <w:t xml:space="preserve">strategy is an organizational plan within the overall business strategy. According to Brassey and others (2019), it is carefully designed to outline how an organisation develops its workforce capabilities, skills, and competencies. Darling-Hammond and others (2020) note that the design of an </w:t>
      </w:r>
      <w:r>
        <w:t>L&amp;D</w:t>
      </w:r>
      <w:r>
        <w:rPr>
          <w:szCs w:val="24"/>
        </w:rPr>
        <w:t xml:space="preserve"> strategy incorporates standardized components. In this case, Nottinghamshire Healthcare's L&amp;D has been founded on eight components. They include; “therapeutic and clinical skills development, essential training, and central organisational development activities.” (Eve, 2014). Eve (2014) also notes that other components include, “non-medical clinical professional development, leadership and management development, information technology (IT) training, and skills for work &amp; life and support for non-registered clinicians, recovery education.” Guided by these elements, the L&amp;D leadership for Nottinghamshire Healthcare aims to achieve a set of four objectives which include implementation of the Francis Report in compliance with government recommendations, making sure that departments and other organisations have quality governance plan, providing safe effective a</w:t>
      </w:r>
      <w:bookmarkStart w:id="0" w:name="_GoBack"/>
      <w:bookmarkEnd w:id="0"/>
      <w:r>
        <w:rPr>
          <w:szCs w:val="24"/>
        </w:rPr>
        <w:t>nd transformational plans for future service delivery within the organisation. It also aims at the attainment of maximal utilisation of new technology through social media, integration and development of organisation's current and future offering, and remaining effective in customer care and service delivery through high levels of backing.</w:t>
      </w:r>
    </w:p>
    <w:p>
      <w:r>
        <w:t>The L&amp;D plan was written by Julian Eve, a director of the L&amp;D department at the facility. Additionally, the L&amp;D Strategy is driven by several factors. Among these is the necessity to provide a means of entry and advancement for those who took part in the Graduate Management Trainee Programme, integrate the L&amp;D program with an institutional crediting of CPD, and enhance the medical leadership goal. The provision of the National Care Certificate to unregistered clinicians within the organization and the establishment of an internal register of unregistered clinicians in advance of CQC compliance are other motivational measures. At Nottingham Healthcare, the L&amp;D plan demonstrate that they will launch induction package and e-learning packages relevant to all clinical disciplines. These are programme used in business settings to welcome new employees and prepare them for their new roles (</w:t>
      </w:r>
      <w:r>
        <w:rPr>
          <w:rFonts w:cs="Times New Roman"/>
          <w:szCs w:val="24"/>
          <w:shd w:val="clear" w:color="auto" w:fill="FFFFFF"/>
        </w:rPr>
        <w:t>Rashid et al., 2020)</w:t>
      </w:r>
      <w:r>
        <w:t>. This package will essentially integrate employees into the facility. A good induction package will ultimately lead to increased productivity and reduced instances of short-term turnover among employees (Beausaert et al., 2011). Importantly, the planned induction package has the potential to significantly increase the speed of competency among the new workforce.</w:t>
      </w:r>
    </w:p>
    <w:p>
      <w:pPr>
        <w:rPr>
          <w:rFonts w:hint="eastAsia" w:eastAsia="宋体"/>
          <w:lang w:val="en-US" w:eastAsia="zh-CN"/>
        </w:rPr>
      </w:pPr>
      <w:r>
        <w:t>At Nottingham Healthcare NHS Trust, the L&amp;D plan is aligned with the organizational mission and vision. According to Eisele and others (2013), an effective L&amp;D plan should be aligned with organisation's vision and mission. The aim of Nottingham</w:t>
      </w:r>
      <w:r>
        <w:rPr>
          <w:rFonts w:hint="eastAsia" w:eastAsia="宋体"/>
          <w:lang w:val="en-US" w:eastAsia="zh-CN"/>
        </w:rPr>
        <w:t xml:space="preserve"> </w:t>
      </w:r>
      <w:r>
        <w:t xml:space="preserve">Healthcare is to enhance the wellness and well-being of the people and the communities that they support by delivering excellent medical attention to everyone who seeks it, irrespective of the individual's or the community's financial capacity to pay for it. Significantly, the plan acknowledges that employees are the company's most valuable asset, and as </w:t>
      </w:r>
      <w:r>
        <w:rPr>
          <w:rFonts w:cs="Times New Roman"/>
          <w:szCs w:val="24"/>
          <w:shd w:val="clear" w:color="auto" w:fill="FFFFFF"/>
        </w:rPr>
        <w:t>Nankervis</w:t>
      </w:r>
      <w:r>
        <w:t xml:space="preserve"> and others (2022) recommend, it aims to provide training, learning, and development opportunities that support the professional growth of all employees. In addition, the plan also emphasizes the importance of delivering high-quality care to patients and service users, which is in line with the organization's mission to provide safe, effective, and compassionate care</w:t>
      </w:r>
      <w:r>
        <w:rPr>
          <w:rFonts w:hint="eastAsia" w:eastAsia="宋体"/>
          <w:lang w:val="en-US" w:eastAsia="zh-CN"/>
        </w:rPr>
        <w:t>. S</w:t>
      </w:r>
      <w:r>
        <w:t>upporting the professional growth of all employees, and promoting a culture of learning and development within the organization. These goals are in line with the broader mission and vision of the NHS</w:t>
      </w:r>
      <w:r>
        <w:rPr>
          <w:rFonts w:hint="eastAsia" w:eastAsia="宋体"/>
          <w:lang w:val="en-US" w:eastAsia="zh-CN"/>
        </w:rPr>
        <w:t>.</w:t>
      </w:r>
    </w:p>
    <w:p>
      <w:pPr>
        <w:rPr>
          <w:lang w:eastAsia="en-GB"/>
        </w:rPr>
      </w:pPr>
      <w:r>
        <w:t xml:space="preserve">Moreover, the plan has considered all the employees in the organization. Notably, the L&amp;D strategy for Nottingham Healthcare NHS Trust aims to provide training, learning, and development opportunities that support the professional growth of all employees, which is in line with what </w:t>
      </w:r>
      <w:r>
        <w:rPr>
          <w:rFonts w:cs="Times New Roman"/>
          <w:szCs w:val="24"/>
          <w:shd w:val="clear" w:color="auto" w:fill="FFFFFF"/>
        </w:rPr>
        <w:t>Chaudhuri and others (2022) recommend</w:t>
      </w:r>
      <w:r>
        <w:t>. As a result, the plan includes eight areas that cover a wide range of roles within the organization. These areas touch on all employees and include non-registered clinicians, medical consultants, graduate management trainees, and IT staff. The plan also recognizes the importance of lived experience and includes a commitment to employing individuals with lived experience as part of the L&amp;D staff. Therefore, it can be said that the plan has considered all employees. However, t</w:t>
      </w:r>
      <w:r>
        <w:rPr>
          <w:lang w:eastAsia="en-GB"/>
        </w:rPr>
        <w:t>he L&amp;D strategy for Nottingham Healthcare does not provide clear timescales for completion or review. Current L&amp;D department goals incorporate the delivery strategy for 2014 and 2015, and internal quality assurance and governance of the Learning &amp; Development function are evaluated in relation to these goals. As a result, it appears that the L&amp;D strategy is being constantly assessed and modified.</w:t>
      </w:r>
    </w:p>
    <w:p>
      <w:pPr>
        <w:ind w:firstLine="0"/>
        <w:jc w:val="center"/>
        <w:rPr>
          <w:b/>
          <w:szCs w:val="24"/>
        </w:rPr>
      </w:pPr>
      <w:r>
        <w:rPr>
          <w:b/>
          <w:szCs w:val="24"/>
        </w:rPr>
        <w:t>Conclusion</w:t>
      </w:r>
    </w:p>
    <w:p>
      <w:r>
        <w:t>In conclusion, Nottingham Hospital NHS Trust's L&amp;D strategy is well-developed and certainly fits with the organization's bigger-picture goals. The plan comprises standardized components and seeks to meet six major objectives, including compliance with government recommendations, establishing reliable and efficient plans for the future delivery of services, and making maximum use of technological advances. The L&amp;D plan encompasses all employees within the organization, including non-registered clinicians, medical consultants, and IT staff, and acknowledges the significance of the lived experience. Although the plan lacks distinct completion and reviews deadlines, continuous monitoring, and evaluation are in place. Overall, the L&amp;D strategy at Nottingham Healthcare NHS Trust lays the groundwork for a learning and improvement culture, which in turn improves the quality of care provided to patients and service users.</w:t>
      </w:r>
      <w:r>
        <w:br w:type="page"/>
      </w:r>
    </w:p>
    <w:p>
      <w:pPr>
        <w:ind w:firstLine="0"/>
        <w:jc w:val="center"/>
        <w:rPr>
          <w:rFonts w:hint="default" w:eastAsia="宋体"/>
          <w:b/>
          <w:bCs/>
          <w:szCs w:val="24"/>
          <w:lang w:val="en-US" w:eastAsia="zh-CN"/>
        </w:rPr>
      </w:pPr>
      <w:r>
        <w:rPr>
          <w:b/>
          <w:bCs/>
          <w:szCs w:val="24"/>
        </w:rPr>
        <w:t>Reference</w:t>
      </w:r>
      <w:r>
        <w:rPr>
          <w:rFonts w:hint="eastAsia" w:eastAsia="宋体"/>
          <w:b/>
          <w:bCs/>
          <w:szCs w:val="24"/>
          <w:lang w:val="en-US" w:eastAsia="zh-CN"/>
        </w:rPr>
        <w:t xml:space="preserve"> List</w:t>
      </w:r>
    </w:p>
    <w:p>
      <w:pPr>
        <w:ind w:left="720" w:hanging="720"/>
        <w:jc w:val="both"/>
        <w:rPr>
          <w:rFonts w:cs="Times New Roman"/>
          <w:szCs w:val="24"/>
          <w:shd w:val="clear" w:color="auto" w:fill="FFFFFF"/>
        </w:rPr>
      </w:pPr>
      <w:r>
        <w:rPr>
          <w:rFonts w:cs="Times New Roman"/>
          <w:szCs w:val="24"/>
          <w:shd w:val="clear" w:color="auto" w:fill="FFFFFF"/>
        </w:rPr>
        <w:t xml:space="preserve">Beausaert, S. A., Segers, M. S., &amp; Gijselaers, W. H. (2011). </w:t>
      </w:r>
      <w:r>
        <w:rPr>
          <w:rFonts w:hint="default" w:eastAsia="宋体" w:cs="Times New Roman"/>
          <w:szCs w:val="24"/>
          <w:shd w:val="clear" w:color="auto" w:fill="FFFFFF"/>
          <w:lang w:val="en-US" w:eastAsia="zh-CN"/>
        </w:rPr>
        <w:t>‘</w:t>
      </w:r>
      <w:r>
        <w:rPr>
          <w:rFonts w:cs="Times New Roman"/>
          <w:szCs w:val="24"/>
          <w:shd w:val="clear" w:color="auto" w:fill="FFFFFF"/>
        </w:rPr>
        <w:t>Using a personal development</w:t>
      </w:r>
    </w:p>
    <w:p>
      <w:pPr>
        <w:ind w:left="720" w:hanging="720"/>
        <w:jc w:val="both"/>
        <w:rPr>
          <w:rFonts w:cs="Times New Roman"/>
          <w:szCs w:val="24"/>
          <w:shd w:val="clear" w:color="auto" w:fill="FFFFFF"/>
        </w:rPr>
      </w:pPr>
      <w:r>
        <w:rPr>
          <w:rFonts w:cs="Times New Roman"/>
          <w:szCs w:val="24"/>
          <w:shd w:val="clear" w:color="auto" w:fill="FFFFFF"/>
        </w:rPr>
        <w:t>plan for different purposes: Its influence on undertaking learning activities and job</w:t>
      </w:r>
    </w:p>
    <w:p>
      <w:pPr>
        <w:ind w:left="720" w:hanging="720"/>
        <w:jc w:val="both"/>
        <w:rPr>
          <w:rFonts w:cs="Times New Roman"/>
          <w:szCs w:val="24"/>
          <w:shd w:val="clear" w:color="auto" w:fill="FFFFFF"/>
        </w:rPr>
      </w:pPr>
      <w:r>
        <w:rPr>
          <w:rFonts w:cs="Times New Roman"/>
          <w:szCs w:val="24"/>
          <w:shd w:val="clear" w:color="auto" w:fill="FFFFFF"/>
        </w:rPr>
        <w:t>performance</w:t>
      </w:r>
      <w:r>
        <w:rPr>
          <w:rFonts w:hint="default" w:eastAsia="宋体" w:cs="Times New Roman"/>
          <w:szCs w:val="24"/>
          <w:shd w:val="clear" w:color="auto" w:fill="FFFFFF"/>
          <w:lang w:val="en-US" w:eastAsia="zh-CN"/>
        </w:rPr>
        <w:t>’</w:t>
      </w:r>
      <w:r>
        <w:rPr>
          <w:rFonts w:hint="eastAsia" w:eastAsia="宋体" w:cs="Times New Roman"/>
          <w:szCs w:val="24"/>
          <w:shd w:val="clear" w:color="auto" w:fill="FFFFFF"/>
          <w:lang w:val="en-US" w:eastAsia="zh-CN"/>
        </w:rPr>
        <w:t>,</w:t>
      </w:r>
      <w:r>
        <w:rPr>
          <w:rFonts w:cs="Times New Roman"/>
          <w:szCs w:val="24"/>
          <w:shd w:val="clear" w:color="auto" w:fill="FFFFFF"/>
        </w:rPr>
        <w:t> </w:t>
      </w:r>
      <w:r>
        <w:rPr>
          <w:rFonts w:cs="Times New Roman"/>
          <w:i/>
          <w:iCs/>
          <w:szCs w:val="24"/>
          <w:shd w:val="clear" w:color="auto" w:fill="FFFFFF"/>
        </w:rPr>
        <w:t>Vocations and Learning</w:t>
      </w:r>
      <w:r>
        <w:rPr>
          <w:rFonts w:cs="Times New Roman"/>
          <w:szCs w:val="24"/>
          <w:shd w:val="clear" w:color="auto" w:fill="FFFFFF"/>
        </w:rPr>
        <w:t>, </w:t>
      </w:r>
      <w:r>
        <w:rPr>
          <w:rFonts w:cs="Times New Roman"/>
          <w:i/>
          <w:iCs/>
          <w:szCs w:val="24"/>
          <w:shd w:val="clear" w:color="auto" w:fill="FFFFFF"/>
        </w:rPr>
        <w:t>4</w:t>
      </w:r>
      <w:r>
        <w:rPr>
          <w:rFonts w:cs="Times New Roman"/>
          <w:szCs w:val="24"/>
          <w:shd w:val="clear" w:color="auto" w:fill="FFFFFF"/>
        </w:rPr>
        <w:t xml:space="preserve">, </w:t>
      </w:r>
      <w:r>
        <w:rPr>
          <w:rFonts w:hint="eastAsia" w:eastAsia="宋体" w:cs="Times New Roman"/>
          <w:szCs w:val="24"/>
          <w:shd w:val="clear" w:color="auto" w:fill="FFFFFF"/>
          <w:lang w:val="en-US" w:eastAsia="zh-CN"/>
        </w:rPr>
        <w:t xml:space="preserve">pp. </w:t>
      </w:r>
      <w:r>
        <w:rPr>
          <w:rFonts w:cs="Times New Roman"/>
          <w:szCs w:val="24"/>
          <w:shd w:val="clear" w:color="auto" w:fill="FFFFFF"/>
        </w:rPr>
        <w:t>231-252.</w:t>
      </w:r>
    </w:p>
    <w:p>
      <w:pPr>
        <w:ind w:left="720" w:hanging="720"/>
        <w:jc w:val="both"/>
        <w:rPr>
          <w:rFonts w:cs="Times New Roman"/>
          <w:szCs w:val="24"/>
          <w:shd w:val="clear" w:color="auto" w:fill="FFFFFF"/>
        </w:rPr>
      </w:pPr>
    </w:p>
    <w:p>
      <w:pPr>
        <w:ind w:left="720" w:hanging="720"/>
        <w:jc w:val="both"/>
        <w:rPr>
          <w:rFonts w:cs="Times New Roman"/>
          <w:szCs w:val="24"/>
          <w:shd w:val="clear" w:color="auto" w:fill="FFFFFF"/>
        </w:rPr>
      </w:pPr>
      <w:r>
        <w:rPr>
          <w:rFonts w:cs="Times New Roman"/>
          <w:szCs w:val="24"/>
          <w:shd w:val="clear" w:color="auto" w:fill="FFFFFF"/>
        </w:rPr>
        <w:t xml:space="preserve">Brassey, J., Christensen, L., &amp; van Dam, N. (2019). </w:t>
      </w:r>
      <w:r>
        <w:rPr>
          <w:rFonts w:hint="default" w:eastAsia="宋体" w:cs="Times New Roman"/>
          <w:szCs w:val="24"/>
          <w:shd w:val="clear" w:color="auto" w:fill="FFFFFF"/>
          <w:lang w:val="en-US" w:eastAsia="zh-CN"/>
        </w:rPr>
        <w:t>‘</w:t>
      </w:r>
      <w:r>
        <w:rPr>
          <w:rFonts w:cs="Times New Roman"/>
          <w:szCs w:val="24"/>
          <w:shd w:val="clear" w:color="auto" w:fill="FFFFFF"/>
        </w:rPr>
        <w:t>The essential components of a</w:t>
      </w:r>
    </w:p>
    <w:p>
      <w:pPr>
        <w:ind w:left="720" w:hanging="720"/>
        <w:jc w:val="both"/>
        <w:rPr>
          <w:rFonts w:cs="Times New Roman"/>
          <w:i/>
          <w:iCs/>
          <w:szCs w:val="24"/>
          <w:shd w:val="clear" w:color="auto" w:fill="FFFFFF"/>
        </w:rPr>
      </w:pPr>
      <w:r>
        <w:rPr>
          <w:rFonts w:cs="Times New Roman"/>
          <w:szCs w:val="24"/>
          <w:shd w:val="clear" w:color="auto" w:fill="FFFFFF"/>
        </w:rPr>
        <w:t>successful L&amp;D strategy</w:t>
      </w:r>
      <w:r>
        <w:rPr>
          <w:rFonts w:hint="default" w:eastAsia="宋体" w:cs="Times New Roman"/>
          <w:szCs w:val="24"/>
          <w:shd w:val="clear" w:color="auto" w:fill="FFFFFF"/>
          <w:lang w:val="en-US" w:eastAsia="zh-CN"/>
        </w:rPr>
        <w:t>’</w:t>
      </w:r>
      <w:r>
        <w:rPr>
          <w:rFonts w:hint="eastAsia" w:eastAsia="宋体" w:cs="Times New Roman"/>
          <w:szCs w:val="24"/>
          <w:shd w:val="clear" w:color="auto" w:fill="FFFFFF"/>
          <w:lang w:val="en-US" w:eastAsia="zh-CN"/>
        </w:rPr>
        <w:t>,</w:t>
      </w:r>
      <w:r>
        <w:rPr>
          <w:rFonts w:cs="Times New Roman"/>
          <w:szCs w:val="24"/>
          <w:shd w:val="clear" w:color="auto" w:fill="FFFFFF"/>
        </w:rPr>
        <w:t> </w:t>
      </w:r>
      <w:r>
        <w:rPr>
          <w:rFonts w:cs="Times New Roman"/>
          <w:i/>
          <w:iCs/>
          <w:szCs w:val="24"/>
          <w:shd w:val="clear" w:color="auto" w:fill="FFFFFF"/>
        </w:rPr>
        <w:t>Mode of access: https://www. mckinsey. com/business</w:t>
      </w:r>
    </w:p>
    <w:p>
      <w:pPr>
        <w:ind w:left="720" w:hanging="720"/>
        <w:jc w:val="both"/>
        <w:rPr>
          <w:rFonts w:cs="Times New Roman"/>
          <w:i/>
          <w:iCs/>
          <w:szCs w:val="24"/>
          <w:shd w:val="clear" w:color="auto" w:fill="FFFFFF"/>
        </w:rPr>
      </w:pPr>
      <w:r>
        <w:rPr>
          <w:rFonts w:cs="Times New Roman"/>
          <w:i/>
          <w:iCs/>
          <w:szCs w:val="24"/>
          <w:shd w:val="clear" w:color="auto" w:fill="FFFFFF"/>
        </w:rPr>
        <w:t>functions/organization/our-insights/the-essential-components-of-a-successful-l-and-d</w:t>
      </w:r>
    </w:p>
    <w:p>
      <w:pPr>
        <w:ind w:left="720" w:hanging="720"/>
        <w:jc w:val="both"/>
        <w:rPr>
          <w:rFonts w:cs="Times New Roman"/>
          <w:szCs w:val="24"/>
          <w:shd w:val="clear" w:color="auto" w:fill="FFFFFF"/>
        </w:rPr>
      </w:pPr>
      <w:r>
        <w:rPr>
          <w:rFonts w:cs="Times New Roman"/>
          <w:i/>
          <w:iCs/>
          <w:szCs w:val="24"/>
          <w:shd w:val="clear" w:color="auto" w:fill="FFFFFF"/>
        </w:rPr>
        <w:t>strategy</w:t>
      </w:r>
      <w:r>
        <w:rPr>
          <w:rFonts w:cs="Times New Roman"/>
          <w:szCs w:val="24"/>
          <w:shd w:val="clear" w:color="auto" w:fill="FFFFFF"/>
        </w:rPr>
        <w:t>.</w:t>
      </w:r>
    </w:p>
    <w:p>
      <w:pPr>
        <w:ind w:left="720" w:hanging="720"/>
        <w:jc w:val="both"/>
        <w:rPr>
          <w:rFonts w:cs="Times New Roman"/>
          <w:szCs w:val="24"/>
          <w:shd w:val="clear" w:color="auto" w:fill="FFFFFF"/>
        </w:rPr>
      </w:pPr>
    </w:p>
    <w:p>
      <w:pPr>
        <w:ind w:left="720" w:hanging="720"/>
        <w:jc w:val="both"/>
        <w:rPr>
          <w:rFonts w:cs="Times New Roman"/>
          <w:szCs w:val="24"/>
          <w:shd w:val="clear" w:color="auto" w:fill="FFFFFF"/>
        </w:rPr>
      </w:pPr>
      <w:r>
        <w:rPr>
          <w:rFonts w:cs="Times New Roman"/>
          <w:szCs w:val="24"/>
          <w:shd w:val="clear" w:color="auto" w:fill="FFFFFF"/>
        </w:rPr>
        <w:t xml:space="preserve">Chaudhuri, S., Park, S., &amp; Johnson, K. R. (2022). </w:t>
      </w:r>
      <w:r>
        <w:rPr>
          <w:rFonts w:hint="default" w:eastAsia="宋体" w:cs="Times New Roman"/>
          <w:szCs w:val="24"/>
          <w:shd w:val="clear" w:color="auto" w:fill="FFFFFF"/>
          <w:lang w:val="en-US" w:eastAsia="zh-CN"/>
        </w:rPr>
        <w:t>‘</w:t>
      </w:r>
      <w:r>
        <w:rPr>
          <w:rFonts w:cs="Times New Roman"/>
          <w:szCs w:val="24"/>
          <w:shd w:val="clear" w:color="auto" w:fill="FFFFFF"/>
        </w:rPr>
        <w:t>Engagement, inclusion, knowledge sharing,</w:t>
      </w:r>
    </w:p>
    <w:p>
      <w:pPr>
        <w:ind w:left="720" w:hanging="720"/>
        <w:jc w:val="both"/>
        <w:rPr>
          <w:rFonts w:cs="Times New Roman"/>
          <w:szCs w:val="24"/>
          <w:shd w:val="clear" w:color="auto" w:fill="FFFFFF"/>
        </w:rPr>
      </w:pPr>
      <w:r>
        <w:rPr>
          <w:rFonts w:cs="Times New Roman"/>
          <w:szCs w:val="24"/>
          <w:shd w:val="clear" w:color="auto" w:fill="FFFFFF"/>
        </w:rPr>
        <w:t>and talent development: is reverse mentoring a panacea to all? Findings from literature</w:t>
      </w:r>
    </w:p>
    <w:p>
      <w:pPr>
        <w:ind w:left="720" w:hanging="720"/>
        <w:jc w:val="both"/>
        <w:rPr>
          <w:rFonts w:cs="Times New Roman"/>
          <w:szCs w:val="24"/>
          <w:shd w:val="clear" w:color="auto" w:fill="FFFFFF"/>
        </w:rPr>
      </w:pPr>
      <w:r>
        <w:rPr>
          <w:rFonts w:cs="Times New Roman"/>
          <w:szCs w:val="24"/>
          <w:shd w:val="clear" w:color="auto" w:fill="FFFFFF"/>
        </w:rPr>
        <w:t>Review</w:t>
      </w:r>
      <w:r>
        <w:rPr>
          <w:rFonts w:hint="default" w:eastAsia="宋体" w:cs="Times New Roman"/>
          <w:szCs w:val="24"/>
          <w:shd w:val="clear" w:color="auto" w:fill="FFFFFF"/>
          <w:lang w:val="en-US" w:eastAsia="zh-CN"/>
        </w:rPr>
        <w:t>’</w:t>
      </w:r>
      <w:r>
        <w:rPr>
          <w:rFonts w:hint="eastAsia" w:eastAsia="宋体" w:cs="Times New Roman"/>
          <w:szCs w:val="24"/>
          <w:shd w:val="clear" w:color="auto" w:fill="FFFFFF"/>
          <w:lang w:val="en-US" w:eastAsia="zh-CN"/>
        </w:rPr>
        <w:t>,</w:t>
      </w:r>
      <w:r>
        <w:rPr>
          <w:rFonts w:cs="Times New Roman"/>
          <w:szCs w:val="24"/>
          <w:shd w:val="clear" w:color="auto" w:fill="FFFFFF"/>
        </w:rPr>
        <w:t> </w:t>
      </w:r>
      <w:r>
        <w:rPr>
          <w:rFonts w:cs="Times New Roman"/>
          <w:i/>
          <w:iCs/>
          <w:szCs w:val="24"/>
          <w:shd w:val="clear" w:color="auto" w:fill="FFFFFF"/>
        </w:rPr>
        <w:t>European Journal of Training and Development</w:t>
      </w:r>
      <w:r>
        <w:rPr>
          <w:rFonts w:cs="Times New Roman"/>
          <w:szCs w:val="24"/>
          <w:shd w:val="clear" w:color="auto" w:fill="FFFFFF"/>
        </w:rPr>
        <w:t>, </w:t>
      </w:r>
      <w:r>
        <w:rPr>
          <w:rFonts w:cs="Times New Roman"/>
          <w:i/>
          <w:iCs/>
          <w:szCs w:val="24"/>
          <w:shd w:val="clear" w:color="auto" w:fill="FFFFFF"/>
        </w:rPr>
        <w:t>46</w:t>
      </w:r>
      <w:r>
        <w:rPr>
          <w:rFonts w:cs="Times New Roman"/>
          <w:szCs w:val="24"/>
          <w:shd w:val="clear" w:color="auto" w:fill="FFFFFF"/>
        </w:rPr>
        <w:t xml:space="preserve">(5/6), </w:t>
      </w:r>
      <w:r>
        <w:rPr>
          <w:rFonts w:hint="eastAsia" w:eastAsia="宋体" w:cs="Times New Roman"/>
          <w:szCs w:val="24"/>
          <w:shd w:val="clear" w:color="auto" w:fill="FFFFFF"/>
          <w:lang w:val="en-US" w:eastAsia="zh-CN"/>
        </w:rPr>
        <w:t xml:space="preserve">pp. </w:t>
      </w:r>
      <w:r>
        <w:rPr>
          <w:rFonts w:cs="Times New Roman"/>
          <w:szCs w:val="24"/>
          <w:shd w:val="clear" w:color="auto" w:fill="FFFFFF"/>
        </w:rPr>
        <w:t>468-483.</w:t>
      </w:r>
    </w:p>
    <w:p>
      <w:pPr>
        <w:ind w:left="720" w:hanging="720"/>
        <w:jc w:val="both"/>
        <w:rPr>
          <w:rFonts w:cs="Times New Roman"/>
          <w:szCs w:val="24"/>
          <w:shd w:val="clear" w:color="auto" w:fill="FFFFFF"/>
        </w:rPr>
      </w:pPr>
    </w:p>
    <w:p>
      <w:pPr>
        <w:ind w:left="720" w:hanging="720"/>
        <w:jc w:val="both"/>
        <w:rPr>
          <w:rFonts w:cs="Times New Roman"/>
          <w:szCs w:val="24"/>
          <w:shd w:val="clear" w:color="auto" w:fill="FFFFFF"/>
        </w:rPr>
      </w:pPr>
      <w:r>
        <w:rPr>
          <w:rFonts w:cs="Times New Roman"/>
          <w:szCs w:val="24"/>
          <w:shd w:val="clear" w:color="auto" w:fill="FFFFFF"/>
        </w:rPr>
        <w:t>Darling-Hammond, L., Flook, L., Cook-Harvey, C., Barron, B., &amp; Osher, D. (2020).</w:t>
      </w:r>
    </w:p>
    <w:p>
      <w:pPr>
        <w:ind w:left="720" w:hanging="720"/>
        <w:jc w:val="both"/>
        <w:rPr>
          <w:rFonts w:cs="Times New Roman"/>
          <w:i/>
          <w:iCs/>
          <w:szCs w:val="24"/>
          <w:shd w:val="clear" w:color="auto" w:fill="FFFFFF"/>
        </w:rPr>
      </w:pPr>
      <w:r>
        <w:rPr>
          <w:rFonts w:hint="default" w:eastAsia="宋体" w:cs="Times New Roman"/>
          <w:szCs w:val="24"/>
          <w:shd w:val="clear" w:color="auto" w:fill="FFFFFF"/>
          <w:lang w:val="en-US" w:eastAsia="zh-CN"/>
        </w:rPr>
        <w:t>‘</w:t>
      </w:r>
      <w:r>
        <w:rPr>
          <w:rFonts w:cs="Times New Roman"/>
          <w:szCs w:val="24"/>
          <w:shd w:val="clear" w:color="auto" w:fill="FFFFFF"/>
        </w:rPr>
        <w:t>Implications for educational practice of the science of learning and development</w:t>
      </w:r>
      <w:r>
        <w:rPr>
          <w:rFonts w:hint="default" w:eastAsia="宋体" w:cs="Times New Roman"/>
          <w:szCs w:val="24"/>
          <w:shd w:val="clear" w:color="auto" w:fill="FFFFFF"/>
          <w:lang w:val="en-US" w:eastAsia="zh-CN"/>
        </w:rPr>
        <w:t>’</w:t>
      </w:r>
      <w:r>
        <w:rPr>
          <w:rFonts w:hint="eastAsia" w:eastAsia="宋体" w:cs="Times New Roman"/>
          <w:szCs w:val="24"/>
          <w:shd w:val="clear" w:color="auto" w:fill="FFFFFF"/>
          <w:lang w:val="en-US" w:eastAsia="zh-CN"/>
        </w:rPr>
        <w:t xml:space="preserve">, </w:t>
      </w:r>
      <w:r>
        <w:rPr>
          <w:rFonts w:cs="Times New Roman"/>
          <w:szCs w:val="24"/>
          <w:shd w:val="clear" w:color="auto" w:fill="FFFFFF"/>
        </w:rPr>
        <w:t> </w:t>
      </w:r>
      <w:r>
        <w:rPr>
          <w:rFonts w:cs="Times New Roman"/>
          <w:i/>
          <w:iCs/>
          <w:szCs w:val="24"/>
          <w:shd w:val="clear" w:color="auto" w:fill="FFFFFF"/>
        </w:rPr>
        <w:t>Applied</w:t>
      </w:r>
    </w:p>
    <w:p>
      <w:pPr>
        <w:ind w:left="720" w:hanging="720"/>
        <w:jc w:val="both"/>
        <w:rPr>
          <w:rFonts w:hint="eastAsia" w:eastAsia="宋体" w:cs="Times New Roman"/>
          <w:szCs w:val="24"/>
          <w:shd w:val="clear" w:color="auto" w:fill="FFFFFF"/>
          <w:lang w:val="en-US" w:eastAsia="zh-CN"/>
        </w:rPr>
      </w:pPr>
      <w:r>
        <w:rPr>
          <w:rFonts w:cs="Times New Roman"/>
          <w:i/>
          <w:iCs/>
          <w:szCs w:val="24"/>
          <w:shd w:val="clear" w:color="auto" w:fill="FFFFFF"/>
        </w:rPr>
        <w:t>developmental science</w:t>
      </w:r>
      <w:r>
        <w:rPr>
          <w:rFonts w:cs="Times New Roman"/>
          <w:szCs w:val="24"/>
          <w:shd w:val="clear" w:color="auto" w:fill="FFFFFF"/>
        </w:rPr>
        <w:t>, </w:t>
      </w:r>
      <w:r>
        <w:rPr>
          <w:rFonts w:cs="Times New Roman"/>
          <w:i/>
          <w:iCs/>
          <w:szCs w:val="24"/>
          <w:shd w:val="clear" w:color="auto" w:fill="FFFFFF"/>
        </w:rPr>
        <w:t>24</w:t>
      </w:r>
      <w:r>
        <w:rPr>
          <w:rFonts w:cs="Times New Roman"/>
          <w:szCs w:val="24"/>
          <w:shd w:val="clear" w:color="auto" w:fill="FFFFFF"/>
        </w:rPr>
        <w:t xml:space="preserve">(2), </w:t>
      </w:r>
      <w:r>
        <w:rPr>
          <w:rFonts w:hint="eastAsia" w:eastAsia="宋体" w:cs="Times New Roman"/>
          <w:szCs w:val="24"/>
          <w:shd w:val="clear" w:color="auto" w:fill="FFFFFF"/>
          <w:lang w:val="en-US" w:eastAsia="zh-CN"/>
        </w:rPr>
        <w:t xml:space="preserve">pp. </w:t>
      </w:r>
      <w:r>
        <w:rPr>
          <w:rFonts w:cs="Times New Roman"/>
          <w:szCs w:val="24"/>
          <w:shd w:val="clear" w:color="auto" w:fill="FFFFFF"/>
        </w:rPr>
        <w:t>97-140</w:t>
      </w:r>
      <w:r>
        <w:rPr>
          <w:rFonts w:hint="eastAsia" w:eastAsia="宋体" w:cs="Times New Roman"/>
          <w:szCs w:val="24"/>
          <w:shd w:val="clear" w:color="auto" w:fill="FFFFFF"/>
          <w:lang w:val="en-US" w:eastAsia="zh-CN"/>
        </w:rPr>
        <w:t>.</w:t>
      </w:r>
    </w:p>
    <w:p>
      <w:pPr>
        <w:ind w:left="720" w:hanging="720"/>
        <w:jc w:val="both"/>
        <w:rPr>
          <w:rFonts w:cs="Times New Roman"/>
          <w:szCs w:val="24"/>
          <w:shd w:val="clear" w:color="auto" w:fill="FFFFFF"/>
        </w:rPr>
      </w:pPr>
    </w:p>
    <w:p>
      <w:pPr>
        <w:ind w:left="720" w:hanging="720"/>
        <w:jc w:val="both"/>
        <w:rPr>
          <w:rFonts w:cs="Times New Roman"/>
          <w:szCs w:val="24"/>
        </w:rPr>
      </w:pPr>
      <w:r>
        <w:rPr>
          <w:rFonts w:cs="Times New Roman"/>
          <w:szCs w:val="24"/>
        </w:rPr>
        <w:t xml:space="preserve">Eisele, L., Grohnert, T., Beausaert, S., &amp; Segers, M. (2013). </w:t>
      </w:r>
      <w:r>
        <w:rPr>
          <w:rFonts w:hint="default" w:eastAsia="宋体" w:cs="Times New Roman"/>
          <w:szCs w:val="24"/>
          <w:lang w:val="en-US" w:eastAsia="zh-CN"/>
        </w:rPr>
        <w:t>‘</w:t>
      </w:r>
      <w:r>
        <w:rPr>
          <w:rFonts w:cs="Times New Roman"/>
          <w:szCs w:val="24"/>
        </w:rPr>
        <w:t>Employee motivation for</w:t>
      </w:r>
    </w:p>
    <w:p>
      <w:pPr>
        <w:ind w:left="720" w:hanging="720"/>
        <w:jc w:val="both"/>
        <w:rPr>
          <w:rFonts w:cs="Times New Roman"/>
          <w:i/>
          <w:iCs/>
          <w:szCs w:val="24"/>
        </w:rPr>
      </w:pPr>
      <w:r>
        <w:rPr>
          <w:rFonts w:cs="Times New Roman"/>
          <w:szCs w:val="24"/>
        </w:rPr>
        <w:t>personal development plan effectiveness</w:t>
      </w:r>
      <w:r>
        <w:rPr>
          <w:rFonts w:hint="default" w:eastAsia="宋体" w:cs="Times New Roman"/>
          <w:szCs w:val="24"/>
          <w:lang w:val="en-US" w:eastAsia="zh-CN"/>
        </w:rPr>
        <w:t>’</w:t>
      </w:r>
      <w:r>
        <w:rPr>
          <w:rFonts w:hint="eastAsia" w:eastAsia="宋体" w:cs="Times New Roman"/>
          <w:szCs w:val="24"/>
          <w:lang w:val="en-US" w:eastAsia="zh-CN"/>
        </w:rPr>
        <w:t xml:space="preserve">, </w:t>
      </w:r>
      <w:r>
        <w:rPr>
          <w:rFonts w:cs="Times New Roman"/>
          <w:i/>
          <w:iCs/>
          <w:szCs w:val="24"/>
        </w:rPr>
        <w:t>European Journal of Training and</w:t>
      </w:r>
    </w:p>
    <w:p>
      <w:pPr>
        <w:ind w:left="720" w:hanging="720"/>
        <w:jc w:val="both"/>
        <w:rPr>
          <w:rFonts w:cs="Times New Roman"/>
          <w:szCs w:val="24"/>
        </w:rPr>
      </w:pPr>
      <w:r>
        <w:rPr>
          <w:rFonts w:cs="Times New Roman"/>
          <w:i/>
          <w:iCs/>
          <w:szCs w:val="24"/>
        </w:rPr>
        <w:t>Development</w:t>
      </w:r>
      <w:r>
        <w:rPr>
          <w:rFonts w:cs="Times New Roman"/>
          <w:szCs w:val="24"/>
        </w:rPr>
        <w:t>, </w:t>
      </w:r>
      <w:r>
        <w:rPr>
          <w:rFonts w:cs="Times New Roman"/>
          <w:i/>
          <w:iCs/>
          <w:szCs w:val="24"/>
        </w:rPr>
        <w:t>37</w:t>
      </w:r>
      <w:r>
        <w:rPr>
          <w:rFonts w:cs="Times New Roman"/>
          <w:szCs w:val="24"/>
        </w:rPr>
        <w:t xml:space="preserve">(6), </w:t>
      </w:r>
      <w:r>
        <w:rPr>
          <w:rFonts w:hint="eastAsia" w:eastAsia="宋体" w:cs="Times New Roman"/>
          <w:szCs w:val="24"/>
          <w:lang w:val="en-US" w:eastAsia="zh-CN"/>
        </w:rPr>
        <w:t xml:space="preserve">pp. </w:t>
      </w:r>
      <w:r>
        <w:rPr>
          <w:rFonts w:cs="Times New Roman"/>
          <w:szCs w:val="24"/>
        </w:rPr>
        <w:t>527-543.</w:t>
      </w:r>
    </w:p>
    <w:p>
      <w:pPr>
        <w:ind w:left="720" w:hanging="720"/>
        <w:jc w:val="both"/>
        <w:rPr>
          <w:rFonts w:cs="Times New Roman"/>
          <w:szCs w:val="24"/>
        </w:rPr>
      </w:pPr>
    </w:p>
    <w:p>
      <w:pPr>
        <w:ind w:left="720" w:hanging="720"/>
        <w:jc w:val="both"/>
        <w:rPr>
          <w:rFonts w:cs="Times New Roman"/>
          <w:szCs w:val="24"/>
          <w:shd w:val="clear" w:color="auto" w:fill="FFFFFF"/>
        </w:rPr>
      </w:pPr>
      <w:r>
        <w:rPr>
          <w:rFonts w:cs="Times New Roman"/>
          <w:szCs w:val="24"/>
          <w:shd w:val="clear" w:color="auto" w:fill="FFFFFF"/>
        </w:rPr>
        <w:t xml:space="preserve">Masenya, T. M. (2022). </w:t>
      </w:r>
      <w:r>
        <w:rPr>
          <w:rFonts w:hint="default" w:eastAsia="宋体" w:cs="Times New Roman"/>
          <w:szCs w:val="24"/>
          <w:shd w:val="clear" w:color="auto" w:fill="FFFFFF"/>
          <w:lang w:val="en-US" w:eastAsia="zh-CN"/>
        </w:rPr>
        <w:t>‘</w:t>
      </w:r>
      <w:r>
        <w:rPr>
          <w:rFonts w:cs="Times New Roman"/>
          <w:szCs w:val="24"/>
          <w:shd w:val="clear" w:color="auto" w:fill="FFFFFF"/>
        </w:rPr>
        <w:t>Integrating talent and knowledge management practices in the new</w:t>
      </w:r>
    </w:p>
    <w:p>
      <w:pPr>
        <w:ind w:left="720" w:hanging="720"/>
        <w:jc w:val="both"/>
        <w:rPr>
          <w:rFonts w:hint="default" w:eastAsia="宋体" w:cs="Times New Roman"/>
          <w:szCs w:val="24"/>
          <w:shd w:val="clear" w:color="auto" w:fill="FFFFFF"/>
          <w:lang w:val="en-US" w:eastAsia="zh-CN"/>
        </w:rPr>
      </w:pPr>
      <w:r>
        <w:rPr>
          <w:rFonts w:cs="Times New Roman"/>
          <w:szCs w:val="24"/>
          <w:shd w:val="clear" w:color="auto" w:fill="FFFFFF"/>
        </w:rPr>
        <w:t>normal business environment: developing future leaders in public sector organizations</w:t>
      </w:r>
      <w:r>
        <w:rPr>
          <w:rFonts w:hint="default" w:eastAsia="宋体" w:cs="Times New Roman"/>
          <w:szCs w:val="24"/>
          <w:shd w:val="clear" w:color="auto" w:fill="FFFFFF"/>
          <w:lang w:val="en-US" w:eastAsia="zh-CN"/>
        </w:rPr>
        <w:t>’</w:t>
      </w:r>
      <w:r>
        <w:rPr>
          <w:rFonts w:hint="eastAsia" w:eastAsia="宋体" w:cs="Times New Roman"/>
          <w:szCs w:val="24"/>
          <w:shd w:val="clear" w:color="auto" w:fill="FFFFFF"/>
          <w:lang w:val="en-US" w:eastAsia="zh-CN"/>
        </w:rPr>
        <w:t>,</w:t>
      </w:r>
    </w:p>
    <w:p>
      <w:pPr>
        <w:ind w:left="720" w:hanging="720"/>
        <w:jc w:val="both"/>
        <w:rPr>
          <w:rFonts w:cs="Times New Roman"/>
          <w:i/>
          <w:iCs/>
          <w:szCs w:val="24"/>
          <w:shd w:val="clear" w:color="auto" w:fill="FFFFFF"/>
        </w:rPr>
      </w:pPr>
      <w:r>
        <w:rPr>
          <w:rFonts w:cs="Times New Roman"/>
          <w:i/>
          <w:iCs/>
          <w:szCs w:val="24"/>
          <w:shd w:val="clear" w:color="auto" w:fill="FFFFFF"/>
        </w:rPr>
        <w:t>In</w:t>
      </w:r>
      <w:r>
        <w:rPr>
          <w:rFonts w:cs="Times New Roman"/>
          <w:szCs w:val="24"/>
          <w:shd w:val="clear" w:color="auto" w:fill="FFFFFF"/>
        </w:rPr>
        <w:t> </w:t>
      </w:r>
      <w:r>
        <w:rPr>
          <w:rFonts w:cs="Times New Roman"/>
          <w:i/>
          <w:iCs/>
          <w:szCs w:val="24"/>
          <w:shd w:val="clear" w:color="auto" w:fill="FFFFFF"/>
        </w:rPr>
        <w:t>Navigating the New Normal of Business With Enhanced Human Resource Management</w:t>
      </w:r>
    </w:p>
    <w:p>
      <w:pPr>
        <w:ind w:left="720" w:hanging="720"/>
        <w:jc w:val="both"/>
        <w:rPr>
          <w:rFonts w:cs="Times New Roman"/>
          <w:szCs w:val="24"/>
          <w:shd w:val="clear" w:color="auto" w:fill="FFFFFF"/>
        </w:rPr>
      </w:pPr>
      <w:r>
        <w:rPr>
          <w:rFonts w:cs="Times New Roman"/>
          <w:i/>
          <w:iCs/>
          <w:szCs w:val="24"/>
          <w:shd w:val="clear" w:color="auto" w:fill="FFFFFF"/>
        </w:rPr>
        <w:t>Strategies</w:t>
      </w:r>
      <w:r>
        <w:rPr>
          <w:rFonts w:cs="Times New Roman"/>
          <w:szCs w:val="24"/>
          <w:shd w:val="clear" w:color="auto" w:fill="FFFFFF"/>
        </w:rPr>
        <w:t> </w:t>
      </w:r>
      <w:r>
        <w:rPr>
          <w:rFonts w:hint="eastAsia" w:eastAsia="宋体" w:cs="Times New Roman"/>
          <w:szCs w:val="24"/>
          <w:shd w:val="clear" w:color="auto" w:fill="FFFFFF"/>
          <w:lang w:val="en-US" w:eastAsia="zh-CN"/>
        </w:rPr>
        <w:t xml:space="preserve">,  </w:t>
      </w:r>
      <w:r>
        <w:rPr>
          <w:rFonts w:cs="Times New Roman"/>
          <w:szCs w:val="24"/>
          <w:shd w:val="clear" w:color="auto" w:fill="FFFFFF"/>
        </w:rPr>
        <w:t>pp. 113-144. IGI global.</w:t>
      </w:r>
    </w:p>
    <w:p>
      <w:pPr>
        <w:ind w:left="720" w:hanging="720"/>
        <w:jc w:val="both"/>
        <w:rPr>
          <w:rFonts w:cs="Times New Roman"/>
          <w:szCs w:val="24"/>
          <w:shd w:val="clear" w:color="auto" w:fill="FFFFFF"/>
        </w:rPr>
      </w:pPr>
    </w:p>
    <w:p>
      <w:pPr>
        <w:ind w:left="720" w:hanging="720"/>
        <w:jc w:val="both"/>
        <w:rPr>
          <w:rFonts w:cs="Times New Roman"/>
          <w:i/>
          <w:iCs/>
          <w:szCs w:val="24"/>
          <w:shd w:val="clear" w:color="auto" w:fill="FFFFFF"/>
        </w:rPr>
      </w:pPr>
      <w:r>
        <w:rPr>
          <w:rFonts w:cs="Times New Roman"/>
          <w:szCs w:val="24"/>
          <w:shd w:val="clear" w:color="auto" w:fill="FFFFFF"/>
        </w:rPr>
        <w:t>Nankervis, A., Baird, M., Coffey, J., &amp; Shields, J. (2022).</w:t>
      </w:r>
      <w:r>
        <w:rPr>
          <w:rFonts w:hint="eastAsia" w:eastAsia="宋体" w:cs="Times New Roman"/>
          <w:szCs w:val="24"/>
          <w:shd w:val="clear" w:color="auto" w:fill="FFFFFF"/>
          <w:lang w:val="en-US" w:eastAsia="zh-CN"/>
        </w:rPr>
        <w:t xml:space="preserve"> </w:t>
      </w:r>
      <w:r>
        <w:rPr>
          <w:rFonts w:hint="default" w:eastAsia="宋体" w:cs="Times New Roman"/>
          <w:szCs w:val="24"/>
          <w:shd w:val="clear" w:color="auto" w:fill="FFFFFF"/>
          <w:lang w:val="en-US" w:eastAsia="zh-CN"/>
        </w:rPr>
        <w:t>‘</w:t>
      </w:r>
      <w:r>
        <w:rPr>
          <w:rFonts w:cs="Times New Roman"/>
          <w:i/>
          <w:iCs/>
          <w:szCs w:val="24"/>
          <w:shd w:val="clear" w:color="auto" w:fill="FFFFFF"/>
        </w:rPr>
        <w:t>Human Resource Management</w:t>
      </w:r>
    </w:p>
    <w:p>
      <w:pPr>
        <w:ind w:left="720" w:hanging="720"/>
        <w:jc w:val="both"/>
        <w:rPr>
          <w:rFonts w:cs="Times New Roman"/>
          <w:szCs w:val="24"/>
          <w:shd w:val="clear" w:color="auto" w:fill="FFFFFF"/>
        </w:rPr>
      </w:pPr>
      <w:r>
        <w:rPr>
          <w:rFonts w:cs="Times New Roman"/>
          <w:i/>
          <w:iCs/>
          <w:szCs w:val="24"/>
          <w:shd w:val="clear" w:color="auto" w:fill="FFFFFF"/>
        </w:rPr>
        <w:t>11e</w:t>
      </w:r>
      <w:r>
        <w:rPr>
          <w:rFonts w:hint="default" w:eastAsia="宋体" w:cs="Times New Roman"/>
          <w:szCs w:val="24"/>
          <w:shd w:val="clear" w:color="auto" w:fill="FFFFFF"/>
          <w:lang w:val="en-US" w:eastAsia="zh-CN"/>
        </w:rPr>
        <w:t>’</w:t>
      </w:r>
      <w:r>
        <w:rPr>
          <w:rFonts w:hint="eastAsia" w:eastAsia="宋体" w:cs="Times New Roman"/>
          <w:szCs w:val="24"/>
          <w:shd w:val="clear" w:color="auto" w:fill="FFFFFF"/>
          <w:lang w:val="en-US" w:eastAsia="zh-CN"/>
        </w:rPr>
        <w:t xml:space="preserve">,  </w:t>
      </w:r>
      <w:r>
        <w:rPr>
          <w:rFonts w:cs="Times New Roman"/>
          <w:szCs w:val="24"/>
          <w:shd w:val="clear" w:color="auto" w:fill="FFFFFF"/>
        </w:rPr>
        <w:t>Cengage AU.</w:t>
      </w:r>
    </w:p>
    <w:p>
      <w:pPr>
        <w:ind w:left="720" w:hanging="720"/>
        <w:jc w:val="both"/>
        <w:rPr>
          <w:rFonts w:cs="Times New Roman"/>
          <w:szCs w:val="24"/>
          <w:shd w:val="clear" w:color="auto" w:fill="FFFFFF"/>
        </w:rPr>
      </w:pPr>
    </w:p>
    <w:p>
      <w:pPr>
        <w:ind w:left="720" w:hanging="720"/>
        <w:jc w:val="both"/>
        <w:rPr>
          <w:rFonts w:cs="Times New Roman"/>
          <w:szCs w:val="24"/>
          <w:shd w:val="clear" w:color="auto" w:fill="FFFFFF"/>
        </w:rPr>
      </w:pPr>
      <w:r>
        <w:rPr>
          <w:rFonts w:cs="Times New Roman"/>
          <w:szCs w:val="24"/>
          <w:shd w:val="clear" w:color="auto" w:fill="FFFFFF"/>
        </w:rPr>
        <w:t>Rashid, M., Hafeez, M., Maeenuddin, A. K. S., &amp; Wahid, N. (2020). The Role of Training</w:t>
      </w:r>
    </w:p>
    <w:p>
      <w:pPr>
        <w:ind w:left="720" w:hanging="720"/>
        <w:jc w:val="both"/>
        <w:rPr>
          <w:rFonts w:cs="Times New Roman"/>
          <w:szCs w:val="24"/>
          <w:shd w:val="clear" w:color="auto" w:fill="FFFFFF"/>
        </w:rPr>
      </w:pPr>
      <w:r>
        <w:rPr>
          <w:rFonts w:cs="Times New Roman"/>
          <w:szCs w:val="24"/>
          <w:shd w:val="clear" w:color="auto" w:fill="FFFFFF"/>
        </w:rPr>
        <w:t>and Development in Enhancing Employees Performance: Evidence from Sales Force of</w:t>
      </w:r>
    </w:p>
    <w:p>
      <w:pPr>
        <w:ind w:left="720" w:hanging="720"/>
        <w:jc w:val="both"/>
        <w:rPr>
          <w:rFonts w:cs="Times New Roman"/>
          <w:szCs w:val="24"/>
          <w:shd w:val="clear" w:color="auto" w:fill="FFFFFF"/>
        </w:rPr>
      </w:pPr>
      <w:r>
        <w:rPr>
          <w:rFonts w:cs="Times New Roman"/>
          <w:szCs w:val="24"/>
          <w:shd w:val="clear" w:color="auto" w:fill="FFFFFF"/>
        </w:rPr>
        <w:t>Pharmaceutical Companies at Shaheed Benazirabad Pakistan.</w:t>
      </w:r>
    </w:p>
    <w:sectPr>
      <w:headerReference r:id="rId5" w:type="default"/>
      <w:pgSz w:w="11906" w:h="16838"/>
      <w:pgMar w:top="1440" w:right="1440" w:bottom="1213"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3011588"/>
      <w:docPartObj>
        <w:docPartGallery w:val="autotext"/>
      </w:docPartObj>
    </w:sdtPr>
    <w:sdtContent>
      <w:p>
        <w:pPr>
          <w:pStyle w:val="6"/>
          <w:jc w:val="right"/>
        </w:pPr>
        <w:r>
          <w:fldChar w:fldCharType="begin"/>
        </w:r>
        <w:r>
          <w:instrText xml:space="preserve"> PAGE   \* MERGEFORMAT </w:instrText>
        </w:r>
        <w:r>
          <w:fldChar w:fldCharType="separate"/>
        </w:r>
        <w:r>
          <w:t>3</w:t>
        </w:r>
        <w:r>
          <w:fldChar w:fldCharType="end"/>
        </w:r>
      </w:p>
    </w:sdtContent>
  </w:sdt>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jUxMjA3MTU1MjS2sDRW0lEKTi0uzszPAykwqgUArJH0eSwAAAA="/>
    <w:docVar w:name="commondata" w:val="eyJoZGlkIjoiMzAzYzA0YzhiYTE1ZmRlMWI0NWE5OTRjMzNkMWRlMmYifQ=="/>
  </w:docVars>
  <w:rsids>
    <w:rsidRoot w:val="00AD6D2B"/>
    <w:rsid w:val="000077D4"/>
    <w:rsid w:val="00017498"/>
    <w:rsid w:val="0006122B"/>
    <w:rsid w:val="0007430E"/>
    <w:rsid w:val="000A00F9"/>
    <w:rsid w:val="000C4E60"/>
    <w:rsid w:val="000D0957"/>
    <w:rsid w:val="000D114C"/>
    <w:rsid w:val="000E037B"/>
    <w:rsid w:val="000F1839"/>
    <w:rsid w:val="00101FEB"/>
    <w:rsid w:val="0010611D"/>
    <w:rsid w:val="00111730"/>
    <w:rsid w:val="001348B7"/>
    <w:rsid w:val="001379A8"/>
    <w:rsid w:val="001379EC"/>
    <w:rsid w:val="00151DC4"/>
    <w:rsid w:val="00154AB6"/>
    <w:rsid w:val="00157CC9"/>
    <w:rsid w:val="00161750"/>
    <w:rsid w:val="00164568"/>
    <w:rsid w:val="00164649"/>
    <w:rsid w:val="00187D3E"/>
    <w:rsid w:val="001C6CA8"/>
    <w:rsid w:val="001D0A01"/>
    <w:rsid w:val="001E1F0C"/>
    <w:rsid w:val="002204A0"/>
    <w:rsid w:val="00230B8A"/>
    <w:rsid w:val="00240186"/>
    <w:rsid w:val="00242A74"/>
    <w:rsid w:val="002534B3"/>
    <w:rsid w:val="00257BB7"/>
    <w:rsid w:val="00270B6D"/>
    <w:rsid w:val="002728FA"/>
    <w:rsid w:val="00275161"/>
    <w:rsid w:val="0028222E"/>
    <w:rsid w:val="00283453"/>
    <w:rsid w:val="002A4B6D"/>
    <w:rsid w:val="002C52DF"/>
    <w:rsid w:val="002C5452"/>
    <w:rsid w:val="002C7EB6"/>
    <w:rsid w:val="002D1229"/>
    <w:rsid w:val="002F08A1"/>
    <w:rsid w:val="00301989"/>
    <w:rsid w:val="003062C0"/>
    <w:rsid w:val="00315761"/>
    <w:rsid w:val="003179D1"/>
    <w:rsid w:val="00342F85"/>
    <w:rsid w:val="00345AD6"/>
    <w:rsid w:val="003646E7"/>
    <w:rsid w:val="00366E2B"/>
    <w:rsid w:val="00371AFD"/>
    <w:rsid w:val="003758BC"/>
    <w:rsid w:val="00392555"/>
    <w:rsid w:val="00397813"/>
    <w:rsid w:val="003B680C"/>
    <w:rsid w:val="003C0B30"/>
    <w:rsid w:val="003D38E3"/>
    <w:rsid w:val="003D6B3D"/>
    <w:rsid w:val="003E33ED"/>
    <w:rsid w:val="00421275"/>
    <w:rsid w:val="00424AD4"/>
    <w:rsid w:val="0047012A"/>
    <w:rsid w:val="00474B18"/>
    <w:rsid w:val="0047756E"/>
    <w:rsid w:val="00477A3A"/>
    <w:rsid w:val="00484CD8"/>
    <w:rsid w:val="004A3DC4"/>
    <w:rsid w:val="004B13E1"/>
    <w:rsid w:val="004B1B55"/>
    <w:rsid w:val="004B3D25"/>
    <w:rsid w:val="004D6096"/>
    <w:rsid w:val="00513D12"/>
    <w:rsid w:val="00515948"/>
    <w:rsid w:val="00540A13"/>
    <w:rsid w:val="00545F92"/>
    <w:rsid w:val="005527D3"/>
    <w:rsid w:val="00557089"/>
    <w:rsid w:val="00562775"/>
    <w:rsid w:val="00572174"/>
    <w:rsid w:val="00575DAE"/>
    <w:rsid w:val="00576191"/>
    <w:rsid w:val="005808A6"/>
    <w:rsid w:val="005A2160"/>
    <w:rsid w:val="005A5596"/>
    <w:rsid w:val="005A70E6"/>
    <w:rsid w:val="005D03EE"/>
    <w:rsid w:val="00624703"/>
    <w:rsid w:val="00636093"/>
    <w:rsid w:val="00640849"/>
    <w:rsid w:val="00642A12"/>
    <w:rsid w:val="00650530"/>
    <w:rsid w:val="006506EB"/>
    <w:rsid w:val="006C0B2A"/>
    <w:rsid w:val="006D4666"/>
    <w:rsid w:val="006E4F78"/>
    <w:rsid w:val="006F5B6F"/>
    <w:rsid w:val="00724F7E"/>
    <w:rsid w:val="007250BC"/>
    <w:rsid w:val="00733599"/>
    <w:rsid w:val="00741BB5"/>
    <w:rsid w:val="00752EBB"/>
    <w:rsid w:val="007540BC"/>
    <w:rsid w:val="007577F3"/>
    <w:rsid w:val="00762F1B"/>
    <w:rsid w:val="00782BCA"/>
    <w:rsid w:val="00790ADD"/>
    <w:rsid w:val="00794A39"/>
    <w:rsid w:val="00795568"/>
    <w:rsid w:val="007A347A"/>
    <w:rsid w:val="007A770C"/>
    <w:rsid w:val="007B5854"/>
    <w:rsid w:val="007B6FA1"/>
    <w:rsid w:val="007B70BA"/>
    <w:rsid w:val="007C1A7F"/>
    <w:rsid w:val="007C2801"/>
    <w:rsid w:val="007D2DF8"/>
    <w:rsid w:val="007E7076"/>
    <w:rsid w:val="00800357"/>
    <w:rsid w:val="008043AC"/>
    <w:rsid w:val="00806B44"/>
    <w:rsid w:val="00814540"/>
    <w:rsid w:val="0082344A"/>
    <w:rsid w:val="0083543F"/>
    <w:rsid w:val="00836FE7"/>
    <w:rsid w:val="00874BE5"/>
    <w:rsid w:val="00890F94"/>
    <w:rsid w:val="008A3AF5"/>
    <w:rsid w:val="008B2455"/>
    <w:rsid w:val="008C1AE2"/>
    <w:rsid w:val="008C5B96"/>
    <w:rsid w:val="00904638"/>
    <w:rsid w:val="00905096"/>
    <w:rsid w:val="00924F49"/>
    <w:rsid w:val="00927D96"/>
    <w:rsid w:val="00930596"/>
    <w:rsid w:val="00936CEA"/>
    <w:rsid w:val="00944681"/>
    <w:rsid w:val="009551EF"/>
    <w:rsid w:val="00955329"/>
    <w:rsid w:val="0095771E"/>
    <w:rsid w:val="00957D35"/>
    <w:rsid w:val="00965F22"/>
    <w:rsid w:val="00971C90"/>
    <w:rsid w:val="00984147"/>
    <w:rsid w:val="009A7CDC"/>
    <w:rsid w:val="009B7319"/>
    <w:rsid w:val="009C0BDA"/>
    <w:rsid w:val="009C625E"/>
    <w:rsid w:val="009C6C13"/>
    <w:rsid w:val="009E4D58"/>
    <w:rsid w:val="009F6863"/>
    <w:rsid w:val="00A30132"/>
    <w:rsid w:val="00A442D7"/>
    <w:rsid w:val="00A4458F"/>
    <w:rsid w:val="00A458DA"/>
    <w:rsid w:val="00A55268"/>
    <w:rsid w:val="00A62DAD"/>
    <w:rsid w:val="00AA29E5"/>
    <w:rsid w:val="00AC50D2"/>
    <w:rsid w:val="00AD511A"/>
    <w:rsid w:val="00AD6B74"/>
    <w:rsid w:val="00AD6D2B"/>
    <w:rsid w:val="00AF31A6"/>
    <w:rsid w:val="00B02BEB"/>
    <w:rsid w:val="00B25A8B"/>
    <w:rsid w:val="00B416C6"/>
    <w:rsid w:val="00B42711"/>
    <w:rsid w:val="00B42B49"/>
    <w:rsid w:val="00B62233"/>
    <w:rsid w:val="00B759BD"/>
    <w:rsid w:val="00B84FFC"/>
    <w:rsid w:val="00B901DA"/>
    <w:rsid w:val="00BA0590"/>
    <w:rsid w:val="00BB4900"/>
    <w:rsid w:val="00BC28DF"/>
    <w:rsid w:val="00BC3502"/>
    <w:rsid w:val="00BC543B"/>
    <w:rsid w:val="00BE0AD7"/>
    <w:rsid w:val="00BE3B83"/>
    <w:rsid w:val="00BF3435"/>
    <w:rsid w:val="00BF35FA"/>
    <w:rsid w:val="00BF55BB"/>
    <w:rsid w:val="00C07B0A"/>
    <w:rsid w:val="00C15C7A"/>
    <w:rsid w:val="00C21568"/>
    <w:rsid w:val="00C33DB7"/>
    <w:rsid w:val="00C41C06"/>
    <w:rsid w:val="00C530F7"/>
    <w:rsid w:val="00C56099"/>
    <w:rsid w:val="00C626C8"/>
    <w:rsid w:val="00C71DF7"/>
    <w:rsid w:val="00C8350F"/>
    <w:rsid w:val="00C83B20"/>
    <w:rsid w:val="00C85583"/>
    <w:rsid w:val="00CA4E36"/>
    <w:rsid w:val="00CA6948"/>
    <w:rsid w:val="00CB65B8"/>
    <w:rsid w:val="00CC04E9"/>
    <w:rsid w:val="00CC730C"/>
    <w:rsid w:val="00CD29C9"/>
    <w:rsid w:val="00CD2B96"/>
    <w:rsid w:val="00CD4250"/>
    <w:rsid w:val="00CD6542"/>
    <w:rsid w:val="00D21DD3"/>
    <w:rsid w:val="00D226ED"/>
    <w:rsid w:val="00D33268"/>
    <w:rsid w:val="00D458FB"/>
    <w:rsid w:val="00D67CE0"/>
    <w:rsid w:val="00D955B7"/>
    <w:rsid w:val="00DA071C"/>
    <w:rsid w:val="00DB0B5C"/>
    <w:rsid w:val="00DB6D61"/>
    <w:rsid w:val="00DC62D0"/>
    <w:rsid w:val="00DD0DAE"/>
    <w:rsid w:val="00DD480A"/>
    <w:rsid w:val="00E01B57"/>
    <w:rsid w:val="00E01D2F"/>
    <w:rsid w:val="00E260F8"/>
    <w:rsid w:val="00E46B11"/>
    <w:rsid w:val="00E6473F"/>
    <w:rsid w:val="00E74E92"/>
    <w:rsid w:val="00E75DA5"/>
    <w:rsid w:val="00E8000E"/>
    <w:rsid w:val="00E81E23"/>
    <w:rsid w:val="00E85CAB"/>
    <w:rsid w:val="00EB0FAD"/>
    <w:rsid w:val="00EB2720"/>
    <w:rsid w:val="00EB5669"/>
    <w:rsid w:val="00EB728B"/>
    <w:rsid w:val="00ED7D2B"/>
    <w:rsid w:val="00EE12B6"/>
    <w:rsid w:val="00F0009F"/>
    <w:rsid w:val="00F0044D"/>
    <w:rsid w:val="00F02C91"/>
    <w:rsid w:val="00F1787D"/>
    <w:rsid w:val="00F26A9E"/>
    <w:rsid w:val="00F3123E"/>
    <w:rsid w:val="00F318BF"/>
    <w:rsid w:val="00F47D8E"/>
    <w:rsid w:val="00F5004E"/>
    <w:rsid w:val="00F508BC"/>
    <w:rsid w:val="00F50925"/>
    <w:rsid w:val="00F80F18"/>
    <w:rsid w:val="00F828E3"/>
    <w:rsid w:val="00FA5E24"/>
    <w:rsid w:val="00FB2E9A"/>
    <w:rsid w:val="00FB55DB"/>
    <w:rsid w:val="00FF2430"/>
    <w:rsid w:val="055C132D"/>
    <w:rsid w:val="1602382A"/>
    <w:rsid w:val="189C07F9"/>
    <w:rsid w:val="28AB7D51"/>
    <w:rsid w:val="3FE060DB"/>
    <w:rsid w:val="46D06EA9"/>
    <w:rsid w:val="4AF50DB7"/>
    <w:rsid w:val="4F1556D7"/>
    <w:rsid w:val="578C7E30"/>
    <w:rsid w:val="59F12F67"/>
    <w:rsid w:val="5EF04E55"/>
    <w:rsid w:val="61055507"/>
    <w:rsid w:val="63672428"/>
    <w:rsid w:val="693D3ABD"/>
    <w:rsid w:val="6F767026"/>
    <w:rsid w:val="7D0F444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ind w:firstLine="720"/>
      <w:jc w:val="both"/>
    </w:pPr>
    <w:rPr>
      <w:rFonts w:ascii="Times New Roman" w:hAnsi="Times New Roman" w:eastAsiaTheme="minorHAnsi" w:cstheme="minorBidi"/>
      <w:sz w:val="24"/>
      <w:szCs w:val="22"/>
      <w:lang w:val="en-GB" w:eastAsia="en-US" w:bidi="ar-SA"/>
    </w:rPr>
  </w:style>
  <w:style w:type="paragraph" w:styleId="2">
    <w:name w:val="heading 1"/>
    <w:basedOn w:val="1"/>
    <w:next w:val="1"/>
    <w:link w:val="12"/>
    <w:qFormat/>
    <w:uiPriority w:val="9"/>
    <w:pPr>
      <w:keepNext/>
      <w:keepLines/>
      <w:spacing w:before="480" w:line="240" w:lineRule="auto"/>
      <w:jc w:val="left"/>
      <w:outlineLvl w:val="0"/>
    </w:pPr>
    <w:rPr>
      <w:rFonts w:asciiTheme="majorHAnsi" w:hAnsiTheme="majorHAnsi" w:eastAsiaTheme="majorEastAsia" w:cstheme="majorBidi"/>
      <w:b/>
      <w:bCs/>
      <w:color w:val="376092" w:themeColor="accent1" w:themeShade="BF"/>
      <w:sz w:val="28"/>
      <w:szCs w:val="28"/>
      <w:lang w:val="en-US" w:eastAsia="ja-JP"/>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7"/>
    <w:semiHidden/>
    <w:unhideWhenUsed/>
    <w:qFormat/>
    <w:uiPriority w:val="99"/>
    <w:pPr>
      <w:spacing w:line="240" w:lineRule="auto"/>
    </w:pPr>
    <w:rPr>
      <w:sz w:val="20"/>
      <w:szCs w:val="20"/>
    </w:rPr>
  </w:style>
  <w:style w:type="paragraph" w:styleId="4">
    <w:name w:val="Balloon Text"/>
    <w:basedOn w:val="1"/>
    <w:link w:val="13"/>
    <w:semiHidden/>
    <w:unhideWhenUsed/>
    <w:qFormat/>
    <w:uiPriority w:val="99"/>
    <w:pPr>
      <w:spacing w:line="240" w:lineRule="auto"/>
      <w:jc w:val="left"/>
    </w:pPr>
    <w:rPr>
      <w:rFonts w:ascii="Tahoma" w:hAnsi="Tahoma" w:cs="Tahoma"/>
      <w:sz w:val="16"/>
      <w:szCs w:val="16"/>
    </w:rPr>
  </w:style>
  <w:style w:type="paragraph" w:styleId="5">
    <w:name w:val="footer"/>
    <w:basedOn w:val="1"/>
    <w:link w:val="15"/>
    <w:unhideWhenUsed/>
    <w:qFormat/>
    <w:uiPriority w:val="99"/>
    <w:pPr>
      <w:tabs>
        <w:tab w:val="center" w:pos="4513"/>
        <w:tab w:val="right" w:pos="9026"/>
      </w:tabs>
      <w:spacing w:line="240" w:lineRule="auto"/>
    </w:pPr>
  </w:style>
  <w:style w:type="paragraph" w:styleId="6">
    <w:name w:val="header"/>
    <w:basedOn w:val="1"/>
    <w:link w:val="14"/>
    <w:unhideWhenUsed/>
    <w:qFormat/>
    <w:uiPriority w:val="99"/>
    <w:pPr>
      <w:tabs>
        <w:tab w:val="center" w:pos="4513"/>
        <w:tab w:val="right" w:pos="9026"/>
      </w:tabs>
      <w:spacing w:line="240" w:lineRule="auto"/>
    </w:pPr>
  </w:style>
  <w:style w:type="paragraph" w:styleId="7">
    <w:name w:val="annotation subject"/>
    <w:basedOn w:val="3"/>
    <w:next w:val="3"/>
    <w:link w:val="18"/>
    <w:semiHidden/>
    <w:unhideWhenUsed/>
    <w:qFormat/>
    <w:uiPriority w:val="99"/>
    <w:rPr>
      <w:b/>
      <w:bCs/>
    </w:rPr>
  </w:style>
  <w:style w:type="character" w:styleId="10">
    <w:name w:val="Hyperlink"/>
    <w:basedOn w:val="9"/>
    <w:unhideWhenUsed/>
    <w:qFormat/>
    <w:uiPriority w:val="99"/>
    <w:rPr>
      <w:color w:val="0000FF" w:themeColor="hyperlink"/>
      <w:u w:val="single"/>
      <w14:textFill>
        <w14:solidFill>
          <w14:schemeClr w14:val="hlink"/>
        </w14:solidFill>
      </w14:textFill>
    </w:rPr>
  </w:style>
  <w:style w:type="character" w:styleId="11">
    <w:name w:val="annotation reference"/>
    <w:basedOn w:val="9"/>
    <w:semiHidden/>
    <w:unhideWhenUsed/>
    <w:qFormat/>
    <w:uiPriority w:val="99"/>
    <w:rPr>
      <w:sz w:val="16"/>
      <w:szCs w:val="16"/>
    </w:rPr>
  </w:style>
  <w:style w:type="character" w:customStyle="1" w:styleId="12">
    <w:name w:val="Heading 1 Char"/>
    <w:basedOn w:val="9"/>
    <w:link w:val="2"/>
    <w:qFormat/>
    <w:uiPriority w:val="9"/>
    <w:rPr>
      <w:rFonts w:asciiTheme="majorHAnsi" w:hAnsiTheme="majorHAnsi" w:eastAsiaTheme="majorEastAsia" w:cstheme="majorBidi"/>
      <w:b/>
      <w:bCs/>
      <w:color w:val="376092" w:themeColor="accent1" w:themeShade="BF"/>
      <w:sz w:val="28"/>
      <w:szCs w:val="28"/>
      <w:lang w:val="en-US" w:eastAsia="ja-JP"/>
    </w:rPr>
  </w:style>
  <w:style w:type="character" w:customStyle="1" w:styleId="13">
    <w:name w:val="Balloon Text Char"/>
    <w:basedOn w:val="9"/>
    <w:link w:val="4"/>
    <w:semiHidden/>
    <w:qFormat/>
    <w:uiPriority w:val="99"/>
    <w:rPr>
      <w:rFonts w:ascii="Tahoma" w:hAnsi="Tahoma" w:cs="Tahoma"/>
      <w:sz w:val="16"/>
      <w:szCs w:val="16"/>
    </w:rPr>
  </w:style>
  <w:style w:type="character" w:customStyle="1" w:styleId="14">
    <w:name w:val="Header Char"/>
    <w:basedOn w:val="9"/>
    <w:link w:val="6"/>
    <w:qFormat/>
    <w:uiPriority w:val="99"/>
  </w:style>
  <w:style w:type="character" w:customStyle="1" w:styleId="15">
    <w:name w:val="Footer Char"/>
    <w:basedOn w:val="9"/>
    <w:link w:val="5"/>
    <w:qFormat/>
    <w:uiPriority w:val="99"/>
  </w:style>
  <w:style w:type="paragraph" w:styleId="16">
    <w:name w:val="List Paragraph"/>
    <w:basedOn w:val="1"/>
    <w:qFormat/>
    <w:uiPriority w:val="34"/>
    <w:pPr>
      <w:ind w:left="720"/>
      <w:contextualSpacing/>
    </w:pPr>
  </w:style>
  <w:style w:type="character" w:customStyle="1" w:styleId="17">
    <w:name w:val="Comment Text Char"/>
    <w:basedOn w:val="9"/>
    <w:link w:val="3"/>
    <w:semiHidden/>
    <w:qFormat/>
    <w:uiPriority w:val="99"/>
    <w:rPr>
      <w:sz w:val="20"/>
      <w:szCs w:val="20"/>
    </w:rPr>
  </w:style>
  <w:style w:type="character" w:customStyle="1" w:styleId="18">
    <w:name w:val="Comment Subject Char"/>
    <w:basedOn w:val="17"/>
    <w:link w:val="7"/>
    <w:semiHidden/>
    <w:qFormat/>
    <w:uiPriority w:val="99"/>
    <w:rPr>
      <w:b/>
      <w:bCs/>
      <w:sz w:val="20"/>
      <w:szCs w:val="20"/>
    </w:rPr>
  </w:style>
  <w:style w:type="paragraph" w:customStyle="1" w:styleId="19">
    <w:name w:val="Revision"/>
    <w:hidden/>
    <w:semiHidden/>
    <w:qFormat/>
    <w:uiPriority w:val="99"/>
    <w:pPr>
      <w:spacing w:line="240" w:lineRule="auto"/>
      <w:ind w:firstLine="0"/>
      <w:jc w:val="left"/>
    </w:pPr>
    <w:rPr>
      <w:rFonts w:ascii="Times New Roman" w:hAnsi="Times New Roman" w:eastAsiaTheme="minorHAnsi" w:cstheme="minorBidi"/>
      <w:sz w:val="24"/>
      <w:szCs w:val="22"/>
      <w:lang w:val="en-GB"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DE519-F171-4FB5-9D7A-C4B40B91FFF1}">
  <ds:schemaRefs/>
</ds:datastoreItem>
</file>

<file path=docProps/app.xml><?xml version="1.0" encoding="utf-8"?>
<Properties xmlns="http://schemas.openxmlformats.org/officeDocument/2006/extended-properties" xmlns:vt="http://schemas.openxmlformats.org/officeDocument/2006/docPropsVTypes">
  <Template>Normal</Template>
  <Pages>6</Pages>
  <Words>1261</Words>
  <Characters>7551</Characters>
  <Lines>65</Lines>
  <Paragraphs>18</Paragraphs>
  <TotalTime>1</TotalTime>
  <ScaleCrop>false</ScaleCrop>
  <LinksUpToDate>false</LinksUpToDate>
  <CharactersWithSpaces>8781</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2023-04-05T14:39:00Z</dcterms:created>
  <dc:creator>31823</dc:creator>
  <cp:lastModifiedBy>J.PENG</cp:lastModifiedBy>
  <dcterms:modified xsi:type="dcterms:W3CDTF">2023-04-25T08:10:45Z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283D5056F0EE4615A95C0D43947519CA</vt:lpwstr>
  </property>
</Properties>
</file>