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B7279" w14:textId="77777777" w:rsidR="003323A1" w:rsidRDefault="003323A1" w:rsidP="003323A1">
      <w:pPr>
        <w:pStyle w:val="font-claude-response-body"/>
        <w:jc w:val="center"/>
        <w:rPr>
          <w:b/>
          <w:bCs/>
          <w:sz w:val="28"/>
          <w:szCs w:val="28"/>
        </w:rPr>
      </w:pPr>
    </w:p>
    <w:p w14:paraId="4BA186DF" w14:textId="77777777" w:rsidR="003323A1" w:rsidRDefault="003323A1" w:rsidP="003323A1">
      <w:pPr>
        <w:pStyle w:val="font-claude-response-body"/>
        <w:jc w:val="center"/>
        <w:rPr>
          <w:b/>
          <w:bCs/>
          <w:sz w:val="28"/>
          <w:szCs w:val="28"/>
        </w:rPr>
      </w:pPr>
    </w:p>
    <w:p w14:paraId="73FCD090" w14:textId="77777777" w:rsidR="003323A1" w:rsidRDefault="003323A1" w:rsidP="003323A1">
      <w:pPr>
        <w:pStyle w:val="font-claude-response-body"/>
        <w:jc w:val="center"/>
        <w:rPr>
          <w:b/>
          <w:bCs/>
          <w:sz w:val="28"/>
          <w:szCs w:val="28"/>
        </w:rPr>
      </w:pPr>
    </w:p>
    <w:p w14:paraId="7FF9CACC" w14:textId="76C122C3" w:rsidR="003323A1" w:rsidRDefault="003323A1" w:rsidP="003323A1">
      <w:pPr>
        <w:pStyle w:val="font-claude-response-body"/>
        <w:jc w:val="center"/>
        <w:rPr>
          <w:b/>
          <w:bCs/>
          <w:sz w:val="28"/>
          <w:szCs w:val="28"/>
        </w:rPr>
      </w:pPr>
      <w:r w:rsidRPr="003323A1">
        <w:rPr>
          <w:b/>
          <w:bCs/>
          <w:sz w:val="28"/>
          <w:szCs w:val="28"/>
        </w:rPr>
        <w:drawing>
          <wp:inline distT="0" distB="0" distL="0" distR="0" wp14:anchorId="6A5F7BF7" wp14:editId="6C2394F6">
            <wp:extent cx="1943268" cy="998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43268" cy="998307"/>
                    </a:xfrm>
                    <a:prstGeom prst="rect">
                      <a:avLst/>
                    </a:prstGeom>
                  </pic:spPr>
                </pic:pic>
              </a:graphicData>
            </a:graphic>
          </wp:inline>
        </w:drawing>
      </w:r>
    </w:p>
    <w:p w14:paraId="0C2B1AC7" w14:textId="77777777" w:rsidR="003323A1" w:rsidRDefault="003323A1" w:rsidP="003323A1">
      <w:pPr>
        <w:pStyle w:val="font-claude-response-body"/>
        <w:jc w:val="center"/>
        <w:rPr>
          <w:b/>
          <w:bCs/>
          <w:sz w:val="28"/>
          <w:szCs w:val="28"/>
        </w:rPr>
      </w:pPr>
    </w:p>
    <w:p w14:paraId="0ED73894" w14:textId="6562AC3F" w:rsidR="003323A1" w:rsidRDefault="003323A1" w:rsidP="003323A1">
      <w:pPr>
        <w:pStyle w:val="font-claude-response-body"/>
        <w:jc w:val="center"/>
        <w:rPr>
          <w:b/>
          <w:bCs/>
          <w:sz w:val="28"/>
          <w:szCs w:val="28"/>
        </w:rPr>
      </w:pPr>
    </w:p>
    <w:p w14:paraId="6ABD6F05" w14:textId="3D7A0A57" w:rsidR="003323A1" w:rsidRDefault="003323A1" w:rsidP="003323A1">
      <w:pPr>
        <w:pStyle w:val="font-claude-response-body"/>
        <w:spacing w:line="360" w:lineRule="auto"/>
        <w:jc w:val="center"/>
        <w:rPr>
          <w:b/>
          <w:bCs/>
          <w:sz w:val="28"/>
          <w:szCs w:val="28"/>
        </w:rPr>
      </w:pPr>
      <w:r w:rsidRPr="003323A1">
        <w:rPr>
          <w:b/>
          <w:bCs/>
          <w:sz w:val="28"/>
          <w:szCs w:val="28"/>
        </w:rPr>
        <w:t>Reflecting on the Principles of Health and Social Care Practice: Person-Centred Care, Partnership Working and Ethics in the UK Context</w:t>
      </w:r>
    </w:p>
    <w:p w14:paraId="2B96C5A7" w14:textId="77777777" w:rsidR="003323A1" w:rsidRDefault="003323A1" w:rsidP="003323A1">
      <w:pPr>
        <w:pStyle w:val="font-claude-response-body"/>
        <w:spacing w:line="360" w:lineRule="auto"/>
        <w:jc w:val="center"/>
        <w:rPr>
          <w:b/>
          <w:bCs/>
          <w:sz w:val="28"/>
          <w:szCs w:val="28"/>
        </w:rPr>
      </w:pPr>
      <w:r w:rsidRPr="003323A1">
        <w:rPr>
          <w:rStyle w:val="Strong"/>
          <w:rFonts w:eastAsia="Calibri"/>
          <w:sz w:val="28"/>
          <w:szCs w:val="28"/>
        </w:rPr>
        <w:t>Student Name:</w:t>
      </w:r>
      <w:r w:rsidRPr="003323A1">
        <w:rPr>
          <w:b/>
          <w:bCs/>
          <w:sz w:val="28"/>
          <w:szCs w:val="28"/>
        </w:rPr>
        <w:t xml:space="preserve"> </w:t>
      </w:r>
      <w:r w:rsidRPr="003323A1">
        <w:rPr>
          <w:b/>
          <w:bCs/>
          <w:sz w:val="28"/>
          <w:szCs w:val="28"/>
        </w:rPr>
        <w:br/>
      </w:r>
      <w:r w:rsidRPr="003323A1">
        <w:rPr>
          <w:rStyle w:val="Strong"/>
          <w:rFonts w:eastAsia="Calibri"/>
          <w:sz w:val="28"/>
          <w:szCs w:val="28"/>
        </w:rPr>
        <w:t>Student Number:</w:t>
      </w:r>
      <w:r w:rsidRPr="003323A1">
        <w:rPr>
          <w:b/>
          <w:bCs/>
          <w:sz w:val="28"/>
          <w:szCs w:val="28"/>
        </w:rPr>
        <w:t xml:space="preserve"> </w:t>
      </w:r>
    </w:p>
    <w:p w14:paraId="1AD90265" w14:textId="39B9E519" w:rsidR="003323A1" w:rsidRPr="003323A1" w:rsidRDefault="003323A1" w:rsidP="003323A1">
      <w:pPr>
        <w:pStyle w:val="font-claude-response-body"/>
        <w:spacing w:line="360" w:lineRule="auto"/>
        <w:jc w:val="center"/>
        <w:rPr>
          <w:b/>
          <w:bCs/>
          <w:sz w:val="28"/>
          <w:szCs w:val="28"/>
        </w:rPr>
      </w:pPr>
      <w:r w:rsidRPr="003323A1">
        <w:rPr>
          <w:b/>
          <w:bCs/>
          <w:sz w:val="28"/>
          <w:szCs w:val="28"/>
        </w:rPr>
        <w:t xml:space="preserve">Module Code: </w:t>
      </w:r>
      <w:r w:rsidRPr="003323A1">
        <w:rPr>
          <w:sz w:val="28"/>
          <w:szCs w:val="28"/>
        </w:rPr>
        <w:t>BMHP5016</w:t>
      </w:r>
      <w:r w:rsidRPr="003323A1">
        <w:rPr>
          <w:b/>
          <w:bCs/>
          <w:sz w:val="28"/>
          <w:szCs w:val="28"/>
        </w:rPr>
        <w:br/>
        <w:t xml:space="preserve">Module Title: </w:t>
      </w:r>
      <w:r w:rsidRPr="003323A1">
        <w:rPr>
          <w:sz w:val="28"/>
          <w:szCs w:val="28"/>
        </w:rPr>
        <w:t>Principles of Health and Social Care Practice</w:t>
      </w:r>
    </w:p>
    <w:p w14:paraId="246D7F78" w14:textId="77777777" w:rsidR="003323A1" w:rsidRDefault="003323A1">
      <w:pPr>
        <w:spacing w:after="160" w:line="259" w:lineRule="auto"/>
        <w:jc w:val="left"/>
      </w:pPr>
      <w:r w:rsidRPr="003323A1">
        <w:br w:type="page"/>
      </w:r>
    </w:p>
    <w:sdt>
      <w:sdtPr>
        <w:id w:val="801118450"/>
        <w:docPartObj>
          <w:docPartGallery w:val="Table of Contents"/>
          <w:docPartUnique/>
        </w:docPartObj>
      </w:sdtPr>
      <w:sdtEndPr>
        <w:rPr>
          <w:rFonts w:ascii="Times New Roman" w:eastAsia="Arial" w:hAnsi="Times New Roman" w:cs="Arial"/>
          <w:b/>
          <w:bCs/>
          <w:noProof/>
          <w:color w:val="000000" w:themeColor="text1"/>
          <w:sz w:val="24"/>
          <w:szCs w:val="24"/>
          <w:lang w:val="en-IN" w:eastAsia="en-IN"/>
        </w:rPr>
      </w:sdtEndPr>
      <w:sdtContent>
        <w:p w14:paraId="17BFE3E8" w14:textId="013E7AB4" w:rsidR="003323A1" w:rsidRDefault="003323A1" w:rsidP="003323A1">
          <w:pPr>
            <w:pStyle w:val="TOCHeading"/>
            <w:jc w:val="center"/>
            <w:rPr>
              <w:rFonts w:ascii="Times New Roman" w:hAnsi="Times New Roman" w:cs="Times New Roman"/>
              <w:b/>
              <w:bCs/>
              <w:color w:val="000000" w:themeColor="text1"/>
              <w:sz w:val="28"/>
              <w:szCs w:val="28"/>
            </w:rPr>
          </w:pPr>
          <w:r w:rsidRPr="003323A1">
            <w:rPr>
              <w:rFonts w:ascii="Times New Roman" w:hAnsi="Times New Roman" w:cs="Times New Roman"/>
              <w:b/>
              <w:bCs/>
              <w:color w:val="000000" w:themeColor="text1"/>
              <w:sz w:val="28"/>
              <w:szCs w:val="28"/>
            </w:rPr>
            <w:t>Table of Contents</w:t>
          </w:r>
        </w:p>
        <w:p w14:paraId="54F5FBCB" w14:textId="77777777" w:rsidR="003323A1" w:rsidRPr="003323A1" w:rsidRDefault="003323A1" w:rsidP="003323A1">
          <w:pPr>
            <w:rPr>
              <w:lang w:val="en-US" w:eastAsia="en-US"/>
            </w:rPr>
          </w:pPr>
        </w:p>
        <w:p w14:paraId="788DFBF4" w14:textId="32F83CB7" w:rsidR="00D11FCA" w:rsidRDefault="003323A1">
          <w:pPr>
            <w:pStyle w:val="TOC1"/>
            <w:tabs>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233206177" w:history="1">
            <w:r w:rsidR="00D11FCA" w:rsidRPr="0016326C">
              <w:rPr>
                <w:rStyle w:val="Hyperlink"/>
                <w:noProof/>
              </w:rPr>
              <w:t>Task 1: Reflection on the Importance of Principles of Health and Social Care</w:t>
            </w:r>
            <w:r w:rsidR="00D11FCA">
              <w:rPr>
                <w:noProof/>
                <w:webHidden/>
              </w:rPr>
              <w:tab/>
            </w:r>
            <w:r w:rsidR="00D11FCA">
              <w:rPr>
                <w:noProof/>
                <w:webHidden/>
              </w:rPr>
              <w:fldChar w:fldCharType="begin"/>
            </w:r>
            <w:r w:rsidR="00D11FCA">
              <w:rPr>
                <w:noProof/>
                <w:webHidden/>
              </w:rPr>
              <w:instrText xml:space="preserve"> PAGEREF _Toc233206177 \h </w:instrText>
            </w:r>
            <w:r w:rsidR="00D11FCA">
              <w:rPr>
                <w:noProof/>
                <w:webHidden/>
              </w:rPr>
            </w:r>
            <w:r w:rsidR="00D11FCA">
              <w:rPr>
                <w:noProof/>
                <w:webHidden/>
              </w:rPr>
              <w:fldChar w:fldCharType="separate"/>
            </w:r>
            <w:r w:rsidR="00D11FCA">
              <w:rPr>
                <w:noProof/>
                <w:webHidden/>
              </w:rPr>
              <w:t>3</w:t>
            </w:r>
            <w:r w:rsidR="00D11FCA">
              <w:rPr>
                <w:noProof/>
                <w:webHidden/>
              </w:rPr>
              <w:fldChar w:fldCharType="end"/>
            </w:r>
          </w:hyperlink>
        </w:p>
        <w:p w14:paraId="7A07B5B9" w14:textId="0BB61CC0"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78" w:history="1">
            <w:r w:rsidRPr="0016326C">
              <w:rPr>
                <w:rStyle w:val="Hyperlink"/>
                <w:noProof/>
              </w:rPr>
              <w:t>Task 2: Practical Examples of Concepts in Practice– Case Study 1: Diabetes Management in a UK GP Surgery</w:t>
            </w:r>
            <w:r>
              <w:rPr>
                <w:noProof/>
                <w:webHidden/>
              </w:rPr>
              <w:tab/>
            </w:r>
            <w:r>
              <w:rPr>
                <w:noProof/>
                <w:webHidden/>
              </w:rPr>
              <w:fldChar w:fldCharType="begin"/>
            </w:r>
            <w:r>
              <w:rPr>
                <w:noProof/>
                <w:webHidden/>
              </w:rPr>
              <w:instrText xml:space="preserve"> PAGEREF _Toc233206178 \h </w:instrText>
            </w:r>
            <w:r>
              <w:rPr>
                <w:noProof/>
                <w:webHidden/>
              </w:rPr>
            </w:r>
            <w:r>
              <w:rPr>
                <w:noProof/>
                <w:webHidden/>
              </w:rPr>
              <w:fldChar w:fldCharType="separate"/>
            </w:r>
            <w:r>
              <w:rPr>
                <w:noProof/>
                <w:webHidden/>
              </w:rPr>
              <w:t>4</w:t>
            </w:r>
            <w:r>
              <w:rPr>
                <w:noProof/>
                <w:webHidden/>
              </w:rPr>
              <w:fldChar w:fldCharType="end"/>
            </w:r>
          </w:hyperlink>
        </w:p>
        <w:p w14:paraId="14D3849A" w14:textId="24471AA2"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79" w:history="1">
            <w:r w:rsidRPr="0016326C">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_Toc233206179 \h </w:instrText>
            </w:r>
            <w:r>
              <w:rPr>
                <w:noProof/>
                <w:webHidden/>
              </w:rPr>
            </w:r>
            <w:r>
              <w:rPr>
                <w:noProof/>
                <w:webHidden/>
              </w:rPr>
              <w:fldChar w:fldCharType="separate"/>
            </w:r>
            <w:r>
              <w:rPr>
                <w:noProof/>
                <w:webHidden/>
              </w:rPr>
              <w:t>5</w:t>
            </w:r>
            <w:r>
              <w:rPr>
                <w:noProof/>
                <w:webHidden/>
              </w:rPr>
              <w:fldChar w:fldCharType="end"/>
            </w:r>
          </w:hyperlink>
        </w:p>
        <w:p w14:paraId="1192CE4E" w14:textId="36B183CB"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80" w:history="1">
            <w:r w:rsidRPr="0016326C">
              <w:rPr>
                <w:rStyle w:val="Hyperlink"/>
                <w:noProof/>
              </w:rPr>
              <w:t>References</w:t>
            </w:r>
            <w:r>
              <w:rPr>
                <w:noProof/>
                <w:webHidden/>
              </w:rPr>
              <w:tab/>
            </w:r>
            <w:r>
              <w:rPr>
                <w:noProof/>
                <w:webHidden/>
              </w:rPr>
              <w:fldChar w:fldCharType="begin"/>
            </w:r>
            <w:r>
              <w:rPr>
                <w:noProof/>
                <w:webHidden/>
              </w:rPr>
              <w:instrText xml:space="preserve"> PAGEREF _Toc233206180 \h </w:instrText>
            </w:r>
            <w:r>
              <w:rPr>
                <w:noProof/>
                <w:webHidden/>
              </w:rPr>
            </w:r>
            <w:r>
              <w:rPr>
                <w:noProof/>
                <w:webHidden/>
              </w:rPr>
              <w:fldChar w:fldCharType="separate"/>
            </w:r>
            <w:r>
              <w:rPr>
                <w:noProof/>
                <w:webHidden/>
              </w:rPr>
              <w:t>8</w:t>
            </w:r>
            <w:r>
              <w:rPr>
                <w:noProof/>
                <w:webHidden/>
              </w:rPr>
              <w:fldChar w:fldCharType="end"/>
            </w:r>
          </w:hyperlink>
        </w:p>
        <w:p w14:paraId="3796EF6F" w14:textId="48014F51" w:rsidR="003323A1" w:rsidRDefault="003323A1">
          <w:r>
            <w:rPr>
              <w:b/>
              <w:bCs/>
              <w:noProof/>
            </w:rPr>
            <w:fldChar w:fldCharType="end"/>
          </w:r>
        </w:p>
      </w:sdtContent>
    </w:sdt>
    <w:p w14:paraId="72DCC843" w14:textId="03F3360F" w:rsidR="003323A1" w:rsidRDefault="003323A1">
      <w:pPr>
        <w:spacing w:after="160" w:line="259" w:lineRule="auto"/>
        <w:jc w:val="left"/>
      </w:pPr>
      <w:r>
        <w:br w:type="page"/>
      </w:r>
    </w:p>
    <w:p w14:paraId="01B46607" w14:textId="005909E2" w:rsidR="00BD1E72" w:rsidRDefault="00BD1E72" w:rsidP="000E58F7">
      <w:pPr>
        <w:pStyle w:val="Heading1"/>
      </w:pPr>
      <w:bookmarkStart w:id="0" w:name="_Toc233206177"/>
      <w:r>
        <w:lastRenderedPageBreak/>
        <w:t>Task 1: Reflection on the Importance of Principles of Health and Social Care</w:t>
      </w:r>
      <w:bookmarkEnd w:id="0"/>
    </w:p>
    <w:p w14:paraId="29DD50DD" w14:textId="28EC0624" w:rsidR="008F6868" w:rsidRPr="008F6868" w:rsidRDefault="008F6868" w:rsidP="00DA21B7">
      <w:r w:rsidRPr="008F6868">
        <w:t>Person-centred care, partnership working and ethics are the pillars of all high-quality health and social care in the UK. They allow care professionals to provide safe, effective and dignified care in a system which is becoming more complex and integrated.</w:t>
      </w:r>
    </w:p>
    <w:p w14:paraId="3F2F3365" w14:textId="77777777" w:rsidR="008F6868" w:rsidRPr="008F6868" w:rsidRDefault="008F6868" w:rsidP="00DA21B7">
      <w:r w:rsidRPr="008F6868">
        <w:t>Person-centred care means that the service user is the focal point of care decisions and is treated as an equal partner, not as a passive care recipient (Kelsall-Knight and Stevens, 2024). This care philosophy is a component of the professional duty of nurses and nursing associates in the UK to “prioritise people” in the Nursing and Midwifery Council Code (NMC, 2018). According to Hodge et al. (2024), person-centred care is a way of enhancing the quality of life and dignity and improving outcomes in care settings in the UK, especially for people who live with long-term conditions. To achieve genuine person-centred care, a culture of the organization must be changed. This takes time and skilled communication. Otherwise, it is easy for care to become task-focused.</w:t>
      </w:r>
    </w:p>
    <w:p w14:paraId="1BAC3E20" w14:textId="77777777" w:rsidR="008F6868" w:rsidRPr="008F6868" w:rsidRDefault="008F6868" w:rsidP="00DA21B7">
      <w:r w:rsidRPr="008F6868">
        <w:t xml:space="preserve">Equally complementary to the areas of focus following the Health and Care Act 2022, which formally introduced Integrated Care Systems (ICSs) across England (Thomson and Chatterjee, 2024), is partnership working. This includes the NHS, Local Authorities, voluntary organisations, patients, and families, and assists in the continuity of care and fragmentation of services. </w:t>
      </w:r>
      <w:proofErr w:type="spellStart"/>
      <w:r w:rsidRPr="008F6868">
        <w:t>Hayhoe</w:t>
      </w:r>
      <w:proofErr w:type="spellEnd"/>
      <w:r w:rsidRPr="008F6868">
        <w:t xml:space="preserve"> (2025) indicates that in order for multidisciplinary team (MDT) working in UK health and social care to be effective, there must be a foundation of equal skills, and that members must be respectful and clear in communicating with members of other professions. Integration policy has advanced significantly, yet Thomson and Chatterjee (2024) highlight the persistent gaps between policy and delivery in structural, cultural, and financial partnership working barriers.</w:t>
      </w:r>
    </w:p>
    <w:p w14:paraId="32F47DD4" w14:textId="77777777" w:rsidR="008F6868" w:rsidRPr="008F6868" w:rsidRDefault="008F6868" w:rsidP="00DA21B7">
      <w:r w:rsidRPr="008F6868">
        <w:t>The care decisions of all professionals have a moral component, and ethics always underpin the care decision. In everyday professional practice, the four principles of the biomedical ethics - autonomy, beneficence, non-maleficence, and justice - serve as guiding considerations (</w:t>
      </w:r>
      <w:proofErr w:type="spellStart"/>
      <w:r w:rsidRPr="008F6868">
        <w:t>Cheraghi</w:t>
      </w:r>
      <w:proofErr w:type="spellEnd"/>
      <w:r w:rsidRPr="008F6868">
        <w:t xml:space="preserve"> et al., 2023). The principle of autonomy concerns a patient's right to self-determination, as well as the morally right act of providing the patient with all pertinent information, and the patient having the right to a private and confidential relationship with the healthcare provider. For nurses, care-related ethical dilemmas often arise when there is a dilemma between autonomy and beneficence (Hassan et al., 2025). For guidance in these </w:t>
      </w:r>
      <w:r w:rsidRPr="008F6868">
        <w:lastRenderedPageBreak/>
        <w:t>situations, nurses refer to professional documents such as the NMC Code (NMC, 2018). These care ethics principles guarantee care that is accountable and evident to and for the patient.</w:t>
      </w:r>
    </w:p>
    <w:p w14:paraId="5A418064" w14:textId="77777777" w:rsidR="008F6868" w:rsidRDefault="008F6868" w:rsidP="00DA21B7">
      <w:r w:rsidRPr="008F6868">
        <w:t>These principles work together. For example, person-centred care is only available where there is ethical consideration of autonomy, partnership working results in ethically based holistic care, and professional regulation strengthens all three. Integrating these principles is fundamental to providing care of the highest standards that is expected within UK health and social care practice.</w:t>
      </w:r>
    </w:p>
    <w:p w14:paraId="71EB5010" w14:textId="0EEE2BEF" w:rsidR="008F6868" w:rsidRPr="008F6868" w:rsidRDefault="008F6868" w:rsidP="00DA21B7">
      <w:pPr>
        <w:pStyle w:val="Heading1"/>
      </w:pPr>
      <w:bookmarkStart w:id="1" w:name="_Toc233206178"/>
      <w:r w:rsidRPr="008F6868">
        <w:t xml:space="preserve">Task 2: </w:t>
      </w:r>
      <w:r w:rsidR="00D11FCA">
        <w:t>Practical Examples of Concepts in Practice</w:t>
      </w:r>
      <w:r w:rsidRPr="008F6868">
        <w:t>– Case Study 1: Diabetes Management in a UK GP Surgery</w:t>
      </w:r>
      <w:bookmarkEnd w:id="1"/>
    </w:p>
    <w:p w14:paraId="114B4F47" w14:textId="77777777" w:rsidR="008F6868" w:rsidRPr="008F6868" w:rsidRDefault="008F6868" w:rsidP="008F6868">
      <w:r w:rsidRPr="008F6868">
        <w:t xml:space="preserve">Case Study 1 focuses on a practice nurse in a UK GP Surgery who supports patients with Type 2 Diabetes (T2D). This includes patients who want to learn more about T2D, monitor their blood sugar, and tackle smoking, diet, exercise, and other lifestyle issues. This case study provides the opportunity to </w:t>
      </w:r>
      <w:proofErr w:type="spellStart"/>
      <w:r w:rsidRPr="008F6868">
        <w:t>analyze</w:t>
      </w:r>
      <w:proofErr w:type="spellEnd"/>
      <w:r w:rsidRPr="008F6868">
        <w:t xml:space="preserve"> person-</w:t>
      </w:r>
      <w:proofErr w:type="spellStart"/>
      <w:r w:rsidRPr="008F6868">
        <w:t>centered</w:t>
      </w:r>
      <w:proofErr w:type="spellEnd"/>
      <w:r w:rsidRPr="008F6868">
        <w:t xml:space="preserve"> care, partnership working, and ethics in UK primary care.</w:t>
      </w:r>
    </w:p>
    <w:p w14:paraId="0BD81DBD" w14:textId="77777777" w:rsidR="008F6868" w:rsidRPr="008F6868" w:rsidRDefault="008F6868" w:rsidP="008F6868">
      <w:r w:rsidRPr="008F6868">
        <w:t>The nurse’s understanding of the relationship between lifestyle, culture, and health literacy in the tailoring of education demonstrates the need for person-</w:t>
      </w:r>
      <w:proofErr w:type="spellStart"/>
      <w:r w:rsidRPr="008F6868">
        <w:t>centered</w:t>
      </w:r>
      <w:proofErr w:type="spellEnd"/>
      <w:r w:rsidRPr="008F6868">
        <w:t xml:space="preserve"> care. There is no one way of experiencing T2D (Kelsall-Knight and Stevens, 2024). The need to empower and promote the self-management of T2D is a vital element of effective diabetes care. </w:t>
      </w:r>
      <w:proofErr w:type="spellStart"/>
      <w:r w:rsidRPr="008F6868">
        <w:t>Seidu</w:t>
      </w:r>
      <w:proofErr w:type="spellEnd"/>
      <w:r w:rsidRPr="008F6868">
        <w:t xml:space="preserve"> et al. (2024) cited the need for person-</w:t>
      </w:r>
      <w:proofErr w:type="spellStart"/>
      <w:r w:rsidRPr="008F6868">
        <w:t>centered</w:t>
      </w:r>
      <w:proofErr w:type="spellEnd"/>
      <w:r w:rsidRPr="008F6868">
        <w:t xml:space="preserve"> approaches that tackle the individual in the UK primary care setting in order to gain optimal </w:t>
      </w:r>
      <w:proofErr w:type="spellStart"/>
      <w:r w:rsidRPr="008F6868">
        <w:t>glycemic</w:t>
      </w:r>
      <w:proofErr w:type="spellEnd"/>
      <w:r w:rsidRPr="008F6868">
        <w:t xml:space="preserve"> control and to minimize the risk of long-term complications. This is echoed in the work of Hodge et al. (2024). The nurse also extends her cooperation beyond instruction and achieves a high degree of patient confidence and care plan engagement.</w:t>
      </w:r>
    </w:p>
    <w:p w14:paraId="0AB05D84" w14:textId="77777777" w:rsidR="008F6868" w:rsidRPr="008F6868" w:rsidRDefault="008F6868" w:rsidP="008F6868">
      <w:r w:rsidRPr="008F6868">
        <w:t>The multidisciplinary team for diabetes care consists of the GP, practice nurse, dietitian, podiatrist, diabetes specialist nurse, and family members (</w:t>
      </w:r>
      <w:proofErr w:type="spellStart"/>
      <w:r w:rsidRPr="008F6868">
        <w:t>Hayhoe</w:t>
      </w:r>
      <w:proofErr w:type="spellEnd"/>
      <w:r w:rsidRPr="008F6868">
        <w:t>, 2025). Examples of partnership working can be found in the NHS Healthy Living digital self-management program. This program provides support outside the clinic, giving patients education and peer support (Brunton, Cotterill and Wilson, 2024). Integration of care systems aims to provide networks which offer care that is comprehensive and as accessible as possible, especially to patients with long-term conditions (Thomson and Chatterjee, 2024). The integration of care systems within the UK is a most welcome occurrence for patients with long-term conditions as it offers joined-up, holistic, and easily accessible care.</w:t>
      </w:r>
    </w:p>
    <w:p w14:paraId="42821653" w14:textId="77777777" w:rsidR="008F6868" w:rsidRPr="008F6868" w:rsidRDefault="008F6868" w:rsidP="008F6868">
      <w:r w:rsidRPr="008F6868">
        <w:lastRenderedPageBreak/>
        <w:t>Every interaction within the diabetes care service is founded on an ethical practice. Informed consent is obtained for every intervention, and a patient's autonomy is crucial to support for a patient's lifestyle choices. Balance between beneficence and respect for autonomy is also very important in the diabetes care service (</w:t>
      </w:r>
      <w:proofErr w:type="spellStart"/>
      <w:r w:rsidRPr="008F6868">
        <w:t>Cheraghi</w:t>
      </w:r>
      <w:proofErr w:type="spellEnd"/>
      <w:r w:rsidRPr="008F6868">
        <w:t xml:space="preserve"> et al., 2023). This is the most common ethical dilemma in the care of chronic conditions and is best resolved through a conversation with the patient to support shared decision-making (Hassan et al., 2025). The nurse also strives to not reinforce the stigma associated with diabetes care, which can easily lead to a lack of trust on the part of the patient and a disengagement from diabetes care services.</w:t>
      </w:r>
    </w:p>
    <w:p w14:paraId="0FB645D0" w14:textId="77777777" w:rsidR="008F6868" w:rsidRDefault="008F6868" w:rsidP="008F6868">
      <w:r w:rsidRPr="008F6868">
        <w:t>Individually, and especially in combination, these principles shift diabetes care away from the transactional nature of a clinical encounter towards a genuine partnership with patients, tackling the very real issues of stigma and inequality, and improving health outcomes in the long term.</w:t>
      </w:r>
    </w:p>
    <w:p w14:paraId="6395F719" w14:textId="22C995FA" w:rsidR="00CA104C" w:rsidRPr="00CA104C" w:rsidRDefault="00CA104C" w:rsidP="008F6868">
      <w:pPr>
        <w:pStyle w:val="Heading1"/>
      </w:pPr>
      <w:bookmarkStart w:id="2" w:name="_Toc233206179"/>
      <w:r w:rsidRPr="00CA104C">
        <w:t xml:space="preserve">Task 3: </w:t>
      </w:r>
      <w:r w:rsidR="003323A1">
        <w:t>Self-Reflection as a Health and Social Care Professional</w:t>
      </w:r>
      <w:bookmarkEnd w:id="2"/>
      <w:r w:rsidRPr="00CA104C">
        <w:t xml:space="preserve"> </w:t>
      </w:r>
    </w:p>
    <w:p w14:paraId="19942B48" w14:textId="77777777" w:rsidR="00DA21B7" w:rsidRPr="00DA21B7" w:rsidRDefault="00DA21B7" w:rsidP="00DA21B7">
      <w:pPr>
        <w:rPr>
          <w:rFonts w:eastAsia="Times New Roman" w:cs="Times New Roman"/>
          <w:color w:val="auto"/>
        </w:rPr>
      </w:pPr>
      <w:r w:rsidRPr="00DA21B7">
        <w:rPr>
          <w:rFonts w:eastAsia="Times New Roman" w:cs="Times New Roman"/>
          <w:color w:val="auto"/>
        </w:rPr>
        <w:t>Working in health and social care, I’m aware of how person-centred care, partnership working and ethics influence my practice. The Nursing and Midwifery Council’s Code (NMC, 2018) sets out four key professionalism themes: prioritise people, practise effectively, preserve safety, and promote professionalism and trust. The four themes provide a framework I use to make decisions and to guide my interactions. Reflecting on my past practice shows how I enact the principles of person-centred care, as well as my strengths and areas for development in my professional practice. This reflection is essential for my ongoing process of self-improvement.</w:t>
      </w:r>
    </w:p>
    <w:p w14:paraId="017AB48C" w14:textId="5FE50B59" w:rsidR="00DA21B7" w:rsidRPr="00DA21B7" w:rsidRDefault="00DA21B7" w:rsidP="00DA21B7">
      <w:pPr>
        <w:rPr>
          <w:rFonts w:eastAsia="Times New Roman" w:cs="Times New Roman"/>
          <w:color w:val="auto"/>
        </w:rPr>
      </w:pPr>
      <w:r w:rsidRPr="00DA21B7">
        <w:rPr>
          <w:rFonts w:eastAsia="Times New Roman" w:cs="Times New Roman"/>
          <w:color w:val="auto"/>
        </w:rPr>
        <w:t>Person-centred care in my practice: Service User A is an older adult from an ethnic minority who has long-term conditions such as diabetes and hypertension. In my practice, I treated this service user as an individual. I utilized my active listening skills and was respectful of the service user’s culture and religion. I empowered the service user by encouraging them to help make care decisions instead of dictating the optimal care decisions to the service user. I imposed no care on the service user. Instead, I asked open-ended questions to get the service user to help me in the construction of a care plan. For example, I asked the service user to help me by telling me how they would like me to help them, including what support, if any, the service user would like to receive. I adhered to Maslow's Hierarchy of Needs in my practice</w:t>
      </w:r>
      <w:r w:rsidR="00D11FCA">
        <w:rPr>
          <w:rFonts w:eastAsia="Times New Roman" w:cs="Times New Roman"/>
          <w:color w:val="auto"/>
        </w:rPr>
        <w:t xml:space="preserve"> </w:t>
      </w:r>
      <w:r w:rsidR="00D11FCA">
        <w:t>(Carroll, Collins and McKenzie, 2025)</w:t>
      </w:r>
      <w:r w:rsidRPr="00DA21B7">
        <w:rPr>
          <w:rFonts w:eastAsia="Times New Roman" w:cs="Times New Roman"/>
          <w:color w:val="auto"/>
        </w:rPr>
        <w:t>. I recognized the value of dignity and of the service user’s self-esteem. I have made several changes to my practice as a function of the time I spent reflecting on the care of this service user, including the frequent use of the teach-back technique.</w:t>
      </w:r>
    </w:p>
    <w:p w14:paraId="5B6D1781" w14:textId="77777777" w:rsidR="00DA21B7" w:rsidRPr="00DA21B7" w:rsidRDefault="00DA21B7" w:rsidP="00DA21B7">
      <w:pPr>
        <w:rPr>
          <w:rFonts w:eastAsia="Times New Roman" w:cs="Times New Roman"/>
          <w:color w:val="auto"/>
        </w:rPr>
      </w:pPr>
    </w:p>
    <w:p w14:paraId="032B95FF" w14:textId="77777777" w:rsidR="00DA21B7" w:rsidRPr="00DA21B7" w:rsidRDefault="00DA21B7" w:rsidP="00DA21B7">
      <w:pPr>
        <w:rPr>
          <w:rFonts w:eastAsia="Times New Roman" w:cs="Times New Roman"/>
          <w:color w:val="auto"/>
        </w:rPr>
      </w:pPr>
      <w:r w:rsidRPr="00DA21B7">
        <w:rPr>
          <w:rFonts w:eastAsia="Times New Roman" w:cs="Times New Roman"/>
          <w:color w:val="auto"/>
        </w:rPr>
        <w:t xml:space="preserve">Examples of partnership work in my practice: Working as part of a multi-disciplinary team (MDT) means that I work alongside GPs, social workers, family members, as well as partners from the voluntary sector and other allied health professionals. I know I communicate clearly and respectfully, and I think this helps me bring the patient’s voice to the MDT. However, I discovered that I was reluctant to speak up to my senior colleagues in MDT meetings, especially if I disagreed with the clinical decision that was made. </w:t>
      </w:r>
      <w:proofErr w:type="spellStart"/>
      <w:r w:rsidRPr="00DA21B7">
        <w:rPr>
          <w:rFonts w:eastAsia="Times New Roman" w:cs="Times New Roman"/>
          <w:color w:val="auto"/>
        </w:rPr>
        <w:t>Hayhoe</w:t>
      </w:r>
      <w:proofErr w:type="spellEnd"/>
      <w:r w:rsidRPr="00DA21B7">
        <w:rPr>
          <w:rFonts w:eastAsia="Times New Roman" w:cs="Times New Roman"/>
          <w:color w:val="auto"/>
        </w:rPr>
        <w:t xml:space="preserve"> (2025) explains that effective multidisciplinary team work means that all the team members, no matter how senior, need to participate confidently and assertively, and that this is a competency that can be developed. Thomson and Chatterjee (2024) describe how partnership work is one of the core principles of the Health and Care Act 2022, and emphasizes the importance of a collaborative, system-wide approach. I am going to work on my assertiveness as an area of development within my practice, and I will have structured reflective supervision sessions, and learn from senior colleagues how to voice my concerns.</w:t>
      </w:r>
    </w:p>
    <w:p w14:paraId="5FCD317C" w14:textId="77777777" w:rsidR="00DA21B7" w:rsidRPr="00DA21B7" w:rsidRDefault="00DA21B7" w:rsidP="00DA21B7">
      <w:pPr>
        <w:rPr>
          <w:rFonts w:eastAsia="Times New Roman" w:cs="Times New Roman"/>
          <w:color w:val="auto"/>
        </w:rPr>
      </w:pPr>
      <w:r w:rsidRPr="00DA21B7">
        <w:rPr>
          <w:rFonts w:eastAsia="Times New Roman" w:cs="Times New Roman"/>
          <w:color w:val="auto"/>
        </w:rPr>
        <w:t xml:space="preserve">Ethics in my practice: I experienced an ethical conflict with Service User B. They revealed information that was meant to be private and requested that I do not inform their family. This was especially difficult because the family was part of the service user’s care and decision process. While the family was a part of the service user’s care, I used beneficence and the four ethical principles proposed by </w:t>
      </w:r>
      <w:proofErr w:type="spellStart"/>
      <w:r w:rsidRPr="00DA21B7">
        <w:rPr>
          <w:rFonts w:eastAsia="Times New Roman" w:cs="Times New Roman"/>
          <w:color w:val="auto"/>
        </w:rPr>
        <w:t>Cheraghi</w:t>
      </w:r>
      <w:proofErr w:type="spellEnd"/>
      <w:r w:rsidRPr="00DA21B7">
        <w:rPr>
          <w:rFonts w:eastAsia="Times New Roman" w:cs="Times New Roman"/>
          <w:color w:val="auto"/>
        </w:rPr>
        <w:t xml:space="preserve"> et al (2023) and referred to by Hassan et al (2025) to help me figure out the best way to meet the service user’s expectations and the family’s needs. While I had to respect the service user’s right to keep information private, I tried to convince the service user to talk to the family and explain why this would help improve their care. I made sure to note my decision and the information I had to make that decision, and asked one of the senior staff if my decision was justified. The Care Act of 2014 and the Code of Conduct (NMC, 2018) provided the legal and professional justification to help me the care of the service user and staff while balancing their rights. This incident confirmed my belief that ethical practice is complicated, and requires the balancing of care and humility.</w:t>
      </w:r>
    </w:p>
    <w:p w14:paraId="66DF867C" w14:textId="77777777" w:rsidR="00DA21B7" w:rsidRPr="00DA21B7" w:rsidRDefault="00DA21B7" w:rsidP="00DA21B7">
      <w:pPr>
        <w:rPr>
          <w:rFonts w:eastAsia="Times New Roman" w:cs="Times New Roman"/>
          <w:color w:val="auto"/>
        </w:rPr>
      </w:pPr>
      <w:r w:rsidRPr="00DA21B7">
        <w:rPr>
          <w:rFonts w:eastAsia="Times New Roman" w:cs="Times New Roman"/>
          <w:color w:val="auto"/>
        </w:rPr>
        <w:t xml:space="preserve">Skills, strengths, and areas for development: In terms of skills, I consider myself an active listener and empathetic, with some basic clinical knowledge and an understanding of teamwork, as well as being professionally accountable. The areas that contribute to my strengths are compassion, cultural awareness, effective verbal and written communication, and a desire for person-centred care. I have been told by several service users that they feel I have heard and respected them, which reinforces that I am practicing what I believe. While this is positive, I have identified some of my weaknesses. Time management, especially while </w:t>
      </w:r>
      <w:r w:rsidRPr="00DA21B7">
        <w:rPr>
          <w:rFonts w:eastAsia="Times New Roman" w:cs="Times New Roman"/>
          <w:color w:val="auto"/>
        </w:rPr>
        <w:lastRenderedPageBreak/>
        <w:t>managing big caseloads, negatively impacts the quality of my written work. I need to work on my assertiveness within multidisciplinary teams, as previously described, and I need to understand the Care Act 2014 and the Health and Care Act 2022 so that I have a more substantial working knowledge of the legislation since they define the regulatory framework within which I am practicing and working.</w:t>
      </w:r>
    </w:p>
    <w:p w14:paraId="36727376" w14:textId="20B9FD41" w:rsidR="00936A79" w:rsidRDefault="00DA21B7" w:rsidP="00DA21B7">
      <w:pPr>
        <w:rPr>
          <w:rFonts w:eastAsia="Times New Roman" w:cs="Times New Roman"/>
          <w:color w:val="auto"/>
        </w:rPr>
      </w:pPr>
      <w:r w:rsidRPr="00DA21B7">
        <w:rPr>
          <w:rFonts w:eastAsia="Times New Roman" w:cs="Times New Roman"/>
          <w:color w:val="auto"/>
        </w:rPr>
        <w:t xml:space="preserve">In the short term, I will examine the NMC Code every month and carry out continuing professional development in diabetes management, including the evidence-based recommendations of </w:t>
      </w:r>
      <w:proofErr w:type="spellStart"/>
      <w:r w:rsidRPr="00DA21B7">
        <w:rPr>
          <w:rFonts w:eastAsia="Times New Roman" w:cs="Times New Roman"/>
          <w:color w:val="auto"/>
        </w:rPr>
        <w:t>Seidu</w:t>
      </w:r>
      <w:proofErr w:type="spellEnd"/>
      <w:r w:rsidRPr="00DA21B7">
        <w:rPr>
          <w:rFonts w:eastAsia="Times New Roman" w:cs="Times New Roman"/>
          <w:color w:val="auto"/>
        </w:rPr>
        <w:t xml:space="preserve"> et al. (2024) and Brunton, Cotterill and Wilson (2024) regarding NHS self-management programmes, and I will begin to keep a structured evidence-based reflective journal to cultivate my ethical and reflective practice after every shift, documenting my ethical dilemmas and points for learning. In the medium term, I will practice reflective supervision to strengthen my assertiveness, undertake a brief accredited course on healthcare ethics, and register for ICS-related workshops to broaden my understanding of this field of legislation. In the long term, I would like to become a specialist nurse in diabetes or chronic disease management, focusing on specialist practice and integrated care within the UK Integrated Care Systems, and offer supervision and support to more junior staff. This reflective practice shows me that self-awareness is the basis for the delivery of consistent, ethical, and high-quality care and is essential for the ongoing professional development of my practice in an ethical, person-centred, and partnership-focused model.</w:t>
      </w:r>
    </w:p>
    <w:p w14:paraId="1A35784A" w14:textId="77777777" w:rsidR="00936A79" w:rsidRDefault="00936A79">
      <w:pPr>
        <w:spacing w:after="160" w:line="259" w:lineRule="auto"/>
        <w:jc w:val="left"/>
        <w:rPr>
          <w:rFonts w:eastAsia="Times New Roman" w:cs="Times New Roman"/>
          <w:color w:val="auto"/>
        </w:rPr>
      </w:pPr>
      <w:r>
        <w:rPr>
          <w:rFonts w:eastAsia="Times New Roman" w:cs="Times New Roman"/>
          <w:color w:val="auto"/>
        </w:rPr>
        <w:br w:type="page"/>
      </w:r>
    </w:p>
    <w:p w14:paraId="5A6880D6" w14:textId="63054826" w:rsidR="00936A79" w:rsidRDefault="00936A79" w:rsidP="00936A79">
      <w:pPr>
        <w:pStyle w:val="Heading1"/>
        <w:rPr>
          <w:rFonts w:cs="Times New Roman"/>
          <w:color w:val="auto"/>
          <w:sz w:val="27"/>
          <w:szCs w:val="27"/>
        </w:rPr>
      </w:pPr>
      <w:bookmarkStart w:id="3" w:name="_Toc233206180"/>
      <w:r>
        <w:lastRenderedPageBreak/>
        <w:t>Reference</w:t>
      </w:r>
      <w:r>
        <w:t>s</w:t>
      </w:r>
      <w:bookmarkEnd w:id="3"/>
    </w:p>
    <w:p w14:paraId="762375FE" w14:textId="2DF7C70A" w:rsidR="00936A79" w:rsidRDefault="00936A79" w:rsidP="00EF4BD6">
      <w:pPr>
        <w:pStyle w:val="ListParagraph"/>
        <w:numPr>
          <w:ilvl w:val="0"/>
          <w:numId w:val="2"/>
        </w:numPr>
      </w:pPr>
      <w:r>
        <w:t xml:space="preserve">Brunton, L., Cotterill, S. and Wilson, P. (2024) 'Evaluating the National Rollout of a Type 2 Diabetes Self-Management Intervention: Qualitative Interview Study </w:t>
      </w:r>
      <w:proofErr w:type="gramStart"/>
      <w:r>
        <w:t>With</w:t>
      </w:r>
      <w:proofErr w:type="gramEnd"/>
      <w:r>
        <w:t xml:space="preserve"> Local National Health Service Leads Responsible for Implementation', </w:t>
      </w:r>
      <w:r>
        <w:rPr>
          <w:rStyle w:val="Emphasis"/>
        </w:rPr>
        <w:t>Journal of Medical Internet Research</w:t>
      </w:r>
      <w:r>
        <w:t xml:space="preserve">, 26, e55546. </w:t>
      </w:r>
      <w:hyperlink r:id="rId9" w:history="1">
        <w:r>
          <w:rPr>
            <w:rStyle w:val="Hyperlink"/>
          </w:rPr>
          <w:t>https://www.jmir.org/2024/1/e55546/PDF</w:t>
        </w:r>
      </w:hyperlink>
    </w:p>
    <w:p w14:paraId="497292D3" w14:textId="159B90FE" w:rsidR="00936A79" w:rsidRDefault="00936A79" w:rsidP="00EF4BD6">
      <w:pPr>
        <w:pStyle w:val="ListParagraph"/>
        <w:numPr>
          <w:ilvl w:val="0"/>
          <w:numId w:val="2"/>
        </w:numPr>
      </w:pPr>
      <w:r>
        <w:t xml:space="preserve">Carroll, Á., Collins, C. and McKenzie, J. (2025) 'Physician wellbeing in a national rehabilitation hospital, a qualitative study utilizing Maslow's hierarchy of needs as a framework for analysis', </w:t>
      </w:r>
      <w:r>
        <w:rPr>
          <w:rStyle w:val="Emphasis"/>
        </w:rPr>
        <w:t>BMC Health Services Research</w:t>
      </w:r>
      <w:r>
        <w:t xml:space="preserve">, 25(1), Article 175. </w:t>
      </w:r>
      <w:hyperlink r:id="rId10" w:history="1">
        <w:r>
          <w:rPr>
            <w:rStyle w:val="Hyperlink"/>
          </w:rPr>
          <w:t>https://bmchealthservres.biomedcentral.com/counter/pdf/10.1186/s12913-025-12310-x.pdf</w:t>
        </w:r>
      </w:hyperlink>
    </w:p>
    <w:p w14:paraId="4B7784BD" w14:textId="3E6F9AEE" w:rsidR="00936A79" w:rsidRDefault="00936A79" w:rsidP="00EF4BD6">
      <w:pPr>
        <w:pStyle w:val="ListParagraph"/>
        <w:numPr>
          <w:ilvl w:val="0"/>
          <w:numId w:val="2"/>
        </w:numPr>
      </w:pPr>
      <w:proofErr w:type="spellStart"/>
      <w:r>
        <w:t>Cheraghi</w:t>
      </w:r>
      <w:proofErr w:type="spellEnd"/>
      <w:r>
        <w:t xml:space="preserve">, R., </w:t>
      </w:r>
      <w:proofErr w:type="spellStart"/>
      <w:r>
        <w:t>Valizadeh</w:t>
      </w:r>
      <w:proofErr w:type="spellEnd"/>
      <w:r>
        <w:t xml:space="preserve">, L., </w:t>
      </w:r>
      <w:proofErr w:type="spellStart"/>
      <w:r>
        <w:t>Zamanzadeh</w:t>
      </w:r>
      <w:proofErr w:type="spellEnd"/>
      <w:r>
        <w:t xml:space="preserve">, V., </w:t>
      </w:r>
      <w:proofErr w:type="spellStart"/>
      <w:r>
        <w:t>Hassankhani</w:t>
      </w:r>
      <w:proofErr w:type="spellEnd"/>
      <w:r>
        <w:t xml:space="preserve">, H. and Jafarzadeh, A. (2023) 'Clarification of ethical principle of the beneficence in nursing care: an integrative review', </w:t>
      </w:r>
      <w:r>
        <w:rPr>
          <w:rStyle w:val="Emphasis"/>
        </w:rPr>
        <w:t>BMC Nursing</w:t>
      </w:r>
      <w:r>
        <w:t xml:space="preserve">, 22(1), Article 89. </w:t>
      </w:r>
      <w:hyperlink r:id="rId11" w:history="1">
        <w:r>
          <w:rPr>
            <w:rStyle w:val="Hyperlink"/>
          </w:rPr>
          <w:t>https://bmcnurs.biomedcentral.com/counter/pdf/10.1186/s12912-023-01246-4.pdf</w:t>
        </w:r>
      </w:hyperlink>
    </w:p>
    <w:p w14:paraId="432C2991" w14:textId="5A97715A" w:rsidR="00936A79" w:rsidRDefault="00936A79" w:rsidP="00EF4BD6">
      <w:pPr>
        <w:pStyle w:val="ListParagraph"/>
        <w:numPr>
          <w:ilvl w:val="0"/>
          <w:numId w:val="2"/>
        </w:numPr>
      </w:pPr>
      <w:r>
        <w:t xml:space="preserve">Hassan, N., Slight, R.D., </w:t>
      </w:r>
      <w:proofErr w:type="spellStart"/>
      <w:r>
        <w:t>Bimpong</w:t>
      </w:r>
      <w:proofErr w:type="spellEnd"/>
      <w:r>
        <w:t xml:space="preserve">, K., Tolley, C., Husband, A., Bell, D. and Slight, S.P. (2025) 'Nurses' adherence to ethical principles – A qualitative study', </w:t>
      </w:r>
      <w:r>
        <w:rPr>
          <w:rStyle w:val="Emphasis"/>
        </w:rPr>
        <w:t>Nursing Ethics</w:t>
      </w:r>
      <w:r>
        <w:t xml:space="preserve">, 32(4), pp. 1162–1176. </w:t>
      </w:r>
      <w:hyperlink r:id="rId12" w:history="1">
        <w:r>
          <w:rPr>
            <w:rStyle w:val="Hyperlink"/>
          </w:rPr>
          <w:t>https://pmc.ncbi.nlm.nih.gov/articles/PMC12171053/pdf/10.1177_09697330241291159.pdf</w:t>
        </w:r>
      </w:hyperlink>
    </w:p>
    <w:p w14:paraId="10437087" w14:textId="7EE4822D" w:rsidR="00936A79" w:rsidRDefault="00936A79" w:rsidP="00EF4BD6">
      <w:pPr>
        <w:pStyle w:val="ListParagraph"/>
        <w:numPr>
          <w:ilvl w:val="0"/>
          <w:numId w:val="2"/>
        </w:numPr>
      </w:pPr>
      <w:proofErr w:type="spellStart"/>
      <w:r>
        <w:t>Hayhoe</w:t>
      </w:r>
      <w:proofErr w:type="spellEnd"/>
      <w:r>
        <w:t xml:space="preserve">, J. (2025) 'Training health and social care professionals in multidisciplinary team working: a document analysis of undergraduate educational requirements', </w:t>
      </w:r>
      <w:r>
        <w:rPr>
          <w:rStyle w:val="Emphasis"/>
        </w:rPr>
        <w:t>Journal of Interprofessional Care</w:t>
      </w:r>
      <w:r>
        <w:t xml:space="preserve">, 39(3), pp. 448–458. </w:t>
      </w:r>
      <w:hyperlink r:id="rId13" w:history="1">
        <w:r>
          <w:rPr>
            <w:rStyle w:val="Hyperlink"/>
          </w:rPr>
          <w:t>https://spiral.imperial.ac.uk/server/api/core/bitstreams/96232bdb-9f69-419c-b554-ef13d6a38d2f/content</w:t>
        </w:r>
      </w:hyperlink>
    </w:p>
    <w:p w14:paraId="06409E26" w14:textId="1F62FB8D" w:rsidR="00936A79" w:rsidRDefault="00936A79" w:rsidP="00EF4BD6">
      <w:pPr>
        <w:pStyle w:val="ListParagraph"/>
        <w:numPr>
          <w:ilvl w:val="0"/>
          <w:numId w:val="2"/>
        </w:numPr>
      </w:pPr>
      <w:r>
        <w:t xml:space="preserve">Hodge, S., Hand, A., Bramley, L., Holland, K., Hill, P., Marshall, J., Toulson, C., Snape, R., Hodgson, P., Sturrock, A. and Tomlinson, A. (2024) 'A Multiple Case Study Exploring Person-Centred Care in Care Homes', </w:t>
      </w:r>
      <w:r>
        <w:rPr>
          <w:rStyle w:val="Emphasis"/>
        </w:rPr>
        <w:t>Health &amp; Social Care in the Community</w:t>
      </w:r>
      <w:r>
        <w:t xml:space="preserve">, 2024, Article 9888828. </w:t>
      </w:r>
      <w:hyperlink r:id="rId14" w:history="1">
        <w:r>
          <w:rPr>
            <w:rStyle w:val="Hyperlink"/>
          </w:rPr>
          <w:t>https://onlinelibrary.wiley.com/doi/pdf/10.1155/2024/9888828</w:t>
        </w:r>
      </w:hyperlink>
    </w:p>
    <w:p w14:paraId="77FFC6A2" w14:textId="335905CC" w:rsidR="00936A79" w:rsidRDefault="00936A79" w:rsidP="00EF4BD6">
      <w:pPr>
        <w:pStyle w:val="ListParagraph"/>
        <w:numPr>
          <w:ilvl w:val="0"/>
          <w:numId w:val="2"/>
        </w:numPr>
      </w:pPr>
      <w:r>
        <w:t xml:space="preserve">Kelsall-Knight, L. and Stevens, R. (2024) 'Exploring the implementation of person-centred care in nursing practice', </w:t>
      </w:r>
      <w:r>
        <w:rPr>
          <w:rStyle w:val="Emphasis"/>
        </w:rPr>
        <w:t>Nursing Standard</w:t>
      </w:r>
      <w:r>
        <w:t xml:space="preserve">, 39(1), pp. 70–75. </w:t>
      </w:r>
      <w:hyperlink r:id="rId15" w:history="1">
        <w:r>
          <w:rPr>
            <w:rStyle w:val="Hyperlink"/>
          </w:rPr>
          <w:t>https://pure-oai.bham.ac.uk/ws/portalfiles/portal/215552494/Kelsall-KnightL2023Exploring_AAM.pdf</w:t>
        </w:r>
      </w:hyperlink>
    </w:p>
    <w:p w14:paraId="2A7422D9" w14:textId="79403813" w:rsidR="00936A79" w:rsidRDefault="00936A79" w:rsidP="00EF4BD6">
      <w:pPr>
        <w:pStyle w:val="ListParagraph"/>
        <w:numPr>
          <w:ilvl w:val="0"/>
          <w:numId w:val="2"/>
        </w:numPr>
      </w:pPr>
      <w:r>
        <w:lastRenderedPageBreak/>
        <w:t xml:space="preserve">Nursing and Midwifery Council (2018) </w:t>
      </w:r>
      <w:r>
        <w:rPr>
          <w:rStyle w:val="Emphasis"/>
        </w:rPr>
        <w:t>The Code: Professional standards of practice and behaviour for nurses, midwives and nursing associates</w:t>
      </w:r>
      <w:r>
        <w:t xml:space="preserve">. London: NMC. </w:t>
      </w:r>
      <w:hyperlink r:id="rId16" w:history="1">
        <w:r>
          <w:rPr>
            <w:rStyle w:val="Hyperlink"/>
          </w:rPr>
          <w:t>https://www.nmc.org.uk/globalassets/sitedocuments/nmc-publications/nmc-code.pdf</w:t>
        </w:r>
      </w:hyperlink>
    </w:p>
    <w:p w14:paraId="4469AB2F" w14:textId="2FB4305B" w:rsidR="00936A79" w:rsidRDefault="00936A79" w:rsidP="00EF4BD6">
      <w:pPr>
        <w:pStyle w:val="ListParagraph"/>
        <w:numPr>
          <w:ilvl w:val="0"/>
          <w:numId w:val="2"/>
        </w:numPr>
      </w:pPr>
      <w:proofErr w:type="spellStart"/>
      <w:r>
        <w:t>Seidu</w:t>
      </w:r>
      <w:proofErr w:type="spellEnd"/>
      <w:r>
        <w:t xml:space="preserve">, S., Avery, L., Bell, H., Brown, P., Diggle, J., Down, S., </w:t>
      </w:r>
      <w:proofErr w:type="spellStart"/>
      <w:r>
        <w:t>Dua</w:t>
      </w:r>
      <w:proofErr w:type="spellEnd"/>
      <w:r>
        <w:t xml:space="preserve">, R., Holmes, P., Mohan, R., Milne, N., Min, T., Ridgeway, J., Tahir, W. and </w:t>
      </w:r>
      <w:proofErr w:type="spellStart"/>
      <w:r>
        <w:t>Tanna</w:t>
      </w:r>
      <w:proofErr w:type="spellEnd"/>
      <w:r>
        <w:t xml:space="preserve">, S. (2024) 'Removing barriers to management of adults with type 2 diabetes on insulin using continuous glucose monitoring in UK primary care practice: An expert consensus', </w:t>
      </w:r>
      <w:r>
        <w:rPr>
          <w:rStyle w:val="Emphasis"/>
        </w:rPr>
        <w:t>Diabetic Medicine</w:t>
      </w:r>
      <w:r>
        <w:t xml:space="preserve">, 42(3), e15500. </w:t>
      </w:r>
      <w:hyperlink r:id="rId17" w:history="1">
        <w:r>
          <w:rPr>
            <w:rStyle w:val="Hyperlink"/>
          </w:rPr>
          <w:t>https://onlinelibrary.wiley.com/doi/pdf/10.1111/dme.15500</w:t>
        </w:r>
      </w:hyperlink>
    </w:p>
    <w:p w14:paraId="24D90770" w14:textId="2EAFEBDA" w:rsidR="00936A79" w:rsidRDefault="00936A79" w:rsidP="00EF4BD6">
      <w:pPr>
        <w:pStyle w:val="ListParagraph"/>
        <w:numPr>
          <w:ilvl w:val="0"/>
          <w:numId w:val="2"/>
        </w:numPr>
      </w:pPr>
      <w:r>
        <w:t xml:space="preserve">Thomson, L.J.M. and Chatterjee, H.J. (2024) 'Barriers and enablers of integrated care in the UK: a rapid evidence </w:t>
      </w:r>
      <w:proofErr w:type="gramStart"/>
      <w:r>
        <w:t>review</w:t>
      </w:r>
      <w:proofErr w:type="gramEnd"/>
      <w:r>
        <w:t xml:space="preserve"> of review articles and grey literature 2018–2022', </w:t>
      </w:r>
      <w:r>
        <w:rPr>
          <w:rStyle w:val="Emphasis"/>
        </w:rPr>
        <w:t>Frontiers in Public Health</w:t>
      </w:r>
      <w:r>
        <w:t xml:space="preserve">, 11, Article 1286479. </w:t>
      </w:r>
      <w:hyperlink r:id="rId18" w:history="1">
        <w:r>
          <w:rPr>
            <w:rStyle w:val="Hyperlink"/>
          </w:rPr>
          <w:t>https://www.frontiersin.org/journals/public-health/articles/10.3389/fpubh.2023.1286479/pdf</w:t>
        </w:r>
      </w:hyperlink>
    </w:p>
    <w:p w14:paraId="646F6672" w14:textId="77777777" w:rsidR="00C27443" w:rsidRDefault="00C27443" w:rsidP="00DA21B7"/>
    <w:sectPr w:rsidR="00C2744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8E2D4" w14:textId="77777777" w:rsidR="00DD118A" w:rsidRDefault="00DD118A" w:rsidP="003323A1">
      <w:pPr>
        <w:spacing w:line="240" w:lineRule="auto"/>
      </w:pPr>
      <w:r>
        <w:separator/>
      </w:r>
    </w:p>
  </w:endnote>
  <w:endnote w:type="continuationSeparator" w:id="0">
    <w:p w14:paraId="5AB9B423" w14:textId="77777777" w:rsidR="00DD118A" w:rsidRDefault="00DD118A" w:rsidP="003323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886835"/>
      <w:docPartObj>
        <w:docPartGallery w:val="Page Numbers (Bottom of Page)"/>
        <w:docPartUnique/>
      </w:docPartObj>
    </w:sdtPr>
    <w:sdtEndPr>
      <w:rPr>
        <w:noProof/>
      </w:rPr>
    </w:sdtEndPr>
    <w:sdtContent>
      <w:p w14:paraId="2819F827" w14:textId="65529C55" w:rsidR="003323A1" w:rsidRDefault="00332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F33E2" w14:textId="77777777" w:rsidR="003323A1" w:rsidRDefault="00332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0A461" w14:textId="77777777" w:rsidR="00DD118A" w:rsidRDefault="00DD118A" w:rsidP="003323A1">
      <w:pPr>
        <w:spacing w:line="240" w:lineRule="auto"/>
      </w:pPr>
      <w:r>
        <w:separator/>
      </w:r>
    </w:p>
  </w:footnote>
  <w:footnote w:type="continuationSeparator" w:id="0">
    <w:p w14:paraId="63ED13B2" w14:textId="77777777" w:rsidR="00DD118A" w:rsidRDefault="00DD118A" w:rsidP="003323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30BCC" w14:textId="07C38C45" w:rsidR="003323A1" w:rsidRDefault="003323A1">
    <w:pPr>
      <w:pStyle w:val="Header"/>
    </w:pPr>
    <w:r w:rsidRPr="003323A1">
      <w:drawing>
        <wp:anchor distT="0" distB="0" distL="114300" distR="114300" simplePos="0" relativeHeight="251658240" behindDoc="1" locked="0" layoutInCell="1" allowOverlap="1" wp14:anchorId="73E8F0E1" wp14:editId="5E62D38E">
          <wp:simplePos x="0" y="0"/>
          <wp:positionH relativeFrom="column">
            <wp:posOffset>-640080</wp:posOffset>
          </wp:positionH>
          <wp:positionV relativeFrom="paragraph">
            <wp:posOffset>-304800</wp:posOffset>
          </wp:positionV>
          <wp:extent cx="1022985" cy="525780"/>
          <wp:effectExtent l="0" t="0" r="5715" b="7620"/>
          <wp:wrapTight wrapText="bothSides">
            <wp:wrapPolygon edited="0">
              <wp:start x="0" y="0"/>
              <wp:lineTo x="0" y="21130"/>
              <wp:lineTo x="21318" y="21130"/>
              <wp:lineTo x="213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022985" cy="52578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E6A"/>
    <w:multiLevelType w:val="hybridMultilevel"/>
    <w:tmpl w:val="2CF89A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A23737"/>
    <w:multiLevelType w:val="hybridMultilevel"/>
    <w:tmpl w:val="E124C95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4C"/>
    <w:rsid w:val="000E58F7"/>
    <w:rsid w:val="002B40C1"/>
    <w:rsid w:val="003323A1"/>
    <w:rsid w:val="006210A0"/>
    <w:rsid w:val="008F6868"/>
    <w:rsid w:val="00936A79"/>
    <w:rsid w:val="00BD1E72"/>
    <w:rsid w:val="00C27443"/>
    <w:rsid w:val="00C90EF2"/>
    <w:rsid w:val="00CA104C"/>
    <w:rsid w:val="00D11FCA"/>
    <w:rsid w:val="00D52ECA"/>
    <w:rsid w:val="00DA21B7"/>
    <w:rsid w:val="00DD118A"/>
    <w:rsid w:val="00EF4B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7088"/>
  <w15:chartTrackingRefBased/>
  <w15:docId w15:val="{931A058D-7CA2-4D5B-8C88-F5BA95B0F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0A0"/>
    <w:pPr>
      <w:spacing w:after="0" w:line="360" w:lineRule="auto"/>
      <w:jc w:val="both"/>
    </w:pPr>
    <w:rPr>
      <w:rFonts w:ascii="Times New Roman" w:hAnsi="Times New Roman" w:cs="Arial"/>
      <w:color w:val="000000" w:themeColor="text1"/>
      <w:sz w:val="24"/>
      <w:szCs w:val="24"/>
      <w:lang w:eastAsia="en-IN"/>
    </w:rPr>
  </w:style>
  <w:style w:type="paragraph" w:styleId="Heading1">
    <w:name w:val="heading 1"/>
    <w:link w:val="Heading1Char"/>
    <w:autoRedefine/>
    <w:uiPriority w:val="9"/>
    <w:qFormat/>
    <w:rsid w:val="002B40C1"/>
    <w:pPr>
      <w:spacing w:after="0" w:line="360" w:lineRule="auto"/>
      <w:outlineLvl w:val="0"/>
    </w:pPr>
    <w:rPr>
      <w:rFonts w:ascii="Times New Roman" w:eastAsia="Calibri" w:hAnsi="Times New Roman" w:cs="Calibri"/>
      <w:b/>
      <w:color w:val="000000" w:themeColor="text1"/>
      <w:sz w:val="28"/>
      <w:szCs w:val="32"/>
      <w:lang w:eastAsia="en-IN"/>
    </w:rPr>
  </w:style>
  <w:style w:type="paragraph" w:styleId="Heading2">
    <w:name w:val="heading 2"/>
    <w:link w:val="Heading2Char"/>
    <w:autoRedefine/>
    <w:uiPriority w:val="9"/>
    <w:unhideWhenUsed/>
    <w:qFormat/>
    <w:rsid w:val="006210A0"/>
    <w:pPr>
      <w:spacing w:before="200" w:after="120" w:line="360" w:lineRule="auto"/>
      <w:outlineLvl w:val="1"/>
    </w:pPr>
    <w:rPr>
      <w:rFonts w:ascii="Times New Roman" w:hAnsi="Times New Roman" w:cs="Arial"/>
      <w:b/>
      <w:bCs/>
      <w:color w:val="000000" w:themeColor="text1"/>
      <w:sz w:val="24"/>
      <w:szCs w:val="28"/>
      <w:lang w:eastAsia="en-IN"/>
    </w:rPr>
  </w:style>
  <w:style w:type="paragraph" w:styleId="Heading3">
    <w:name w:val="heading 3"/>
    <w:basedOn w:val="Normal"/>
    <w:link w:val="Heading3Char"/>
    <w:uiPriority w:val="9"/>
    <w:qFormat/>
    <w:rsid w:val="00CA104C"/>
    <w:pPr>
      <w:spacing w:before="100" w:beforeAutospacing="1" w:after="100" w:afterAutospacing="1" w:line="240" w:lineRule="auto"/>
      <w:jc w:val="left"/>
      <w:outlineLvl w:val="2"/>
    </w:pPr>
    <w:rPr>
      <w:rFonts w:eastAsia="Times New Roman" w:cs="Times New Roman"/>
      <w:b/>
      <w:bCs/>
      <w:color w:val="auto"/>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10A0"/>
    <w:rPr>
      <w:rFonts w:ascii="Times New Roman" w:hAnsi="Times New Roman" w:cs="Arial"/>
      <w:b/>
      <w:bCs/>
      <w:color w:val="000000" w:themeColor="text1"/>
      <w:sz w:val="24"/>
      <w:szCs w:val="28"/>
      <w:lang w:eastAsia="en-IN"/>
    </w:rPr>
  </w:style>
  <w:style w:type="character" w:customStyle="1" w:styleId="Heading1Char">
    <w:name w:val="Heading 1 Char"/>
    <w:basedOn w:val="DefaultParagraphFont"/>
    <w:link w:val="Heading1"/>
    <w:uiPriority w:val="9"/>
    <w:rsid w:val="002B40C1"/>
    <w:rPr>
      <w:rFonts w:ascii="Times New Roman" w:eastAsia="Calibri" w:hAnsi="Times New Roman" w:cs="Calibri"/>
      <w:b/>
      <w:color w:val="000000" w:themeColor="text1"/>
      <w:sz w:val="28"/>
      <w:szCs w:val="32"/>
      <w:lang w:eastAsia="en-IN"/>
    </w:rPr>
  </w:style>
  <w:style w:type="character" w:customStyle="1" w:styleId="Heading3Char">
    <w:name w:val="Heading 3 Char"/>
    <w:basedOn w:val="DefaultParagraphFont"/>
    <w:link w:val="Heading3"/>
    <w:uiPriority w:val="9"/>
    <w:rsid w:val="00CA104C"/>
    <w:rPr>
      <w:rFonts w:ascii="Times New Roman" w:eastAsia="Times New Roman" w:hAnsi="Times New Roman" w:cs="Times New Roman"/>
      <w:b/>
      <w:bCs/>
      <w:sz w:val="27"/>
      <w:szCs w:val="27"/>
      <w:lang w:eastAsia="en-IN"/>
    </w:rPr>
  </w:style>
  <w:style w:type="paragraph" w:customStyle="1" w:styleId="font-claude-response-body">
    <w:name w:val="font-claude-response-body"/>
    <w:basedOn w:val="Normal"/>
    <w:rsid w:val="00CA104C"/>
    <w:pPr>
      <w:spacing w:before="100" w:beforeAutospacing="1" w:after="100" w:afterAutospacing="1" w:line="240" w:lineRule="auto"/>
      <w:jc w:val="left"/>
    </w:pPr>
    <w:rPr>
      <w:rFonts w:eastAsia="Times New Roman" w:cs="Times New Roman"/>
      <w:color w:val="auto"/>
    </w:rPr>
  </w:style>
  <w:style w:type="paragraph" w:styleId="NoSpacing">
    <w:name w:val="No Spacing"/>
    <w:uiPriority w:val="1"/>
    <w:qFormat/>
    <w:rsid w:val="008F6868"/>
    <w:pPr>
      <w:spacing w:after="0" w:line="240" w:lineRule="auto"/>
      <w:jc w:val="both"/>
    </w:pPr>
    <w:rPr>
      <w:rFonts w:ascii="Times New Roman" w:hAnsi="Times New Roman" w:cs="Arial"/>
      <w:color w:val="000000" w:themeColor="text1"/>
      <w:sz w:val="24"/>
      <w:szCs w:val="24"/>
      <w:lang w:eastAsia="en-IN"/>
    </w:rPr>
  </w:style>
  <w:style w:type="character" w:styleId="Emphasis">
    <w:name w:val="Emphasis"/>
    <w:basedOn w:val="DefaultParagraphFont"/>
    <w:uiPriority w:val="20"/>
    <w:qFormat/>
    <w:rsid w:val="00936A79"/>
    <w:rPr>
      <w:i/>
      <w:iCs/>
    </w:rPr>
  </w:style>
  <w:style w:type="character" w:styleId="Hyperlink">
    <w:name w:val="Hyperlink"/>
    <w:basedOn w:val="DefaultParagraphFont"/>
    <w:uiPriority w:val="99"/>
    <w:unhideWhenUsed/>
    <w:rsid w:val="00936A79"/>
    <w:rPr>
      <w:color w:val="0000FF"/>
      <w:u w:val="single"/>
    </w:rPr>
  </w:style>
  <w:style w:type="paragraph" w:styleId="ListParagraph">
    <w:name w:val="List Paragraph"/>
    <w:basedOn w:val="Normal"/>
    <w:uiPriority w:val="34"/>
    <w:qFormat/>
    <w:rsid w:val="00EF4BD6"/>
    <w:pPr>
      <w:ind w:left="720"/>
      <w:contextualSpacing/>
    </w:pPr>
  </w:style>
  <w:style w:type="character" w:styleId="Strong">
    <w:name w:val="Strong"/>
    <w:basedOn w:val="DefaultParagraphFont"/>
    <w:uiPriority w:val="22"/>
    <w:qFormat/>
    <w:rsid w:val="003323A1"/>
    <w:rPr>
      <w:b/>
      <w:bCs/>
    </w:rPr>
  </w:style>
  <w:style w:type="paragraph" w:styleId="Header">
    <w:name w:val="header"/>
    <w:basedOn w:val="Normal"/>
    <w:link w:val="HeaderChar"/>
    <w:uiPriority w:val="99"/>
    <w:unhideWhenUsed/>
    <w:rsid w:val="003323A1"/>
    <w:pPr>
      <w:tabs>
        <w:tab w:val="center" w:pos="4513"/>
        <w:tab w:val="right" w:pos="9026"/>
      </w:tabs>
      <w:spacing w:line="240" w:lineRule="auto"/>
    </w:pPr>
  </w:style>
  <w:style w:type="character" w:customStyle="1" w:styleId="HeaderChar">
    <w:name w:val="Header Char"/>
    <w:basedOn w:val="DefaultParagraphFont"/>
    <w:link w:val="Header"/>
    <w:uiPriority w:val="99"/>
    <w:rsid w:val="003323A1"/>
    <w:rPr>
      <w:rFonts w:ascii="Times New Roman" w:hAnsi="Times New Roman" w:cs="Arial"/>
      <w:color w:val="000000" w:themeColor="text1"/>
      <w:sz w:val="24"/>
      <w:szCs w:val="24"/>
      <w:lang w:eastAsia="en-IN"/>
    </w:rPr>
  </w:style>
  <w:style w:type="paragraph" w:styleId="Footer">
    <w:name w:val="footer"/>
    <w:basedOn w:val="Normal"/>
    <w:link w:val="FooterChar"/>
    <w:uiPriority w:val="99"/>
    <w:unhideWhenUsed/>
    <w:rsid w:val="003323A1"/>
    <w:pPr>
      <w:tabs>
        <w:tab w:val="center" w:pos="4513"/>
        <w:tab w:val="right" w:pos="9026"/>
      </w:tabs>
      <w:spacing w:line="240" w:lineRule="auto"/>
    </w:pPr>
  </w:style>
  <w:style w:type="character" w:customStyle="1" w:styleId="FooterChar">
    <w:name w:val="Footer Char"/>
    <w:basedOn w:val="DefaultParagraphFont"/>
    <w:link w:val="Footer"/>
    <w:uiPriority w:val="99"/>
    <w:rsid w:val="003323A1"/>
    <w:rPr>
      <w:rFonts w:ascii="Times New Roman" w:hAnsi="Times New Roman" w:cs="Arial"/>
      <w:color w:val="000000" w:themeColor="text1"/>
      <w:sz w:val="24"/>
      <w:szCs w:val="24"/>
      <w:lang w:eastAsia="en-IN"/>
    </w:rPr>
  </w:style>
  <w:style w:type="paragraph" w:styleId="TOCHeading">
    <w:name w:val="TOC Heading"/>
    <w:basedOn w:val="Heading1"/>
    <w:next w:val="Normal"/>
    <w:uiPriority w:val="39"/>
    <w:unhideWhenUsed/>
    <w:qFormat/>
    <w:rsid w:val="003323A1"/>
    <w:pPr>
      <w:keepNext/>
      <w:keepLines/>
      <w:spacing w:before="240" w:line="259" w:lineRule="auto"/>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3323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28949">
      <w:bodyDiv w:val="1"/>
      <w:marLeft w:val="0"/>
      <w:marRight w:val="0"/>
      <w:marTop w:val="0"/>
      <w:marBottom w:val="0"/>
      <w:divBdr>
        <w:top w:val="none" w:sz="0" w:space="0" w:color="auto"/>
        <w:left w:val="none" w:sz="0" w:space="0" w:color="auto"/>
        <w:bottom w:val="none" w:sz="0" w:space="0" w:color="auto"/>
        <w:right w:val="none" w:sz="0" w:space="0" w:color="auto"/>
      </w:divBdr>
    </w:div>
    <w:div w:id="958801218">
      <w:bodyDiv w:val="1"/>
      <w:marLeft w:val="0"/>
      <w:marRight w:val="0"/>
      <w:marTop w:val="0"/>
      <w:marBottom w:val="0"/>
      <w:divBdr>
        <w:top w:val="none" w:sz="0" w:space="0" w:color="auto"/>
        <w:left w:val="none" w:sz="0" w:space="0" w:color="auto"/>
        <w:bottom w:val="none" w:sz="0" w:space="0" w:color="auto"/>
        <w:right w:val="none" w:sz="0" w:space="0" w:color="auto"/>
      </w:divBdr>
    </w:div>
    <w:div w:id="1429541480">
      <w:bodyDiv w:val="1"/>
      <w:marLeft w:val="0"/>
      <w:marRight w:val="0"/>
      <w:marTop w:val="0"/>
      <w:marBottom w:val="0"/>
      <w:divBdr>
        <w:top w:val="none" w:sz="0" w:space="0" w:color="auto"/>
        <w:left w:val="none" w:sz="0" w:space="0" w:color="auto"/>
        <w:bottom w:val="none" w:sz="0" w:space="0" w:color="auto"/>
        <w:right w:val="none" w:sz="0" w:space="0" w:color="auto"/>
      </w:divBdr>
    </w:div>
    <w:div w:id="184990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piral.imperial.ac.uk/server/api/core/bitstreams/96232bdb-9f69-419c-b554-ef13d6a38d2f/content" TargetMode="External"/><Relationship Id="rId18" Type="http://schemas.openxmlformats.org/officeDocument/2006/relationships/hyperlink" Target="https://www.frontiersin.org/journals/public-health/articles/10.3389/fpubh.2023.1286479/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mc.ncbi.nlm.nih.gov/articles/PMC12171053/pdf/10.1177_09697330241291159.pdf" TargetMode="External"/><Relationship Id="rId17" Type="http://schemas.openxmlformats.org/officeDocument/2006/relationships/hyperlink" Target="https://onlinelibrary.wiley.com/doi/pdf/10.1111/dme.15500" TargetMode="External"/><Relationship Id="rId2" Type="http://schemas.openxmlformats.org/officeDocument/2006/relationships/numbering" Target="numbering.xml"/><Relationship Id="rId16" Type="http://schemas.openxmlformats.org/officeDocument/2006/relationships/hyperlink" Target="https://www.nmc.org.uk/globalassets/sitedocuments/nmc-publications/nmc-code.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nurs.biomedcentral.com/counter/pdf/10.1186/s12912-023-01246-4.pdf" TargetMode="External"/><Relationship Id="rId5" Type="http://schemas.openxmlformats.org/officeDocument/2006/relationships/webSettings" Target="webSettings.xml"/><Relationship Id="rId15" Type="http://schemas.openxmlformats.org/officeDocument/2006/relationships/hyperlink" Target="https://pure-oai.bham.ac.uk/ws/portalfiles/portal/215552494/Kelsall-KnightL2023Exploring_AAM.pdf" TargetMode="External"/><Relationship Id="rId10" Type="http://schemas.openxmlformats.org/officeDocument/2006/relationships/hyperlink" Target="https://bmchealthservres.biomedcentral.com/counter/pdf/10.1186/s12913-025-12310-x.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jmir.org/2024/1/e55546/PDF" TargetMode="External"/><Relationship Id="rId14" Type="http://schemas.openxmlformats.org/officeDocument/2006/relationships/hyperlink" Target="https://onlinelibrary.wiley.com/doi/pdf/10.1155/2024/9888828"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DF12C8-156F-4180-B299-9599500F9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9</Pages>
  <Words>2639</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6</cp:revision>
  <dcterms:created xsi:type="dcterms:W3CDTF">2026-06-24T08:23:00Z</dcterms:created>
  <dcterms:modified xsi:type="dcterms:W3CDTF">2026-06-24T09:40:00Z</dcterms:modified>
</cp:coreProperties>
</file>