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9" w14:textId="77777777" w:rsidR="003B1EE7" w:rsidRDefault="003B1EE7" w:rsidP="005628B2">
      <w:pPr>
        <w:spacing w:line="360" w:lineRule="auto"/>
        <w:rPr>
          <w:rFonts w:ascii="Times New Roman" w:eastAsia="Times New Roman" w:hAnsi="Times New Roman" w:cs="Times New Roman"/>
          <w:b/>
          <w:sz w:val="32"/>
          <w:szCs w:val="32"/>
        </w:rPr>
      </w:pPr>
    </w:p>
    <w:p w14:paraId="0000000A" w14:textId="5221EC45" w:rsidR="003B1EE7" w:rsidRDefault="00CE4422" w:rsidP="005628B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BA </w:t>
      </w:r>
      <w:r w:rsidR="00AA21D0">
        <w:rPr>
          <w:rFonts w:ascii="Times New Roman" w:eastAsia="Times New Roman" w:hAnsi="Times New Roman" w:cs="Times New Roman"/>
          <w:b/>
          <w:sz w:val="32"/>
          <w:szCs w:val="32"/>
        </w:rPr>
        <w:t xml:space="preserve">BUSINESS MANAGEMENT </w:t>
      </w:r>
    </w:p>
    <w:p w14:paraId="59EFD50B" w14:textId="326491F3" w:rsidR="007470E9" w:rsidRPr="007470E9" w:rsidRDefault="007470E9" w:rsidP="00F7729C">
      <w:pPr>
        <w:spacing w:line="360" w:lineRule="auto"/>
      </w:pPr>
    </w:p>
    <w:p w14:paraId="60CCDE49" w14:textId="77777777" w:rsidR="007470E9" w:rsidRPr="007470E9" w:rsidRDefault="007470E9" w:rsidP="007470E9">
      <w:pPr>
        <w:spacing w:after="160" w:line="360" w:lineRule="auto"/>
        <w:rPr>
          <w:rFonts w:eastAsiaTheme="minorHAnsi"/>
          <w:b/>
          <w:bCs/>
          <w:lang w:val="en-GB" w:eastAsia="en-US"/>
        </w:rPr>
      </w:pPr>
      <w:r w:rsidRPr="007470E9">
        <w:rPr>
          <w:rFonts w:eastAsiaTheme="minorHAnsi"/>
          <w:b/>
          <w:bCs/>
          <w:lang w:val="en-GB" w:eastAsia="en-US"/>
        </w:rPr>
        <w:t>Assignment 1</w:t>
      </w:r>
    </w:p>
    <w:p w14:paraId="2E7887D0" w14:textId="77777777" w:rsidR="007470E9" w:rsidRPr="007470E9" w:rsidRDefault="007470E9" w:rsidP="007470E9">
      <w:pPr>
        <w:spacing w:after="160" w:line="360" w:lineRule="auto"/>
        <w:rPr>
          <w:rFonts w:eastAsiaTheme="minorHAnsi"/>
          <w:lang w:val="en-GB" w:eastAsia="en-US"/>
        </w:rPr>
      </w:pPr>
    </w:p>
    <w:p w14:paraId="60FF029D" w14:textId="1C61FCF9"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 xml:space="preserve">Module: </w:t>
      </w:r>
      <w:r w:rsidR="00374865">
        <w:rPr>
          <w:rFonts w:eastAsiaTheme="minorHAnsi"/>
          <w:lang w:val="en-GB" w:eastAsia="en-US"/>
        </w:rPr>
        <w:t xml:space="preserve">Community engagement </w:t>
      </w:r>
    </w:p>
    <w:p w14:paraId="321428E3" w14:textId="1B179BF2"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Module code: LCBB400</w:t>
      </w:r>
      <w:r w:rsidR="004C54FC">
        <w:rPr>
          <w:rFonts w:eastAsiaTheme="minorHAnsi"/>
          <w:lang w:val="en-GB" w:eastAsia="en-US"/>
        </w:rPr>
        <w:t>2</w:t>
      </w:r>
    </w:p>
    <w:p w14:paraId="4A715CDD" w14:textId="11D4BB77"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 xml:space="preserve">Lecturer: </w:t>
      </w:r>
      <w:proofErr w:type="spellStart"/>
      <w:r w:rsidR="00775962" w:rsidRPr="00775962">
        <w:rPr>
          <w:rFonts w:eastAsiaTheme="minorHAnsi"/>
          <w:lang w:val="en-GB" w:eastAsia="en-US"/>
        </w:rPr>
        <w:t>Akinseye</w:t>
      </w:r>
      <w:proofErr w:type="spellEnd"/>
      <w:r w:rsidR="00775962" w:rsidRPr="00775962">
        <w:rPr>
          <w:rFonts w:eastAsiaTheme="minorHAnsi"/>
          <w:lang w:val="en-GB" w:eastAsia="en-US"/>
        </w:rPr>
        <w:t xml:space="preserve"> </w:t>
      </w:r>
      <w:proofErr w:type="spellStart"/>
      <w:r w:rsidR="00775962" w:rsidRPr="00775962">
        <w:rPr>
          <w:rFonts w:eastAsiaTheme="minorHAnsi"/>
          <w:lang w:val="en-GB" w:eastAsia="en-US"/>
        </w:rPr>
        <w:t>Aluko</w:t>
      </w:r>
      <w:proofErr w:type="spellEnd"/>
      <w:r w:rsidR="006D4A0D">
        <w:rPr>
          <w:rFonts w:eastAsiaTheme="minorHAnsi"/>
          <w:lang w:val="en-GB" w:eastAsia="en-US"/>
        </w:rPr>
        <w:t xml:space="preserve"> </w:t>
      </w:r>
    </w:p>
    <w:p w14:paraId="7A04604D" w14:textId="77777777"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Name: Ancuta Ambrus</w:t>
      </w:r>
    </w:p>
    <w:p w14:paraId="14EF57E5" w14:textId="77777777"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Student ID: 2129047</w:t>
      </w:r>
    </w:p>
    <w:p w14:paraId="3D0BB1A7" w14:textId="1ED0584A"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t xml:space="preserve">Submitted date: </w:t>
      </w:r>
      <w:r w:rsidR="00AE5973">
        <w:rPr>
          <w:rFonts w:eastAsiaTheme="minorHAnsi"/>
          <w:lang w:val="en-GB" w:eastAsia="en-US"/>
        </w:rPr>
        <w:t>2</w:t>
      </w:r>
      <w:r w:rsidRPr="007470E9">
        <w:rPr>
          <w:rFonts w:eastAsiaTheme="minorHAnsi"/>
          <w:lang w:val="en-GB" w:eastAsia="en-US"/>
        </w:rPr>
        <w:t>/1</w:t>
      </w:r>
      <w:r w:rsidR="00AE5973">
        <w:rPr>
          <w:rFonts w:eastAsiaTheme="minorHAnsi"/>
          <w:lang w:val="en-GB" w:eastAsia="en-US"/>
        </w:rPr>
        <w:t>2</w:t>
      </w:r>
      <w:r w:rsidRPr="007470E9">
        <w:rPr>
          <w:rFonts w:eastAsiaTheme="minorHAnsi"/>
          <w:lang w:val="en-GB" w:eastAsia="en-US"/>
        </w:rPr>
        <w:t>/20</w:t>
      </w:r>
      <w:r w:rsidR="00AE5973">
        <w:rPr>
          <w:rFonts w:eastAsiaTheme="minorHAnsi"/>
          <w:lang w:val="en-GB" w:eastAsia="en-US"/>
        </w:rPr>
        <w:t>22</w:t>
      </w:r>
    </w:p>
    <w:p w14:paraId="04AB15C2" w14:textId="77777777" w:rsidR="007470E9" w:rsidRPr="007470E9" w:rsidRDefault="007470E9" w:rsidP="007470E9">
      <w:pPr>
        <w:spacing w:after="160" w:line="360" w:lineRule="auto"/>
        <w:rPr>
          <w:rFonts w:eastAsiaTheme="minorHAnsi"/>
          <w:lang w:val="en-GB" w:eastAsia="en-US"/>
        </w:rPr>
      </w:pPr>
      <w:r w:rsidRPr="007470E9">
        <w:rPr>
          <w:rFonts w:eastAsiaTheme="minorHAnsi"/>
          <w:lang w:val="en-GB" w:eastAsia="en-US"/>
        </w:rPr>
        <w:br w:type="page"/>
      </w:r>
    </w:p>
    <w:p w14:paraId="0000000B" w14:textId="326E6EE5" w:rsidR="003B1EE7" w:rsidRDefault="003B1EE7">
      <w:pPr>
        <w:rPr>
          <w:rFonts w:ascii="Times New Roman" w:eastAsia="Times New Roman" w:hAnsi="Times New Roman" w:cs="Times New Roman"/>
          <w:b/>
          <w:sz w:val="32"/>
          <w:szCs w:val="32"/>
        </w:rPr>
      </w:pPr>
    </w:p>
    <w:p w14:paraId="0000000C" w14:textId="77777777" w:rsidR="003B1EE7"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1742484764"/>
        <w:docPartObj>
          <w:docPartGallery w:val="Table of Contents"/>
          <w:docPartUnique/>
        </w:docPartObj>
      </w:sdtPr>
      <w:sdtContent>
        <w:p w14:paraId="0000000D" w14:textId="77777777" w:rsidR="003B1EE7"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E" w14:textId="77777777" w:rsidR="003B1EE7"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Best practices that were adhered to including community engagement principles</w:t>
            </w:r>
            <w:r>
              <w:rPr>
                <w:rFonts w:ascii="Times New Roman" w:eastAsia="Times New Roman" w:hAnsi="Times New Roman" w:cs="Times New Roman"/>
                <w:color w:val="000000"/>
                <w:sz w:val="24"/>
                <w:szCs w:val="24"/>
              </w:rPr>
              <w:tab/>
              <w:t>3</w:t>
            </w:r>
          </w:hyperlink>
        </w:p>
        <w:p w14:paraId="0000000F" w14:textId="77777777" w:rsidR="003B1EE7"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Relationship between the stakeholders and the strategies suitable for engaging them</w:t>
            </w:r>
            <w:r>
              <w:rPr>
                <w:rFonts w:ascii="Times New Roman" w:eastAsia="Times New Roman" w:hAnsi="Times New Roman" w:cs="Times New Roman"/>
                <w:color w:val="000000"/>
                <w:sz w:val="24"/>
                <w:szCs w:val="24"/>
              </w:rPr>
              <w:tab/>
              <w:t>4</w:t>
            </w:r>
          </w:hyperlink>
        </w:p>
        <w:p w14:paraId="00000010" w14:textId="77777777" w:rsidR="003B1EE7"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Why the community engagement practitioner needs to adopt a forward-looking approach</w:t>
            </w:r>
            <w:r>
              <w:rPr>
                <w:rFonts w:ascii="Times New Roman" w:eastAsia="Times New Roman" w:hAnsi="Times New Roman" w:cs="Times New Roman"/>
                <w:color w:val="000000"/>
                <w:sz w:val="24"/>
                <w:szCs w:val="24"/>
              </w:rPr>
              <w:tab/>
              <w:t>5</w:t>
            </w:r>
          </w:hyperlink>
        </w:p>
        <w:p w14:paraId="00000011" w14:textId="77777777" w:rsidR="003B1EE7"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6</w:t>
            </w:r>
          </w:hyperlink>
        </w:p>
        <w:p w14:paraId="00000012" w14:textId="77777777" w:rsidR="003B1EE7"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7</w:t>
            </w:r>
          </w:hyperlink>
        </w:p>
        <w:p w14:paraId="00000013" w14:textId="77777777" w:rsidR="003B1EE7" w:rsidRDefault="00000000">
          <w:pPr>
            <w:spacing w:line="360" w:lineRule="auto"/>
            <w:jc w:val="both"/>
          </w:pPr>
          <w:r>
            <w:fldChar w:fldCharType="end"/>
          </w:r>
        </w:p>
      </w:sdtContent>
    </w:sdt>
    <w:p w14:paraId="00000014" w14:textId="77777777" w:rsidR="003B1EE7" w:rsidRDefault="00000000">
      <w:pPr>
        <w:spacing w:line="360" w:lineRule="auto"/>
        <w:rPr>
          <w:rFonts w:ascii="Times New Roman" w:eastAsia="Times New Roman" w:hAnsi="Times New Roman" w:cs="Times New Roman"/>
          <w:b/>
          <w:sz w:val="24"/>
          <w:szCs w:val="24"/>
        </w:rPr>
      </w:pPr>
      <w:r>
        <w:br w:type="page"/>
      </w:r>
    </w:p>
    <w:p w14:paraId="00000015" w14:textId="77777777" w:rsidR="003B1EE7" w:rsidRDefault="00000000">
      <w:pPr>
        <w:pStyle w:val="Heading1"/>
      </w:pPr>
      <w:bookmarkStart w:id="0" w:name="_heading=h.gjdgxs" w:colFirst="0" w:colLast="0"/>
      <w:bookmarkEnd w:id="0"/>
      <w:r>
        <w:lastRenderedPageBreak/>
        <w:t xml:space="preserve">Introduction </w:t>
      </w:r>
    </w:p>
    <w:p w14:paraId="00000016" w14:textId="77777777" w:rsidR="003B1EE7" w:rsidRDefault="00000000">
      <w:pPr>
        <w:spacing w:line="360" w:lineRule="auto"/>
        <w:jc w:val="both"/>
      </w:pPr>
      <w:r>
        <w:rPr>
          <w:rFonts w:ascii="Times New Roman" w:eastAsia="Times New Roman" w:hAnsi="Times New Roman" w:cs="Times New Roman"/>
          <w:sz w:val="24"/>
          <w:szCs w:val="24"/>
        </w:rPr>
        <w:t>Community engagement is one of the most critical practices which is essential to ensure that people can properly engage in different types of activities. The role of a community engagement practitioner is very important in an event because it is impossible to engage the audience in an work until the people that would be kept in the work are properly engaged. The role of a community engagement practitioner is very crucial. This study will showcase in Birmingham commonwealth the ways through which the audience cuckold has been engaged in the practices (</w:t>
      </w:r>
      <w:proofErr w:type="spellStart"/>
      <w:r>
        <w:rPr>
          <w:rFonts w:ascii="Times New Roman" w:eastAsia="Times New Roman" w:hAnsi="Times New Roman" w:cs="Times New Roman"/>
          <w:sz w:val="24"/>
          <w:szCs w:val="24"/>
        </w:rPr>
        <w:t>birmingham2022</w:t>
      </w:r>
      <w:proofErr w:type="spellEnd"/>
      <w:r>
        <w:rPr>
          <w:rFonts w:ascii="Times New Roman" w:eastAsia="Times New Roman" w:hAnsi="Times New Roman" w:cs="Times New Roman"/>
          <w:sz w:val="24"/>
          <w:szCs w:val="24"/>
        </w:rPr>
        <w:t xml:space="preserve">, 2022). The study will also examine the different ways people acne is given the best service in the work. It will be also explained in the study what factors would allow people to also improve the way they can engage in their work. The different tactics of the community engagement practitioner will also be shown in the study. </w:t>
      </w:r>
    </w:p>
    <w:p w14:paraId="00000017" w14:textId="77777777" w:rsidR="003B1EE7" w:rsidRDefault="00000000">
      <w:pPr>
        <w:pStyle w:val="Heading2"/>
      </w:pPr>
      <w:bookmarkStart w:id="1" w:name="_heading=h.1fob9te" w:colFirst="0" w:colLast="0"/>
      <w:bookmarkEnd w:id="1"/>
      <w:r>
        <w:t xml:space="preserve">Best practices that were adhered to including community engagement principles </w:t>
      </w:r>
    </w:p>
    <w:p w14:paraId="00000018" w14:textId="77777777" w:rsidR="003B1E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important thing that is needed to ensure that the community can be properly kept engaged is by ensuring that the people that will be coming in the event and their local needs are understood. It is very important for practitioners to ensure that they have a good understanding of the needs of the local people. It is very important because until the need of the local people is understood and what is their culture is understood it is not possible for the practitioner to engage the community that he is trying to invite. As per the view of Gilmore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need of the hour is to also ensure that the people who would be coming to the commonwealth must be given the necessary fasciitis as well. Direct service star is another great way through which the community can be kept engaged in the programs. The direct services include different practices like giving them important services that are going to help them improve as well. The design and delivery should also be very clear in the process. As per the view of Marston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is very important that the people who have to be engaged in the community and the programs must be given the best possible services and their different needs shall be taken care of. The local and regional need shave to be also fulfilled. It is very important that the people who will be given the service must be given the best possible service like they must be given local products. </w:t>
      </w:r>
      <w:proofErr w:type="spellStart"/>
      <w:r>
        <w:rPr>
          <w:rFonts w:ascii="Times New Roman" w:eastAsia="Times New Roman" w:hAnsi="Times New Roman" w:cs="Times New Roman"/>
          <w:sz w:val="24"/>
          <w:szCs w:val="24"/>
        </w:rPr>
        <w:t>Ther</w:t>
      </w:r>
      <w:proofErr w:type="spellEnd"/>
      <w:r>
        <w:rPr>
          <w:rFonts w:ascii="Times New Roman" w:eastAsia="Times New Roman" w:hAnsi="Times New Roman" w:cs="Times New Roman"/>
          <w:sz w:val="24"/>
          <w:szCs w:val="24"/>
        </w:rPr>
        <w:t xml:space="preserve"> e culture must be shown in the program. This shows that their culture is being respected. This is a very useful way through which it will be possible to keep the community engaged in the work. As per the view of David-Chavez </w:t>
      </w:r>
      <w:r>
        <w:rPr>
          <w:rFonts w:ascii="Times New Roman" w:eastAsia="Times New Roman" w:hAnsi="Times New Roman" w:cs="Times New Roman"/>
          <w:sz w:val="24"/>
          <w:szCs w:val="24"/>
        </w:rPr>
        <w:lastRenderedPageBreak/>
        <w:t xml:space="preserve">and Gavin (2018), An upper method to public making decisions is questioned by the emphasis on the life experiences of community people who are having a front seat and local knowledge inflecting decision-making processes. Public engagement disrupts the linear, and interaction between governmental bodies and communities and encourages positive, long-lasting change, among other things, through deliberation debate. In this approach, even if it doesn't directly affect policy decisions, public engagement is still significant because it could result in a fresh,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understanding that creates it.</w:t>
      </w:r>
    </w:p>
    <w:p w14:paraId="00000019" w14:textId="77777777" w:rsidR="003B1EE7" w:rsidRDefault="00000000">
      <w:pPr>
        <w:pStyle w:val="Heading2"/>
      </w:pPr>
      <w:bookmarkStart w:id="2" w:name="_heading=h.3znysh7" w:colFirst="0" w:colLast="0"/>
      <w:bookmarkEnd w:id="2"/>
      <w:r>
        <w:t xml:space="preserve">Relationship between the stakeholders and the strategies suitable for engaging them </w:t>
      </w:r>
    </w:p>
    <w:p w14:paraId="0000001A" w14:textId="77777777" w:rsidR="003B1E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stakeholders that are to be found in the event of commonwealth quill be the general public, the bureaucrats, the government officials and the agents of different countries. The best way to engage them is to present the local and national culture of each and every country. It is very important to ensure that the people are also given the best possible services in the process. The people who have to be engaged must also be given a very good and warm welcome. This is the most effective and essential way to ensure that people can be kept engaged. It is also essential in the process that everyone who has to be engaged must also be given good services in the process. As per the view of </w:t>
      </w:r>
      <w:proofErr w:type="spellStart"/>
      <w:r>
        <w:rPr>
          <w:rFonts w:ascii="Times New Roman" w:eastAsia="Times New Roman" w:hAnsi="Times New Roman" w:cs="Times New Roman"/>
          <w:sz w:val="24"/>
          <w:szCs w:val="24"/>
        </w:rPr>
        <w:t>Adhikari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is not possible to engage the community until they are also provided with the necessary goods that will help them to remain happy. The fact must be also noted that everyone in the Birmingham commonwealth must be also given the necessary food and hygienic services. There should be a big screen where they can see the games on the tv for those who are sitting far. The proper service like health equipment for the old people must also be there. This is one of the most effective ways through which the community can be kept engaged. The areas that it has to be most responsive are around the people that are living next to the people. There must also be built authentic communication through which it will be possible to ensure that the people who are coming to the event must be given good services. The old people who will be coming to the event must be given good health services (World Health Organization, 2019). The place for sitting and the crowd management must also be very good. Social media must also be used by people and through this it would be responsible to ensure that the people who will be coming to the event must be informed that what are the different services that they will get. The use of different social media platforms and the social media influencer can also be taken. This would allow the practitioner to spread the news of the vent. As per the view of Reynolds and </w:t>
      </w:r>
      <w:proofErr w:type="spellStart"/>
      <w:r>
        <w:rPr>
          <w:rFonts w:ascii="Times New Roman" w:eastAsia="Times New Roman" w:hAnsi="Times New Roman" w:cs="Times New Roman"/>
          <w:sz w:val="24"/>
          <w:szCs w:val="24"/>
        </w:rPr>
        <w:lastRenderedPageBreak/>
        <w:t>Sariola</w:t>
      </w:r>
      <w:proofErr w:type="spellEnd"/>
      <w:r>
        <w:rPr>
          <w:rFonts w:ascii="Times New Roman" w:eastAsia="Times New Roman" w:hAnsi="Times New Roman" w:cs="Times New Roman"/>
          <w:sz w:val="24"/>
          <w:szCs w:val="24"/>
        </w:rPr>
        <w:t xml:space="preserve"> (2018), This is the most effective way through which the people that would be visiting the community can be engaged. A space where members of the public may engage is necessary. They need a place where they may freely discuss their feelings and aspirations. Individuals won't feel like they are a member of a community if they solely communicate and interact, which is why it is not ideal to do so. People enjoy talking about their interests, and providing a space where your online world can do so develops a strong sense of belonging.</w:t>
      </w:r>
    </w:p>
    <w:p w14:paraId="0000001B" w14:textId="77777777" w:rsidR="003B1EE7" w:rsidRDefault="00000000">
      <w:pPr>
        <w:pStyle w:val="Heading2"/>
      </w:pPr>
      <w:bookmarkStart w:id="3" w:name="_heading=h.2et92p0" w:colFirst="0" w:colLast="0"/>
      <w:bookmarkEnd w:id="3"/>
      <w:r>
        <w:t xml:space="preserve">Why the community engagement practitioner needs to adopt a forward-looking approach </w:t>
      </w:r>
    </w:p>
    <w:p w14:paraId="0000001C" w14:textId="77777777" w:rsidR="003B1E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forward-looking approach is one of the most important things that must be present in the community engagement practitioner due to the fact that it would allow the people to ensure that they can effectively improve the way they can build their relationships. It shall be noted that in the process it is very important that there shall be adopted good ways through which the people and the different event viewers are kept properly in the task. As per the view of </w:t>
      </w:r>
      <w:proofErr w:type="spellStart"/>
      <w:r>
        <w:rPr>
          <w:rFonts w:ascii="Times New Roman" w:eastAsia="Times New Roman" w:hAnsi="Times New Roman" w:cs="Times New Roman"/>
          <w:sz w:val="24"/>
          <w:szCs w:val="24"/>
        </w:rPr>
        <w:t>Boiral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This is very important because without the same the people cannot be kept engaged in the work. While public participation can be beneficial, it may be hard for practitioners to ensure public participation. The practitioners have a variety of tactics and strategies at their disposal to help them find their path to actively engaging. These technologies make it easier for the planner to participate fully in the planning stage. Informing the population, which is one of these stages, is primary involvement. Free events, social media, classic media, print materials, and public meetings are just a few ways to inform people. A common tactic for gathering people together to work on a particular topic is to hold a public meeting. It gives a community one chance to unite numerous stakeholders for a specific objective. As per the view of McElfish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first task of such a planner throughout the participatory process is to inform the locals of any prospective changes and welcome and encourage them to participate in the process. It isn't really a stage where the general public will take part. However, it is an indispensable step that makes them ready to participate in the process later on. This phase's objectives are to inform the public about the problems and increase community awareness of them. As per the view of </w:t>
      </w:r>
      <w:proofErr w:type="spellStart"/>
      <w:r>
        <w:rPr>
          <w:rFonts w:ascii="Times New Roman" w:eastAsia="Times New Roman" w:hAnsi="Times New Roman" w:cs="Times New Roman"/>
          <w:sz w:val="24"/>
          <w:szCs w:val="24"/>
        </w:rPr>
        <w:t>Ceasar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To reduce (or, ideally, eliminate) any danger of leaving out historically disadvantaged and </w:t>
      </w:r>
      <w:proofErr w:type="spellStart"/>
      <w:r>
        <w:rPr>
          <w:rFonts w:ascii="Times New Roman" w:eastAsia="Times New Roman" w:hAnsi="Times New Roman" w:cs="Times New Roman"/>
          <w:sz w:val="24"/>
          <w:szCs w:val="24"/>
        </w:rPr>
        <w:t>marginalised</w:t>
      </w:r>
      <w:proofErr w:type="spellEnd"/>
      <w:r>
        <w:rPr>
          <w:rFonts w:ascii="Times New Roman" w:eastAsia="Times New Roman" w:hAnsi="Times New Roman" w:cs="Times New Roman"/>
          <w:sz w:val="24"/>
          <w:szCs w:val="24"/>
        </w:rPr>
        <w:t xml:space="preserve"> groups from the process, equity and inclusion must be thoroughly studied and promoted at this point. These things that have been discussed can only happen when there is the right way to engage the </w:t>
      </w:r>
      <w:r>
        <w:rPr>
          <w:rFonts w:ascii="Times New Roman" w:eastAsia="Times New Roman" w:hAnsi="Times New Roman" w:cs="Times New Roman"/>
          <w:sz w:val="24"/>
          <w:szCs w:val="24"/>
        </w:rPr>
        <w:lastRenderedPageBreak/>
        <w:t>people. It shall also be noted that the need of the hour is to ensure that these things are happening properly to engage the people. This will happen when a forward-looking approach is properly adopted by the people so that they would be able to ensure that the people are able to to ensure that they can live properly.  Engaging communities successfully may increase social capital, community empowerment, health status, and health inequities.</w:t>
      </w:r>
    </w:p>
    <w:p w14:paraId="0000001D" w14:textId="77777777" w:rsidR="003B1E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in health care has been debated and explored for decades.  Engaging communities successfully may increase social capital, community empowerment, health status, and health inequities.   Community engagement is widely accepted in principle and practice, but it faces several structural and practical obstacles to its implementation (King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 2019).   Community participation initiatives have minimal evidence of improving intermediate and long-term results, including health outcomes.  Despite its universal health benefits, community engagement research has concentrated on low- and middle-income nations.  This systematic review examines community engagement and participation from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outcomes studies in high and upper-middle-income countries to fill this gap.</w:t>
      </w:r>
    </w:p>
    <w:p w14:paraId="0000001E" w14:textId="77777777" w:rsidR="003B1EE7" w:rsidRDefault="00000000">
      <w:pPr>
        <w:pStyle w:val="Heading1"/>
      </w:pPr>
      <w:bookmarkStart w:id="4" w:name="_heading=h.tyjcwt" w:colFirst="0" w:colLast="0"/>
      <w:bookmarkEnd w:id="4"/>
      <w:r>
        <w:t xml:space="preserve">Conclusion </w:t>
      </w:r>
    </w:p>
    <w:p w14:paraId="0000001F" w14:textId="77777777" w:rsidR="003B1E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study has shown that what are the best ways through which it will be possible to ensure that people can be kept engaged in the vent. The community engagement practices that are to be adopted by the practitioner must also be understood. It shall be noted in the process that everything that has to be done to ensure everyone in the event has to be properly engaged has been also shown. The study has also shown that there has been also given the best practice through which it will be possible to improve the lives of the community has been shown. The techniques that have been needed for keeping the people engage </w:t>
      </w:r>
      <w:proofErr w:type="spellStart"/>
      <w:r>
        <w:rPr>
          <w:rFonts w:ascii="Times New Roman" w:eastAsia="Times New Roman" w:hAnsi="Times New Roman" w:cs="Times New Roman"/>
          <w:sz w:val="24"/>
          <w:szCs w:val="24"/>
        </w:rPr>
        <w:t>dhas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alos</w:t>
      </w:r>
      <w:proofErr w:type="spellEnd"/>
      <w:r>
        <w:rPr>
          <w:rFonts w:ascii="Times New Roman" w:eastAsia="Times New Roman" w:hAnsi="Times New Roman" w:cs="Times New Roman"/>
          <w:sz w:val="24"/>
          <w:szCs w:val="24"/>
        </w:rPr>
        <w:t xml:space="preserve"> been shown in the study. The following study has also exhibited what will be the best way through which a forward-looking strategy has to be adopted by the people. The study has also examined how people can be kept engaged. The study has been useful to also understand that what is the way through which community practitioners can be kept forward-looking and what is the way through which they can be kept forward-looking approach for themselves. This will be the most essential way through which this study has been very useful. The following study has also shown that what are the ways through which people can be able to engage themselves in the different events and events of the commonwealth. </w:t>
      </w:r>
      <w:r>
        <w:br w:type="page"/>
      </w:r>
    </w:p>
    <w:p w14:paraId="00000020" w14:textId="77777777" w:rsidR="003B1EE7" w:rsidRDefault="00000000">
      <w:pPr>
        <w:pStyle w:val="Heading1"/>
      </w:pPr>
      <w:bookmarkStart w:id="5" w:name="_heading=h.3dy6vkm" w:colFirst="0" w:colLast="0"/>
      <w:bookmarkEnd w:id="5"/>
      <w:r>
        <w:lastRenderedPageBreak/>
        <w:t>References</w:t>
      </w:r>
    </w:p>
    <w:p w14:paraId="00000021" w14:textId="77777777" w:rsidR="003B1EE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Adhikari</w:t>
      </w:r>
      <w:proofErr w:type="spellEnd"/>
      <w:r>
        <w:rPr>
          <w:rFonts w:ascii="Times New Roman" w:eastAsia="Times New Roman" w:hAnsi="Times New Roman" w:cs="Times New Roman"/>
          <w:sz w:val="24"/>
          <w:szCs w:val="24"/>
        </w:rPr>
        <w:t xml:space="preserve">, B., Vincent, R., Wong, G., </w:t>
      </w:r>
      <w:proofErr w:type="spellStart"/>
      <w:r>
        <w:rPr>
          <w:rFonts w:ascii="Times New Roman" w:eastAsia="Times New Roman" w:hAnsi="Times New Roman" w:cs="Times New Roman"/>
          <w:sz w:val="24"/>
          <w:szCs w:val="24"/>
        </w:rPr>
        <w:t>Duddy</w:t>
      </w:r>
      <w:proofErr w:type="spellEnd"/>
      <w:r>
        <w:rPr>
          <w:rFonts w:ascii="Times New Roman" w:eastAsia="Times New Roman" w:hAnsi="Times New Roman" w:cs="Times New Roman"/>
          <w:sz w:val="24"/>
          <w:szCs w:val="24"/>
        </w:rPr>
        <w:t xml:space="preserve">, C., Richardson, E., </w:t>
      </w:r>
      <w:proofErr w:type="spellStart"/>
      <w:r>
        <w:rPr>
          <w:rFonts w:ascii="Times New Roman" w:eastAsia="Times New Roman" w:hAnsi="Times New Roman" w:cs="Times New Roman"/>
          <w:sz w:val="24"/>
          <w:szCs w:val="24"/>
        </w:rPr>
        <w:t>Lavery</w:t>
      </w:r>
      <w:proofErr w:type="spellEnd"/>
      <w:r>
        <w:rPr>
          <w:rFonts w:ascii="Times New Roman" w:eastAsia="Times New Roman" w:hAnsi="Times New Roman" w:cs="Times New Roman"/>
          <w:sz w:val="24"/>
          <w:szCs w:val="24"/>
        </w:rPr>
        <w:t xml:space="preserve">, J.V. and </w:t>
      </w:r>
      <w:proofErr w:type="spellStart"/>
      <w:r>
        <w:rPr>
          <w:rFonts w:ascii="Times New Roman" w:eastAsia="Times New Roman" w:hAnsi="Times New Roman" w:cs="Times New Roman"/>
          <w:sz w:val="24"/>
          <w:szCs w:val="24"/>
        </w:rPr>
        <w:t>Molyneux</w:t>
      </w:r>
      <w:proofErr w:type="spellEnd"/>
      <w:r>
        <w:rPr>
          <w:rFonts w:ascii="Times New Roman" w:eastAsia="Times New Roman" w:hAnsi="Times New Roman" w:cs="Times New Roman"/>
          <w:sz w:val="24"/>
          <w:szCs w:val="24"/>
        </w:rPr>
        <w:t xml:space="preserve">, S., 2019. A realist review of community engagement with health research. </w:t>
      </w:r>
      <w:r>
        <w:rPr>
          <w:rFonts w:ascii="Times New Roman" w:eastAsia="Times New Roman" w:hAnsi="Times New Roman" w:cs="Times New Roman"/>
          <w:i/>
          <w:sz w:val="24"/>
          <w:szCs w:val="24"/>
        </w:rPr>
        <w:t>Wellcome open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w:t>
      </w:r>
    </w:p>
    <w:p w14:paraId="00000022" w14:textId="77777777" w:rsidR="003B1EE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Boiral</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Heras-Saizarbitoria</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Brotherton</w:t>
      </w:r>
      <w:proofErr w:type="spellEnd"/>
      <w:r>
        <w:rPr>
          <w:rFonts w:ascii="Times New Roman" w:eastAsia="Times New Roman" w:hAnsi="Times New Roman" w:cs="Times New Roman"/>
          <w:sz w:val="24"/>
          <w:szCs w:val="24"/>
        </w:rPr>
        <w:t xml:space="preserve">, M.C., 2019. Corporate sustainability and indigenous community engagement in the extractive industry.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235</w:t>
      </w:r>
      <w:r>
        <w:rPr>
          <w:rFonts w:ascii="Times New Roman" w:eastAsia="Times New Roman" w:hAnsi="Times New Roman" w:cs="Times New Roman"/>
          <w:sz w:val="24"/>
          <w:szCs w:val="24"/>
        </w:rPr>
        <w:t>, pp.701-711.</w:t>
      </w:r>
    </w:p>
    <w:p w14:paraId="00000023"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Birmingham2022. (2022).</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https://www.birmingham2022.com/</w:t>
        </w:r>
      </w:hyperlink>
      <w:r>
        <w:rPr>
          <w:rFonts w:ascii="Times New Roman" w:eastAsia="Times New Roman" w:hAnsi="Times New Roman" w:cs="Times New Roman"/>
          <w:sz w:val="24"/>
          <w:szCs w:val="24"/>
        </w:rPr>
        <w:t xml:space="preserve"> (accessed on 25th November, 20220)</w:t>
      </w:r>
    </w:p>
    <w:p w14:paraId="00000024" w14:textId="77777777" w:rsidR="003B1EE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Ceasar</w:t>
      </w:r>
      <w:proofErr w:type="spellEnd"/>
      <w:r>
        <w:rPr>
          <w:rFonts w:ascii="Times New Roman" w:eastAsia="Times New Roman" w:hAnsi="Times New Roman" w:cs="Times New Roman"/>
          <w:sz w:val="24"/>
          <w:szCs w:val="24"/>
        </w:rPr>
        <w:t xml:space="preserve">, J.N., Claudel, S.E., Andrews, M.R., </w:t>
      </w:r>
      <w:proofErr w:type="spellStart"/>
      <w:r>
        <w:rPr>
          <w:rFonts w:ascii="Times New Roman" w:eastAsia="Times New Roman" w:hAnsi="Times New Roman" w:cs="Times New Roman"/>
          <w:sz w:val="24"/>
          <w:szCs w:val="24"/>
        </w:rPr>
        <w:t>Tamura</w:t>
      </w:r>
      <w:proofErr w:type="spellEnd"/>
      <w:r>
        <w:rPr>
          <w:rFonts w:ascii="Times New Roman" w:eastAsia="Times New Roman" w:hAnsi="Times New Roman" w:cs="Times New Roman"/>
          <w:sz w:val="24"/>
          <w:szCs w:val="24"/>
        </w:rPr>
        <w:t xml:space="preserve">, K., Mitchell, V., Brooks, A.T., Dodge, T., </w:t>
      </w:r>
      <w:proofErr w:type="spellStart"/>
      <w:r>
        <w:rPr>
          <w:rFonts w:ascii="Times New Roman" w:eastAsia="Times New Roman" w:hAnsi="Times New Roman" w:cs="Times New Roman"/>
          <w:sz w:val="24"/>
          <w:szCs w:val="24"/>
        </w:rPr>
        <w:t>El-Toukhy</w:t>
      </w:r>
      <w:proofErr w:type="spellEnd"/>
      <w:r>
        <w:rPr>
          <w:rFonts w:ascii="Times New Roman" w:eastAsia="Times New Roman" w:hAnsi="Times New Roman" w:cs="Times New Roman"/>
          <w:sz w:val="24"/>
          <w:szCs w:val="24"/>
        </w:rPr>
        <w:t xml:space="preserve">, S., Farmer, N., Middleton, K. and </w:t>
      </w:r>
      <w:proofErr w:type="spellStart"/>
      <w:r>
        <w:rPr>
          <w:rFonts w:ascii="Times New Roman" w:eastAsia="Times New Roman" w:hAnsi="Times New Roman" w:cs="Times New Roman"/>
          <w:sz w:val="24"/>
          <w:szCs w:val="24"/>
        </w:rPr>
        <w:t>Sabado-Liwag</w:t>
      </w:r>
      <w:proofErr w:type="spellEnd"/>
      <w:r>
        <w:rPr>
          <w:rFonts w:ascii="Times New Roman" w:eastAsia="Times New Roman" w:hAnsi="Times New Roman" w:cs="Times New Roman"/>
          <w:sz w:val="24"/>
          <w:szCs w:val="24"/>
        </w:rPr>
        <w:t xml:space="preserve">, M., 2019. Community engagement in the development of an mHealth-enabled physical activity and cardiovascular health intervention (Step It Up): pilot focus group study. </w:t>
      </w:r>
      <w:r>
        <w:rPr>
          <w:rFonts w:ascii="Times New Roman" w:eastAsia="Times New Roman" w:hAnsi="Times New Roman" w:cs="Times New Roman"/>
          <w:i/>
          <w:sz w:val="24"/>
          <w:szCs w:val="24"/>
        </w:rPr>
        <w:t>JMIR formative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p.e1094</w:t>
      </w:r>
    </w:p>
    <w:p w14:paraId="00000025"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David-Chavez, D.M. and Gavin, M.C., 2018. A global assessment of Indigenous community engagement in climate research. </w:t>
      </w:r>
      <w:r>
        <w:rPr>
          <w:rFonts w:ascii="Times New Roman" w:eastAsia="Times New Roman" w:hAnsi="Times New Roman" w:cs="Times New Roman"/>
          <w:i/>
          <w:sz w:val="24"/>
          <w:szCs w:val="24"/>
        </w:rPr>
        <w:t>Environmental Research Letters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(12), p.123005.</w:t>
      </w:r>
    </w:p>
    <w:p w14:paraId="00000026"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Gilmore, B., </w:t>
      </w:r>
      <w:proofErr w:type="spellStart"/>
      <w:r>
        <w:rPr>
          <w:rFonts w:ascii="Times New Roman" w:eastAsia="Times New Roman" w:hAnsi="Times New Roman" w:cs="Times New Roman"/>
          <w:sz w:val="24"/>
          <w:szCs w:val="24"/>
        </w:rPr>
        <w:t>Ndejjo</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Tchetchia</w:t>
      </w:r>
      <w:proofErr w:type="spellEnd"/>
      <w:r>
        <w:rPr>
          <w:rFonts w:ascii="Times New Roman" w:eastAsia="Times New Roman" w:hAnsi="Times New Roman" w:cs="Times New Roman"/>
          <w:sz w:val="24"/>
          <w:szCs w:val="24"/>
        </w:rPr>
        <w:t xml:space="preserve">, A., De </w:t>
      </w:r>
      <w:proofErr w:type="spellStart"/>
      <w:r>
        <w:rPr>
          <w:rFonts w:ascii="Times New Roman" w:eastAsia="Times New Roman" w:hAnsi="Times New Roman" w:cs="Times New Roman"/>
          <w:sz w:val="24"/>
          <w:szCs w:val="24"/>
        </w:rPr>
        <w:t>Claro</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Mago</w:t>
      </w:r>
      <w:proofErr w:type="spellEnd"/>
      <w:r>
        <w:rPr>
          <w:rFonts w:ascii="Times New Roman" w:eastAsia="Times New Roman" w:hAnsi="Times New Roman" w:cs="Times New Roman"/>
          <w:sz w:val="24"/>
          <w:szCs w:val="24"/>
        </w:rPr>
        <w:t xml:space="preserve">, E., Lopes, C., and </w:t>
      </w:r>
      <w:proofErr w:type="spellStart"/>
      <w:r>
        <w:rPr>
          <w:rFonts w:ascii="Times New Roman" w:eastAsia="Times New Roman" w:hAnsi="Times New Roman" w:cs="Times New Roman"/>
          <w:sz w:val="24"/>
          <w:szCs w:val="24"/>
        </w:rPr>
        <w:t>Bhattacharyya</w:t>
      </w:r>
      <w:proofErr w:type="spellEnd"/>
      <w:r>
        <w:rPr>
          <w:rFonts w:ascii="Times New Roman" w:eastAsia="Times New Roman" w:hAnsi="Times New Roman" w:cs="Times New Roman"/>
          <w:sz w:val="24"/>
          <w:szCs w:val="24"/>
        </w:rPr>
        <w:t xml:space="preserve">, S. 2020. Community engagement for COVID-19 prevention and control: a rapid evidence synthesis. </w:t>
      </w:r>
      <w:r>
        <w:rPr>
          <w:rFonts w:ascii="Times New Roman" w:eastAsia="Times New Roman" w:hAnsi="Times New Roman" w:cs="Times New Roman"/>
          <w:i/>
          <w:sz w:val="24"/>
          <w:szCs w:val="24"/>
        </w:rPr>
        <w:t>BMJ global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(10), e003188.</w:t>
      </w:r>
    </w:p>
    <w:p w14:paraId="00000027"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King, A.C., </w:t>
      </w:r>
      <w:proofErr w:type="spellStart"/>
      <w:r>
        <w:rPr>
          <w:rFonts w:ascii="Times New Roman" w:eastAsia="Times New Roman" w:hAnsi="Times New Roman" w:cs="Times New Roman"/>
          <w:sz w:val="24"/>
          <w:szCs w:val="24"/>
        </w:rPr>
        <w:t>Odunitan-Wayas</w:t>
      </w:r>
      <w:proofErr w:type="spellEnd"/>
      <w:r>
        <w:rPr>
          <w:rFonts w:ascii="Times New Roman" w:eastAsia="Times New Roman" w:hAnsi="Times New Roman" w:cs="Times New Roman"/>
          <w:sz w:val="24"/>
          <w:szCs w:val="24"/>
        </w:rPr>
        <w:t xml:space="preserve">, F.A., </w:t>
      </w:r>
      <w:proofErr w:type="spellStart"/>
      <w:r>
        <w:rPr>
          <w:rFonts w:ascii="Times New Roman" w:eastAsia="Times New Roman" w:hAnsi="Times New Roman" w:cs="Times New Roman"/>
          <w:sz w:val="24"/>
          <w:szCs w:val="24"/>
        </w:rPr>
        <w:t>Chaudhury</w:t>
      </w:r>
      <w:proofErr w:type="spellEnd"/>
      <w:r>
        <w:rPr>
          <w:rFonts w:ascii="Times New Roman" w:eastAsia="Times New Roman" w:hAnsi="Times New Roman" w:cs="Times New Roman"/>
          <w:sz w:val="24"/>
          <w:szCs w:val="24"/>
        </w:rPr>
        <w:t xml:space="preserve">, M., Rubio, M.A., </w:t>
      </w:r>
      <w:proofErr w:type="spellStart"/>
      <w:r>
        <w:rPr>
          <w:rFonts w:ascii="Times New Roman" w:eastAsia="Times New Roman" w:hAnsi="Times New Roman" w:cs="Times New Roman"/>
          <w:sz w:val="24"/>
          <w:szCs w:val="24"/>
        </w:rPr>
        <w:t>Baiocchi</w:t>
      </w:r>
      <w:proofErr w:type="spellEnd"/>
      <w:r>
        <w:rPr>
          <w:rFonts w:ascii="Times New Roman" w:eastAsia="Times New Roman" w:hAnsi="Times New Roman" w:cs="Times New Roman"/>
          <w:sz w:val="24"/>
          <w:szCs w:val="24"/>
        </w:rPr>
        <w:t xml:space="preserve">, M., Kolbe-Alexander, T., Montes, F., </w:t>
      </w:r>
      <w:proofErr w:type="spellStart"/>
      <w:r>
        <w:rPr>
          <w:rFonts w:ascii="Times New Roman" w:eastAsia="Times New Roman" w:hAnsi="Times New Roman" w:cs="Times New Roman"/>
          <w:sz w:val="24"/>
          <w:szCs w:val="24"/>
        </w:rPr>
        <w:t>Banchoff</w:t>
      </w:r>
      <w:proofErr w:type="spellEnd"/>
      <w:r>
        <w:rPr>
          <w:rFonts w:ascii="Times New Roman" w:eastAsia="Times New Roman" w:hAnsi="Times New Roman" w:cs="Times New Roman"/>
          <w:sz w:val="24"/>
          <w:szCs w:val="24"/>
        </w:rPr>
        <w:t xml:space="preserve">, A., Sarmiento, O.L., </w:t>
      </w:r>
      <w:proofErr w:type="spellStart"/>
      <w:r>
        <w:rPr>
          <w:rFonts w:ascii="Times New Roman" w:eastAsia="Times New Roman" w:hAnsi="Times New Roman" w:cs="Times New Roman"/>
          <w:sz w:val="24"/>
          <w:szCs w:val="24"/>
        </w:rPr>
        <w:t>Bälter</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Hinckson</w:t>
      </w:r>
      <w:proofErr w:type="spellEnd"/>
      <w:r>
        <w:rPr>
          <w:rFonts w:ascii="Times New Roman" w:eastAsia="Times New Roman" w:hAnsi="Times New Roman" w:cs="Times New Roman"/>
          <w:sz w:val="24"/>
          <w:szCs w:val="24"/>
        </w:rPr>
        <w:t>, E., 2021. Community-based approaches to reducing health inequities and fostering environmental justice through global youth-engaged citizen science. International Journal of Environmental Research and Public Health, 18(3), p.892.</w:t>
      </w:r>
    </w:p>
    <w:p w14:paraId="00000028"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Marston, C., </w:t>
      </w:r>
      <w:proofErr w:type="spellStart"/>
      <w:r>
        <w:rPr>
          <w:rFonts w:ascii="Times New Roman" w:eastAsia="Times New Roman" w:hAnsi="Times New Roman" w:cs="Times New Roman"/>
          <w:sz w:val="24"/>
          <w:szCs w:val="24"/>
        </w:rPr>
        <w:t>Renedo</w:t>
      </w:r>
      <w:proofErr w:type="spellEnd"/>
      <w:r>
        <w:rPr>
          <w:rFonts w:ascii="Times New Roman" w:eastAsia="Times New Roman" w:hAnsi="Times New Roman" w:cs="Times New Roman"/>
          <w:sz w:val="24"/>
          <w:szCs w:val="24"/>
        </w:rPr>
        <w:t xml:space="preserve">, A. and Miles, S., 2020. Community participation is crucial in a pandemic. </w:t>
      </w:r>
      <w:r>
        <w:rPr>
          <w:rFonts w:ascii="Times New Roman" w:eastAsia="Times New Roman" w:hAnsi="Times New Roman" w:cs="Times New Roman"/>
          <w:i/>
          <w:sz w:val="24"/>
          <w:szCs w:val="24"/>
        </w:rPr>
        <w:t>The Lancet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395</w:t>
      </w:r>
      <w:r>
        <w:rPr>
          <w:rFonts w:ascii="Times New Roman" w:eastAsia="Times New Roman" w:hAnsi="Times New Roman" w:cs="Times New Roman"/>
          <w:sz w:val="24"/>
          <w:szCs w:val="24"/>
        </w:rPr>
        <w:t>(10238), pp.1676-1678.</w:t>
      </w:r>
    </w:p>
    <w:p w14:paraId="00000029"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McElfish, P.A., </w:t>
      </w:r>
      <w:proofErr w:type="spellStart"/>
      <w:r>
        <w:rPr>
          <w:rFonts w:ascii="Times New Roman" w:eastAsia="Times New Roman" w:hAnsi="Times New Roman" w:cs="Times New Roman"/>
          <w:sz w:val="24"/>
          <w:szCs w:val="24"/>
        </w:rPr>
        <w:t>Cleek</w:t>
      </w:r>
      <w:proofErr w:type="spellEnd"/>
      <w:r>
        <w:rPr>
          <w:rFonts w:ascii="Times New Roman" w:eastAsia="Times New Roman" w:hAnsi="Times New Roman" w:cs="Times New Roman"/>
          <w:sz w:val="24"/>
          <w:szCs w:val="24"/>
        </w:rPr>
        <w:t xml:space="preserve">, A.B., Willis, D.E., Purvis, R.S. and James, L.P., 2021. Leveraging community engagement capacity to address COVID-19 disparities among Pacific Islander and Latinx Communities in Arkansas. </w:t>
      </w:r>
      <w:r>
        <w:rPr>
          <w:rFonts w:ascii="Times New Roman" w:eastAsia="Times New Roman" w:hAnsi="Times New Roman" w:cs="Times New Roman"/>
          <w:i/>
          <w:sz w:val="24"/>
          <w:szCs w:val="24"/>
        </w:rPr>
        <w:t>Journal of Clinical and Translational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(1).</w:t>
      </w:r>
    </w:p>
    <w:p w14:paraId="0000002A"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Reynolds, L. and </w:t>
      </w:r>
      <w:proofErr w:type="spellStart"/>
      <w:r>
        <w:rPr>
          <w:rFonts w:ascii="Times New Roman" w:eastAsia="Times New Roman" w:hAnsi="Times New Roman" w:cs="Times New Roman"/>
          <w:sz w:val="24"/>
          <w:szCs w:val="24"/>
        </w:rPr>
        <w:t>Sariola</w:t>
      </w:r>
      <w:proofErr w:type="spellEnd"/>
      <w:r>
        <w:rPr>
          <w:rFonts w:ascii="Times New Roman" w:eastAsia="Times New Roman" w:hAnsi="Times New Roman" w:cs="Times New Roman"/>
          <w:sz w:val="24"/>
          <w:szCs w:val="24"/>
        </w:rPr>
        <w:t xml:space="preserve">, S., 2018. The ethics and politics of community engagement in global health research. </w:t>
      </w:r>
      <w:r>
        <w:rPr>
          <w:rFonts w:ascii="Times New Roman" w:eastAsia="Times New Roman" w:hAnsi="Times New Roman" w:cs="Times New Roman"/>
          <w:i/>
          <w:sz w:val="24"/>
          <w:szCs w:val="24"/>
        </w:rPr>
        <w:t>Critical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w:t>
      </w:r>
      <w:r>
        <w:rPr>
          <w:rFonts w:ascii="Times New Roman" w:eastAsia="Times New Roman" w:hAnsi="Times New Roman" w:cs="Times New Roman"/>
          <w:sz w:val="24"/>
          <w:szCs w:val="24"/>
        </w:rPr>
        <w:t>(3), pp.257-268.</w:t>
      </w:r>
    </w:p>
    <w:p w14:paraId="0000002B" w14:textId="77777777" w:rsidR="003B1EE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Health Organization, 2019. Translating community research into global policy reform for national action: a checklist for community engagement to implement the WHO consolidated guideline on the sexual and reproductive health and rights of women living with HIV.</w:t>
      </w:r>
    </w:p>
    <w:p w14:paraId="0000002C" w14:textId="77777777" w:rsidR="003B1EE7" w:rsidRDefault="003B1EE7">
      <w:pPr>
        <w:spacing w:before="240" w:after="240" w:line="360" w:lineRule="auto"/>
        <w:jc w:val="both"/>
        <w:rPr>
          <w:rFonts w:ascii="Times New Roman" w:eastAsia="Times New Roman" w:hAnsi="Times New Roman" w:cs="Times New Roman"/>
          <w:sz w:val="24"/>
          <w:szCs w:val="24"/>
        </w:rPr>
      </w:pPr>
    </w:p>
    <w:sectPr w:rsidR="003B1EE7">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D7331" w14:textId="77777777" w:rsidR="0092639B" w:rsidRDefault="0092639B">
      <w:pPr>
        <w:spacing w:line="240" w:lineRule="auto"/>
      </w:pPr>
      <w:r>
        <w:separator/>
      </w:r>
    </w:p>
  </w:endnote>
  <w:endnote w:type="continuationSeparator" w:id="0">
    <w:p w14:paraId="065A58DF" w14:textId="77777777" w:rsidR="0092639B" w:rsidRDefault="009263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2667887"/>
      <w:docPartObj>
        <w:docPartGallery w:val="Page Numbers (Bottom of Page)"/>
        <w:docPartUnique/>
      </w:docPartObj>
    </w:sdtPr>
    <w:sdtContent>
      <w:p w14:paraId="1FA7C594" w14:textId="1595959D" w:rsidR="000716CA" w:rsidRDefault="000716CA" w:rsidP="00335A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C07F34" w14:textId="77777777" w:rsidR="000716CA" w:rsidRDefault="000716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6275084"/>
      <w:docPartObj>
        <w:docPartGallery w:val="Page Numbers (Bottom of Page)"/>
        <w:docPartUnique/>
      </w:docPartObj>
    </w:sdtPr>
    <w:sdtContent>
      <w:p w14:paraId="77AF1318" w14:textId="4A452A2E" w:rsidR="000716CA" w:rsidRDefault="000716CA" w:rsidP="00335A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00002D" w14:textId="379F5C92" w:rsidR="003B1EE7" w:rsidRDefault="003B1EE7">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p>
  <w:p w14:paraId="0000002E" w14:textId="77777777" w:rsidR="003B1EE7" w:rsidRDefault="003B1EE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B05B5" w14:textId="77777777" w:rsidR="0092639B" w:rsidRDefault="0092639B">
      <w:pPr>
        <w:spacing w:line="240" w:lineRule="auto"/>
      </w:pPr>
      <w:r>
        <w:separator/>
      </w:r>
    </w:p>
  </w:footnote>
  <w:footnote w:type="continuationSeparator" w:id="0">
    <w:p w14:paraId="025FCC2B" w14:textId="77777777" w:rsidR="0092639B" w:rsidRDefault="009263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EE7"/>
    <w:rsid w:val="00061DD6"/>
    <w:rsid w:val="000716CA"/>
    <w:rsid w:val="00374865"/>
    <w:rsid w:val="0039515E"/>
    <w:rsid w:val="003B1EE7"/>
    <w:rsid w:val="004C54FC"/>
    <w:rsid w:val="005628B2"/>
    <w:rsid w:val="006C13A6"/>
    <w:rsid w:val="006D4A0D"/>
    <w:rsid w:val="007470E9"/>
    <w:rsid w:val="00775962"/>
    <w:rsid w:val="007E107F"/>
    <w:rsid w:val="0092639B"/>
    <w:rsid w:val="00AA21D0"/>
    <w:rsid w:val="00AE5973"/>
    <w:rsid w:val="00C20882"/>
    <w:rsid w:val="00CE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4CE4F"/>
  <w15:docId w15:val="{8CD59990-42C0-7340-A1F3-5568408C9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56C8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A56C82"/>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56C8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6C82"/>
    <w:pPr>
      <w:spacing w:after="100"/>
    </w:pPr>
  </w:style>
  <w:style w:type="paragraph" w:styleId="TOC2">
    <w:name w:val="toc 2"/>
    <w:basedOn w:val="Normal"/>
    <w:next w:val="Normal"/>
    <w:autoRedefine/>
    <w:uiPriority w:val="39"/>
    <w:unhideWhenUsed/>
    <w:rsid w:val="00A56C82"/>
    <w:pPr>
      <w:spacing w:after="100"/>
      <w:ind w:left="220"/>
    </w:pPr>
  </w:style>
  <w:style w:type="character" w:styleId="Hyperlink">
    <w:name w:val="Hyperlink"/>
    <w:basedOn w:val="DefaultParagraphFont"/>
    <w:uiPriority w:val="99"/>
    <w:unhideWhenUsed/>
    <w:rsid w:val="00A56C82"/>
    <w:rPr>
      <w:color w:val="0000FF" w:themeColor="hyperlink"/>
      <w:u w:val="single"/>
    </w:rPr>
  </w:style>
  <w:style w:type="paragraph" w:styleId="Header">
    <w:name w:val="header"/>
    <w:basedOn w:val="Normal"/>
    <w:link w:val="HeaderChar"/>
    <w:uiPriority w:val="99"/>
    <w:unhideWhenUsed/>
    <w:rsid w:val="00A56C82"/>
    <w:pPr>
      <w:tabs>
        <w:tab w:val="center" w:pos="4680"/>
        <w:tab w:val="right" w:pos="9360"/>
      </w:tabs>
      <w:spacing w:line="240" w:lineRule="auto"/>
    </w:pPr>
  </w:style>
  <w:style w:type="character" w:customStyle="1" w:styleId="HeaderChar">
    <w:name w:val="Header Char"/>
    <w:basedOn w:val="DefaultParagraphFont"/>
    <w:link w:val="Header"/>
    <w:uiPriority w:val="99"/>
    <w:rsid w:val="00A56C82"/>
  </w:style>
  <w:style w:type="paragraph" w:styleId="Footer">
    <w:name w:val="footer"/>
    <w:basedOn w:val="Normal"/>
    <w:link w:val="FooterChar"/>
    <w:uiPriority w:val="99"/>
    <w:unhideWhenUsed/>
    <w:rsid w:val="00A56C82"/>
    <w:pPr>
      <w:tabs>
        <w:tab w:val="center" w:pos="4680"/>
        <w:tab w:val="right" w:pos="9360"/>
      </w:tabs>
      <w:spacing w:line="240" w:lineRule="auto"/>
    </w:pPr>
  </w:style>
  <w:style w:type="character" w:customStyle="1" w:styleId="FooterChar">
    <w:name w:val="Footer Char"/>
    <w:basedOn w:val="DefaultParagraphFont"/>
    <w:link w:val="Footer"/>
    <w:uiPriority w:val="99"/>
    <w:rsid w:val="00A56C82"/>
  </w:style>
  <w:style w:type="character" w:styleId="PageNumber">
    <w:name w:val="page number"/>
    <w:basedOn w:val="DefaultParagraphFont"/>
    <w:uiPriority w:val="99"/>
    <w:semiHidden/>
    <w:unhideWhenUsed/>
    <w:rsid w:val="0007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irmingham2022.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Fm6VQFIGxVwPk/kzKWdrbL3FIpw==">AMUW2mVZZfKhE7U+tJpp1aKN0Zk/xTs/DUECLnix1xKmPuOJvlP8WB2aMUedVWT8bofMYQNmDxYALic1HQrVSGVI/WeawqP9NUkRz0KL0b/lmhx19PtVRblCkltXjmVJCSdByiNboozX/rBRpz9PTAj/OtwGwnAsF8vnSRKJ5cnVObmwu/sLZEKpVxuZ6Hn/j6EZCZrxVH3B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2108</Words>
  <Characters>12021</Characters>
  <Application>Microsoft Office Word</Application>
  <DocSecurity>0</DocSecurity>
  <Lines>100</Lines>
  <Paragraphs>28</Paragraphs>
  <ScaleCrop>false</ScaleCrop>
  <Company/>
  <LinksUpToDate>false</LinksUpToDate>
  <CharactersWithSpaces>14101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15</cp:revision>
  <dcterms:created xsi:type="dcterms:W3CDTF">2022-11-25T11:47:00Z</dcterms:created>
  <dcterms:modified xsi:type="dcterms:W3CDTF">2022-12-02T18:37:00Z</dcterms:modified>
</cp:coreProperties>
</file>