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755C3" w14:textId="77777777" w:rsidR="00E00A07" w:rsidRPr="00975DEE" w:rsidRDefault="00E00A07" w:rsidP="00975DEE">
      <w:pPr>
        <w:rPr>
          <w:rFonts w:ascii="Arial" w:hAnsi="Arial" w:cs="Arial"/>
          <w:b/>
        </w:rPr>
      </w:pPr>
      <w:bookmarkStart w:id="0" w:name="_GoBack"/>
      <w:bookmarkEnd w:id="0"/>
    </w:p>
    <w:p w14:paraId="34BBD056" w14:textId="77777777" w:rsidR="00D608BB" w:rsidRPr="007427CA" w:rsidRDefault="00D608BB" w:rsidP="00D608BB">
      <w:pPr>
        <w:spacing w:line="360" w:lineRule="auto"/>
        <w:rPr>
          <w:rFonts w:asciiTheme="minorHAnsi" w:hAnsiTheme="minorHAnsi" w:cstheme="minorHAnsi"/>
          <w:b/>
          <w:u w:val="single"/>
        </w:rPr>
      </w:pPr>
      <w:r w:rsidRPr="007427CA">
        <w:rPr>
          <w:rFonts w:asciiTheme="minorHAnsi" w:hAnsiTheme="minorHAnsi" w:cstheme="minorHAnsi"/>
          <w:b/>
          <w:u w:val="single"/>
        </w:rPr>
        <w:t>Utilising the Entrecomp Framework, critically evaluate your own creativity and enterprise and consider how you might be able to develop the creative and enterprising skills of primary learners through your own pedagogy.</w:t>
      </w:r>
    </w:p>
    <w:p w14:paraId="2434485D" w14:textId="77777777" w:rsidR="00D608BB" w:rsidRPr="007427CA" w:rsidRDefault="00D608BB" w:rsidP="00D608BB">
      <w:pPr>
        <w:spacing w:line="360" w:lineRule="auto"/>
        <w:rPr>
          <w:rFonts w:asciiTheme="minorHAnsi" w:hAnsiTheme="minorHAnsi" w:cstheme="minorHAnsi"/>
          <w:b/>
          <w:u w:val="single"/>
        </w:rPr>
      </w:pPr>
    </w:p>
    <w:p w14:paraId="04C8D874"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The purposes of this essay are to firstly, through the use of the Entrecomp framework, critically evaluate the writer’s own creativity, as well as their own enterprising skills. The second aspect of this essay is to discuss how primary age learners can develop both their own creativity and enterprising skills through the use of the teacher’s pedagogy.</w:t>
      </w:r>
    </w:p>
    <w:p w14:paraId="28248441" w14:textId="77777777" w:rsidR="00D608BB" w:rsidRPr="007427CA" w:rsidRDefault="00D608BB" w:rsidP="00D608BB">
      <w:pPr>
        <w:spacing w:line="360" w:lineRule="auto"/>
        <w:rPr>
          <w:rFonts w:asciiTheme="minorHAnsi" w:hAnsiTheme="minorHAnsi" w:cstheme="minorHAnsi"/>
        </w:rPr>
      </w:pPr>
    </w:p>
    <w:p w14:paraId="1BF2683D" w14:textId="77777777" w:rsidR="00D608BB" w:rsidRPr="007427CA" w:rsidRDefault="00D608BB" w:rsidP="00D608BB">
      <w:pPr>
        <w:spacing w:line="360" w:lineRule="auto"/>
        <w:rPr>
          <w:rStyle w:val="Emphasis"/>
          <w:rFonts w:asciiTheme="minorHAnsi" w:hAnsiTheme="minorHAnsi" w:cstheme="minorHAnsi"/>
          <w:i w:val="0"/>
        </w:rPr>
      </w:pPr>
      <w:r w:rsidRPr="007427CA">
        <w:rPr>
          <w:rFonts w:asciiTheme="minorHAnsi" w:hAnsiTheme="minorHAnsi" w:cstheme="minorHAnsi"/>
        </w:rPr>
        <w:t xml:space="preserve">Firstly, we need to understand what exactly creativity is defined as. David Bohm (2004) states that creativity is impossible to define, however this has not stopped academics attempting to do so. According to the National Advisory Committee on Creative and Cultural Education (NACCCE) (1999, quoted in Grigg, 2015, p. 103) </w:t>
      </w:r>
      <w:r w:rsidRPr="007427CA">
        <w:rPr>
          <w:rFonts w:asciiTheme="minorHAnsi" w:hAnsiTheme="minorHAnsi" w:cstheme="minorHAnsi"/>
          <w:i/>
        </w:rPr>
        <w:t>“creativity is defined as ‘imaginative activity fashioned so as to produce outcomes that are both original and of value”.</w:t>
      </w:r>
      <w:r w:rsidRPr="007427CA">
        <w:rPr>
          <w:rFonts w:asciiTheme="minorHAnsi" w:hAnsiTheme="minorHAnsi" w:cstheme="minorHAnsi"/>
        </w:rPr>
        <w:t xml:space="preserve"> This definition of creativity is somewhat supported by Teresa Amabile who states “</w:t>
      </w:r>
      <w:r w:rsidRPr="007427CA">
        <w:rPr>
          <w:rStyle w:val="Emphasis"/>
          <w:rFonts w:asciiTheme="minorHAnsi" w:hAnsiTheme="minorHAnsi" w:cstheme="minorHAnsi"/>
        </w:rPr>
        <w:t>We identify creativity as essentially novelty that works. It has to be somehow feasible, workable, valuable, appropriate to a goal”</w:t>
      </w:r>
      <w:r w:rsidRPr="007427CA">
        <w:rPr>
          <w:rStyle w:val="Emphasis"/>
          <w:rFonts w:asciiTheme="minorHAnsi" w:hAnsiTheme="minorHAnsi" w:cstheme="minorHAnsi"/>
          <w:i w:val="0"/>
        </w:rPr>
        <w:t xml:space="preserve"> (Freakanomics, 2018). Despite sharing some similarities, the differences presented between these two definitions from the NACCCE and Amabile illustrate Bohm’s argument of how hard it can be to have a definite definition of what creativity is. For the purposes of this essay whenever talking about creativity it will be done so with the NACCCE’s definition of creativity in mind. </w:t>
      </w:r>
    </w:p>
    <w:p w14:paraId="3D95AF99" w14:textId="77777777" w:rsidR="00D608BB" w:rsidRPr="007427CA" w:rsidRDefault="00D608BB" w:rsidP="00D608BB">
      <w:pPr>
        <w:spacing w:line="360" w:lineRule="auto"/>
        <w:rPr>
          <w:rStyle w:val="Emphasis"/>
          <w:rFonts w:asciiTheme="minorHAnsi" w:hAnsiTheme="minorHAnsi" w:cstheme="minorHAnsi"/>
          <w:i w:val="0"/>
        </w:rPr>
      </w:pPr>
    </w:p>
    <w:p w14:paraId="327E4657" w14:textId="77777777" w:rsidR="00D608BB" w:rsidRPr="007427CA" w:rsidRDefault="00D608BB" w:rsidP="00D608BB">
      <w:pPr>
        <w:spacing w:line="360" w:lineRule="auto"/>
        <w:rPr>
          <w:rFonts w:asciiTheme="minorHAnsi" w:hAnsiTheme="minorHAnsi" w:cstheme="minorHAnsi"/>
          <w:shd w:val="clear" w:color="auto" w:fill="FFFFFF"/>
        </w:rPr>
      </w:pPr>
      <w:r w:rsidRPr="007427CA">
        <w:rPr>
          <w:rStyle w:val="Emphasis"/>
          <w:rFonts w:asciiTheme="minorHAnsi" w:hAnsiTheme="minorHAnsi" w:cstheme="minorHAnsi"/>
          <w:i w:val="0"/>
        </w:rPr>
        <w:t>Now that a definition of creativity has been decided upon, we next need to have an understanding as to what defines enterprise, as well as what defines enterprise skills. Firstly, it is important to known that enterprise and entrepreneurship are not the same thing. According to the Quality Assurance Agency for Higher Education (QAA) e</w:t>
      </w:r>
      <w:r w:rsidRPr="007427CA">
        <w:rPr>
          <w:rFonts w:asciiTheme="minorHAnsi" w:hAnsiTheme="minorHAnsi" w:cstheme="minorHAnsi"/>
        </w:rPr>
        <w:t xml:space="preserve">nterprise is defined as </w:t>
      </w:r>
      <w:r w:rsidRPr="007427CA">
        <w:rPr>
          <w:rFonts w:asciiTheme="minorHAnsi" w:hAnsiTheme="minorHAnsi" w:cstheme="minorHAnsi"/>
          <w:i/>
        </w:rPr>
        <w:t>“the generation and application of ideas, which are set within practical situations during a project or undertaking. This is a generic concept that can be applied across all areas of education and professional life.”</w:t>
      </w:r>
      <w:r w:rsidRPr="007427CA">
        <w:rPr>
          <w:rStyle w:val="Emphasis"/>
          <w:rFonts w:asciiTheme="minorHAnsi" w:hAnsiTheme="minorHAnsi" w:cstheme="minorHAnsi"/>
          <w:i w:val="0"/>
        </w:rPr>
        <w:t xml:space="preserve">  (Quality Assurance Agency for Higher Education, 2018). Whereas “</w:t>
      </w:r>
      <w:r w:rsidRPr="007427CA">
        <w:rPr>
          <w:rFonts w:asciiTheme="minorHAnsi" w:hAnsiTheme="minorHAnsi" w:cstheme="minorHAnsi"/>
          <w:i/>
          <w:shd w:val="clear" w:color="auto" w:fill="FFFFFF"/>
        </w:rPr>
        <w:t>entrepreneurship is just one subset of being enterprising – in that it is applying a broader set of enterprise skills to the particular challenges of setting up a business.”</w:t>
      </w:r>
      <w:r w:rsidRPr="007427CA">
        <w:rPr>
          <w:rStyle w:val="Emphasis"/>
          <w:rFonts w:asciiTheme="minorHAnsi" w:hAnsiTheme="minorHAnsi" w:cstheme="minorHAnsi"/>
        </w:rPr>
        <w:t xml:space="preserve"> </w:t>
      </w:r>
      <w:r w:rsidRPr="007427CA">
        <w:rPr>
          <w:rStyle w:val="Emphasis"/>
          <w:rFonts w:asciiTheme="minorHAnsi" w:hAnsiTheme="minorHAnsi" w:cstheme="minorHAnsi"/>
          <w:i w:val="0"/>
        </w:rPr>
        <w:t xml:space="preserve">(The Young Foundation, 2013). The </w:t>
      </w:r>
      <w:bookmarkStart w:id="1" w:name="_Hlk536477656"/>
      <w:r w:rsidRPr="007427CA">
        <w:rPr>
          <w:rStyle w:val="Emphasis"/>
          <w:rFonts w:asciiTheme="minorHAnsi" w:hAnsiTheme="minorHAnsi" w:cstheme="minorHAnsi"/>
          <w:i w:val="0"/>
        </w:rPr>
        <w:t xml:space="preserve">Mathematical Physical and Life Sciences Division </w:t>
      </w:r>
      <w:bookmarkEnd w:id="1"/>
      <w:r w:rsidRPr="007427CA">
        <w:rPr>
          <w:rStyle w:val="Emphasis"/>
          <w:rFonts w:asciiTheme="minorHAnsi" w:hAnsiTheme="minorHAnsi" w:cstheme="minorHAnsi"/>
          <w:i w:val="0"/>
        </w:rPr>
        <w:t xml:space="preserve">(MPLS) of Oxford University state that </w:t>
      </w:r>
      <w:r w:rsidRPr="007427CA">
        <w:rPr>
          <w:rStyle w:val="Emphasis"/>
          <w:rFonts w:asciiTheme="minorHAnsi" w:hAnsiTheme="minorHAnsi" w:cstheme="minorHAnsi"/>
        </w:rPr>
        <w:t>“</w:t>
      </w:r>
      <w:r w:rsidRPr="007427CA">
        <w:rPr>
          <w:rFonts w:asciiTheme="minorHAnsi" w:hAnsiTheme="minorHAnsi" w:cstheme="minorHAnsi"/>
          <w:bCs/>
          <w:i/>
          <w:shd w:val="clear" w:color="auto" w:fill="FFFFFF"/>
        </w:rPr>
        <w:t>Enterprise skills</w:t>
      </w:r>
      <w:r w:rsidRPr="007427CA">
        <w:rPr>
          <w:rFonts w:asciiTheme="minorHAnsi" w:hAnsiTheme="minorHAnsi" w:cstheme="minorHAnsi"/>
          <w:i/>
          <w:shd w:val="clear" w:color="auto" w:fill="FFFFFF"/>
        </w:rPr>
        <w:t> include taking the initiative, making things happen, identifying opportunities, creative problem solving, innovating, strategic thinking, making decisions, networking and personal effectiveness</w:t>
      </w:r>
      <w:r w:rsidRPr="007427CA">
        <w:rPr>
          <w:rFonts w:asciiTheme="minorHAnsi" w:hAnsiTheme="minorHAnsi" w:cstheme="minorHAnsi"/>
          <w:shd w:val="clear" w:color="auto" w:fill="FFFFFF"/>
        </w:rPr>
        <w:t>.” (</w:t>
      </w:r>
      <w:r w:rsidRPr="007427CA">
        <w:rPr>
          <w:rStyle w:val="Emphasis"/>
          <w:rFonts w:asciiTheme="minorHAnsi" w:hAnsiTheme="minorHAnsi" w:cstheme="minorHAnsi"/>
          <w:i w:val="0"/>
        </w:rPr>
        <w:t>Mathematical Physical and Life Sciences Division, date unknown</w:t>
      </w:r>
      <w:r w:rsidRPr="007427CA">
        <w:rPr>
          <w:rFonts w:asciiTheme="minorHAnsi" w:hAnsiTheme="minorHAnsi" w:cstheme="minorHAnsi"/>
          <w:shd w:val="clear" w:color="auto" w:fill="FFFFFF"/>
        </w:rPr>
        <w:t>).</w:t>
      </w:r>
    </w:p>
    <w:p w14:paraId="315D5591" w14:textId="77777777" w:rsidR="00D608BB" w:rsidRPr="007427CA" w:rsidRDefault="00D608BB" w:rsidP="00D608BB">
      <w:pPr>
        <w:spacing w:line="360" w:lineRule="auto"/>
        <w:rPr>
          <w:rFonts w:asciiTheme="minorHAnsi" w:hAnsiTheme="minorHAnsi" w:cstheme="minorHAnsi"/>
          <w:shd w:val="clear" w:color="auto" w:fill="FFFFFF"/>
        </w:rPr>
      </w:pPr>
    </w:p>
    <w:p w14:paraId="64A86CF9" w14:textId="77777777" w:rsidR="00D608BB" w:rsidRPr="007427CA" w:rsidRDefault="00D608BB" w:rsidP="00D608BB">
      <w:pPr>
        <w:spacing w:line="360" w:lineRule="auto"/>
        <w:rPr>
          <w:rFonts w:asciiTheme="minorHAnsi" w:hAnsiTheme="minorHAnsi" w:cstheme="minorHAnsi"/>
          <w:shd w:val="clear" w:color="auto" w:fill="FFFFFF"/>
        </w:rPr>
      </w:pPr>
      <w:r w:rsidRPr="007427CA">
        <w:rPr>
          <w:rFonts w:asciiTheme="minorHAnsi" w:hAnsiTheme="minorHAnsi" w:cstheme="minorHAnsi"/>
          <w:shd w:val="clear" w:color="auto" w:fill="FFFFFF"/>
        </w:rPr>
        <w:t xml:space="preserve">As demonstrated previously, it is incredibly difficult to define what exactly creativity is. Due to this difficulty it can also be difficult to agree on how best to test for creativity. One way in which creativity can be tested is the ‘Uses test’. In essence the Uses test ask you to think of all the uses for an object, for example a brick. A basic answer for this question would be to be used in building work, however Charlan Nemeth states that </w:t>
      </w:r>
      <w:r w:rsidRPr="007427CA">
        <w:rPr>
          <w:rFonts w:asciiTheme="minorHAnsi" w:hAnsiTheme="minorHAnsi" w:cstheme="minorHAnsi"/>
        </w:rPr>
        <w:t>“</w:t>
      </w:r>
      <w:r w:rsidRPr="007427CA">
        <w:rPr>
          <w:rStyle w:val="Emphasis"/>
          <w:rFonts w:asciiTheme="minorHAnsi" w:hAnsiTheme="minorHAnsi" w:cstheme="minorHAnsi"/>
          <w:color w:val="000000"/>
        </w:rPr>
        <w:t xml:space="preserve">A more </w:t>
      </w:r>
      <w:r w:rsidRPr="007427CA">
        <w:rPr>
          <w:rStyle w:val="Emphasis"/>
          <w:rFonts w:asciiTheme="minorHAnsi" w:hAnsiTheme="minorHAnsi" w:cstheme="minorHAnsi"/>
          <w:color w:val="000000"/>
        </w:rPr>
        <w:lastRenderedPageBreak/>
        <w:t xml:space="preserve">creative answer would be that you could build a house, you could use it as a platform to hold a cup of coffee, you could use it as a missile to throw through someone’s window as protest.” </w:t>
      </w:r>
      <w:r w:rsidRPr="007427CA">
        <w:rPr>
          <w:rStyle w:val="Emphasis"/>
          <w:rFonts w:asciiTheme="minorHAnsi" w:hAnsiTheme="minorHAnsi" w:cstheme="minorHAnsi"/>
          <w:i w:val="0"/>
          <w:color w:val="000000"/>
        </w:rPr>
        <w:t xml:space="preserve">(Freakanomics, 2018) </w:t>
      </w:r>
    </w:p>
    <w:p w14:paraId="2C69695F" w14:textId="77777777" w:rsidR="00D608BB" w:rsidRPr="007427CA" w:rsidRDefault="00D608BB" w:rsidP="00D608BB">
      <w:pPr>
        <w:spacing w:line="360" w:lineRule="auto"/>
        <w:rPr>
          <w:rFonts w:asciiTheme="minorHAnsi" w:hAnsiTheme="minorHAnsi" w:cstheme="minorHAnsi"/>
          <w:shd w:val="clear" w:color="auto" w:fill="FFFFFF"/>
        </w:rPr>
      </w:pPr>
    </w:p>
    <w:p w14:paraId="62FC1DFA"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shd w:val="clear" w:color="auto" w:fill="FFFFFF"/>
        </w:rPr>
        <w:t>In order to critically assess the authors own creativity, as well as the authors enterprise skills, the Entrecomp Framework will be used as a basis to do so, rather than creativity test such as the Uses test described above. The Entrecomp Framework was developed by the European Union (EU) as it was identified that there was a need for “</w:t>
      </w:r>
      <w:r w:rsidRPr="007427CA">
        <w:rPr>
          <w:rFonts w:asciiTheme="minorHAnsi" w:hAnsiTheme="minorHAnsi" w:cstheme="minorHAnsi"/>
          <w:i/>
        </w:rPr>
        <w:t>to define and describe entrepreneurship as a competence; to develop the reference framework describing its components in terms of knowledge, skills and attitudes; and to provide European citizens with the appropriate tools to assess and effectively develop this key competence</w:t>
      </w:r>
      <w:r w:rsidRPr="007427CA">
        <w:rPr>
          <w:rFonts w:asciiTheme="minorHAnsi" w:hAnsiTheme="minorHAnsi" w:cstheme="minorHAnsi"/>
        </w:rPr>
        <w:t>.”</w:t>
      </w:r>
      <w:r w:rsidRPr="007427CA">
        <w:rPr>
          <w:rFonts w:asciiTheme="minorHAnsi" w:hAnsiTheme="minorHAnsi" w:cstheme="minorHAnsi"/>
          <w:shd w:val="clear" w:color="auto" w:fill="FFFFFF"/>
        </w:rPr>
        <w:t xml:space="preserve"> (</w:t>
      </w:r>
      <w:r w:rsidRPr="007427CA">
        <w:rPr>
          <w:rFonts w:asciiTheme="minorHAnsi" w:hAnsiTheme="minorHAnsi" w:cstheme="minorHAnsi"/>
        </w:rPr>
        <w:t xml:space="preserve">Bacigalupo </w:t>
      </w:r>
      <w:r w:rsidRPr="007427CA">
        <w:rPr>
          <w:rFonts w:asciiTheme="minorHAnsi" w:hAnsiTheme="minorHAnsi" w:cstheme="minorHAnsi"/>
          <w:i/>
        </w:rPr>
        <w:t>et al. 2016)</w:t>
      </w:r>
      <w:r w:rsidRPr="007427CA">
        <w:rPr>
          <w:rFonts w:asciiTheme="minorHAnsi" w:hAnsiTheme="minorHAnsi" w:cstheme="minorHAnsi"/>
          <w:shd w:val="clear" w:color="auto" w:fill="FFFFFF"/>
        </w:rPr>
        <w:t>. Therefore, the Entrecomp Framework is seen by the EU as a</w:t>
      </w:r>
      <w:r w:rsidRPr="007427CA">
        <w:rPr>
          <w:rFonts w:asciiTheme="minorHAnsi" w:hAnsiTheme="minorHAnsi" w:cstheme="minorHAnsi"/>
        </w:rPr>
        <w:t xml:space="preserve"> “</w:t>
      </w:r>
      <w:r w:rsidRPr="007427CA">
        <w:rPr>
          <w:rFonts w:asciiTheme="minorHAnsi" w:hAnsiTheme="minorHAnsi" w:cstheme="minorHAnsi"/>
          <w:i/>
        </w:rPr>
        <w:t>tool to improve the entrepreneurial capacity of European citizens and organisations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 xml:space="preserve">et al. 2016). </w:t>
      </w:r>
      <w:r w:rsidRPr="007427CA">
        <w:rPr>
          <w:rFonts w:asciiTheme="minorHAnsi" w:hAnsiTheme="minorHAnsi" w:cstheme="minorHAnsi"/>
        </w:rPr>
        <w:t>As such “</w:t>
      </w:r>
      <w:r w:rsidRPr="007427CA">
        <w:rPr>
          <w:rFonts w:asciiTheme="minorHAnsi" w:hAnsiTheme="minorHAnsi" w:cstheme="minorHAnsi"/>
          <w:i/>
        </w:rPr>
        <w:t>the framework aims to build consensus around a common understanding of entrepreneurship competence by defining 3 competence areas, a list of 15 competences, learning outcomes and proficiency levels, which current and future initiatives can refer to</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p>
    <w:p w14:paraId="7D16F00F" w14:textId="77777777" w:rsidR="00D608BB" w:rsidRPr="007427CA" w:rsidRDefault="00D608BB" w:rsidP="00D608BB">
      <w:pPr>
        <w:spacing w:line="360" w:lineRule="auto"/>
        <w:rPr>
          <w:rFonts w:asciiTheme="minorHAnsi" w:hAnsiTheme="minorHAnsi" w:cstheme="minorHAnsi"/>
        </w:rPr>
      </w:pPr>
    </w:p>
    <w:p w14:paraId="74047365"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The three competence areas of the Entrecomp Framework are Into Action, Resources and finally Ideas and Opportunities. These three competence areas are then in turn broke down into five key competencies per area. It is these competence areas, as well as competencies that will be used to critically assess the authors own creativity and enterprise skills. As the authors creativity is one of the areas that is to be critically assessed, it makes sense that the competency of creativity, found within the Ideas and Opportunities competence area, is used. </w:t>
      </w:r>
    </w:p>
    <w:p w14:paraId="69CBE4F2" w14:textId="77777777" w:rsidR="00D608BB" w:rsidRPr="007427CA" w:rsidRDefault="00D608BB" w:rsidP="00D608BB">
      <w:pPr>
        <w:spacing w:line="360" w:lineRule="auto"/>
        <w:rPr>
          <w:rFonts w:asciiTheme="minorHAnsi" w:hAnsiTheme="minorHAnsi" w:cstheme="minorHAnsi"/>
        </w:rPr>
      </w:pPr>
    </w:p>
    <w:p w14:paraId="4E1B1079"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Within the Entrecomp Framework is the Entrecomp Progression Model. This Progression Model “</w:t>
      </w:r>
      <w:r w:rsidRPr="007427CA">
        <w:rPr>
          <w:rFonts w:asciiTheme="minorHAnsi" w:hAnsiTheme="minorHAnsi" w:cstheme="minorHAnsi"/>
          <w:i/>
        </w:rPr>
        <w:t>provides a reference for the development of proficiency</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r w:rsidRPr="007427CA">
        <w:rPr>
          <w:rFonts w:asciiTheme="minorHAnsi" w:hAnsiTheme="minorHAnsi" w:cstheme="minorHAnsi"/>
        </w:rPr>
        <w:t>. The Progression Model has four levels, in which those who use it, can assess their own proficiencies of the fifteen competencies found within the Entrecomp Framework. These levels are Foundation, Intermediate, Advanced and finally Expert. The Entrecomp Progression Model in turn provides learning outcomes for each level, as well as competency in order to make this process of assessment simpler and more transparent.</w:t>
      </w:r>
    </w:p>
    <w:p w14:paraId="7F53D5C2" w14:textId="77777777" w:rsidR="00D608BB" w:rsidRPr="007427CA" w:rsidRDefault="00D608BB" w:rsidP="00D608BB">
      <w:pPr>
        <w:spacing w:line="360" w:lineRule="auto"/>
        <w:rPr>
          <w:rFonts w:asciiTheme="minorHAnsi" w:hAnsiTheme="minorHAnsi" w:cstheme="minorHAnsi"/>
        </w:rPr>
      </w:pPr>
    </w:p>
    <w:p w14:paraId="4E3C7195"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As mentioned previously the Entrecomp Framework is to be used to assess the writer’s creativity and enterprise. Firstly, we will look at the writer’s creativity. According to the Entrecomp Framework’s descriptor of the creativity competency, creativity includes the ability “</w:t>
      </w:r>
      <w:r w:rsidRPr="007427CA">
        <w:rPr>
          <w:rFonts w:asciiTheme="minorHAnsi" w:hAnsiTheme="minorHAnsi" w:cstheme="minorHAnsi"/>
          <w:i/>
        </w:rPr>
        <w:t>Develop several ideas and opportunities to create value, including better solutions to existing and new challenges. Explore and experiment with innovative approaches. Combine knowledge and resources to achieve valuable effects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r w:rsidRPr="007427CA">
        <w:rPr>
          <w:rFonts w:asciiTheme="minorHAnsi" w:hAnsiTheme="minorHAnsi" w:cstheme="minorHAnsi"/>
        </w:rPr>
        <w:t>.</w:t>
      </w:r>
    </w:p>
    <w:p w14:paraId="7FDE2F93" w14:textId="77777777" w:rsidR="00D608BB" w:rsidRPr="007427CA" w:rsidRDefault="00D608BB" w:rsidP="00D608BB">
      <w:pPr>
        <w:spacing w:line="360" w:lineRule="auto"/>
        <w:rPr>
          <w:rFonts w:asciiTheme="minorHAnsi" w:hAnsiTheme="minorHAnsi" w:cstheme="minorHAnsi"/>
        </w:rPr>
      </w:pPr>
    </w:p>
    <w:p w14:paraId="09D4216D"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When looking at the levels of proficiency found within the Entrecomp Framework it is felt that the writer’s own creativity is within the Intermediate level, however it is debatable whether the writer’s creativity falls </w:t>
      </w:r>
      <w:r w:rsidRPr="007427CA">
        <w:rPr>
          <w:rFonts w:asciiTheme="minorHAnsi" w:hAnsiTheme="minorHAnsi" w:cstheme="minorHAnsi"/>
        </w:rPr>
        <w:lastRenderedPageBreak/>
        <w:t xml:space="preserve">within the Level 3 or Level 4 of the Intermediate level of proficiency. This conclusion has been arrived at after looking at the various threads found within the creativity competence. </w:t>
      </w:r>
    </w:p>
    <w:p w14:paraId="2A13125D" w14:textId="77777777" w:rsidR="00D608BB" w:rsidRPr="007427CA" w:rsidRDefault="00D608BB" w:rsidP="00D608BB">
      <w:pPr>
        <w:spacing w:line="360" w:lineRule="auto"/>
        <w:rPr>
          <w:rFonts w:asciiTheme="minorHAnsi" w:hAnsiTheme="minorHAnsi" w:cstheme="minorHAnsi"/>
        </w:rPr>
      </w:pPr>
    </w:p>
    <w:p w14:paraId="38B4435E"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However if a best fit approach is to be taken, then the writers’ creativity is more likely to fall within Level 3 than it is to fall within Level 4. This is due, mainly to the thread ‘Define problems’, whereby in order to gain a Level 3 you must be able to “</w:t>
      </w:r>
      <w:r w:rsidRPr="007427CA">
        <w:rPr>
          <w:rFonts w:asciiTheme="minorHAnsi" w:hAnsiTheme="minorHAnsi" w:cstheme="minorHAnsi"/>
          <w:i/>
        </w:rPr>
        <w:t>can take part in group dynamics aimed at defining open ended problems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r w:rsidRPr="007427CA">
        <w:rPr>
          <w:rFonts w:asciiTheme="minorHAnsi" w:hAnsiTheme="minorHAnsi" w:cstheme="minorHAnsi"/>
        </w:rPr>
        <w:t xml:space="preserve"> this is in comparison to the Level 4 descriptor which states “</w:t>
      </w:r>
      <w:r w:rsidRPr="007427CA">
        <w:rPr>
          <w:rFonts w:asciiTheme="minorHAnsi" w:hAnsiTheme="minorHAnsi" w:cstheme="minorHAnsi"/>
          <w:i/>
        </w:rPr>
        <w:t>I can reshape open-ended problems to fit my skills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 xml:space="preserve">et al. 2016).  </w:t>
      </w:r>
      <w:r w:rsidRPr="007427CA">
        <w:rPr>
          <w:rFonts w:asciiTheme="minorHAnsi" w:hAnsiTheme="minorHAnsi" w:cstheme="minorHAnsi"/>
        </w:rPr>
        <w:t>This decision has been reached as the writer feels that during their Practical Teaching Experience they have made more of an opportunity to work as part of either a team or a duo when having to address any issues that may have arose during the Practical Teaching Experience.</w:t>
      </w:r>
    </w:p>
    <w:p w14:paraId="76892EDC" w14:textId="77777777" w:rsidR="00D608BB" w:rsidRPr="007427CA" w:rsidRDefault="00D608BB" w:rsidP="00D608BB">
      <w:pPr>
        <w:spacing w:line="360" w:lineRule="auto"/>
        <w:rPr>
          <w:rFonts w:asciiTheme="minorHAnsi" w:hAnsiTheme="minorHAnsi" w:cstheme="minorHAnsi"/>
        </w:rPr>
      </w:pPr>
    </w:p>
    <w:p w14:paraId="2A669BE1" w14:textId="77777777" w:rsidR="00E5698B"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Next we will assess the writer’s ability in regard to ‘planning and management’. This can be found within the ‘Into Action’ area of the Entrecomp Framework. As with the writer’s creativity, the writers planning and management is perhaps best suited within the Intermediate level of proficiency. More specifically it is felt that the writer’s level of planning and management falls within level 3 of the said level of proficiency. Level 3 of </w:t>
      </w:r>
      <w:r w:rsidR="00DE7DA7" w:rsidRPr="007427CA">
        <w:rPr>
          <w:rFonts w:asciiTheme="minorHAnsi" w:hAnsiTheme="minorHAnsi" w:cstheme="minorHAnsi"/>
        </w:rPr>
        <w:t xml:space="preserve">the </w:t>
      </w:r>
      <w:r w:rsidRPr="007427CA">
        <w:rPr>
          <w:rFonts w:asciiTheme="minorHAnsi" w:hAnsiTheme="minorHAnsi" w:cstheme="minorHAnsi"/>
        </w:rPr>
        <w:t xml:space="preserve">planning and management </w:t>
      </w:r>
      <w:r w:rsidR="00DE7DA7" w:rsidRPr="007427CA">
        <w:rPr>
          <w:rFonts w:asciiTheme="minorHAnsi" w:hAnsiTheme="minorHAnsi" w:cstheme="minorHAnsi"/>
        </w:rPr>
        <w:t xml:space="preserve">competence </w:t>
      </w:r>
      <w:r w:rsidRPr="007427CA">
        <w:rPr>
          <w:rFonts w:asciiTheme="minorHAnsi" w:hAnsiTheme="minorHAnsi" w:cstheme="minorHAnsi"/>
        </w:rPr>
        <w:t>was chosen, as the writer is able to “</w:t>
      </w:r>
      <w:r w:rsidRPr="007427CA">
        <w:rPr>
          <w:rFonts w:asciiTheme="minorHAnsi" w:hAnsiTheme="minorHAnsi" w:cstheme="minorHAnsi"/>
          <w:i/>
        </w:rPr>
        <w:t>create an action plan which identifies the necessary steps to achieve my goals</w:t>
      </w:r>
      <w:r w:rsidRPr="007427CA">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 xml:space="preserve">et al. 2016). </w:t>
      </w:r>
      <w:r w:rsidRPr="007427CA">
        <w:rPr>
          <w:rFonts w:asciiTheme="minorHAnsi" w:hAnsiTheme="minorHAnsi" w:cstheme="minorHAnsi"/>
        </w:rPr>
        <w:t xml:space="preserve">This is evidenced through the writers use of ARC’s as well as their use of Action Plans and weekly targets, all of which were set during the </w:t>
      </w:r>
      <w:r w:rsidR="00DE7DA7" w:rsidRPr="007427CA">
        <w:rPr>
          <w:rFonts w:asciiTheme="minorHAnsi" w:hAnsiTheme="minorHAnsi" w:cstheme="minorHAnsi"/>
        </w:rPr>
        <w:t>writers’</w:t>
      </w:r>
      <w:r w:rsidRPr="007427CA">
        <w:rPr>
          <w:rFonts w:asciiTheme="minorHAnsi" w:hAnsiTheme="minorHAnsi" w:cstheme="minorHAnsi"/>
        </w:rPr>
        <w:t xml:space="preserve"> time spent on Practical Teaching Experience. </w:t>
      </w:r>
      <w:r w:rsidR="007427CA" w:rsidRPr="007427CA">
        <w:rPr>
          <w:rFonts w:asciiTheme="minorHAnsi" w:hAnsiTheme="minorHAnsi" w:cstheme="minorHAnsi"/>
        </w:rPr>
        <w:t>The level 3 was also chosen as it states, “</w:t>
      </w:r>
      <w:r w:rsidR="007427CA" w:rsidRPr="007427CA">
        <w:rPr>
          <w:rFonts w:asciiTheme="minorHAnsi" w:hAnsiTheme="minorHAnsi" w:cstheme="minorHAnsi"/>
          <w:i/>
        </w:rPr>
        <w:t xml:space="preserve">I </w:t>
      </w:r>
      <w:r w:rsidRPr="007427CA">
        <w:rPr>
          <w:rFonts w:asciiTheme="minorHAnsi" w:hAnsiTheme="minorHAnsi" w:cstheme="minorHAnsi"/>
          <w:i/>
        </w:rPr>
        <w:t>can change my plans based on the needs of my team</w:t>
      </w:r>
      <w:r w:rsidRPr="007427CA">
        <w:rPr>
          <w:rFonts w:asciiTheme="minorHAnsi" w:hAnsiTheme="minorHAnsi" w:cstheme="minorHAnsi"/>
        </w:rPr>
        <w:t>.</w:t>
      </w:r>
      <w:r w:rsidR="007427CA" w:rsidRPr="007427CA">
        <w:rPr>
          <w:rFonts w:asciiTheme="minorHAnsi" w:hAnsiTheme="minorHAnsi" w:cstheme="minorHAnsi"/>
        </w:rPr>
        <w:t>”</w:t>
      </w:r>
      <w:r w:rsidR="007427CA">
        <w:rPr>
          <w:rFonts w:asciiTheme="minorHAnsi" w:hAnsiTheme="minorHAnsi" w:cstheme="minorHAnsi"/>
        </w:rPr>
        <w:t xml:space="preserve"> </w:t>
      </w:r>
      <w:r w:rsidR="007427CA" w:rsidRPr="007427CA">
        <w:rPr>
          <w:rFonts w:asciiTheme="minorHAnsi" w:hAnsiTheme="minorHAnsi" w:cstheme="minorHAnsi"/>
          <w:shd w:val="clear" w:color="auto" w:fill="FFFFFF"/>
        </w:rPr>
        <w:t>(</w:t>
      </w:r>
      <w:r w:rsidR="007427CA" w:rsidRPr="007427CA">
        <w:rPr>
          <w:rFonts w:asciiTheme="minorHAnsi" w:hAnsiTheme="minorHAnsi" w:cstheme="minorHAnsi"/>
        </w:rPr>
        <w:t xml:space="preserve">Bacigalupo </w:t>
      </w:r>
      <w:r w:rsidR="007427CA" w:rsidRPr="007427CA">
        <w:rPr>
          <w:rFonts w:asciiTheme="minorHAnsi" w:hAnsiTheme="minorHAnsi" w:cstheme="minorHAnsi"/>
          <w:i/>
        </w:rPr>
        <w:t>et al. 2016</w:t>
      </w:r>
      <w:r w:rsidR="007427CA">
        <w:rPr>
          <w:rFonts w:asciiTheme="minorHAnsi" w:hAnsiTheme="minorHAnsi" w:cstheme="minorHAnsi"/>
        </w:rPr>
        <w:t xml:space="preserve">), this was particularly evident during the writers second year of Practical Teaching Experience as the writer had alter their plans on numerous occasions due to the sickness of the class mentor. The writer also had to change their plans a number of times </w:t>
      </w:r>
      <w:r w:rsidR="00E5698B">
        <w:rPr>
          <w:rFonts w:asciiTheme="minorHAnsi" w:hAnsiTheme="minorHAnsi" w:cstheme="minorHAnsi"/>
        </w:rPr>
        <w:t>due to various event such as the school nativity play.</w:t>
      </w:r>
    </w:p>
    <w:p w14:paraId="369E975B" w14:textId="77777777" w:rsidR="007902C3" w:rsidRDefault="007902C3" w:rsidP="00D608BB">
      <w:pPr>
        <w:spacing w:line="360" w:lineRule="auto"/>
        <w:rPr>
          <w:rFonts w:asciiTheme="minorHAnsi" w:hAnsiTheme="minorHAnsi" w:cstheme="minorHAnsi"/>
        </w:rPr>
      </w:pPr>
    </w:p>
    <w:p w14:paraId="61C82995" w14:textId="175518A1"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When talking about how to help develop the creative, as well as enterprising skills of primary learners, it is important first to recognise the difference between teaching creatively and teaching for creativity. Being able to teach a class of children creatively does not always mean that children will be able to develop their own creativity. Jonathan Barnes (2015) states “</w:t>
      </w:r>
      <w:r w:rsidRPr="007427CA">
        <w:rPr>
          <w:rFonts w:asciiTheme="minorHAnsi" w:hAnsiTheme="minorHAnsi" w:cstheme="minorHAnsi"/>
          <w:i/>
        </w:rPr>
        <w:t>the creative teacher typically is playful, enthusiastic, flexible, committed and involved. Their teaching style will commonly be personalized to the child, respectful, trusting, diverse and with a clear learning focus</w:t>
      </w:r>
      <w:r w:rsidRPr="007427CA">
        <w:rPr>
          <w:rFonts w:asciiTheme="minorHAnsi" w:hAnsiTheme="minorHAnsi" w:cstheme="minorHAnsi"/>
        </w:rPr>
        <w:t>”. This is echoed by Juliet Desailly (2012) “</w:t>
      </w:r>
      <w:r w:rsidRPr="007427CA">
        <w:rPr>
          <w:rFonts w:asciiTheme="minorHAnsi" w:hAnsiTheme="minorHAnsi" w:cstheme="minorHAnsi"/>
          <w:i/>
        </w:rPr>
        <w:t>the creative teacher will challenge, engage and motivate their pupils, placing learning within contexts that have relevance for the children that they teach”</w:t>
      </w:r>
      <w:r w:rsidRPr="007427CA">
        <w:rPr>
          <w:rFonts w:asciiTheme="minorHAnsi" w:hAnsiTheme="minorHAnsi" w:cstheme="minorHAnsi"/>
        </w:rPr>
        <w:t xml:space="preserve">. </w:t>
      </w:r>
    </w:p>
    <w:p w14:paraId="56F01118" w14:textId="77777777" w:rsidR="00D608BB" w:rsidRPr="007427CA" w:rsidRDefault="00D608BB" w:rsidP="00D608BB">
      <w:pPr>
        <w:spacing w:line="360" w:lineRule="auto"/>
        <w:rPr>
          <w:rFonts w:asciiTheme="minorHAnsi" w:hAnsiTheme="minorHAnsi" w:cstheme="minorHAnsi"/>
        </w:rPr>
      </w:pPr>
    </w:p>
    <w:p w14:paraId="52CCA8FF"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w:t>
      </w:r>
      <w:r w:rsidRPr="007427CA">
        <w:rPr>
          <w:rFonts w:asciiTheme="minorHAnsi" w:hAnsiTheme="minorHAnsi" w:cstheme="minorHAnsi"/>
          <w:i/>
        </w:rPr>
        <w:t xml:space="preserve">Young children are particularly creative because they see the world in a fresh, uninhabited way” </w:t>
      </w:r>
      <w:r w:rsidRPr="007427CA">
        <w:rPr>
          <w:rFonts w:asciiTheme="minorHAnsi" w:hAnsiTheme="minorHAnsi" w:cstheme="minorHAnsi"/>
        </w:rPr>
        <w:t>(Grigg, 2015).</w:t>
      </w:r>
    </w:p>
    <w:p w14:paraId="107C3254" w14:textId="77777777" w:rsidR="00D608BB" w:rsidRPr="007427CA" w:rsidRDefault="00D608BB" w:rsidP="00D608BB">
      <w:pPr>
        <w:spacing w:line="360" w:lineRule="auto"/>
        <w:rPr>
          <w:rFonts w:asciiTheme="minorHAnsi" w:hAnsiTheme="minorHAnsi" w:cstheme="minorHAnsi"/>
        </w:rPr>
      </w:pPr>
    </w:p>
    <w:p w14:paraId="07A38561"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It can be argued that creative learning does not require a pedological process, rather that it requires that of andragogy. Cornerstone University (2017) describes andragogy as: </w:t>
      </w:r>
    </w:p>
    <w:p w14:paraId="27408AF2" w14:textId="77777777" w:rsidR="00D608BB" w:rsidRPr="007427CA" w:rsidRDefault="00D608BB" w:rsidP="00D608BB">
      <w:pPr>
        <w:spacing w:line="360" w:lineRule="auto"/>
        <w:ind w:left="720"/>
        <w:rPr>
          <w:rFonts w:asciiTheme="minorHAnsi" w:hAnsiTheme="minorHAnsi" w:cstheme="minorHAnsi"/>
        </w:rPr>
      </w:pPr>
      <w:r w:rsidRPr="007427CA">
        <w:rPr>
          <w:rFonts w:asciiTheme="minorHAnsi" w:hAnsiTheme="minorHAnsi" w:cstheme="minorHAnsi"/>
        </w:rPr>
        <w:lastRenderedPageBreak/>
        <w:t>“</w:t>
      </w:r>
      <w:r w:rsidRPr="007427CA">
        <w:rPr>
          <w:rFonts w:asciiTheme="minorHAnsi" w:hAnsiTheme="minorHAnsi" w:cstheme="minorHAnsi"/>
          <w:i/>
          <w:shd w:val="clear" w:color="auto" w:fill="FFFFFF"/>
        </w:rPr>
        <w:t xml:space="preserve">Typically the learning is very </w:t>
      </w:r>
      <w:proofErr w:type="spellStart"/>
      <w:r w:rsidRPr="007427CA">
        <w:rPr>
          <w:rFonts w:asciiTheme="minorHAnsi" w:hAnsiTheme="minorHAnsi" w:cstheme="minorHAnsi"/>
          <w:i/>
          <w:shd w:val="clear" w:color="auto" w:fill="FFFFFF"/>
        </w:rPr>
        <w:t>self directed</w:t>
      </w:r>
      <w:proofErr w:type="spellEnd"/>
      <w:r w:rsidRPr="007427CA">
        <w:rPr>
          <w:rFonts w:asciiTheme="minorHAnsi" w:hAnsiTheme="minorHAnsi" w:cstheme="minorHAnsi"/>
          <w:i/>
          <w:shd w:val="clear" w:color="auto" w:fill="FFFFFF"/>
        </w:rPr>
        <w:t xml:space="preserve"> [e.g. "man-leading"], hands on and not very reliant on an instructor or teacher. Often the learner doesn't have the foundation to build upon and will need to learn other dependant skills and assess gaps in knowledge</w:t>
      </w:r>
      <w:r w:rsidRPr="007427CA">
        <w:rPr>
          <w:rFonts w:asciiTheme="minorHAnsi" w:hAnsiTheme="minorHAnsi" w:cstheme="minorHAnsi"/>
          <w:color w:val="4D4D4D"/>
          <w:shd w:val="clear" w:color="auto" w:fill="FFFFFF"/>
        </w:rPr>
        <w:t xml:space="preserve">.” </w:t>
      </w:r>
    </w:p>
    <w:p w14:paraId="721F1BEF" w14:textId="77777777" w:rsidR="00D608BB" w:rsidRPr="007427CA" w:rsidRDefault="00D608BB" w:rsidP="00D608BB">
      <w:pPr>
        <w:spacing w:line="360" w:lineRule="auto"/>
        <w:rPr>
          <w:rFonts w:asciiTheme="minorHAnsi" w:hAnsiTheme="minorHAnsi" w:cstheme="minorHAnsi"/>
        </w:rPr>
      </w:pPr>
    </w:p>
    <w:p w14:paraId="2E7F9E9B"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This is supported by Juliet Desailly (2012) who states: </w:t>
      </w:r>
    </w:p>
    <w:p w14:paraId="70F460AB" w14:textId="77777777" w:rsidR="00D608BB" w:rsidRPr="007427CA" w:rsidRDefault="00D608BB" w:rsidP="00D608BB">
      <w:pPr>
        <w:spacing w:line="360" w:lineRule="auto"/>
        <w:ind w:left="720"/>
        <w:rPr>
          <w:rFonts w:asciiTheme="minorHAnsi" w:hAnsiTheme="minorHAnsi" w:cstheme="minorHAnsi"/>
        </w:rPr>
      </w:pPr>
      <w:r w:rsidRPr="007427CA">
        <w:rPr>
          <w:rFonts w:asciiTheme="minorHAnsi" w:hAnsiTheme="minorHAnsi" w:cstheme="minorHAnsi"/>
        </w:rPr>
        <w:t>“</w:t>
      </w:r>
      <w:r w:rsidRPr="007427CA">
        <w:rPr>
          <w:rFonts w:asciiTheme="minorHAnsi" w:hAnsiTheme="minorHAnsi" w:cstheme="minorHAnsi"/>
          <w:i/>
        </w:rPr>
        <w:t>a child who learns creatively will be involved in understanding how they learn and how they learn best. They will use and develop that knowledge to be involved in devising some of their own learning experiences; they will make suggestions about what the class might do and how they might do it. They will be developing skills in self-evaluation and evaluation of others’ performances.</w:t>
      </w:r>
      <w:r w:rsidRPr="007427CA">
        <w:rPr>
          <w:rFonts w:asciiTheme="minorHAnsi" w:hAnsiTheme="minorHAnsi" w:cstheme="minorHAnsi"/>
        </w:rPr>
        <w:t>”</w:t>
      </w:r>
    </w:p>
    <w:p w14:paraId="6A2D8172" w14:textId="77777777" w:rsidR="00D608BB" w:rsidRPr="007427CA" w:rsidRDefault="00D608BB" w:rsidP="00D608BB">
      <w:pPr>
        <w:spacing w:line="360" w:lineRule="auto"/>
        <w:rPr>
          <w:rFonts w:asciiTheme="minorHAnsi" w:hAnsiTheme="minorHAnsi" w:cstheme="minorHAnsi"/>
        </w:rPr>
      </w:pPr>
    </w:p>
    <w:p w14:paraId="6ECBE008"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However it is important to note that andragogy was developed with the learning of adults in mind rather than the learning of children, as is the case when pedagogy is being discussed. Therefore it is perhaps best to have a blend of both pedagogy and andragogy when attempting to support primary aged pupils in developing their creativity.</w:t>
      </w:r>
    </w:p>
    <w:p w14:paraId="1E5E8925" w14:textId="77777777" w:rsidR="00D608BB" w:rsidRPr="007427CA" w:rsidRDefault="00D608BB" w:rsidP="00D608BB">
      <w:pPr>
        <w:spacing w:line="360" w:lineRule="auto"/>
        <w:rPr>
          <w:rFonts w:asciiTheme="minorHAnsi" w:hAnsiTheme="minorHAnsi" w:cstheme="minorHAnsi"/>
        </w:rPr>
      </w:pPr>
    </w:p>
    <w:p w14:paraId="2BC01C32"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 xml:space="preserve">The need to help pupils develop their creativity and enterprising skills has taken on a greater importance within the education sector of Wales thanks to the publication of Professor Graham Donaldson’s report ‘Successful Futures’ and the resulting new curriculum, set to be introduced to Wales in 2022. In Successful Futures, Professor Donaldson states that: </w:t>
      </w:r>
    </w:p>
    <w:p w14:paraId="04067625"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i/>
        </w:rPr>
        <w:t xml:space="preserve">“The demand for young people with improved levels of literacy, numeracy and wider skills, including critical thinking, creativity and problem solving, has fuelled an international trend towards curricula that give greater emphasis to the development of skills, alongside, or embedded in, a traditional subject or ‘area of learning’ approach.” </w:t>
      </w:r>
      <w:r w:rsidRPr="007427CA">
        <w:rPr>
          <w:rFonts w:asciiTheme="minorHAnsi" w:hAnsiTheme="minorHAnsi" w:cstheme="minorHAnsi"/>
        </w:rPr>
        <w:t>(Donaldson, 2015)</w:t>
      </w:r>
    </w:p>
    <w:p w14:paraId="06EF23F7" w14:textId="77777777" w:rsidR="00D608BB" w:rsidRPr="007427CA" w:rsidRDefault="00D608BB" w:rsidP="00D608BB">
      <w:pPr>
        <w:spacing w:line="360" w:lineRule="auto"/>
        <w:rPr>
          <w:rFonts w:asciiTheme="minorHAnsi" w:hAnsiTheme="minorHAnsi" w:cstheme="minorHAnsi"/>
        </w:rPr>
      </w:pPr>
    </w:p>
    <w:p w14:paraId="1F4368E3" w14:textId="77777777" w:rsidR="00D608BB" w:rsidRPr="00677AB5" w:rsidRDefault="00D608BB" w:rsidP="00D608BB">
      <w:pPr>
        <w:spacing w:line="360" w:lineRule="auto"/>
        <w:rPr>
          <w:rFonts w:asciiTheme="minorHAnsi" w:hAnsiTheme="minorHAnsi" w:cstheme="minorHAnsi"/>
        </w:rPr>
      </w:pPr>
      <w:r w:rsidRPr="007427CA">
        <w:rPr>
          <w:rFonts w:asciiTheme="minorHAnsi" w:hAnsiTheme="minorHAnsi" w:cstheme="minorHAnsi"/>
        </w:rPr>
        <w:t>One way in which the teacher can help their pupils develop their creative skills is through the use of SCAMPER. SCAMPER is a creative brainstorming technique developed by Bob Eberle, that makes use of divergent thinking. It is “</w:t>
      </w:r>
      <w:r w:rsidRPr="007427CA">
        <w:rPr>
          <w:rFonts w:asciiTheme="minorHAnsi" w:hAnsiTheme="minorHAnsi" w:cstheme="minorHAnsi"/>
          <w:i/>
        </w:rPr>
        <w:t>a technique to assist students in the development of creative idea generation and production</w:t>
      </w:r>
      <w:r w:rsidRPr="007427CA">
        <w:rPr>
          <w:rFonts w:asciiTheme="minorHAnsi" w:hAnsiTheme="minorHAnsi" w:cstheme="minorHAnsi"/>
        </w:rPr>
        <w:t>” (</w:t>
      </w:r>
      <w:proofErr w:type="spellStart"/>
      <w:r w:rsidRPr="007427CA">
        <w:rPr>
          <w:rFonts w:asciiTheme="minorHAnsi" w:hAnsiTheme="minorHAnsi" w:cstheme="minorHAnsi"/>
        </w:rPr>
        <w:t>nRich</w:t>
      </w:r>
      <w:proofErr w:type="spellEnd"/>
      <w:r w:rsidRPr="007427CA">
        <w:rPr>
          <w:rFonts w:asciiTheme="minorHAnsi" w:hAnsiTheme="minorHAnsi" w:cstheme="minorHAnsi"/>
        </w:rPr>
        <w:t xml:space="preserve"> Educational Consulting, date unknown). SCAMPER is an acronym for </w:t>
      </w:r>
      <w:r w:rsidRPr="007427CA">
        <w:rPr>
          <w:rFonts w:asciiTheme="minorHAnsi" w:hAnsiTheme="minorHAnsi" w:cstheme="minorHAnsi"/>
          <w:color w:val="333333"/>
        </w:rPr>
        <w:t xml:space="preserve">Substitute, </w:t>
      </w:r>
      <w:r w:rsidRPr="00677AB5">
        <w:rPr>
          <w:rFonts w:asciiTheme="minorHAnsi" w:hAnsiTheme="minorHAnsi" w:cstheme="minorHAnsi"/>
          <w:color w:val="333333"/>
        </w:rPr>
        <w:t>Combine</w:t>
      </w:r>
      <w:r w:rsidRPr="007427CA">
        <w:rPr>
          <w:rFonts w:asciiTheme="minorHAnsi" w:hAnsiTheme="minorHAnsi" w:cstheme="minorHAnsi"/>
          <w:color w:val="333333"/>
        </w:rPr>
        <w:t xml:space="preserve">, </w:t>
      </w:r>
      <w:r w:rsidRPr="00677AB5">
        <w:rPr>
          <w:rFonts w:asciiTheme="minorHAnsi" w:hAnsiTheme="minorHAnsi" w:cstheme="minorHAnsi"/>
          <w:color w:val="333333"/>
        </w:rPr>
        <w:t>Adapt</w:t>
      </w:r>
      <w:r w:rsidRPr="007427CA">
        <w:rPr>
          <w:rFonts w:asciiTheme="minorHAnsi" w:hAnsiTheme="minorHAnsi" w:cstheme="minorHAnsi"/>
          <w:color w:val="333333"/>
        </w:rPr>
        <w:t xml:space="preserve">, </w:t>
      </w:r>
      <w:r w:rsidRPr="00677AB5">
        <w:rPr>
          <w:rFonts w:asciiTheme="minorHAnsi" w:hAnsiTheme="minorHAnsi" w:cstheme="minorHAnsi"/>
          <w:color w:val="333333"/>
        </w:rPr>
        <w:t>Modify</w:t>
      </w:r>
      <w:r w:rsidRPr="007427CA">
        <w:rPr>
          <w:rFonts w:asciiTheme="minorHAnsi" w:hAnsiTheme="minorHAnsi" w:cstheme="minorHAnsi"/>
          <w:color w:val="333333"/>
        </w:rPr>
        <w:t xml:space="preserve">, </w:t>
      </w:r>
      <w:r w:rsidRPr="00677AB5">
        <w:rPr>
          <w:rFonts w:asciiTheme="minorHAnsi" w:hAnsiTheme="minorHAnsi" w:cstheme="minorHAnsi"/>
          <w:color w:val="333333"/>
        </w:rPr>
        <w:t>Put to another use</w:t>
      </w:r>
      <w:r w:rsidRPr="007427CA">
        <w:rPr>
          <w:rFonts w:asciiTheme="minorHAnsi" w:hAnsiTheme="minorHAnsi" w:cstheme="minorHAnsi"/>
          <w:color w:val="333333"/>
        </w:rPr>
        <w:t xml:space="preserve">, </w:t>
      </w:r>
      <w:r w:rsidRPr="00677AB5">
        <w:rPr>
          <w:rFonts w:asciiTheme="minorHAnsi" w:hAnsiTheme="minorHAnsi" w:cstheme="minorHAnsi"/>
          <w:color w:val="333333"/>
        </w:rPr>
        <w:t>Eliminate</w:t>
      </w:r>
      <w:r w:rsidRPr="007427CA">
        <w:rPr>
          <w:rFonts w:asciiTheme="minorHAnsi" w:hAnsiTheme="minorHAnsi" w:cstheme="minorHAnsi"/>
          <w:color w:val="333333"/>
        </w:rPr>
        <w:t xml:space="preserve"> and lastly </w:t>
      </w:r>
      <w:r w:rsidRPr="00677AB5">
        <w:rPr>
          <w:rFonts w:asciiTheme="minorHAnsi" w:hAnsiTheme="minorHAnsi" w:cstheme="minorHAnsi"/>
          <w:color w:val="333333"/>
        </w:rPr>
        <w:t>Reverse.</w:t>
      </w:r>
      <w:r w:rsidRPr="007427CA">
        <w:rPr>
          <w:rFonts w:asciiTheme="minorHAnsi" w:hAnsiTheme="minorHAnsi" w:cstheme="minorHAnsi"/>
          <w:color w:val="333333"/>
        </w:rPr>
        <w:t xml:space="preserve"> In regard to an educational setting, the teacher would pose an element from the pupils current learning to the class. The pupils would then use the SCAMPER </w:t>
      </w:r>
      <w:r w:rsidRPr="007427CA">
        <w:rPr>
          <w:rFonts w:asciiTheme="minorHAnsi" w:hAnsiTheme="minorHAnsi" w:cstheme="minorHAnsi"/>
          <w:color w:val="222222"/>
          <w:shd w:val="clear" w:color="auto" w:fill="FFFFFF"/>
        </w:rPr>
        <w:t xml:space="preserve">mnemonic to brainstorm ideas relating to each element of SCAMPER. The pupils would attempt to brainstorm as many ideas as possible for each letter of the SCAMPER mnemonic, regardless of usefulness. </w:t>
      </w:r>
      <w:r w:rsidRPr="007427CA">
        <w:rPr>
          <w:rFonts w:asciiTheme="minorHAnsi" w:hAnsiTheme="minorHAnsi" w:cstheme="minorHAnsi"/>
          <w:color w:val="222222"/>
        </w:rPr>
        <w:t>“</w:t>
      </w:r>
      <w:r w:rsidRPr="007427CA">
        <w:rPr>
          <w:rFonts w:asciiTheme="minorHAnsi" w:hAnsiTheme="minorHAnsi" w:cstheme="minorHAnsi"/>
          <w:color w:val="333333"/>
        </w:rPr>
        <w:t>Some ideas that you generate using the tool may be impractical or may not suit your circumstances. Don't worry about this – the aim is to generate as many ideas as you can.”</w:t>
      </w:r>
      <w:r w:rsidRPr="007427CA">
        <w:rPr>
          <w:rFonts w:asciiTheme="minorHAnsi" w:hAnsiTheme="minorHAnsi" w:cstheme="minorHAnsi"/>
          <w:color w:val="222222"/>
          <w:shd w:val="clear" w:color="auto" w:fill="FFFFFF"/>
        </w:rPr>
        <w:t xml:space="preserve"> (Mindtools). Once the pupils have generated their ideas they would then look at these ideas and assess which ideas are more realistic, feasible or viable. “</w:t>
      </w:r>
      <w:r w:rsidRPr="007427CA">
        <w:rPr>
          <w:rFonts w:asciiTheme="minorHAnsi" w:hAnsiTheme="minorHAnsi" w:cstheme="minorHAnsi"/>
          <w:i/>
          <w:shd w:val="clear" w:color="auto" w:fill="FFFFFF"/>
        </w:rPr>
        <w:t>In the end, the answers are left. Generally, these are all creative answers that will now be filtered in terms of ‘useful’, ‘not useful’ or ‘somewhat useful’. The most viable and feasible ideas are collected and examined further</w:t>
      </w:r>
      <w:r w:rsidRPr="007427CA">
        <w:rPr>
          <w:rFonts w:asciiTheme="minorHAnsi" w:hAnsiTheme="minorHAnsi" w:cstheme="minorHAnsi"/>
          <w:color w:val="535353"/>
          <w:shd w:val="clear" w:color="auto" w:fill="FFFFFF"/>
        </w:rPr>
        <w:t xml:space="preserve">.” </w:t>
      </w:r>
      <w:r w:rsidRPr="007427CA">
        <w:rPr>
          <w:rFonts w:asciiTheme="minorHAnsi" w:hAnsiTheme="minorHAnsi" w:cstheme="minorHAnsi"/>
          <w:shd w:val="clear" w:color="auto" w:fill="FFFFFF"/>
        </w:rPr>
        <w:t>(</w:t>
      </w:r>
      <w:proofErr w:type="spellStart"/>
      <w:r w:rsidRPr="007427CA">
        <w:rPr>
          <w:rFonts w:asciiTheme="minorHAnsi" w:hAnsiTheme="minorHAnsi" w:cstheme="minorHAnsi"/>
          <w:shd w:val="clear" w:color="auto" w:fill="FFFFFF"/>
        </w:rPr>
        <w:t>toolshero</w:t>
      </w:r>
      <w:proofErr w:type="spellEnd"/>
      <w:r w:rsidRPr="007427CA">
        <w:rPr>
          <w:rFonts w:asciiTheme="minorHAnsi" w:hAnsiTheme="minorHAnsi" w:cstheme="minorHAnsi"/>
          <w:shd w:val="clear" w:color="auto" w:fill="FFFFFF"/>
        </w:rPr>
        <w:t>).</w:t>
      </w:r>
    </w:p>
    <w:p w14:paraId="781BA21B" w14:textId="77777777" w:rsidR="00D608BB" w:rsidRPr="007427CA" w:rsidRDefault="00D608BB" w:rsidP="00D608BB">
      <w:pPr>
        <w:spacing w:line="360" w:lineRule="auto"/>
        <w:rPr>
          <w:rFonts w:asciiTheme="minorHAnsi" w:hAnsiTheme="minorHAnsi" w:cstheme="minorHAnsi"/>
        </w:rPr>
      </w:pPr>
    </w:p>
    <w:p w14:paraId="5726D740" w14:textId="77777777" w:rsidR="00D608BB" w:rsidRPr="007427CA" w:rsidRDefault="00D608BB" w:rsidP="00D608BB">
      <w:pPr>
        <w:spacing w:line="360" w:lineRule="auto"/>
        <w:rPr>
          <w:rFonts w:asciiTheme="minorHAnsi" w:hAnsiTheme="minorHAnsi" w:cstheme="minorHAnsi"/>
          <w:shd w:val="clear" w:color="auto" w:fill="FFFFFF"/>
        </w:rPr>
      </w:pPr>
      <w:r w:rsidRPr="007427CA">
        <w:rPr>
          <w:rFonts w:asciiTheme="minorHAnsi" w:hAnsiTheme="minorHAnsi" w:cstheme="minorHAnsi"/>
        </w:rPr>
        <w:t>Another method that teachers can use to help their creative skills, is through the use of Edward De Bono’s six thinking hats. De Bono (1993, pp. 75) argued that “</w:t>
      </w:r>
      <w:r w:rsidRPr="007427CA">
        <w:rPr>
          <w:rFonts w:asciiTheme="minorHAnsi" w:hAnsiTheme="minorHAnsi" w:cstheme="minorHAnsi"/>
          <w:i/>
        </w:rPr>
        <w:t>we often try to do too much at the same time</w:t>
      </w:r>
      <w:r w:rsidRPr="007427CA">
        <w:rPr>
          <w:rFonts w:asciiTheme="minorHAnsi" w:hAnsiTheme="minorHAnsi" w:cstheme="minorHAnsi"/>
        </w:rPr>
        <w:t>” in regard to our thinking, therefore “</w:t>
      </w:r>
      <w:r w:rsidRPr="007427CA">
        <w:rPr>
          <w:rFonts w:asciiTheme="minorHAnsi" w:hAnsiTheme="minorHAnsi" w:cstheme="minorHAnsi"/>
          <w:i/>
        </w:rPr>
        <w:t>the six thinking hats is a method for doing one sort of thinking at a time. Instead of trying to do everything at once we ‘wear’ only one hat at a time.</w:t>
      </w:r>
      <w:r w:rsidRPr="007427CA">
        <w:rPr>
          <w:rFonts w:asciiTheme="minorHAnsi" w:hAnsiTheme="minorHAnsi" w:cstheme="minorHAnsi"/>
        </w:rPr>
        <w:t>” (De Bono, 1993). These thinking hats “</w:t>
      </w:r>
      <w:r w:rsidRPr="007427CA">
        <w:rPr>
          <w:rFonts w:asciiTheme="minorHAnsi" w:hAnsiTheme="minorHAnsi" w:cstheme="minorHAnsi"/>
          <w:i/>
        </w:rPr>
        <w:t>c</w:t>
      </w:r>
      <w:r w:rsidRPr="007427CA">
        <w:rPr>
          <w:rFonts w:asciiTheme="minorHAnsi" w:hAnsiTheme="minorHAnsi" w:cstheme="minorHAnsi"/>
          <w:i/>
          <w:shd w:val="clear" w:color="auto" w:fill="FFFFFF"/>
        </w:rPr>
        <w:t>an be used during a specific critical thinking session to achieve specific targets such as solving problems, discussing argument, in-depth analysis for planning process and running the </w:t>
      </w:r>
      <w:r w:rsidRPr="007427CA">
        <w:rPr>
          <w:rFonts w:asciiTheme="minorHAnsi" w:hAnsiTheme="minorHAnsi" w:cstheme="minorHAnsi"/>
          <w:i/>
          <w:bdr w:val="none" w:sz="0" w:space="0" w:color="auto" w:frame="1"/>
          <w:shd w:val="clear" w:color="auto" w:fill="FFFFFF"/>
        </w:rPr>
        <w:t>creative thinking process</w:t>
      </w:r>
      <w:r w:rsidRPr="007427CA">
        <w:rPr>
          <w:rFonts w:asciiTheme="minorHAnsi" w:hAnsiTheme="minorHAnsi" w:cstheme="minorHAnsi"/>
          <w:i/>
          <w:shd w:val="clear" w:color="auto" w:fill="FFFFFF"/>
        </w:rPr>
        <w:t>.</w:t>
      </w:r>
      <w:r w:rsidRPr="007427CA">
        <w:rPr>
          <w:rFonts w:asciiTheme="minorHAnsi" w:hAnsiTheme="minorHAnsi" w:cstheme="minorHAnsi"/>
          <w:shd w:val="clear" w:color="auto" w:fill="FFFFFF"/>
        </w:rPr>
        <w:t>” (</w:t>
      </w:r>
      <w:proofErr w:type="spellStart"/>
      <w:r w:rsidRPr="007427CA">
        <w:rPr>
          <w:rFonts w:asciiTheme="minorHAnsi" w:hAnsiTheme="minorHAnsi" w:cstheme="minorHAnsi"/>
          <w:shd w:val="clear" w:color="auto" w:fill="FFFFFF"/>
        </w:rPr>
        <w:t>Designorate</w:t>
      </w:r>
      <w:proofErr w:type="spellEnd"/>
      <w:r w:rsidRPr="007427CA">
        <w:rPr>
          <w:rFonts w:asciiTheme="minorHAnsi" w:hAnsiTheme="minorHAnsi" w:cstheme="minorHAnsi"/>
          <w:shd w:val="clear" w:color="auto" w:fill="FFFFFF"/>
        </w:rPr>
        <w:t>, date unknown). Each of the six hats is given a specific colour which represents a different thought process. These are:</w:t>
      </w:r>
    </w:p>
    <w:p w14:paraId="081C8C64"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Red Hat – Intuitive thinking</w:t>
      </w:r>
    </w:p>
    <w:p w14:paraId="4A429F82"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White Hat – Informative thinking</w:t>
      </w:r>
    </w:p>
    <w:p w14:paraId="78EE2D7E"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Yellow Hat – Constructive thinking</w:t>
      </w:r>
    </w:p>
    <w:p w14:paraId="645430DC"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Blue Hat – Reflective thinking</w:t>
      </w:r>
    </w:p>
    <w:p w14:paraId="0CE34BF4"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Green Hat – Creative thinking</w:t>
      </w:r>
    </w:p>
    <w:p w14:paraId="06E595ED" w14:textId="77777777" w:rsidR="00D608BB" w:rsidRPr="007427CA" w:rsidRDefault="00D608BB" w:rsidP="00D608BB">
      <w:pPr>
        <w:pStyle w:val="ListParagraph"/>
        <w:numPr>
          <w:ilvl w:val="0"/>
          <w:numId w:val="2"/>
        </w:numPr>
        <w:spacing w:line="360" w:lineRule="auto"/>
        <w:rPr>
          <w:rFonts w:asciiTheme="minorHAnsi" w:hAnsiTheme="minorHAnsi" w:cstheme="minorHAnsi"/>
        </w:rPr>
      </w:pPr>
      <w:r w:rsidRPr="007427CA">
        <w:rPr>
          <w:rFonts w:asciiTheme="minorHAnsi" w:hAnsiTheme="minorHAnsi" w:cstheme="minorHAnsi"/>
        </w:rPr>
        <w:t>Black Hat – Cautious thinking.</w:t>
      </w:r>
    </w:p>
    <w:p w14:paraId="30B5671C" w14:textId="77777777" w:rsidR="00D608BB" w:rsidRPr="007427CA" w:rsidRDefault="00D608BB" w:rsidP="00D608BB">
      <w:pPr>
        <w:spacing w:line="360" w:lineRule="auto"/>
        <w:rPr>
          <w:rFonts w:asciiTheme="minorHAnsi" w:hAnsiTheme="minorHAnsi" w:cstheme="minorHAnsi"/>
        </w:rPr>
      </w:pPr>
    </w:p>
    <w:p w14:paraId="3A4177FC"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The use of these Thinking Hats would vary depending on the age of the children, as well as their familiarity in the concept of Thinking Hats. Younger children may benefit from the use of actual physical coloured hats, whereas slightly older children, or those who have used the Thinking Hats process in the past could simply be told what colour hat they are to wear when discussing a particular topic.</w:t>
      </w:r>
    </w:p>
    <w:p w14:paraId="7CA4DE14" w14:textId="77777777" w:rsidR="00D608BB" w:rsidRPr="007427CA" w:rsidRDefault="00D608BB" w:rsidP="00D608BB">
      <w:pPr>
        <w:spacing w:line="360" w:lineRule="auto"/>
        <w:rPr>
          <w:rFonts w:asciiTheme="minorHAnsi" w:hAnsiTheme="minorHAnsi" w:cstheme="minorHAnsi"/>
        </w:rPr>
      </w:pPr>
    </w:p>
    <w:p w14:paraId="5BE895CE"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Alongside the use of creative tools such as De Bono’s Thinking Hats and Eberle’s SCAMPER, it is important to remember that “</w:t>
      </w:r>
      <w:r w:rsidRPr="007427CA">
        <w:rPr>
          <w:rFonts w:asciiTheme="minorHAnsi" w:hAnsiTheme="minorHAnsi" w:cstheme="minorHAnsi"/>
          <w:i/>
        </w:rPr>
        <w:t>creative learning is about developing children’s openness to experiment, take risks and not fear failure</w:t>
      </w:r>
      <w:r w:rsidRPr="007427CA">
        <w:rPr>
          <w:rFonts w:asciiTheme="minorHAnsi" w:hAnsiTheme="minorHAnsi" w:cstheme="minorHAnsi"/>
        </w:rPr>
        <w:t>” (Grigg, 2015). Grigg (2015) also states that “</w:t>
      </w:r>
      <w:r w:rsidRPr="007427CA">
        <w:rPr>
          <w:rFonts w:asciiTheme="minorHAnsi" w:hAnsiTheme="minorHAnsi" w:cstheme="minorHAnsi"/>
          <w:i/>
        </w:rPr>
        <w:t>the process of being creative involves asking questions, making connections</w:t>
      </w:r>
      <w:r w:rsidRPr="007427CA">
        <w:rPr>
          <w:rFonts w:asciiTheme="minorHAnsi" w:hAnsiTheme="minorHAnsi" w:cstheme="minorHAnsi"/>
        </w:rPr>
        <w:t>”. From these two quotes we can see that before any creative thinking models, such as SCAMPER or Thinking Hats, can be used successfully, it is imperative that the pupils’ own class teacher creates and fosters an environment within the classroom whereby these elements are not just allowed to take place, but also are actively encouraged throughout the pupil’s time in that class.</w:t>
      </w:r>
    </w:p>
    <w:p w14:paraId="04C7F973" w14:textId="77777777" w:rsidR="00D608BB" w:rsidRPr="007427CA" w:rsidRDefault="00D608BB" w:rsidP="00D608BB">
      <w:pPr>
        <w:spacing w:line="360" w:lineRule="auto"/>
        <w:rPr>
          <w:rFonts w:asciiTheme="minorHAnsi" w:hAnsiTheme="minorHAnsi" w:cstheme="minorHAnsi"/>
        </w:rPr>
      </w:pPr>
    </w:p>
    <w:p w14:paraId="06B95CB0" w14:textId="77777777" w:rsidR="00D608BB" w:rsidRPr="007427CA" w:rsidRDefault="00D608BB" w:rsidP="00D608BB">
      <w:pPr>
        <w:spacing w:line="360" w:lineRule="auto"/>
        <w:rPr>
          <w:rFonts w:asciiTheme="minorHAnsi" w:hAnsiTheme="minorHAnsi" w:cstheme="minorHAnsi"/>
        </w:rPr>
      </w:pPr>
      <w:r w:rsidRPr="007427CA">
        <w:rPr>
          <w:rFonts w:asciiTheme="minorHAnsi" w:hAnsiTheme="minorHAnsi" w:cstheme="minorHAnsi"/>
        </w:rPr>
        <w:t>One way in which this can be done is through the layout of your classroom. “</w:t>
      </w:r>
      <w:r w:rsidRPr="007427CA">
        <w:rPr>
          <w:rFonts w:asciiTheme="minorHAnsi" w:hAnsiTheme="minorHAnsi" w:cstheme="minorHAnsi"/>
          <w:i/>
        </w:rPr>
        <w:t>The physical environment that you and the children are in will have a great deal of influence over how they interact and learn.</w:t>
      </w:r>
      <w:r w:rsidRPr="007427CA">
        <w:rPr>
          <w:rFonts w:asciiTheme="minorHAnsi" w:hAnsiTheme="minorHAnsi" w:cstheme="minorHAnsi"/>
        </w:rPr>
        <w:t xml:space="preserve">” (Desailly, 2012). </w:t>
      </w:r>
      <w:proofErr w:type="spellStart"/>
      <w:r w:rsidRPr="007427CA">
        <w:rPr>
          <w:rFonts w:asciiTheme="minorHAnsi" w:hAnsiTheme="minorHAnsi" w:cstheme="minorHAnsi"/>
        </w:rPr>
        <w:t>Eckhoff</w:t>
      </w:r>
      <w:proofErr w:type="spellEnd"/>
      <w:r w:rsidRPr="007427CA">
        <w:rPr>
          <w:rFonts w:asciiTheme="minorHAnsi" w:hAnsiTheme="minorHAnsi" w:cstheme="minorHAnsi"/>
        </w:rPr>
        <w:t xml:space="preserve"> and </w:t>
      </w:r>
      <w:proofErr w:type="spellStart"/>
      <w:r w:rsidRPr="007427CA">
        <w:rPr>
          <w:rFonts w:asciiTheme="minorHAnsi" w:hAnsiTheme="minorHAnsi" w:cstheme="minorHAnsi"/>
        </w:rPr>
        <w:t>Urbach</w:t>
      </w:r>
      <w:proofErr w:type="spellEnd"/>
      <w:r w:rsidRPr="007427CA">
        <w:rPr>
          <w:rFonts w:asciiTheme="minorHAnsi" w:hAnsiTheme="minorHAnsi" w:cstheme="minorHAnsi"/>
        </w:rPr>
        <w:t xml:space="preserve"> (2008, cited in </w:t>
      </w:r>
      <w:proofErr w:type="spellStart"/>
      <w:r w:rsidRPr="007427CA">
        <w:rPr>
          <w:rFonts w:asciiTheme="minorHAnsi" w:hAnsiTheme="minorHAnsi" w:cstheme="minorHAnsi"/>
        </w:rPr>
        <w:t>Fumoto</w:t>
      </w:r>
      <w:proofErr w:type="spellEnd"/>
      <w:r w:rsidRPr="007427CA">
        <w:rPr>
          <w:rFonts w:asciiTheme="minorHAnsi" w:hAnsiTheme="minorHAnsi" w:cstheme="minorHAnsi"/>
        </w:rPr>
        <w:t xml:space="preserve"> </w:t>
      </w:r>
      <w:r w:rsidRPr="007427CA">
        <w:rPr>
          <w:rFonts w:asciiTheme="minorHAnsi" w:hAnsiTheme="minorHAnsi" w:cstheme="minorHAnsi"/>
          <w:i/>
        </w:rPr>
        <w:t xml:space="preserve">et al., 2012, </w:t>
      </w:r>
      <w:r w:rsidRPr="007427CA">
        <w:rPr>
          <w:rFonts w:asciiTheme="minorHAnsi" w:hAnsiTheme="minorHAnsi" w:cstheme="minorHAnsi"/>
        </w:rPr>
        <w:t>p.35) “</w:t>
      </w:r>
      <w:r w:rsidRPr="007427CA">
        <w:rPr>
          <w:rFonts w:asciiTheme="minorHAnsi" w:hAnsiTheme="minorHAnsi" w:cstheme="minorHAnsi"/>
          <w:i/>
        </w:rPr>
        <w:t>argue that the close relationship between imagination and cognition makes it important that adults create an environment that incorporates opportunities for imagination, in which young children’s creative thought and confidence are fostered.</w:t>
      </w:r>
      <w:r w:rsidRPr="007427CA">
        <w:rPr>
          <w:rFonts w:asciiTheme="minorHAnsi" w:hAnsiTheme="minorHAnsi" w:cstheme="minorHAnsi"/>
        </w:rPr>
        <w:t>” This point is echoed by Duffy (1998) who states:</w:t>
      </w:r>
    </w:p>
    <w:p w14:paraId="1025905A" w14:textId="77777777" w:rsidR="00D608BB" w:rsidRPr="007427CA" w:rsidRDefault="00D608BB" w:rsidP="00D608BB">
      <w:pPr>
        <w:spacing w:line="360" w:lineRule="auto"/>
        <w:ind w:left="720"/>
        <w:rPr>
          <w:rFonts w:asciiTheme="minorHAnsi" w:hAnsiTheme="minorHAnsi" w:cstheme="minorHAnsi"/>
          <w:i/>
        </w:rPr>
      </w:pPr>
      <w:r w:rsidRPr="007427CA">
        <w:rPr>
          <w:rFonts w:asciiTheme="minorHAnsi" w:hAnsiTheme="minorHAnsi" w:cstheme="minorHAnsi"/>
        </w:rPr>
        <w:t>“</w:t>
      </w:r>
      <w:r w:rsidRPr="007427CA">
        <w:rPr>
          <w:rFonts w:asciiTheme="minorHAnsi" w:hAnsiTheme="minorHAnsi" w:cstheme="minorHAnsi"/>
          <w:i/>
        </w:rPr>
        <w:t>if we want children to express their creativity we need to provide an environment in which they can do this. There are two aspects we need to bear in mind:</w:t>
      </w:r>
    </w:p>
    <w:p w14:paraId="0C1F79F5" w14:textId="77777777" w:rsidR="00D608BB" w:rsidRPr="007427CA" w:rsidRDefault="00D608BB" w:rsidP="00D608BB">
      <w:pPr>
        <w:pStyle w:val="ListParagraph"/>
        <w:numPr>
          <w:ilvl w:val="0"/>
          <w:numId w:val="3"/>
        </w:numPr>
        <w:spacing w:line="360" w:lineRule="auto"/>
        <w:rPr>
          <w:rFonts w:asciiTheme="minorHAnsi" w:hAnsiTheme="minorHAnsi" w:cstheme="minorHAnsi"/>
          <w:i/>
        </w:rPr>
      </w:pPr>
      <w:r w:rsidRPr="007427CA">
        <w:rPr>
          <w:rFonts w:asciiTheme="minorHAnsi" w:hAnsiTheme="minorHAnsi" w:cstheme="minorHAnsi"/>
          <w:i/>
        </w:rPr>
        <w:t>The emotional environment we create</w:t>
      </w:r>
    </w:p>
    <w:p w14:paraId="2E965464" w14:textId="7D2157BF" w:rsidR="00D608BB" w:rsidRPr="007902C3" w:rsidRDefault="00D608BB" w:rsidP="00D608BB">
      <w:pPr>
        <w:pStyle w:val="ListParagraph"/>
        <w:numPr>
          <w:ilvl w:val="0"/>
          <w:numId w:val="3"/>
        </w:numPr>
        <w:spacing w:line="360" w:lineRule="auto"/>
        <w:rPr>
          <w:rFonts w:asciiTheme="minorHAnsi" w:hAnsiTheme="minorHAnsi" w:cstheme="minorHAnsi"/>
          <w:i/>
        </w:rPr>
      </w:pPr>
      <w:r w:rsidRPr="007427CA">
        <w:rPr>
          <w:rFonts w:asciiTheme="minorHAnsi" w:hAnsiTheme="minorHAnsi" w:cstheme="minorHAnsi"/>
          <w:i/>
        </w:rPr>
        <w:lastRenderedPageBreak/>
        <w:t>The physical environment we create.</w:t>
      </w:r>
      <w:r w:rsidRPr="007427CA">
        <w:rPr>
          <w:rFonts w:asciiTheme="minorHAnsi" w:hAnsiTheme="minorHAnsi" w:cstheme="minorHAnsi"/>
        </w:rPr>
        <w:t>”</w:t>
      </w:r>
    </w:p>
    <w:p w14:paraId="0330247D" w14:textId="0F3131AE" w:rsidR="007902C3" w:rsidRDefault="007902C3" w:rsidP="007902C3">
      <w:pPr>
        <w:spacing w:line="360" w:lineRule="auto"/>
        <w:rPr>
          <w:rFonts w:asciiTheme="minorHAnsi" w:hAnsiTheme="minorHAnsi" w:cstheme="minorHAnsi"/>
          <w:i/>
        </w:rPr>
      </w:pPr>
    </w:p>
    <w:p w14:paraId="6D4B96C2" w14:textId="5F03080A" w:rsidR="007902C3" w:rsidRPr="007902C3" w:rsidRDefault="007902C3" w:rsidP="007902C3">
      <w:pPr>
        <w:spacing w:line="360" w:lineRule="auto"/>
        <w:rPr>
          <w:rFonts w:asciiTheme="minorHAnsi" w:hAnsiTheme="minorHAnsi" w:cstheme="minorHAnsi"/>
        </w:rPr>
      </w:pPr>
      <w:r>
        <w:rPr>
          <w:rFonts w:asciiTheme="minorHAnsi" w:hAnsiTheme="minorHAnsi" w:cstheme="minorHAnsi"/>
        </w:rPr>
        <w:t>As has been de</w:t>
      </w:r>
      <w:r w:rsidR="00BE03CD">
        <w:rPr>
          <w:rFonts w:asciiTheme="minorHAnsi" w:hAnsiTheme="minorHAnsi" w:cstheme="minorHAnsi"/>
        </w:rPr>
        <w:t xml:space="preserve">monstrated there are a number of conflicting views on how exactly creativity should be defined. However most academics agree that in order to be creative you need to be both novel and unique (Boden, 1999; Robinson, 1999; Kaufman and </w:t>
      </w:r>
      <w:proofErr w:type="spellStart"/>
      <w:r w:rsidR="00BE03CD">
        <w:rPr>
          <w:rFonts w:asciiTheme="minorHAnsi" w:hAnsiTheme="minorHAnsi" w:cstheme="minorHAnsi"/>
        </w:rPr>
        <w:t>Strenberg</w:t>
      </w:r>
      <w:proofErr w:type="spellEnd"/>
      <w:r w:rsidR="00BE03CD">
        <w:rPr>
          <w:rFonts w:asciiTheme="minorHAnsi" w:hAnsiTheme="minorHAnsi" w:cstheme="minorHAnsi"/>
        </w:rPr>
        <w:t>, 2007</w:t>
      </w:r>
      <w:r w:rsidR="00331201">
        <w:rPr>
          <w:rFonts w:asciiTheme="minorHAnsi" w:hAnsiTheme="minorHAnsi" w:cstheme="minorHAnsi"/>
        </w:rPr>
        <w:t xml:space="preserve">, referenced in </w:t>
      </w:r>
      <w:proofErr w:type="spellStart"/>
      <w:r w:rsidR="00331201" w:rsidRPr="007427CA">
        <w:rPr>
          <w:rFonts w:asciiTheme="minorHAnsi" w:hAnsiTheme="minorHAnsi" w:cstheme="minorHAnsi"/>
        </w:rPr>
        <w:t>Fumoto</w:t>
      </w:r>
      <w:proofErr w:type="spellEnd"/>
      <w:r w:rsidR="00331201" w:rsidRPr="007427CA">
        <w:rPr>
          <w:rFonts w:asciiTheme="minorHAnsi" w:hAnsiTheme="minorHAnsi" w:cstheme="minorHAnsi"/>
        </w:rPr>
        <w:t xml:space="preserve"> </w:t>
      </w:r>
      <w:r w:rsidR="00331201" w:rsidRPr="007427CA">
        <w:rPr>
          <w:rFonts w:asciiTheme="minorHAnsi" w:hAnsiTheme="minorHAnsi" w:cstheme="minorHAnsi"/>
          <w:i/>
        </w:rPr>
        <w:t>et al., 2012</w:t>
      </w:r>
      <w:r w:rsidR="00331201">
        <w:rPr>
          <w:rFonts w:asciiTheme="minorHAnsi" w:hAnsiTheme="minorHAnsi" w:cstheme="minorHAnsi"/>
          <w:i/>
        </w:rPr>
        <w:t>, p.17</w:t>
      </w:r>
      <w:r w:rsidR="00331201">
        <w:rPr>
          <w:rFonts w:asciiTheme="minorHAnsi" w:hAnsiTheme="minorHAnsi" w:cstheme="minorHAnsi"/>
        </w:rPr>
        <w:t>)</w:t>
      </w:r>
      <w:r w:rsidR="00BE03CD">
        <w:rPr>
          <w:rFonts w:asciiTheme="minorHAnsi" w:hAnsiTheme="minorHAnsi" w:cstheme="minorHAnsi"/>
        </w:rPr>
        <w:t xml:space="preserve">. Due to this ambiguity in how creativity is defined it can often be difficult to assess one’s self in regard to their creativity skills. This has resulted in tools such as the Entrecomp Framework having been created to aid in this process of self-assessment. When using the Entrecomp Framework, however, it is important to remember that it has been developed for use within business, rather than for use within education. </w:t>
      </w:r>
      <w:r w:rsidR="00BE03CD" w:rsidRPr="00BE03CD">
        <w:rPr>
          <w:rFonts w:asciiTheme="minorHAnsi" w:hAnsiTheme="minorHAnsi" w:cstheme="minorHAnsi"/>
        </w:rPr>
        <w:t>“</w:t>
      </w:r>
      <w:r w:rsidR="00BE03CD" w:rsidRPr="00BE03CD">
        <w:rPr>
          <w:rFonts w:asciiTheme="minorHAnsi" w:hAnsiTheme="minorHAnsi" w:cstheme="minorHAnsi"/>
          <w:i/>
        </w:rPr>
        <w:t xml:space="preserve">The Entrepreneurship Competence Framework, also known as </w:t>
      </w:r>
      <w:proofErr w:type="spellStart"/>
      <w:r w:rsidR="00BE03CD" w:rsidRPr="00BE03CD">
        <w:rPr>
          <w:rFonts w:asciiTheme="minorHAnsi" w:hAnsiTheme="minorHAnsi" w:cstheme="minorHAnsi"/>
          <w:i/>
        </w:rPr>
        <w:t>EntreComp</w:t>
      </w:r>
      <w:proofErr w:type="spellEnd"/>
      <w:r w:rsidR="00BE03CD" w:rsidRPr="00BE03CD">
        <w:rPr>
          <w:rFonts w:asciiTheme="minorHAnsi" w:hAnsiTheme="minorHAnsi" w:cstheme="minorHAnsi"/>
          <w:i/>
        </w:rPr>
        <w:t>, offers a tool to improve the entrepreneurial capacity of European citizens and organisations</w:t>
      </w:r>
      <w:r w:rsidR="00BE03CD" w:rsidRPr="00BE03CD">
        <w:rPr>
          <w:rFonts w:asciiTheme="minorHAnsi" w:hAnsiTheme="minorHAnsi" w:cstheme="minorHAnsi"/>
        </w:rPr>
        <w:t>”</w:t>
      </w:r>
      <w:r w:rsidR="00BE03CD">
        <w:rPr>
          <w:rFonts w:asciiTheme="minorHAnsi" w:hAnsiTheme="minorHAnsi" w:cstheme="minorHAnsi"/>
        </w:rPr>
        <w:t xml:space="preserve"> </w:t>
      </w:r>
      <w:r w:rsidR="00BE03CD" w:rsidRPr="007427CA">
        <w:rPr>
          <w:rFonts w:asciiTheme="minorHAnsi" w:hAnsiTheme="minorHAnsi" w:cstheme="minorHAnsi"/>
          <w:shd w:val="clear" w:color="auto" w:fill="FFFFFF"/>
        </w:rPr>
        <w:t>(</w:t>
      </w:r>
      <w:r w:rsidR="00BE03CD" w:rsidRPr="007427CA">
        <w:rPr>
          <w:rFonts w:asciiTheme="minorHAnsi" w:hAnsiTheme="minorHAnsi" w:cstheme="minorHAnsi"/>
        </w:rPr>
        <w:t xml:space="preserve">Bacigalupo </w:t>
      </w:r>
      <w:r w:rsidR="00BE03CD" w:rsidRPr="007427CA">
        <w:rPr>
          <w:rFonts w:asciiTheme="minorHAnsi" w:hAnsiTheme="minorHAnsi" w:cstheme="minorHAnsi"/>
          <w:i/>
        </w:rPr>
        <w:t>et al. 2016</w:t>
      </w:r>
      <w:r w:rsidR="00BE03CD">
        <w:rPr>
          <w:rFonts w:asciiTheme="minorHAnsi" w:hAnsiTheme="minorHAnsi" w:cstheme="minorHAnsi"/>
        </w:rPr>
        <w:t>)</w:t>
      </w:r>
      <w:r w:rsidR="008E64AD">
        <w:rPr>
          <w:rFonts w:asciiTheme="minorHAnsi" w:hAnsiTheme="minorHAnsi" w:cstheme="minorHAnsi"/>
        </w:rPr>
        <w:t xml:space="preserve">. A further point to take into consideration when making use of the Entrecomp Framework is that it has yet to be used within real world scenarios </w:t>
      </w:r>
      <w:r w:rsidR="008E64AD" w:rsidRPr="008E64AD">
        <w:rPr>
          <w:rFonts w:asciiTheme="minorHAnsi" w:hAnsiTheme="minorHAnsi" w:cstheme="minorHAnsi"/>
        </w:rPr>
        <w:t>“</w:t>
      </w:r>
      <w:r w:rsidR="008E64AD" w:rsidRPr="008E64AD">
        <w:rPr>
          <w:rFonts w:asciiTheme="minorHAnsi" w:hAnsiTheme="minorHAnsi" w:cstheme="minorHAnsi"/>
          <w:i/>
        </w:rPr>
        <w:t>Although widely endorsed, the framework has not yet been adapted to, or tested in real settings</w:t>
      </w:r>
      <w:r w:rsidR="008E64AD" w:rsidRPr="008E64AD">
        <w:rPr>
          <w:rFonts w:asciiTheme="minorHAnsi" w:hAnsiTheme="minorHAnsi" w:cstheme="minorHAnsi"/>
        </w:rPr>
        <w:t>”</w:t>
      </w:r>
      <w:r w:rsidR="00BE03CD">
        <w:rPr>
          <w:rFonts w:asciiTheme="minorHAnsi" w:hAnsiTheme="minorHAnsi" w:cstheme="minorHAnsi"/>
        </w:rPr>
        <w:t xml:space="preserve"> </w:t>
      </w:r>
      <w:r w:rsidR="008E64AD" w:rsidRPr="007427CA">
        <w:rPr>
          <w:rFonts w:asciiTheme="minorHAnsi" w:hAnsiTheme="minorHAnsi" w:cstheme="minorHAnsi"/>
          <w:shd w:val="clear" w:color="auto" w:fill="FFFFFF"/>
        </w:rPr>
        <w:t>(</w:t>
      </w:r>
      <w:r w:rsidR="008E64AD" w:rsidRPr="007427CA">
        <w:rPr>
          <w:rFonts w:asciiTheme="minorHAnsi" w:hAnsiTheme="minorHAnsi" w:cstheme="minorHAnsi"/>
        </w:rPr>
        <w:t xml:space="preserve">Bacigalupo </w:t>
      </w:r>
      <w:r w:rsidR="008E64AD" w:rsidRPr="007427CA">
        <w:rPr>
          <w:rFonts w:asciiTheme="minorHAnsi" w:hAnsiTheme="minorHAnsi" w:cstheme="minorHAnsi"/>
          <w:i/>
        </w:rPr>
        <w:t>et al. 2016</w:t>
      </w:r>
      <w:r w:rsidR="008E64AD">
        <w:rPr>
          <w:rFonts w:asciiTheme="minorHAnsi" w:hAnsiTheme="minorHAnsi" w:cstheme="minorHAnsi"/>
        </w:rPr>
        <w:t>).</w:t>
      </w:r>
    </w:p>
    <w:p w14:paraId="5830567F" w14:textId="77777777" w:rsidR="00D608BB" w:rsidRPr="007427CA" w:rsidRDefault="00D608BB" w:rsidP="00D608BB">
      <w:pPr>
        <w:rPr>
          <w:rFonts w:asciiTheme="minorHAnsi" w:hAnsiTheme="minorHAnsi" w:cstheme="minorHAnsi"/>
        </w:rPr>
      </w:pPr>
    </w:p>
    <w:p w14:paraId="645245C6" w14:textId="77777777" w:rsidR="00180C48" w:rsidRDefault="008E64AD" w:rsidP="00D608BB">
      <w:pPr>
        <w:rPr>
          <w:rFonts w:asciiTheme="minorHAnsi" w:hAnsiTheme="minorHAnsi" w:cstheme="minorHAnsi"/>
        </w:rPr>
      </w:pPr>
      <w:r>
        <w:rPr>
          <w:rFonts w:asciiTheme="minorHAnsi" w:hAnsiTheme="minorHAnsi" w:cstheme="minorHAnsi"/>
        </w:rPr>
        <w:t xml:space="preserve">It has also been shown that before making use of tools such as De Bono’s Thinking Hats and </w:t>
      </w:r>
      <w:r w:rsidRPr="007427CA">
        <w:rPr>
          <w:rFonts w:asciiTheme="minorHAnsi" w:hAnsiTheme="minorHAnsi" w:cstheme="minorHAnsi"/>
        </w:rPr>
        <w:t>Eberle</w:t>
      </w:r>
      <w:r>
        <w:rPr>
          <w:rFonts w:asciiTheme="minorHAnsi" w:hAnsiTheme="minorHAnsi" w:cstheme="minorHAnsi"/>
        </w:rPr>
        <w:t>’s SCAMPER, it is arguably more important that the correct learning environment as well as correct atmosphere is provided for the pupils within a class. Bashford and Hodson (2008, quoted in Grigg, 2015, p. 105) claim that children</w:t>
      </w:r>
      <w:r w:rsidR="00180C48">
        <w:rPr>
          <w:rFonts w:asciiTheme="minorHAnsi" w:hAnsiTheme="minorHAnsi" w:cstheme="minorHAnsi"/>
        </w:rPr>
        <w:t>:</w:t>
      </w:r>
      <w:r>
        <w:rPr>
          <w:rFonts w:asciiTheme="minorHAnsi" w:hAnsiTheme="minorHAnsi" w:cstheme="minorHAnsi"/>
        </w:rPr>
        <w:t xml:space="preserve"> </w:t>
      </w:r>
    </w:p>
    <w:p w14:paraId="46EC4957" w14:textId="77777777" w:rsidR="00180C48" w:rsidRDefault="00180C48" w:rsidP="00D608BB">
      <w:pPr>
        <w:rPr>
          <w:rFonts w:asciiTheme="minorHAnsi" w:hAnsiTheme="minorHAnsi" w:cstheme="minorHAnsi"/>
        </w:rPr>
      </w:pPr>
    </w:p>
    <w:p w14:paraId="4ADDD7B5" w14:textId="57B3BDFA" w:rsidR="00416E9C" w:rsidRDefault="008E64AD" w:rsidP="00180C48">
      <w:pPr>
        <w:ind w:left="720"/>
        <w:rPr>
          <w:rFonts w:asciiTheme="minorHAnsi" w:hAnsiTheme="minorHAnsi" w:cstheme="minorHAnsi"/>
          <w:i/>
        </w:rPr>
      </w:pPr>
      <w:r>
        <w:rPr>
          <w:rFonts w:asciiTheme="minorHAnsi" w:hAnsiTheme="minorHAnsi" w:cstheme="minorHAnsi"/>
        </w:rPr>
        <w:t>“</w:t>
      </w:r>
      <w:r>
        <w:rPr>
          <w:rFonts w:asciiTheme="minorHAnsi" w:hAnsiTheme="minorHAnsi" w:cstheme="minorHAnsi"/>
          <w:i/>
        </w:rPr>
        <w:t xml:space="preserve">are most deeply </w:t>
      </w:r>
      <w:r w:rsidR="00180C48">
        <w:rPr>
          <w:rFonts w:asciiTheme="minorHAnsi" w:hAnsiTheme="minorHAnsi" w:cstheme="minorHAnsi"/>
          <w:i/>
        </w:rPr>
        <w:t>engaged</w:t>
      </w:r>
      <w:r>
        <w:rPr>
          <w:rFonts w:asciiTheme="minorHAnsi" w:hAnsiTheme="minorHAnsi" w:cstheme="minorHAnsi"/>
          <w:i/>
        </w:rPr>
        <w:t xml:space="preserve"> in tasks when they are allowed to focus on areas of their own individual choice. When they feel at ease and secure emotionally, they become fully involved in their learning</w:t>
      </w:r>
      <w:r w:rsidR="00180C48">
        <w:rPr>
          <w:rFonts w:asciiTheme="minorHAnsi" w:hAnsiTheme="minorHAnsi" w:cstheme="minorHAnsi"/>
          <w:i/>
        </w:rPr>
        <w:t>, unaware of the passing of time.”</w:t>
      </w:r>
    </w:p>
    <w:p w14:paraId="72E0A7CE" w14:textId="2F927C41" w:rsidR="00E548E2" w:rsidRDefault="00E548E2" w:rsidP="00E548E2">
      <w:pPr>
        <w:rPr>
          <w:rFonts w:asciiTheme="minorHAnsi" w:hAnsiTheme="minorHAnsi" w:cstheme="minorHAnsi"/>
          <w:i/>
        </w:rPr>
      </w:pPr>
    </w:p>
    <w:p w14:paraId="21B58B2D" w14:textId="729F2991" w:rsidR="00E548E2" w:rsidRDefault="00E548E2" w:rsidP="00E548E2">
      <w:pPr>
        <w:rPr>
          <w:rFonts w:asciiTheme="minorHAnsi" w:hAnsiTheme="minorHAnsi" w:cstheme="minorHAnsi"/>
        </w:rPr>
      </w:pPr>
      <w:r>
        <w:rPr>
          <w:rFonts w:asciiTheme="minorHAnsi" w:hAnsiTheme="minorHAnsi" w:cstheme="minorHAnsi"/>
        </w:rPr>
        <w:t>In regard to improving the writer’s own use of creativity, the use of De Bono’s Thinking hats could be adopted to help the writer develop creative solutions for problems that may arise whilst out on Practical Teaching Experience. The writer should also actively “</w:t>
      </w:r>
      <w:r>
        <w:rPr>
          <w:rFonts w:asciiTheme="minorHAnsi" w:hAnsiTheme="minorHAnsi" w:cstheme="minorHAnsi"/>
          <w:i/>
        </w:rPr>
        <w:t>search for new ideas that meet my needs</w:t>
      </w:r>
      <w:r>
        <w:rPr>
          <w:rFonts w:asciiTheme="minorHAnsi" w:hAnsiTheme="minorHAnsi" w:cstheme="minorHAnsi"/>
        </w:rPr>
        <w:t xml:space="preserve">” </w:t>
      </w:r>
      <w:r w:rsidRPr="007427CA">
        <w:rPr>
          <w:rFonts w:asciiTheme="minorHAnsi" w:hAnsiTheme="minorHAnsi" w:cstheme="minorHAnsi"/>
          <w:shd w:val="clear" w:color="auto" w:fill="FFFFFF"/>
        </w:rPr>
        <w:t>(</w:t>
      </w:r>
      <w:r w:rsidRPr="007427CA">
        <w:rPr>
          <w:rFonts w:asciiTheme="minorHAnsi" w:hAnsiTheme="minorHAnsi" w:cstheme="minorHAnsi"/>
        </w:rPr>
        <w:t xml:space="preserve">Bacigalupo </w:t>
      </w:r>
      <w:r w:rsidRPr="007427CA">
        <w:rPr>
          <w:rFonts w:asciiTheme="minorHAnsi" w:hAnsiTheme="minorHAnsi" w:cstheme="minorHAnsi"/>
          <w:i/>
        </w:rPr>
        <w:t>et al. 2016</w:t>
      </w:r>
      <w:r>
        <w:rPr>
          <w:rFonts w:asciiTheme="minorHAnsi" w:hAnsiTheme="minorHAnsi" w:cstheme="minorHAnsi"/>
        </w:rPr>
        <w:t>), as well as work on finding solutions for open ended problems they may encounter.</w:t>
      </w:r>
    </w:p>
    <w:p w14:paraId="5F0A82E1" w14:textId="314BDE76" w:rsidR="00331201" w:rsidRDefault="00331201" w:rsidP="00E548E2">
      <w:pPr>
        <w:rPr>
          <w:rFonts w:asciiTheme="minorHAnsi" w:hAnsiTheme="minorHAnsi" w:cstheme="minorHAnsi"/>
        </w:rPr>
      </w:pPr>
    </w:p>
    <w:p w14:paraId="46A21DD9" w14:textId="545FE486" w:rsidR="00331201" w:rsidRDefault="00331201" w:rsidP="00E548E2">
      <w:pPr>
        <w:rPr>
          <w:rFonts w:asciiTheme="minorHAnsi" w:hAnsiTheme="minorHAnsi" w:cstheme="minorHAnsi"/>
        </w:rPr>
      </w:pPr>
    </w:p>
    <w:p w14:paraId="7DCEC896" w14:textId="00F20F84" w:rsidR="00331201" w:rsidRDefault="00331201" w:rsidP="00E548E2">
      <w:pPr>
        <w:rPr>
          <w:rFonts w:asciiTheme="minorHAnsi" w:hAnsiTheme="minorHAnsi" w:cstheme="minorHAnsi"/>
        </w:rPr>
      </w:pPr>
    </w:p>
    <w:p w14:paraId="6149F984" w14:textId="6DF6307E" w:rsidR="00331201" w:rsidRDefault="00331201" w:rsidP="00E548E2">
      <w:pPr>
        <w:rPr>
          <w:rFonts w:asciiTheme="minorHAnsi" w:hAnsiTheme="minorHAnsi" w:cstheme="minorHAnsi"/>
        </w:rPr>
      </w:pPr>
    </w:p>
    <w:p w14:paraId="18AF3A87" w14:textId="1564FE20" w:rsidR="00331201" w:rsidRDefault="00331201" w:rsidP="00E548E2">
      <w:pPr>
        <w:rPr>
          <w:rFonts w:asciiTheme="minorHAnsi" w:hAnsiTheme="minorHAnsi" w:cstheme="minorHAnsi"/>
        </w:rPr>
      </w:pPr>
    </w:p>
    <w:p w14:paraId="5E75C420" w14:textId="66F1E9CC" w:rsidR="00331201" w:rsidRDefault="00331201" w:rsidP="00E548E2">
      <w:pPr>
        <w:rPr>
          <w:rFonts w:asciiTheme="minorHAnsi" w:hAnsiTheme="minorHAnsi" w:cstheme="minorHAnsi"/>
        </w:rPr>
      </w:pPr>
    </w:p>
    <w:p w14:paraId="69A31FB5" w14:textId="32045279" w:rsidR="00331201" w:rsidRDefault="00331201" w:rsidP="00E548E2">
      <w:pPr>
        <w:rPr>
          <w:rFonts w:asciiTheme="minorHAnsi" w:hAnsiTheme="minorHAnsi" w:cstheme="minorHAnsi"/>
        </w:rPr>
      </w:pPr>
    </w:p>
    <w:p w14:paraId="6ADCBF20" w14:textId="319D204B" w:rsidR="00331201" w:rsidRDefault="00331201" w:rsidP="00E548E2">
      <w:pPr>
        <w:rPr>
          <w:rFonts w:asciiTheme="minorHAnsi" w:hAnsiTheme="minorHAnsi" w:cstheme="minorHAnsi"/>
        </w:rPr>
      </w:pPr>
    </w:p>
    <w:p w14:paraId="73ECA5D9" w14:textId="58A37668" w:rsidR="00331201" w:rsidRDefault="00331201" w:rsidP="00E548E2">
      <w:pPr>
        <w:rPr>
          <w:rFonts w:asciiTheme="minorHAnsi" w:hAnsiTheme="minorHAnsi" w:cstheme="minorHAnsi"/>
        </w:rPr>
      </w:pPr>
    </w:p>
    <w:p w14:paraId="1202684C" w14:textId="0167F066" w:rsidR="00331201" w:rsidRDefault="00331201" w:rsidP="00E548E2">
      <w:pPr>
        <w:rPr>
          <w:rFonts w:asciiTheme="minorHAnsi" w:hAnsiTheme="minorHAnsi" w:cstheme="minorHAnsi"/>
        </w:rPr>
      </w:pPr>
    </w:p>
    <w:p w14:paraId="0B7E22CB" w14:textId="01097FE5" w:rsidR="00331201" w:rsidRDefault="00331201" w:rsidP="00E548E2">
      <w:pPr>
        <w:rPr>
          <w:rFonts w:asciiTheme="minorHAnsi" w:hAnsiTheme="minorHAnsi" w:cstheme="minorHAnsi"/>
        </w:rPr>
      </w:pPr>
    </w:p>
    <w:p w14:paraId="647C315E" w14:textId="0B7EDC0D" w:rsidR="00331201" w:rsidRDefault="00331201" w:rsidP="00E548E2">
      <w:pPr>
        <w:rPr>
          <w:rFonts w:asciiTheme="minorHAnsi" w:hAnsiTheme="minorHAnsi" w:cstheme="minorHAnsi"/>
        </w:rPr>
      </w:pPr>
    </w:p>
    <w:p w14:paraId="1CCC8D7B" w14:textId="6E5C6858" w:rsidR="00331201" w:rsidRDefault="00331201" w:rsidP="00E548E2">
      <w:pPr>
        <w:rPr>
          <w:rFonts w:asciiTheme="minorHAnsi" w:hAnsiTheme="minorHAnsi" w:cstheme="minorHAnsi"/>
        </w:rPr>
      </w:pPr>
    </w:p>
    <w:p w14:paraId="6A1BEECE" w14:textId="4CA531F9" w:rsidR="00331201" w:rsidRDefault="00331201" w:rsidP="00E548E2">
      <w:pPr>
        <w:rPr>
          <w:rFonts w:asciiTheme="minorHAnsi" w:hAnsiTheme="minorHAnsi" w:cstheme="minorHAnsi"/>
        </w:rPr>
      </w:pPr>
    </w:p>
    <w:p w14:paraId="787AEED3" w14:textId="1F291EE6" w:rsidR="00331201" w:rsidRDefault="00331201" w:rsidP="00E548E2">
      <w:pPr>
        <w:rPr>
          <w:rFonts w:asciiTheme="minorHAnsi" w:hAnsiTheme="minorHAnsi" w:cstheme="minorHAnsi"/>
        </w:rPr>
      </w:pPr>
    </w:p>
    <w:p w14:paraId="079315FB" w14:textId="30BEE90B" w:rsidR="00331201" w:rsidRDefault="00331201" w:rsidP="00E548E2">
      <w:pPr>
        <w:rPr>
          <w:rFonts w:asciiTheme="minorHAnsi" w:hAnsiTheme="minorHAnsi" w:cstheme="minorHAnsi"/>
        </w:rPr>
      </w:pPr>
    </w:p>
    <w:p w14:paraId="26FF20F1" w14:textId="249F7E24" w:rsidR="00331201" w:rsidRDefault="00331201" w:rsidP="00E548E2">
      <w:pPr>
        <w:rPr>
          <w:rFonts w:asciiTheme="minorHAnsi" w:hAnsiTheme="minorHAnsi" w:cstheme="minorHAnsi"/>
        </w:rPr>
      </w:pPr>
    </w:p>
    <w:p w14:paraId="15B6F496" w14:textId="26D1D93D" w:rsidR="00331201" w:rsidRDefault="00331201" w:rsidP="00E548E2">
      <w:pPr>
        <w:rPr>
          <w:rFonts w:asciiTheme="minorHAnsi" w:hAnsiTheme="minorHAnsi" w:cstheme="minorHAnsi"/>
        </w:rPr>
      </w:pPr>
    </w:p>
    <w:p w14:paraId="5B87BC38" w14:textId="014C9FFE" w:rsidR="00331201" w:rsidRDefault="00331201" w:rsidP="00E548E2">
      <w:pPr>
        <w:rPr>
          <w:rFonts w:asciiTheme="minorHAnsi" w:hAnsiTheme="minorHAnsi" w:cstheme="minorHAnsi"/>
        </w:rPr>
      </w:pPr>
    </w:p>
    <w:p w14:paraId="73A2791C" w14:textId="3B0D1CF6" w:rsidR="00331201" w:rsidRDefault="00331201" w:rsidP="00E548E2">
      <w:pPr>
        <w:rPr>
          <w:rFonts w:asciiTheme="minorHAnsi" w:hAnsiTheme="minorHAnsi" w:cstheme="minorHAnsi"/>
        </w:rPr>
      </w:pPr>
    </w:p>
    <w:p w14:paraId="011CDD11" w14:textId="4B598488" w:rsidR="00331201" w:rsidRDefault="00331201" w:rsidP="00E548E2">
      <w:pPr>
        <w:rPr>
          <w:rFonts w:asciiTheme="minorHAnsi" w:hAnsiTheme="minorHAnsi" w:cstheme="minorHAnsi"/>
        </w:rPr>
      </w:pPr>
    </w:p>
    <w:p w14:paraId="443E2774" w14:textId="1F7C6E7A" w:rsidR="00331201" w:rsidRDefault="00331201" w:rsidP="00E548E2">
      <w:pPr>
        <w:rPr>
          <w:rFonts w:asciiTheme="minorHAnsi" w:hAnsiTheme="minorHAnsi" w:cstheme="minorHAnsi"/>
        </w:rPr>
      </w:pPr>
    </w:p>
    <w:p w14:paraId="03A6EFED" w14:textId="364F1404" w:rsidR="00331201" w:rsidRDefault="00331201" w:rsidP="00E548E2">
      <w:pPr>
        <w:rPr>
          <w:rFonts w:asciiTheme="minorHAnsi" w:hAnsiTheme="minorHAnsi" w:cstheme="minorHAnsi"/>
        </w:rPr>
      </w:pPr>
    </w:p>
    <w:p w14:paraId="12BFAAC8" w14:textId="5E077F84" w:rsidR="00331201" w:rsidRDefault="00331201" w:rsidP="00E548E2">
      <w:pPr>
        <w:rPr>
          <w:rFonts w:asciiTheme="minorHAnsi" w:hAnsiTheme="minorHAnsi" w:cstheme="minorHAnsi"/>
        </w:rPr>
      </w:pPr>
    </w:p>
    <w:p w14:paraId="6B271633" w14:textId="77777777" w:rsidR="00331201" w:rsidRPr="00F02156" w:rsidRDefault="00331201" w:rsidP="00331201">
      <w:pPr>
        <w:spacing w:line="360" w:lineRule="auto"/>
        <w:jc w:val="center"/>
        <w:rPr>
          <w:rFonts w:asciiTheme="minorHAnsi" w:hAnsiTheme="minorHAnsi" w:cstheme="minorHAnsi"/>
        </w:rPr>
      </w:pPr>
      <w:r w:rsidRPr="00F02156">
        <w:rPr>
          <w:rFonts w:asciiTheme="minorHAnsi" w:hAnsiTheme="minorHAnsi" w:cstheme="minorHAnsi"/>
          <w:b/>
          <w:u w:val="single"/>
        </w:rPr>
        <w:t>References</w:t>
      </w:r>
    </w:p>
    <w:p w14:paraId="558BA14E" w14:textId="77777777" w:rsidR="00331201" w:rsidRDefault="00331201" w:rsidP="00331201">
      <w:pPr>
        <w:spacing w:line="360" w:lineRule="auto"/>
        <w:rPr>
          <w:rFonts w:cstheme="minorHAnsi"/>
        </w:rPr>
      </w:pPr>
    </w:p>
    <w:p w14:paraId="68B8140F"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Bacigalupo, M., </w:t>
      </w:r>
      <w:proofErr w:type="spellStart"/>
      <w:r w:rsidRPr="00F02156">
        <w:rPr>
          <w:rFonts w:asciiTheme="minorHAnsi" w:hAnsiTheme="minorHAnsi" w:cstheme="minorHAnsi"/>
        </w:rPr>
        <w:t>Kampylis</w:t>
      </w:r>
      <w:proofErr w:type="spellEnd"/>
      <w:r w:rsidRPr="00F02156">
        <w:rPr>
          <w:rFonts w:asciiTheme="minorHAnsi" w:hAnsiTheme="minorHAnsi" w:cstheme="minorHAnsi"/>
        </w:rPr>
        <w:t xml:space="preserve">, P., </w:t>
      </w:r>
      <w:proofErr w:type="spellStart"/>
      <w:r w:rsidRPr="00F02156">
        <w:rPr>
          <w:rFonts w:asciiTheme="minorHAnsi" w:hAnsiTheme="minorHAnsi" w:cstheme="minorHAnsi"/>
        </w:rPr>
        <w:t>Punie</w:t>
      </w:r>
      <w:proofErr w:type="spellEnd"/>
      <w:r w:rsidRPr="00F02156">
        <w:rPr>
          <w:rFonts w:asciiTheme="minorHAnsi" w:hAnsiTheme="minorHAnsi" w:cstheme="minorHAnsi"/>
        </w:rPr>
        <w:t xml:space="preserve">, Y., Van den Brande, G. (2016). </w:t>
      </w:r>
      <w:proofErr w:type="spellStart"/>
      <w:r w:rsidRPr="00F02156">
        <w:rPr>
          <w:rFonts w:asciiTheme="minorHAnsi" w:hAnsiTheme="minorHAnsi" w:cstheme="minorHAnsi"/>
        </w:rPr>
        <w:t>EntreComp</w:t>
      </w:r>
      <w:proofErr w:type="spellEnd"/>
      <w:r w:rsidRPr="00F02156">
        <w:rPr>
          <w:rFonts w:asciiTheme="minorHAnsi" w:hAnsiTheme="minorHAnsi" w:cstheme="minorHAnsi"/>
        </w:rPr>
        <w:t>: The Entrepreneurship Competence Framework. Luxembourg: Publication Office of the European Union; EUR 27939 EN; doi:10.2791/593884</w:t>
      </w:r>
    </w:p>
    <w:p w14:paraId="78E684C6"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Barnes, J. (2015) </w:t>
      </w:r>
      <w:r w:rsidRPr="00F02156">
        <w:rPr>
          <w:rFonts w:asciiTheme="minorHAnsi" w:hAnsiTheme="minorHAnsi" w:cstheme="minorHAnsi"/>
          <w:i/>
        </w:rPr>
        <w:t>Cross-curricular Learning 3-14</w:t>
      </w:r>
      <w:r w:rsidRPr="00F02156">
        <w:rPr>
          <w:rFonts w:asciiTheme="minorHAnsi" w:hAnsiTheme="minorHAnsi" w:cstheme="minorHAnsi"/>
        </w:rPr>
        <w:t>. 3</w:t>
      </w:r>
      <w:r w:rsidRPr="00F02156">
        <w:rPr>
          <w:rFonts w:asciiTheme="minorHAnsi" w:hAnsiTheme="minorHAnsi" w:cstheme="minorHAnsi"/>
          <w:vertAlign w:val="superscript"/>
        </w:rPr>
        <w:t>rd</w:t>
      </w:r>
      <w:r w:rsidRPr="00F02156">
        <w:rPr>
          <w:rFonts w:asciiTheme="minorHAnsi" w:hAnsiTheme="minorHAnsi" w:cstheme="minorHAnsi"/>
        </w:rPr>
        <w:t xml:space="preserve"> </w:t>
      </w:r>
      <w:proofErr w:type="spellStart"/>
      <w:r w:rsidRPr="00F02156">
        <w:rPr>
          <w:rFonts w:asciiTheme="minorHAnsi" w:hAnsiTheme="minorHAnsi" w:cstheme="minorHAnsi"/>
        </w:rPr>
        <w:t>edn</w:t>
      </w:r>
      <w:proofErr w:type="spellEnd"/>
      <w:r w:rsidRPr="00F02156">
        <w:rPr>
          <w:rFonts w:asciiTheme="minorHAnsi" w:hAnsiTheme="minorHAnsi" w:cstheme="minorHAnsi"/>
        </w:rPr>
        <w:t>. London: Sage Publications</w:t>
      </w:r>
    </w:p>
    <w:p w14:paraId="3E808D66" w14:textId="77777777" w:rsidR="00331201" w:rsidRDefault="00331201" w:rsidP="00331201">
      <w:pPr>
        <w:spacing w:line="360" w:lineRule="auto"/>
        <w:rPr>
          <w:rFonts w:cstheme="minorHAnsi"/>
        </w:rPr>
      </w:pPr>
    </w:p>
    <w:p w14:paraId="64BD6A6E"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Bohm, D. (1996) </w:t>
      </w:r>
      <w:r w:rsidRPr="00F02156">
        <w:rPr>
          <w:rFonts w:asciiTheme="minorHAnsi" w:hAnsiTheme="minorHAnsi" w:cstheme="minorHAnsi"/>
          <w:i/>
        </w:rPr>
        <w:t>On Creativity</w:t>
      </w:r>
      <w:r w:rsidRPr="00F02156">
        <w:rPr>
          <w:rFonts w:asciiTheme="minorHAnsi" w:hAnsiTheme="minorHAnsi" w:cstheme="minorHAnsi"/>
        </w:rPr>
        <w:t>. Oxon: Routledge</w:t>
      </w:r>
    </w:p>
    <w:p w14:paraId="51A8D8C6" w14:textId="77777777" w:rsidR="00331201" w:rsidRDefault="00331201" w:rsidP="00331201">
      <w:pPr>
        <w:spacing w:line="360" w:lineRule="auto"/>
        <w:rPr>
          <w:rStyle w:val="Emphasis"/>
          <w:rFonts w:cstheme="minorHAnsi"/>
          <w:i w:val="0"/>
        </w:rPr>
      </w:pPr>
    </w:p>
    <w:p w14:paraId="55910376" w14:textId="77777777" w:rsidR="00331201" w:rsidRPr="00F02156" w:rsidRDefault="00331201" w:rsidP="00331201">
      <w:pPr>
        <w:spacing w:line="360" w:lineRule="auto"/>
        <w:rPr>
          <w:rStyle w:val="Emphasis"/>
          <w:rFonts w:asciiTheme="minorHAnsi" w:hAnsiTheme="minorHAnsi" w:cstheme="minorHAnsi"/>
          <w:i w:val="0"/>
        </w:rPr>
      </w:pPr>
      <w:r w:rsidRPr="00F02156">
        <w:rPr>
          <w:rStyle w:val="Emphasis"/>
          <w:rFonts w:asciiTheme="minorHAnsi" w:hAnsiTheme="minorHAnsi" w:cstheme="minorHAnsi"/>
          <w:i w:val="0"/>
        </w:rPr>
        <w:t xml:space="preserve">Cornerstone University (2017) </w:t>
      </w:r>
      <w:r w:rsidRPr="00F02156">
        <w:rPr>
          <w:rStyle w:val="Emphasis"/>
          <w:rFonts w:asciiTheme="minorHAnsi" w:hAnsiTheme="minorHAnsi" w:cstheme="minorHAnsi"/>
        </w:rPr>
        <w:t>A Simple, Easy To Understand Guide To Andragogy</w:t>
      </w:r>
      <w:r w:rsidRPr="00F02156">
        <w:rPr>
          <w:rStyle w:val="Emphasis"/>
          <w:rFonts w:asciiTheme="minorHAnsi" w:hAnsiTheme="minorHAnsi" w:cstheme="minorHAnsi"/>
          <w:i w:val="0"/>
        </w:rPr>
        <w:t xml:space="preserve">. Available at: </w:t>
      </w:r>
      <w:r w:rsidRPr="00F02156">
        <w:rPr>
          <w:rStyle w:val="Emphasis"/>
          <w:rFonts w:asciiTheme="minorHAnsi" w:hAnsiTheme="minorHAnsi" w:cstheme="minorHAnsi"/>
          <w:i w:val="0"/>
          <w:iCs w:val="0"/>
        </w:rPr>
        <w:t>https://www.cornerstone.edu/blogs/lifelong-learning-matters/post/a-simple-easy-to-understand-guide-to-andragogy</w:t>
      </w:r>
      <w:r w:rsidRPr="00F02156">
        <w:rPr>
          <w:rStyle w:val="Emphasis"/>
          <w:rFonts w:asciiTheme="minorHAnsi" w:hAnsiTheme="minorHAnsi" w:cstheme="minorHAnsi"/>
          <w:i w:val="0"/>
        </w:rPr>
        <w:t xml:space="preserve"> (Accessed: 26 January 2019)</w:t>
      </w:r>
    </w:p>
    <w:p w14:paraId="373EB669" w14:textId="77777777" w:rsidR="00331201" w:rsidRDefault="00331201" w:rsidP="00331201">
      <w:pPr>
        <w:spacing w:line="360" w:lineRule="auto"/>
        <w:rPr>
          <w:rFonts w:cstheme="minorHAnsi"/>
          <w:color w:val="2A2A2A"/>
        </w:rPr>
      </w:pPr>
    </w:p>
    <w:p w14:paraId="7BE8AD3D" w14:textId="77777777" w:rsidR="00331201" w:rsidRDefault="00331201" w:rsidP="00331201">
      <w:pPr>
        <w:spacing w:line="360" w:lineRule="auto"/>
        <w:rPr>
          <w:rFonts w:cstheme="minorHAnsi"/>
          <w:color w:val="2A2A2A"/>
        </w:rPr>
      </w:pPr>
      <w:r>
        <w:rPr>
          <w:rFonts w:cstheme="minorHAnsi"/>
          <w:color w:val="2A2A2A"/>
        </w:rPr>
        <w:t xml:space="preserve">De Bono, E. (1993) </w:t>
      </w:r>
      <w:r>
        <w:rPr>
          <w:rFonts w:cstheme="minorHAnsi"/>
          <w:i/>
          <w:color w:val="2A2A2A"/>
        </w:rPr>
        <w:t>Teach Your Child How To Think</w:t>
      </w:r>
      <w:r>
        <w:rPr>
          <w:rFonts w:cstheme="minorHAnsi"/>
          <w:color w:val="2A2A2A"/>
        </w:rPr>
        <w:t>. London: Penguin Books</w:t>
      </w:r>
    </w:p>
    <w:p w14:paraId="284AE7DC" w14:textId="77777777" w:rsidR="00331201" w:rsidRDefault="00331201" w:rsidP="00331201">
      <w:pPr>
        <w:spacing w:line="360" w:lineRule="auto"/>
        <w:rPr>
          <w:rStyle w:val="Emphasis"/>
          <w:rFonts w:cstheme="minorHAnsi"/>
          <w:i w:val="0"/>
        </w:rPr>
      </w:pPr>
    </w:p>
    <w:p w14:paraId="5CADAF92" w14:textId="77777777" w:rsidR="00331201" w:rsidRPr="00F02156" w:rsidRDefault="00331201" w:rsidP="00331201">
      <w:pPr>
        <w:spacing w:line="360" w:lineRule="auto"/>
        <w:rPr>
          <w:rStyle w:val="Emphasis"/>
          <w:rFonts w:asciiTheme="minorHAnsi" w:hAnsiTheme="minorHAnsi" w:cstheme="minorHAnsi"/>
          <w:i w:val="0"/>
        </w:rPr>
      </w:pPr>
      <w:r w:rsidRPr="00F02156">
        <w:rPr>
          <w:rStyle w:val="Emphasis"/>
          <w:rFonts w:asciiTheme="minorHAnsi" w:hAnsiTheme="minorHAnsi" w:cstheme="minorHAnsi"/>
          <w:i w:val="0"/>
        </w:rPr>
        <w:t xml:space="preserve">Desailly, J. (2012) </w:t>
      </w:r>
      <w:r w:rsidRPr="00F02156">
        <w:rPr>
          <w:rStyle w:val="Emphasis"/>
          <w:rFonts w:asciiTheme="minorHAnsi" w:hAnsiTheme="minorHAnsi" w:cstheme="minorHAnsi"/>
        </w:rPr>
        <w:t>Creativity in the Primary Classroom</w:t>
      </w:r>
      <w:r w:rsidRPr="00F02156">
        <w:rPr>
          <w:rStyle w:val="Emphasis"/>
          <w:rFonts w:asciiTheme="minorHAnsi" w:hAnsiTheme="minorHAnsi" w:cstheme="minorHAnsi"/>
          <w:i w:val="0"/>
        </w:rPr>
        <w:t>. London: Sage</w:t>
      </w:r>
    </w:p>
    <w:p w14:paraId="0E356D47" w14:textId="77777777" w:rsidR="00331201" w:rsidRDefault="00331201" w:rsidP="00331201">
      <w:pPr>
        <w:spacing w:line="360" w:lineRule="auto"/>
        <w:rPr>
          <w:rFonts w:cstheme="minorHAnsi"/>
        </w:rPr>
      </w:pPr>
    </w:p>
    <w:p w14:paraId="32ADEC39" w14:textId="77777777" w:rsidR="00331201" w:rsidRDefault="00331201" w:rsidP="00331201">
      <w:pPr>
        <w:spacing w:line="360" w:lineRule="auto"/>
      </w:pPr>
      <w:proofErr w:type="spellStart"/>
      <w:r>
        <w:rPr>
          <w:rFonts w:cstheme="minorHAnsi"/>
        </w:rPr>
        <w:t>Designorate</w:t>
      </w:r>
      <w:proofErr w:type="spellEnd"/>
      <w:r>
        <w:rPr>
          <w:rFonts w:cstheme="minorHAnsi"/>
        </w:rPr>
        <w:t xml:space="preserve"> (date unknown) </w:t>
      </w:r>
      <w:r w:rsidRPr="00826DDB">
        <w:rPr>
          <w:i/>
        </w:rPr>
        <w:t>The Six Hats of Critical Thinking and How to Use Them</w:t>
      </w:r>
      <w:r>
        <w:t xml:space="preserve">. Available at: </w:t>
      </w:r>
      <w:r w:rsidRPr="00826DDB">
        <w:t>https://www.designorate.com/the-six-hats-of-critical-thinking-and-how-to-use-them/</w:t>
      </w:r>
      <w:r>
        <w:t xml:space="preserve"> (Accessed: 26 January 2019)</w:t>
      </w:r>
    </w:p>
    <w:p w14:paraId="554C1FB9" w14:textId="77777777" w:rsidR="00331201" w:rsidRPr="00826DDB" w:rsidRDefault="00331201" w:rsidP="00331201">
      <w:pPr>
        <w:spacing w:after="160" w:line="360" w:lineRule="auto"/>
        <w:rPr>
          <w:rFonts w:asciiTheme="minorHAnsi" w:hAnsiTheme="minorHAnsi" w:cstheme="minorBidi"/>
          <w:lang w:eastAsia="en-US"/>
        </w:rPr>
      </w:pPr>
      <w:r w:rsidRPr="00F02156">
        <w:rPr>
          <w:rFonts w:asciiTheme="minorHAnsi" w:hAnsiTheme="minorHAnsi" w:cstheme="minorHAnsi"/>
        </w:rPr>
        <w:t xml:space="preserve">Donaldson, G (2015) </w:t>
      </w:r>
      <w:r w:rsidRPr="00F02156">
        <w:rPr>
          <w:rFonts w:asciiTheme="minorHAnsi" w:hAnsiTheme="minorHAnsi" w:cstheme="minorHAnsi"/>
          <w:i/>
        </w:rPr>
        <w:t>Successful Futures</w:t>
      </w:r>
      <w:r w:rsidRPr="00F02156">
        <w:rPr>
          <w:rFonts w:asciiTheme="minorHAnsi" w:hAnsiTheme="minorHAnsi" w:cstheme="minorHAnsi"/>
        </w:rPr>
        <w:t xml:space="preserve">. Cardiff. WAG </w:t>
      </w:r>
    </w:p>
    <w:p w14:paraId="6469CDF4" w14:textId="77777777" w:rsidR="00331201" w:rsidRPr="00826DDB" w:rsidRDefault="00331201" w:rsidP="00331201">
      <w:pPr>
        <w:spacing w:line="360" w:lineRule="auto"/>
      </w:pPr>
      <w:r>
        <w:t xml:space="preserve">Duffy, B. (1998) </w:t>
      </w:r>
      <w:r>
        <w:rPr>
          <w:i/>
        </w:rPr>
        <w:t>Supporting Creativity and Imagination in the Early Years</w:t>
      </w:r>
      <w:r>
        <w:t>. Buckingham: Open University Press</w:t>
      </w:r>
    </w:p>
    <w:p w14:paraId="4A0EEA00"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Freakanomics (2018) </w:t>
      </w:r>
      <w:r w:rsidRPr="00F02156">
        <w:rPr>
          <w:rFonts w:asciiTheme="minorHAnsi" w:hAnsiTheme="minorHAnsi" w:cstheme="minorHAnsi"/>
          <w:i/>
        </w:rPr>
        <w:t>How to Be Creative</w:t>
      </w:r>
      <w:r w:rsidRPr="00F02156">
        <w:rPr>
          <w:rFonts w:asciiTheme="minorHAnsi" w:hAnsiTheme="minorHAnsi" w:cstheme="minorHAnsi"/>
        </w:rPr>
        <w:t xml:space="preserve"> [Podcast]. 17 October. Available at: http://freakonomics.com/podcast/creativity-1/ (Accessed: 20 October 2018)</w:t>
      </w:r>
    </w:p>
    <w:p w14:paraId="3933CC1B" w14:textId="77777777" w:rsidR="00331201" w:rsidRDefault="00331201" w:rsidP="00331201">
      <w:pPr>
        <w:spacing w:line="360" w:lineRule="auto"/>
      </w:pPr>
    </w:p>
    <w:p w14:paraId="1329F3F0" w14:textId="77777777" w:rsidR="00331201" w:rsidRDefault="00331201" w:rsidP="00331201">
      <w:pPr>
        <w:spacing w:line="360" w:lineRule="auto"/>
      </w:pPr>
      <w:proofErr w:type="spellStart"/>
      <w:r>
        <w:t>Fumoto</w:t>
      </w:r>
      <w:proofErr w:type="spellEnd"/>
      <w:r>
        <w:t xml:space="preserve">, H et al. (2012) </w:t>
      </w:r>
      <w:r>
        <w:rPr>
          <w:i/>
        </w:rPr>
        <w:t>Young Children’s Creative Thinking</w:t>
      </w:r>
      <w:r>
        <w:t>. London: Sage</w:t>
      </w:r>
    </w:p>
    <w:p w14:paraId="4B8006A5"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Grigg, R. (2014) </w:t>
      </w:r>
      <w:r w:rsidRPr="00F02156">
        <w:rPr>
          <w:rFonts w:asciiTheme="minorHAnsi" w:hAnsiTheme="minorHAnsi" w:cstheme="minorHAnsi"/>
          <w:i/>
        </w:rPr>
        <w:t>Becoming an Outstanding Primary Teacher</w:t>
      </w:r>
      <w:r w:rsidRPr="00F02156">
        <w:rPr>
          <w:rFonts w:asciiTheme="minorHAnsi" w:hAnsiTheme="minorHAnsi" w:cstheme="minorHAnsi"/>
        </w:rPr>
        <w:t>. 2</w:t>
      </w:r>
      <w:r w:rsidRPr="00F02156">
        <w:rPr>
          <w:rFonts w:asciiTheme="minorHAnsi" w:hAnsiTheme="minorHAnsi" w:cstheme="minorHAnsi"/>
          <w:vertAlign w:val="superscript"/>
        </w:rPr>
        <w:t>nd</w:t>
      </w:r>
      <w:r w:rsidRPr="00F02156">
        <w:rPr>
          <w:rFonts w:asciiTheme="minorHAnsi" w:hAnsiTheme="minorHAnsi" w:cstheme="minorHAnsi"/>
        </w:rPr>
        <w:t>. New York: Routledge</w:t>
      </w:r>
    </w:p>
    <w:p w14:paraId="098BB439" w14:textId="77777777" w:rsidR="00331201" w:rsidRDefault="00331201" w:rsidP="00331201">
      <w:pPr>
        <w:spacing w:line="360" w:lineRule="auto"/>
        <w:rPr>
          <w:rStyle w:val="Emphasis"/>
          <w:rFonts w:cstheme="minorHAnsi"/>
          <w:i w:val="0"/>
        </w:rPr>
      </w:pPr>
    </w:p>
    <w:p w14:paraId="4F8D9EBC" w14:textId="77777777" w:rsidR="00331201" w:rsidRPr="00F02156" w:rsidRDefault="00331201" w:rsidP="00331201">
      <w:pPr>
        <w:spacing w:line="360" w:lineRule="auto"/>
        <w:rPr>
          <w:rStyle w:val="Emphasis"/>
          <w:rFonts w:asciiTheme="minorHAnsi" w:hAnsiTheme="minorHAnsi" w:cstheme="minorHAnsi"/>
          <w:i w:val="0"/>
        </w:rPr>
      </w:pPr>
      <w:r w:rsidRPr="00F02156">
        <w:rPr>
          <w:rStyle w:val="Emphasis"/>
          <w:rFonts w:asciiTheme="minorHAnsi" w:hAnsiTheme="minorHAnsi" w:cstheme="minorHAnsi"/>
          <w:i w:val="0"/>
        </w:rPr>
        <w:t xml:space="preserve">Mathematical Physical and Life Sciences Division (date unknown) </w:t>
      </w:r>
      <w:r w:rsidRPr="00F02156">
        <w:rPr>
          <w:rStyle w:val="Emphasis"/>
          <w:rFonts w:asciiTheme="minorHAnsi" w:hAnsiTheme="minorHAnsi" w:cstheme="minorHAnsi"/>
        </w:rPr>
        <w:t>Introduction to Enterprise and Entrepreneurship</w:t>
      </w:r>
      <w:r w:rsidRPr="00F02156">
        <w:rPr>
          <w:rStyle w:val="Emphasis"/>
          <w:rFonts w:asciiTheme="minorHAnsi" w:hAnsiTheme="minorHAnsi" w:cstheme="minorHAnsi"/>
          <w:i w:val="0"/>
        </w:rPr>
        <w:t xml:space="preserve">. Available at: </w:t>
      </w:r>
      <w:r w:rsidRPr="00F02156">
        <w:rPr>
          <w:rStyle w:val="Emphasis"/>
          <w:rFonts w:asciiTheme="minorHAnsi" w:hAnsiTheme="minorHAnsi" w:cstheme="minorHAnsi"/>
          <w:i w:val="0"/>
          <w:iCs w:val="0"/>
        </w:rPr>
        <w:t>https://www.mpls.ox.ac.uk/enterprise</w:t>
      </w:r>
      <w:r w:rsidRPr="00F02156">
        <w:rPr>
          <w:rStyle w:val="Emphasis"/>
          <w:rFonts w:asciiTheme="minorHAnsi" w:hAnsiTheme="minorHAnsi" w:cstheme="minorHAnsi"/>
          <w:i w:val="0"/>
        </w:rPr>
        <w:t xml:space="preserve"> (Accessed: 26 January 2019)</w:t>
      </w:r>
    </w:p>
    <w:p w14:paraId="070F7CB3" w14:textId="77777777" w:rsidR="00331201" w:rsidRDefault="00331201" w:rsidP="00331201">
      <w:pPr>
        <w:spacing w:line="360" w:lineRule="auto"/>
        <w:rPr>
          <w:rFonts w:cstheme="minorHAnsi"/>
        </w:rPr>
      </w:pPr>
    </w:p>
    <w:p w14:paraId="782F8FCD" w14:textId="77777777" w:rsidR="00331201" w:rsidRDefault="00331201" w:rsidP="00331201">
      <w:pPr>
        <w:spacing w:line="360" w:lineRule="auto"/>
        <w:rPr>
          <w:rFonts w:cstheme="minorHAnsi"/>
        </w:rPr>
      </w:pPr>
      <w:r w:rsidRPr="00F02156">
        <w:rPr>
          <w:rFonts w:asciiTheme="minorHAnsi" w:hAnsiTheme="minorHAnsi" w:cstheme="minorHAnsi"/>
        </w:rPr>
        <w:t xml:space="preserve">Mindtools (date unknown) </w:t>
      </w:r>
      <w:r w:rsidRPr="00F02156">
        <w:rPr>
          <w:rFonts w:asciiTheme="minorHAnsi" w:hAnsiTheme="minorHAnsi" w:cstheme="minorHAnsi"/>
          <w:i/>
        </w:rPr>
        <w:t>SCAMPER</w:t>
      </w:r>
      <w:r w:rsidRPr="00F02156">
        <w:rPr>
          <w:rFonts w:asciiTheme="minorHAnsi" w:hAnsiTheme="minorHAnsi" w:cstheme="minorHAnsi"/>
        </w:rPr>
        <w:t>. Available at: https://www.mindtools.com/pages/article/newCT_02.htm (Accessed: 24 January 2019)</w:t>
      </w:r>
    </w:p>
    <w:p w14:paraId="53ACB531" w14:textId="77777777" w:rsidR="00331201" w:rsidRPr="00F02156" w:rsidRDefault="00331201" w:rsidP="00331201">
      <w:pPr>
        <w:spacing w:line="360" w:lineRule="auto"/>
        <w:rPr>
          <w:rFonts w:asciiTheme="minorHAnsi" w:hAnsiTheme="minorHAnsi" w:cstheme="minorHAnsi"/>
        </w:rPr>
      </w:pPr>
      <w:proofErr w:type="spellStart"/>
      <w:r w:rsidRPr="00F02156">
        <w:rPr>
          <w:rStyle w:val="Emphasis"/>
          <w:rFonts w:asciiTheme="minorHAnsi" w:hAnsiTheme="minorHAnsi" w:cstheme="minorHAnsi"/>
          <w:i w:val="0"/>
        </w:rPr>
        <w:t>nRich</w:t>
      </w:r>
      <w:proofErr w:type="spellEnd"/>
      <w:r w:rsidRPr="00F02156">
        <w:rPr>
          <w:rStyle w:val="Emphasis"/>
          <w:rFonts w:asciiTheme="minorHAnsi" w:hAnsiTheme="minorHAnsi" w:cstheme="minorHAnsi"/>
          <w:i w:val="0"/>
        </w:rPr>
        <w:t xml:space="preserve"> (date unknown) </w:t>
      </w:r>
      <w:r w:rsidRPr="00F02156">
        <w:rPr>
          <w:rFonts w:asciiTheme="minorHAnsi" w:hAnsiTheme="minorHAnsi" w:cstheme="minorHAnsi"/>
          <w:i/>
        </w:rPr>
        <w:t>Engaging Learners through a Thinking Classroom: Essential to the (Common) Core</w:t>
      </w:r>
      <w:r w:rsidRPr="00F02156">
        <w:rPr>
          <w:rFonts w:asciiTheme="minorHAnsi" w:hAnsiTheme="minorHAnsi" w:cstheme="minorHAnsi"/>
        </w:rPr>
        <w:t>. Available at: http://www.nagc.org/sites/default/files/WebinarPowerPoints/Thinking%20Classroom%20HandoutR%24.pdf (Accessed: 24 January 2019)</w:t>
      </w:r>
    </w:p>
    <w:p w14:paraId="23AFED3F" w14:textId="77777777" w:rsidR="00331201" w:rsidRDefault="00331201" w:rsidP="00331201">
      <w:pPr>
        <w:spacing w:line="360" w:lineRule="auto"/>
        <w:rPr>
          <w:rFonts w:cstheme="minorHAnsi"/>
        </w:rPr>
      </w:pPr>
    </w:p>
    <w:p w14:paraId="2F2D5890"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QAA (2018) </w:t>
      </w:r>
      <w:r w:rsidRPr="00F02156">
        <w:rPr>
          <w:rFonts w:asciiTheme="minorHAnsi" w:hAnsiTheme="minorHAnsi" w:cstheme="minorHAnsi"/>
          <w:i/>
        </w:rPr>
        <w:t>Enterprise and Entrepreneurship Education: Guidance for UK Higher Education Providers</w:t>
      </w:r>
      <w:r w:rsidRPr="00F02156">
        <w:rPr>
          <w:rFonts w:asciiTheme="minorHAnsi" w:hAnsiTheme="minorHAnsi" w:cstheme="minorHAnsi"/>
        </w:rPr>
        <w:t>. Available at: https://www.qaa.ac.uk/docs/qaas/enhancement-and-development/enterprise-and-entrpreneurship-education-2018.pdf?sfvrsn=15f1f981_8 (Accessed: 25 January 2019)</w:t>
      </w:r>
    </w:p>
    <w:p w14:paraId="79AB5B82" w14:textId="77777777" w:rsidR="00331201" w:rsidRDefault="00331201" w:rsidP="00331201">
      <w:pPr>
        <w:spacing w:line="360" w:lineRule="auto"/>
        <w:rPr>
          <w:rFonts w:cstheme="minorHAnsi"/>
        </w:rPr>
      </w:pPr>
    </w:p>
    <w:p w14:paraId="3DE28A34" w14:textId="77777777" w:rsidR="00331201" w:rsidRPr="00F02156" w:rsidRDefault="00331201" w:rsidP="00331201">
      <w:pPr>
        <w:spacing w:line="360" w:lineRule="auto"/>
        <w:rPr>
          <w:rFonts w:asciiTheme="minorHAnsi" w:hAnsiTheme="minorHAnsi" w:cstheme="minorHAnsi"/>
        </w:rPr>
      </w:pPr>
      <w:r w:rsidRPr="00F02156">
        <w:rPr>
          <w:rFonts w:asciiTheme="minorHAnsi" w:hAnsiTheme="minorHAnsi" w:cstheme="minorHAnsi"/>
        </w:rPr>
        <w:t xml:space="preserve">The Young Foundation (2013) </w:t>
      </w:r>
      <w:r w:rsidRPr="00F02156">
        <w:rPr>
          <w:rFonts w:asciiTheme="minorHAnsi" w:hAnsiTheme="minorHAnsi" w:cstheme="minorHAnsi"/>
          <w:i/>
        </w:rPr>
        <w:t>Entrepreneurship versus Enterprise</w:t>
      </w:r>
      <w:r w:rsidRPr="00F02156">
        <w:rPr>
          <w:rFonts w:asciiTheme="minorHAnsi" w:hAnsiTheme="minorHAnsi" w:cstheme="minorHAnsi"/>
        </w:rPr>
        <w:t>. Available at: https://youngfoundation.org/uncategorized/entrepreneurship-versus-enterprise/ (Accessed: 26 January 2019)</w:t>
      </w:r>
    </w:p>
    <w:p w14:paraId="36DCD006" w14:textId="77777777" w:rsidR="00331201" w:rsidRDefault="00331201" w:rsidP="00331201">
      <w:pPr>
        <w:spacing w:line="360" w:lineRule="auto"/>
        <w:rPr>
          <w:rFonts w:cstheme="minorHAnsi"/>
        </w:rPr>
      </w:pPr>
    </w:p>
    <w:p w14:paraId="50253592" w14:textId="77777777" w:rsidR="00331201" w:rsidRDefault="00331201" w:rsidP="00331201">
      <w:pPr>
        <w:spacing w:line="360" w:lineRule="auto"/>
        <w:rPr>
          <w:rFonts w:cstheme="minorHAnsi"/>
          <w:color w:val="2A2A2A"/>
        </w:rPr>
      </w:pPr>
      <w:proofErr w:type="spellStart"/>
      <w:r w:rsidRPr="00F02156">
        <w:rPr>
          <w:rFonts w:asciiTheme="minorHAnsi" w:hAnsiTheme="minorHAnsi" w:cstheme="minorHAnsi"/>
        </w:rPr>
        <w:t>Toolshero</w:t>
      </w:r>
      <w:proofErr w:type="spellEnd"/>
      <w:r w:rsidRPr="00F02156">
        <w:rPr>
          <w:rFonts w:asciiTheme="minorHAnsi" w:hAnsiTheme="minorHAnsi" w:cstheme="minorHAnsi"/>
        </w:rPr>
        <w:t xml:space="preserve"> (date unknown) </w:t>
      </w:r>
      <w:r w:rsidRPr="00F02156">
        <w:rPr>
          <w:rFonts w:asciiTheme="minorHAnsi" w:hAnsiTheme="minorHAnsi" w:cstheme="minorHAnsi"/>
          <w:i/>
          <w:color w:val="2A2A2A"/>
        </w:rPr>
        <w:t>SCAMPER Technique by Bob Eberle</w:t>
      </w:r>
      <w:r w:rsidRPr="00F02156">
        <w:rPr>
          <w:rFonts w:asciiTheme="minorHAnsi" w:hAnsiTheme="minorHAnsi" w:cstheme="minorHAnsi"/>
          <w:color w:val="2A2A2A"/>
        </w:rPr>
        <w:t>. Available at:</w:t>
      </w:r>
      <w:r>
        <w:rPr>
          <w:rFonts w:asciiTheme="minorHAnsi" w:hAnsiTheme="minorHAnsi" w:cstheme="minorHAnsi"/>
          <w:b/>
          <w:color w:val="2A2A2A"/>
        </w:rPr>
        <w:t xml:space="preserve"> </w:t>
      </w:r>
      <w:r w:rsidRPr="00F02156">
        <w:rPr>
          <w:rFonts w:cstheme="minorHAnsi"/>
          <w:color w:val="2A2A2A"/>
        </w:rPr>
        <w:t>https://www.toolshero.com/creativity/scamper-technique-bob-eberle/</w:t>
      </w:r>
      <w:r>
        <w:rPr>
          <w:rFonts w:cstheme="minorHAnsi"/>
          <w:color w:val="2A2A2A"/>
        </w:rPr>
        <w:t xml:space="preserve"> (Accessed: 25 January 2019)</w:t>
      </w:r>
    </w:p>
    <w:p w14:paraId="60B3C205" w14:textId="77777777" w:rsidR="00331201" w:rsidRPr="00E548E2" w:rsidRDefault="00331201" w:rsidP="00E548E2">
      <w:pPr>
        <w:rPr>
          <w:rFonts w:asciiTheme="minorHAnsi" w:hAnsiTheme="minorHAnsi" w:cstheme="minorHAnsi"/>
        </w:rPr>
      </w:pPr>
    </w:p>
    <w:sectPr w:rsidR="00331201" w:rsidRPr="00E548E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93CDC" w14:textId="77777777" w:rsidR="00613DCB" w:rsidRDefault="00613DCB" w:rsidP="00FA2291">
      <w:r>
        <w:separator/>
      </w:r>
    </w:p>
  </w:endnote>
  <w:endnote w:type="continuationSeparator" w:id="0">
    <w:p w14:paraId="1D9F2C67" w14:textId="77777777" w:rsidR="00613DCB" w:rsidRDefault="00613DCB" w:rsidP="00FA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11CE8" w14:textId="77777777" w:rsidR="00613DCB" w:rsidRDefault="00613DCB" w:rsidP="00FA2291">
      <w:r>
        <w:separator/>
      </w:r>
    </w:p>
  </w:footnote>
  <w:footnote w:type="continuationSeparator" w:id="0">
    <w:p w14:paraId="41058919" w14:textId="77777777" w:rsidR="00613DCB" w:rsidRDefault="00613DCB" w:rsidP="00FA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CA6DD" w14:textId="77777777" w:rsidR="00FA2291" w:rsidRDefault="00FA2291">
    <w:pPr>
      <w:pStyle w:val="Header"/>
    </w:pPr>
    <w:r>
      <w:t>1601785</w:t>
    </w:r>
    <w:r>
      <w:tab/>
    </w:r>
    <w:r>
      <w:tab/>
    </w:r>
    <w:r w:rsidR="00416E9C">
      <w:t>ECAD6011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75AB9"/>
    <w:multiLevelType w:val="hybridMultilevel"/>
    <w:tmpl w:val="3CCCEF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CF7456"/>
    <w:multiLevelType w:val="hybridMultilevel"/>
    <w:tmpl w:val="CF9622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5212776"/>
    <w:multiLevelType w:val="hybridMultilevel"/>
    <w:tmpl w:val="2698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CD29E0"/>
    <w:multiLevelType w:val="multilevel"/>
    <w:tmpl w:val="48844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7"/>
  </w:num>
  <w:num w:numId="5">
    <w:abstractNumId w:val="5"/>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291"/>
    <w:rsid w:val="00066090"/>
    <w:rsid w:val="00070E05"/>
    <w:rsid w:val="000D14BB"/>
    <w:rsid w:val="000D2B33"/>
    <w:rsid w:val="000E2D08"/>
    <w:rsid w:val="00114C3F"/>
    <w:rsid w:val="00174B30"/>
    <w:rsid w:val="00180C48"/>
    <w:rsid w:val="0019423F"/>
    <w:rsid w:val="00194AEF"/>
    <w:rsid w:val="001A0229"/>
    <w:rsid w:val="002140D5"/>
    <w:rsid w:val="0023088A"/>
    <w:rsid w:val="0023128B"/>
    <w:rsid w:val="002A4932"/>
    <w:rsid w:val="002F0B5E"/>
    <w:rsid w:val="002F5BF9"/>
    <w:rsid w:val="00331201"/>
    <w:rsid w:val="00341566"/>
    <w:rsid w:val="00362B91"/>
    <w:rsid w:val="00373ECC"/>
    <w:rsid w:val="00385A1C"/>
    <w:rsid w:val="003A240D"/>
    <w:rsid w:val="003C5C97"/>
    <w:rsid w:val="003F360B"/>
    <w:rsid w:val="00411840"/>
    <w:rsid w:val="00416E9C"/>
    <w:rsid w:val="00436568"/>
    <w:rsid w:val="0045533A"/>
    <w:rsid w:val="004610EF"/>
    <w:rsid w:val="004C3368"/>
    <w:rsid w:val="0051456E"/>
    <w:rsid w:val="005307F7"/>
    <w:rsid w:val="0059482A"/>
    <w:rsid w:val="00597F82"/>
    <w:rsid w:val="005D506B"/>
    <w:rsid w:val="00613DCB"/>
    <w:rsid w:val="006207C5"/>
    <w:rsid w:val="00643E97"/>
    <w:rsid w:val="006764BD"/>
    <w:rsid w:val="00677AB5"/>
    <w:rsid w:val="006A43EB"/>
    <w:rsid w:val="006B1300"/>
    <w:rsid w:val="006B2678"/>
    <w:rsid w:val="006C3037"/>
    <w:rsid w:val="00737306"/>
    <w:rsid w:val="007427CA"/>
    <w:rsid w:val="00755ACA"/>
    <w:rsid w:val="007902C3"/>
    <w:rsid w:val="007D43DD"/>
    <w:rsid w:val="007F4ADF"/>
    <w:rsid w:val="00802BDA"/>
    <w:rsid w:val="00841E22"/>
    <w:rsid w:val="00891182"/>
    <w:rsid w:val="008A299A"/>
    <w:rsid w:val="008B18B8"/>
    <w:rsid w:val="008B60F5"/>
    <w:rsid w:val="008C387B"/>
    <w:rsid w:val="008D6B9F"/>
    <w:rsid w:val="008E64AD"/>
    <w:rsid w:val="008F2A4D"/>
    <w:rsid w:val="00900995"/>
    <w:rsid w:val="009168E3"/>
    <w:rsid w:val="009334C0"/>
    <w:rsid w:val="00967654"/>
    <w:rsid w:val="009D35D5"/>
    <w:rsid w:val="009D6778"/>
    <w:rsid w:val="00A12D9A"/>
    <w:rsid w:val="00A40C02"/>
    <w:rsid w:val="00A6294E"/>
    <w:rsid w:val="00A6553F"/>
    <w:rsid w:val="00A7479A"/>
    <w:rsid w:val="00A83F67"/>
    <w:rsid w:val="00AF7EBB"/>
    <w:rsid w:val="00B03C79"/>
    <w:rsid w:val="00B05633"/>
    <w:rsid w:val="00B06FF1"/>
    <w:rsid w:val="00B358EF"/>
    <w:rsid w:val="00B439E0"/>
    <w:rsid w:val="00B9357A"/>
    <w:rsid w:val="00BE03CD"/>
    <w:rsid w:val="00BF37FF"/>
    <w:rsid w:val="00C2268E"/>
    <w:rsid w:val="00C5447A"/>
    <w:rsid w:val="00C70691"/>
    <w:rsid w:val="00CD72E7"/>
    <w:rsid w:val="00D5290A"/>
    <w:rsid w:val="00D608BB"/>
    <w:rsid w:val="00D819AB"/>
    <w:rsid w:val="00DA72D4"/>
    <w:rsid w:val="00DE7DA7"/>
    <w:rsid w:val="00DF7E8D"/>
    <w:rsid w:val="00E00A07"/>
    <w:rsid w:val="00E548E2"/>
    <w:rsid w:val="00E5698B"/>
    <w:rsid w:val="00E8503A"/>
    <w:rsid w:val="00EA4AF1"/>
    <w:rsid w:val="00ED2CD8"/>
    <w:rsid w:val="00EE6376"/>
    <w:rsid w:val="00F43CB3"/>
    <w:rsid w:val="00F54E28"/>
    <w:rsid w:val="00FA2291"/>
    <w:rsid w:val="00FB543A"/>
    <w:rsid w:val="00FC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8ABF5"/>
  <w15:chartTrackingRefBased/>
  <w15:docId w15:val="{B1DE994D-4EB3-441F-BCD9-3FD7816EF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6E9C"/>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E00A07"/>
    <w:pPr>
      <w:keepNext/>
      <w:jc w:val="both"/>
      <w:outlineLvl w:val="1"/>
    </w:pPr>
    <w:rPr>
      <w:b/>
      <w:sz w:val="24"/>
    </w:rPr>
  </w:style>
  <w:style w:type="paragraph" w:styleId="Heading4">
    <w:name w:val="heading 4"/>
    <w:basedOn w:val="Normal"/>
    <w:next w:val="Normal"/>
    <w:link w:val="Heading4Char"/>
    <w:qFormat/>
    <w:rsid w:val="00E00A0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29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FA2291"/>
  </w:style>
  <w:style w:type="paragraph" w:styleId="Footer">
    <w:name w:val="footer"/>
    <w:basedOn w:val="Normal"/>
    <w:link w:val="FooterChar"/>
    <w:uiPriority w:val="99"/>
    <w:unhideWhenUsed/>
    <w:rsid w:val="00FA229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FA2291"/>
  </w:style>
  <w:style w:type="character" w:styleId="CommentReference">
    <w:name w:val="annotation reference"/>
    <w:basedOn w:val="DefaultParagraphFont"/>
    <w:uiPriority w:val="99"/>
    <w:semiHidden/>
    <w:unhideWhenUsed/>
    <w:rsid w:val="00341566"/>
    <w:rPr>
      <w:sz w:val="16"/>
      <w:szCs w:val="16"/>
    </w:rPr>
  </w:style>
  <w:style w:type="paragraph" w:styleId="CommentText">
    <w:name w:val="annotation text"/>
    <w:basedOn w:val="Normal"/>
    <w:link w:val="CommentTextChar"/>
    <w:uiPriority w:val="99"/>
    <w:semiHidden/>
    <w:unhideWhenUsed/>
    <w:rsid w:val="00341566"/>
  </w:style>
  <w:style w:type="character" w:customStyle="1" w:styleId="CommentTextChar">
    <w:name w:val="Comment Text Char"/>
    <w:basedOn w:val="DefaultParagraphFont"/>
    <w:link w:val="CommentText"/>
    <w:uiPriority w:val="99"/>
    <w:semiHidden/>
    <w:rsid w:val="0034156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41566"/>
    <w:rPr>
      <w:b/>
      <w:bCs/>
    </w:rPr>
  </w:style>
  <w:style w:type="character" w:customStyle="1" w:styleId="CommentSubjectChar">
    <w:name w:val="Comment Subject Char"/>
    <w:basedOn w:val="CommentTextChar"/>
    <w:link w:val="CommentSubject"/>
    <w:uiPriority w:val="99"/>
    <w:semiHidden/>
    <w:rsid w:val="00341566"/>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415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1566"/>
    <w:rPr>
      <w:rFonts w:ascii="Segoe UI" w:eastAsia="Times New Roman" w:hAnsi="Segoe UI" w:cs="Segoe UI"/>
      <w:sz w:val="18"/>
      <w:szCs w:val="18"/>
      <w:lang w:eastAsia="en-GB"/>
    </w:rPr>
  </w:style>
  <w:style w:type="character" w:styleId="Emphasis">
    <w:name w:val="Emphasis"/>
    <w:basedOn w:val="DefaultParagraphFont"/>
    <w:uiPriority w:val="20"/>
    <w:qFormat/>
    <w:rsid w:val="006A43EB"/>
    <w:rPr>
      <w:i/>
      <w:iCs/>
    </w:rPr>
  </w:style>
  <w:style w:type="character" w:styleId="Hyperlink">
    <w:name w:val="Hyperlink"/>
    <w:basedOn w:val="DefaultParagraphFont"/>
    <w:uiPriority w:val="99"/>
    <w:semiHidden/>
    <w:unhideWhenUsed/>
    <w:rsid w:val="00B439E0"/>
    <w:rPr>
      <w:color w:val="0000FF"/>
      <w:u w:val="single"/>
    </w:rPr>
  </w:style>
  <w:style w:type="paragraph" w:styleId="ListParagraph">
    <w:name w:val="List Paragraph"/>
    <w:basedOn w:val="Normal"/>
    <w:uiPriority w:val="34"/>
    <w:qFormat/>
    <w:rsid w:val="00B439E0"/>
    <w:pPr>
      <w:ind w:left="720"/>
      <w:contextualSpacing/>
    </w:pPr>
  </w:style>
  <w:style w:type="character" w:customStyle="1" w:styleId="Heading2Char">
    <w:name w:val="Heading 2 Char"/>
    <w:basedOn w:val="DefaultParagraphFont"/>
    <w:link w:val="Heading2"/>
    <w:rsid w:val="00E00A0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E00A07"/>
    <w:rPr>
      <w:rFonts w:ascii="Times New Roman" w:eastAsia="Times New Roman" w:hAnsi="Times New Roman" w:cs="Times New Roman"/>
      <w:sz w:val="40"/>
      <w:szCs w:val="20"/>
      <w:lang w:eastAsia="en-GB"/>
    </w:rPr>
  </w:style>
  <w:style w:type="table" w:styleId="TableGrid">
    <w:name w:val="Table Grid"/>
    <w:basedOn w:val="TableNormal"/>
    <w:uiPriority w:val="39"/>
    <w:rsid w:val="00E00A0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E00A07"/>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851441">
      <w:bodyDiv w:val="1"/>
      <w:marLeft w:val="0"/>
      <w:marRight w:val="0"/>
      <w:marTop w:val="0"/>
      <w:marBottom w:val="0"/>
      <w:divBdr>
        <w:top w:val="none" w:sz="0" w:space="0" w:color="auto"/>
        <w:left w:val="none" w:sz="0" w:space="0" w:color="auto"/>
        <w:bottom w:val="none" w:sz="0" w:space="0" w:color="auto"/>
        <w:right w:val="none" w:sz="0" w:space="0" w:color="auto"/>
      </w:divBdr>
    </w:div>
    <w:div w:id="127304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2101</TotalTime>
  <Pages>8</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Alun Thomas</cp:lastModifiedBy>
  <cp:revision>61</cp:revision>
  <dcterms:created xsi:type="dcterms:W3CDTF">2019-01-26T12:10:00Z</dcterms:created>
  <dcterms:modified xsi:type="dcterms:W3CDTF">2019-02-25T08:47:00Z</dcterms:modified>
</cp:coreProperties>
</file>