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607D19" w14:textId="0DC95C94" w:rsidR="00BF35D1" w:rsidRDefault="003213B9" w:rsidP="00BF35D1">
      <w:pPr>
        <w:spacing w:after="0" w:line="240" w:lineRule="auto"/>
        <w:rPr>
          <w:rFonts w:ascii="Arial" w:hAnsi="Arial" w:cs="Arial"/>
          <w:sz w:val="24"/>
          <w:szCs w:val="24"/>
        </w:rPr>
      </w:pPr>
      <w:r>
        <w:rPr>
          <w:rFonts w:ascii="Arial" w:hAnsi="Arial" w:cs="Arial"/>
          <w:sz w:val="24"/>
          <w:szCs w:val="24"/>
        </w:rPr>
        <w:t xml:space="preserve">ECED7006 </w:t>
      </w:r>
    </w:p>
    <w:p w14:paraId="5D9DE22C" w14:textId="668169EB" w:rsidR="003213B9" w:rsidRDefault="00BF35D1" w:rsidP="00BF35D1">
      <w:pPr>
        <w:spacing w:after="0" w:line="240" w:lineRule="auto"/>
        <w:rPr>
          <w:rFonts w:ascii="Arial" w:hAnsi="Arial" w:cs="Arial"/>
          <w:sz w:val="24"/>
          <w:szCs w:val="24"/>
        </w:rPr>
      </w:pPr>
      <w:r>
        <w:rPr>
          <w:rFonts w:ascii="Arial" w:hAnsi="Arial" w:cs="Arial"/>
          <w:sz w:val="24"/>
          <w:szCs w:val="24"/>
        </w:rPr>
        <w:t>2106780</w:t>
      </w:r>
    </w:p>
    <w:p w14:paraId="389F7687" w14:textId="3106572F" w:rsidR="00DA3D7A" w:rsidRPr="00BF35D1" w:rsidRDefault="00BE5AB5" w:rsidP="00BF35D1">
      <w:pPr>
        <w:spacing w:line="360" w:lineRule="auto"/>
        <w:rPr>
          <w:rFonts w:ascii="Arial" w:hAnsi="Arial" w:cs="Arial"/>
          <w:b/>
          <w:bCs/>
          <w:sz w:val="24"/>
          <w:szCs w:val="24"/>
        </w:rPr>
      </w:pPr>
      <w:r w:rsidRPr="00BF35D1">
        <w:rPr>
          <w:rFonts w:ascii="Arial" w:hAnsi="Arial" w:cs="Arial"/>
          <w:b/>
          <w:bCs/>
          <w:sz w:val="24"/>
          <w:szCs w:val="24"/>
        </w:rPr>
        <w:t>Select and critically discuss, three images which can be seen to perpetuate stereotypical attitudes for a group of your choosing</w:t>
      </w:r>
      <w:r w:rsidR="00BF35D1" w:rsidRPr="00BF35D1">
        <w:rPr>
          <w:rFonts w:ascii="Arial" w:hAnsi="Arial" w:cs="Arial"/>
          <w:b/>
          <w:bCs/>
          <w:sz w:val="24"/>
          <w:szCs w:val="24"/>
        </w:rPr>
        <w:t xml:space="preserve"> </w:t>
      </w:r>
      <w:r w:rsidR="00BF35D1" w:rsidRPr="0075764E">
        <w:rPr>
          <w:rFonts w:ascii="Arial" w:hAnsi="Arial" w:cs="Arial"/>
          <w:b/>
          <w:bCs/>
          <w:sz w:val="24"/>
          <w:szCs w:val="24"/>
          <w:highlight w:val="red"/>
        </w:rPr>
        <w:t>(</w:t>
      </w:r>
      <w:r w:rsidR="00FA2095" w:rsidRPr="0075764E">
        <w:rPr>
          <w:rFonts w:ascii="Arial" w:hAnsi="Arial" w:cs="Arial"/>
          <w:b/>
          <w:bCs/>
          <w:sz w:val="24"/>
          <w:szCs w:val="24"/>
          <w:highlight w:val="red"/>
        </w:rPr>
        <w:t>2,</w:t>
      </w:r>
      <w:r w:rsidR="0075764E" w:rsidRPr="0075764E">
        <w:rPr>
          <w:rFonts w:ascii="Arial" w:hAnsi="Arial" w:cs="Arial"/>
          <w:b/>
          <w:bCs/>
          <w:sz w:val="24"/>
          <w:szCs w:val="24"/>
          <w:highlight w:val="red"/>
        </w:rPr>
        <w:t>59</w:t>
      </w:r>
      <w:r w:rsidR="00D16C4B">
        <w:rPr>
          <w:rFonts w:ascii="Arial" w:hAnsi="Arial" w:cs="Arial"/>
          <w:b/>
          <w:bCs/>
          <w:sz w:val="24"/>
          <w:szCs w:val="24"/>
        </w:rPr>
        <w:t>6</w:t>
      </w:r>
      <w:r w:rsidR="00FA2095">
        <w:rPr>
          <w:rFonts w:ascii="Arial" w:hAnsi="Arial" w:cs="Arial"/>
          <w:b/>
          <w:bCs/>
          <w:sz w:val="24"/>
          <w:szCs w:val="24"/>
        </w:rPr>
        <w:t xml:space="preserve">/ </w:t>
      </w:r>
      <w:r w:rsidR="00BF35D1" w:rsidRPr="00BF35D1">
        <w:rPr>
          <w:rFonts w:ascii="Arial" w:hAnsi="Arial" w:cs="Arial"/>
          <w:b/>
          <w:bCs/>
          <w:sz w:val="24"/>
          <w:szCs w:val="24"/>
        </w:rPr>
        <w:t>2,250 words)</w:t>
      </w:r>
    </w:p>
    <w:p w14:paraId="56514E33" w14:textId="4015E093" w:rsidR="00F7628D" w:rsidRDefault="00F7628D" w:rsidP="00DA3D7A">
      <w:pPr>
        <w:spacing w:line="360" w:lineRule="auto"/>
        <w:rPr>
          <w:rFonts w:ascii="Arial" w:hAnsi="Arial" w:cs="Arial"/>
          <w:b/>
          <w:bCs/>
          <w:sz w:val="24"/>
          <w:szCs w:val="24"/>
          <w:u w:val="single"/>
        </w:rPr>
      </w:pPr>
      <w:bookmarkStart w:id="0" w:name="_Hlk124252550"/>
      <w:r>
        <w:rPr>
          <w:rFonts w:ascii="Arial" w:hAnsi="Arial" w:cs="Arial"/>
          <w:b/>
          <w:bCs/>
          <w:sz w:val="24"/>
          <w:szCs w:val="24"/>
          <w:u w:val="single"/>
        </w:rPr>
        <w:t>Image 1</w:t>
      </w:r>
    </w:p>
    <w:p w14:paraId="627E35B9" w14:textId="22552FDA" w:rsidR="00A54E0C" w:rsidRPr="00474D13" w:rsidRDefault="00BF35D1" w:rsidP="00DA3D7A">
      <w:pPr>
        <w:spacing w:line="360" w:lineRule="auto"/>
        <w:rPr>
          <w:rFonts w:ascii="Arial" w:hAnsi="Arial" w:cs="Arial"/>
          <w:b/>
          <w:bCs/>
          <w:sz w:val="24"/>
          <w:szCs w:val="24"/>
          <w:u w:val="single"/>
        </w:rPr>
      </w:pPr>
      <w:r>
        <w:rPr>
          <w:noProof/>
        </w:rPr>
        <w:drawing>
          <wp:anchor distT="0" distB="0" distL="114300" distR="114300" simplePos="0" relativeHeight="251661312" behindDoc="0" locked="0" layoutInCell="1" allowOverlap="1" wp14:anchorId="3FBDD411" wp14:editId="39197B30">
            <wp:simplePos x="0" y="0"/>
            <wp:positionH relativeFrom="margin">
              <wp:align>left</wp:align>
            </wp:positionH>
            <wp:positionV relativeFrom="paragraph">
              <wp:posOffset>29210</wp:posOffset>
            </wp:positionV>
            <wp:extent cx="3684270" cy="2762250"/>
            <wp:effectExtent l="0" t="0" r="0" b="0"/>
            <wp:wrapSquare wrapText="bothSides"/>
            <wp:docPr id="4" name="Picture 4" descr="Sunday with Trixie Mattel: 'I refuse to stop – every day is a Monday' |  Sunday with… | The Guard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unday with Trixie Mattel: 'I refuse to stop – every day is a Monday' |  Sunday with… | The Guardian"/>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684270" cy="27622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F5BC565" w14:textId="182CD209" w:rsidR="00474D13" w:rsidRPr="00474D13" w:rsidRDefault="00BF35D1" w:rsidP="00DA3D7A">
      <w:pPr>
        <w:spacing w:line="360" w:lineRule="auto"/>
        <w:rPr>
          <w:rFonts w:ascii="Arial" w:hAnsi="Arial" w:cs="Arial"/>
          <w:sz w:val="24"/>
          <w:szCs w:val="24"/>
        </w:rPr>
      </w:pPr>
      <w:r>
        <w:rPr>
          <w:rFonts w:ascii="Arial" w:hAnsi="Arial" w:cs="Arial"/>
          <w:sz w:val="24"/>
          <w:szCs w:val="24"/>
        </w:rPr>
        <w:t>(</w:t>
      </w:r>
      <w:r w:rsidR="00474D13">
        <w:rPr>
          <w:rFonts w:ascii="Arial" w:hAnsi="Arial" w:cs="Arial"/>
          <w:sz w:val="24"/>
          <w:szCs w:val="24"/>
        </w:rPr>
        <w:t>Carrasquillo, 2021</w:t>
      </w:r>
      <w:r>
        <w:rPr>
          <w:rFonts w:ascii="Arial" w:hAnsi="Arial" w:cs="Arial"/>
          <w:sz w:val="24"/>
          <w:szCs w:val="24"/>
        </w:rPr>
        <w:t>)</w:t>
      </w:r>
      <w:r w:rsidR="00474D13">
        <w:rPr>
          <w:rFonts w:ascii="Arial" w:hAnsi="Arial" w:cs="Arial"/>
          <w:sz w:val="24"/>
          <w:szCs w:val="24"/>
        </w:rPr>
        <w:t xml:space="preserve"> </w:t>
      </w:r>
    </w:p>
    <w:p w14:paraId="3ACBC6FA" w14:textId="77777777" w:rsidR="00BF35D1" w:rsidRDefault="00BF35D1" w:rsidP="00DA3D7A">
      <w:pPr>
        <w:spacing w:line="360" w:lineRule="auto"/>
        <w:rPr>
          <w:rFonts w:ascii="Arial" w:hAnsi="Arial" w:cs="Arial"/>
          <w:b/>
          <w:bCs/>
          <w:sz w:val="24"/>
          <w:szCs w:val="24"/>
          <w:u w:val="single"/>
        </w:rPr>
      </w:pPr>
    </w:p>
    <w:p w14:paraId="49BEA7F6" w14:textId="77777777" w:rsidR="00BF35D1" w:rsidRDefault="00BF35D1" w:rsidP="00DA3D7A">
      <w:pPr>
        <w:spacing w:line="360" w:lineRule="auto"/>
        <w:rPr>
          <w:rFonts w:ascii="Arial" w:hAnsi="Arial" w:cs="Arial"/>
          <w:b/>
          <w:bCs/>
          <w:sz w:val="24"/>
          <w:szCs w:val="24"/>
          <w:u w:val="single"/>
        </w:rPr>
      </w:pPr>
    </w:p>
    <w:p w14:paraId="20A601C5" w14:textId="77777777" w:rsidR="00BF35D1" w:rsidRDefault="00BF35D1" w:rsidP="00DA3D7A">
      <w:pPr>
        <w:spacing w:line="360" w:lineRule="auto"/>
        <w:rPr>
          <w:rFonts w:ascii="Arial" w:hAnsi="Arial" w:cs="Arial"/>
          <w:b/>
          <w:bCs/>
          <w:sz w:val="24"/>
          <w:szCs w:val="24"/>
          <w:u w:val="single"/>
        </w:rPr>
      </w:pPr>
    </w:p>
    <w:p w14:paraId="30675938" w14:textId="77777777" w:rsidR="00BF35D1" w:rsidRDefault="00BF35D1" w:rsidP="00DA3D7A">
      <w:pPr>
        <w:spacing w:line="360" w:lineRule="auto"/>
        <w:rPr>
          <w:rFonts w:ascii="Arial" w:hAnsi="Arial" w:cs="Arial"/>
          <w:b/>
          <w:bCs/>
          <w:sz w:val="24"/>
          <w:szCs w:val="24"/>
          <w:u w:val="single"/>
        </w:rPr>
      </w:pPr>
    </w:p>
    <w:p w14:paraId="4479FBF7" w14:textId="77777777" w:rsidR="00BF35D1" w:rsidRDefault="00BF35D1" w:rsidP="00DA3D7A">
      <w:pPr>
        <w:spacing w:line="360" w:lineRule="auto"/>
        <w:rPr>
          <w:rFonts w:ascii="Arial" w:hAnsi="Arial" w:cs="Arial"/>
          <w:b/>
          <w:bCs/>
          <w:sz w:val="24"/>
          <w:szCs w:val="24"/>
          <w:u w:val="single"/>
        </w:rPr>
      </w:pPr>
    </w:p>
    <w:p w14:paraId="782EE536" w14:textId="77777777" w:rsidR="00BF35D1" w:rsidRDefault="00BF35D1" w:rsidP="00DA3D7A">
      <w:pPr>
        <w:spacing w:line="360" w:lineRule="auto"/>
        <w:rPr>
          <w:rFonts w:ascii="Arial" w:hAnsi="Arial" w:cs="Arial"/>
          <w:b/>
          <w:bCs/>
          <w:sz w:val="24"/>
          <w:szCs w:val="24"/>
          <w:u w:val="single"/>
        </w:rPr>
      </w:pPr>
    </w:p>
    <w:p w14:paraId="684B073E" w14:textId="77777777" w:rsidR="00BF35D1" w:rsidRDefault="00BF35D1" w:rsidP="00DA3D7A">
      <w:pPr>
        <w:spacing w:line="360" w:lineRule="auto"/>
        <w:rPr>
          <w:rFonts w:ascii="Arial" w:hAnsi="Arial" w:cs="Arial"/>
          <w:b/>
          <w:bCs/>
          <w:sz w:val="24"/>
          <w:szCs w:val="24"/>
          <w:u w:val="single"/>
        </w:rPr>
      </w:pPr>
    </w:p>
    <w:p w14:paraId="15747CB2" w14:textId="38EEC323" w:rsidR="00DA3D7A" w:rsidRPr="00A54E0C" w:rsidRDefault="00DA3D7A" w:rsidP="00DA3D7A">
      <w:pPr>
        <w:spacing w:line="360" w:lineRule="auto"/>
        <w:rPr>
          <w:rFonts w:ascii="Arial" w:hAnsi="Arial" w:cs="Arial"/>
          <w:sz w:val="24"/>
          <w:szCs w:val="24"/>
        </w:rPr>
      </w:pPr>
      <w:r>
        <w:rPr>
          <w:rFonts w:ascii="Arial" w:hAnsi="Arial" w:cs="Arial"/>
          <w:b/>
          <w:bCs/>
          <w:sz w:val="24"/>
          <w:szCs w:val="24"/>
          <w:u w:val="single"/>
        </w:rPr>
        <w:t>Image 2</w:t>
      </w:r>
    </w:p>
    <w:p w14:paraId="26918BC7" w14:textId="3AC0EDE8" w:rsidR="00DA3D7A" w:rsidRDefault="00BF35D1" w:rsidP="00DA3D7A">
      <w:pPr>
        <w:spacing w:line="360" w:lineRule="auto"/>
        <w:rPr>
          <w:rFonts w:ascii="Arial" w:hAnsi="Arial" w:cs="Arial"/>
          <w:b/>
          <w:bCs/>
          <w:sz w:val="24"/>
          <w:szCs w:val="24"/>
          <w:u w:val="single"/>
        </w:rPr>
      </w:pPr>
      <w:r>
        <w:rPr>
          <w:noProof/>
        </w:rPr>
        <w:drawing>
          <wp:anchor distT="0" distB="0" distL="114300" distR="114300" simplePos="0" relativeHeight="251658240" behindDoc="0" locked="0" layoutInCell="1" allowOverlap="1" wp14:anchorId="10EA4DA8" wp14:editId="1673AF1B">
            <wp:simplePos x="0" y="0"/>
            <wp:positionH relativeFrom="margin">
              <wp:align>left</wp:align>
            </wp:positionH>
            <wp:positionV relativeFrom="paragraph">
              <wp:posOffset>193040</wp:posOffset>
            </wp:positionV>
            <wp:extent cx="3692525" cy="2628900"/>
            <wp:effectExtent l="0" t="0" r="317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692525" cy="26289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46CA358" w14:textId="3D34B53A" w:rsidR="00DA3D7A" w:rsidRDefault="00BF35D1" w:rsidP="00DA3D7A">
      <w:pPr>
        <w:spacing w:line="360" w:lineRule="auto"/>
        <w:rPr>
          <w:rFonts w:ascii="Arial" w:hAnsi="Arial" w:cs="Arial"/>
          <w:sz w:val="24"/>
          <w:szCs w:val="24"/>
        </w:rPr>
      </w:pPr>
      <w:r>
        <w:rPr>
          <w:rFonts w:ascii="Arial" w:hAnsi="Arial" w:cs="Arial"/>
          <w:sz w:val="24"/>
          <w:szCs w:val="24"/>
        </w:rPr>
        <w:t>(</w:t>
      </w:r>
      <w:r w:rsidR="00DA3D7A">
        <w:rPr>
          <w:rFonts w:ascii="Arial" w:hAnsi="Arial" w:cs="Arial"/>
          <w:sz w:val="24"/>
          <w:szCs w:val="24"/>
        </w:rPr>
        <w:t>Photo provided by Aquaria, 2020)</w:t>
      </w:r>
    </w:p>
    <w:p w14:paraId="1AE91448" w14:textId="1EF4FC0D" w:rsidR="00BF35D1" w:rsidRDefault="00BF35D1" w:rsidP="00DA3D7A">
      <w:pPr>
        <w:spacing w:line="360" w:lineRule="auto"/>
        <w:rPr>
          <w:rFonts w:ascii="Arial" w:hAnsi="Arial" w:cs="Arial"/>
          <w:b/>
          <w:bCs/>
          <w:sz w:val="24"/>
          <w:szCs w:val="24"/>
          <w:u w:val="single"/>
        </w:rPr>
      </w:pPr>
    </w:p>
    <w:p w14:paraId="13644E78" w14:textId="77777777" w:rsidR="00BF35D1" w:rsidRDefault="00BF35D1" w:rsidP="00DA3D7A">
      <w:pPr>
        <w:spacing w:line="360" w:lineRule="auto"/>
        <w:rPr>
          <w:rFonts w:ascii="Arial" w:hAnsi="Arial" w:cs="Arial"/>
          <w:b/>
          <w:bCs/>
          <w:sz w:val="24"/>
          <w:szCs w:val="24"/>
          <w:u w:val="single"/>
        </w:rPr>
      </w:pPr>
    </w:p>
    <w:p w14:paraId="7FAB30FF" w14:textId="4FEDC81F" w:rsidR="00BF35D1" w:rsidRDefault="00BF35D1" w:rsidP="00DA3D7A">
      <w:pPr>
        <w:spacing w:line="360" w:lineRule="auto"/>
        <w:rPr>
          <w:rFonts w:ascii="Arial" w:hAnsi="Arial" w:cs="Arial"/>
          <w:b/>
          <w:bCs/>
          <w:sz w:val="24"/>
          <w:szCs w:val="24"/>
          <w:u w:val="single"/>
        </w:rPr>
      </w:pPr>
    </w:p>
    <w:p w14:paraId="06201DCE" w14:textId="56C19893" w:rsidR="00BF35D1" w:rsidRDefault="00BF35D1" w:rsidP="00DA3D7A">
      <w:pPr>
        <w:spacing w:line="360" w:lineRule="auto"/>
        <w:rPr>
          <w:rFonts w:ascii="Arial" w:hAnsi="Arial" w:cs="Arial"/>
          <w:b/>
          <w:bCs/>
          <w:sz w:val="24"/>
          <w:szCs w:val="24"/>
          <w:u w:val="single"/>
        </w:rPr>
      </w:pPr>
    </w:p>
    <w:p w14:paraId="259BCD59" w14:textId="77777777" w:rsidR="00BF35D1" w:rsidRDefault="00BF35D1" w:rsidP="00DA3D7A">
      <w:pPr>
        <w:spacing w:line="360" w:lineRule="auto"/>
        <w:rPr>
          <w:rFonts w:ascii="Arial" w:hAnsi="Arial" w:cs="Arial"/>
          <w:b/>
          <w:bCs/>
          <w:sz w:val="24"/>
          <w:szCs w:val="24"/>
          <w:u w:val="single"/>
        </w:rPr>
      </w:pPr>
    </w:p>
    <w:p w14:paraId="54617151" w14:textId="77777777" w:rsidR="00BF35D1" w:rsidRDefault="00BF35D1" w:rsidP="00DA3D7A">
      <w:pPr>
        <w:spacing w:line="360" w:lineRule="auto"/>
        <w:rPr>
          <w:rFonts w:ascii="Arial" w:hAnsi="Arial" w:cs="Arial"/>
          <w:b/>
          <w:bCs/>
          <w:sz w:val="24"/>
          <w:szCs w:val="24"/>
          <w:u w:val="single"/>
        </w:rPr>
      </w:pPr>
    </w:p>
    <w:p w14:paraId="6477CEE6" w14:textId="2197B4BC" w:rsidR="00BF35D1" w:rsidRDefault="00BF35D1" w:rsidP="00DA3D7A">
      <w:pPr>
        <w:spacing w:line="360" w:lineRule="auto"/>
        <w:rPr>
          <w:rFonts w:ascii="Arial" w:hAnsi="Arial" w:cs="Arial"/>
          <w:b/>
          <w:bCs/>
          <w:sz w:val="24"/>
          <w:szCs w:val="24"/>
          <w:u w:val="single"/>
        </w:rPr>
      </w:pPr>
    </w:p>
    <w:p w14:paraId="53FD5109" w14:textId="77777777" w:rsidR="00BF35D1" w:rsidRDefault="00BF35D1" w:rsidP="00DA3D7A">
      <w:pPr>
        <w:spacing w:line="360" w:lineRule="auto"/>
        <w:rPr>
          <w:rFonts w:ascii="Arial" w:hAnsi="Arial" w:cs="Arial"/>
          <w:b/>
          <w:bCs/>
          <w:sz w:val="24"/>
          <w:szCs w:val="24"/>
          <w:u w:val="single"/>
        </w:rPr>
      </w:pPr>
    </w:p>
    <w:p w14:paraId="1C4D4D2E" w14:textId="63493F4B" w:rsidR="00F7628D" w:rsidRPr="00F7628D" w:rsidRDefault="00F7628D" w:rsidP="00DA3D7A">
      <w:pPr>
        <w:spacing w:line="360" w:lineRule="auto"/>
        <w:rPr>
          <w:rFonts w:ascii="Arial" w:hAnsi="Arial" w:cs="Arial"/>
          <w:b/>
          <w:bCs/>
          <w:sz w:val="24"/>
          <w:szCs w:val="24"/>
          <w:u w:val="single"/>
        </w:rPr>
      </w:pPr>
      <w:r>
        <w:rPr>
          <w:rFonts w:ascii="Arial" w:hAnsi="Arial" w:cs="Arial"/>
          <w:b/>
          <w:bCs/>
          <w:sz w:val="24"/>
          <w:szCs w:val="24"/>
          <w:u w:val="single"/>
        </w:rPr>
        <w:lastRenderedPageBreak/>
        <w:t>Image 3</w:t>
      </w:r>
    </w:p>
    <w:p w14:paraId="32D06439" w14:textId="53329FEC" w:rsidR="00DA3D7A" w:rsidRDefault="00BF35D1" w:rsidP="00DA3D7A">
      <w:pPr>
        <w:spacing w:line="360" w:lineRule="auto"/>
        <w:rPr>
          <w:rFonts w:ascii="Arial" w:hAnsi="Arial" w:cs="Arial"/>
          <w:b/>
          <w:bCs/>
          <w:sz w:val="24"/>
          <w:szCs w:val="24"/>
          <w:u w:val="single"/>
        </w:rPr>
      </w:pPr>
      <w:r>
        <w:rPr>
          <w:noProof/>
        </w:rPr>
        <w:drawing>
          <wp:anchor distT="0" distB="0" distL="114300" distR="114300" simplePos="0" relativeHeight="251660288" behindDoc="0" locked="0" layoutInCell="1" allowOverlap="1" wp14:anchorId="6F2FE99D" wp14:editId="0C08F7BE">
            <wp:simplePos x="0" y="0"/>
            <wp:positionH relativeFrom="margin">
              <wp:align>left</wp:align>
            </wp:positionH>
            <wp:positionV relativeFrom="paragraph">
              <wp:posOffset>15240</wp:posOffset>
            </wp:positionV>
            <wp:extent cx="2478405" cy="3095625"/>
            <wp:effectExtent l="0" t="0" r="0" b="9525"/>
            <wp:wrapSquare wrapText="bothSides"/>
            <wp:docPr id="2" name="Picture 2" descr="FATT BUTCHER – Adam Car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TT BUTCHER – Adam Carve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78405" cy="30956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0E49B11" w14:textId="7FE0192C" w:rsidR="00A54E0C" w:rsidRDefault="00A54E0C" w:rsidP="00DA3D7A">
      <w:pPr>
        <w:spacing w:line="360" w:lineRule="auto"/>
        <w:rPr>
          <w:rFonts w:ascii="Arial" w:hAnsi="Arial" w:cs="Arial"/>
          <w:sz w:val="24"/>
          <w:szCs w:val="24"/>
        </w:rPr>
      </w:pPr>
    </w:p>
    <w:p w14:paraId="5388DC3C" w14:textId="1C67E602" w:rsidR="00A54E0C" w:rsidRDefault="00A54E0C" w:rsidP="00DA3D7A">
      <w:pPr>
        <w:spacing w:line="360" w:lineRule="auto"/>
        <w:rPr>
          <w:rFonts w:ascii="Arial" w:hAnsi="Arial" w:cs="Arial"/>
          <w:sz w:val="24"/>
          <w:szCs w:val="24"/>
        </w:rPr>
      </w:pPr>
    </w:p>
    <w:p w14:paraId="01B0257C" w14:textId="566FB1F0" w:rsidR="00642213" w:rsidRPr="00642213" w:rsidRDefault="00BF35D1" w:rsidP="00DA3D7A">
      <w:pPr>
        <w:spacing w:line="360" w:lineRule="auto"/>
        <w:rPr>
          <w:rFonts w:ascii="Arial" w:hAnsi="Arial" w:cs="Arial"/>
          <w:sz w:val="24"/>
          <w:szCs w:val="24"/>
        </w:rPr>
      </w:pPr>
      <w:r>
        <w:rPr>
          <w:rFonts w:ascii="Arial" w:hAnsi="Arial" w:cs="Arial"/>
          <w:sz w:val="24"/>
          <w:szCs w:val="24"/>
        </w:rPr>
        <w:t>(</w:t>
      </w:r>
      <w:r w:rsidR="001C19B5">
        <w:rPr>
          <w:rFonts w:ascii="Arial" w:hAnsi="Arial" w:cs="Arial"/>
          <w:sz w:val="24"/>
          <w:szCs w:val="24"/>
        </w:rPr>
        <w:t>Mitsis</w:t>
      </w:r>
      <w:r w:rsidR="00642213">
        <w:rPr>
          <w:rFonts w:ascii="Arial" w:hAnsi="Arial" w:cs="Arial"/>
          <w:sz w:val="24"/>
          <w:szCs w:val="24"/>
        </w:rPr>
        <w:t>,</w:t>
      </w:r>
      <w:r>
        <w:rPr>
          <w:rFonts w:ascii="Arial" w:hAnsi="Arial" w:cs="Arial"/>
          <w:sz w:val="24"/>
          <w:szCs w:val="24"/>
        </w:rPr>
        <w:t xml:space="preserve"> </w:t>
      </w:r>
      <w:r w:rsidR="00642213">
        <w:rPr>
          <w:rFonts w:ascii="Arial" w:hAnsi="Arial" w:cs="Arial"/>
          <w:sz w:val="24"/>
          <w:szCs w:val="24"/>
        </w:rPr>
        <w:t>2021)</w:t>
      </w:r>
    </w:p>
    <w:p w14:paraId="1F3CCC8D" w14:textId="77777777" w:rsidR="00BF35D1" w:rsidRDefault="00BF35D1" w:rsidP="001215F9">
      <w:pPr>
        <w:spacing w:line="360" w:lineRule="auto"/>
        <w:rPr>
          <w:rFonts w:ascii="Arial" w:hAnsi="Arial" w:cs="Arial"/>
          <w:b/>
          <w:bCs/>
          <w:sz w:val="24"/>
          <w:szCs w:val="24"/>
        </w:rPr>
      </w:pPr>
    </w:p>
    <w:bookmarkEnd w:id="0"/>
    <w:p w14:paraId="1B279ED8" w14:textId="77777777" w:rsidR="00BF35D1" w:rsidRDefault="00BF35D1" w:rsidP="001215F9">
      <w:pPr>
        <w:spacing w:line="360" w:lineRule="auto"/>
        <w:rPr>
          <w:rFonts w:ascii="Arial" w:hAnsi="Arial" w:cs="Arial"/>
          <w:b/>
          <w:bCs/>
          <w:sz w:val="24"/>
          <w:szCs w:val="24"/>
        </w:rPr>
      </w:pPr>
    </w:p>
    <w:p w14:paraId="23A5993D" w14:textId="77777777" w:rsidR="00BF35D1" w:rsidRDefault="00BF35D1" w:rsidP="001215F9">
      <w:pPr>
        <w:spacing w:line="360" w:lineRule="auto"/>
        <w:rPr>
          <w:rFonts w:ascii="Arial" w:hAnsi="Arial" w:cs="Arial"/>
          <w:b/>
          <w:bCs/>
          <w:sz w:val="24"/>
          <w:szCs w:val="24"/>
        </w:rPr>
      </w:pPr>
    </w:p>
    <w:p w14:paraId="1609BA1D" w14:textId="77777777" w:rsidR="00BF35D1" w:rsidRDefault="00BF35D1" w:rsidP="001215F9">
      <w:pPr>
        <w:spacing w:line="360" w:lineRule="auto"/>
        <w:rPr>
          <w:rFonts w:ascii="Arial" w:hAnsi="Arial" w:cs="Arial"/>
          <w:b/>
          <w:bCs/>
          <w:sz w:val="24"/>
          <w:szCs w:val="24"/>
        </w:rPr>
      </w:pPr>
    </w:p>
    <w:p w14:paraId="3BF59400" w14:textId="77777777" w:rsidR="00BF35D1" w:rsidRDefault="00BF35D1" w:rsidP="001215F9">
      <w:pPr>
        <w:spacing w:line="360" w:lineRule="auto"/>
        <w:rPr>
          <w:rFonts w:ascii="Arial" w:hAnsi="Arial" w:cs="Arial"/>
          <w:b/>
          <w:bCs/>
          <w:sz w:val="24"/>
          <w:szCs w:val="24"/>
        </w:rPr>
      </w:pPr>
    </w:p>
    <w:p w14:paraId="4DA9C118" w14:textId="3F28F240" w:rsidR="00595408" w:rsidRDefault="007825E4" w:rsidP="001C19B5">
      <w:pPr>
        <w:spacing w:line="360" w:lineRule="auto"/>
        <w:rPr>
          <w:rFonts w:ascii="Arial" w:hAnsi="Arial" w:cs="Arial"/>
          <w:sz w:val="24"/>
          <w:szCs w:val="24"/>
        </w:rPr>
      </w:pPr>
      <w:r>
        <w:rPr>
          <w:rFonts w:ascii="Arial" w:hAnsi="Arial" w:cs="Arial"/>
          <w:sz w:val="24"/>
          <w:szCs w:val="24"/>
        </w:rPr>
        <w:t xml:space="preserve">Stereotypes are expectations about members of social groups </w:t>
      </w:r>
      <w:r w:rsidRPr="007825E4">
        <w:rPr>
          <w:rFonts w:ascii="Arial" w:hAnsi="Arial" w:cs="Arial"/>
          <w:sz w:val="24"/>
          <w:szCs w:val="24"/>
          <w:shd w:val="clear" w:color="auto" w:fill="FFFFFF"/>
        </w:rPr>
        <w:t xml:space="preserve">(Ellemers, 2018; Greenwald and Banaji, 1995; Muntoni </w:t>
      </w:r>
      <w:r w:rsidRPr="007825E4">
        <w:rPr>
          <w:rFonts w:ascii="Arial" w:hAnsi="Arial" w:cs="Arial"/>
          <w:i/>
          <w:iCs/>
          <w:sz w:val="24"/>
          <w:szCs w:val="24"/>
          <w:shd w:val="clear" w:color="auto" w:fill="FFFFFF"/>
        </w:rPr>
        <w:t xml:space="preserve">et al., </w:t>
      </w:r>
      <w:r w:rsidRPr="007825E4">
        <w:rPr>
          <w:rFonts w:ascii="Arial" w:hAnsi="Arial" w:cs="Arial"/>
          <w:sz w:val="24"/>
          <w:szCs w:val="24"/>
          <w:shd w:val="clear" w:color="auto" w:fill="FFFFFF"/>
        </w:rPr>
        <w:t>2021)</w:t>
      </w:r>
      <w:r>
        <w:rPr>
          <w:rFonts w:ascii="Arial" w:hAnsi="Arial" w:cs="Arial"/>
          <w:sz w:val="24"/>
          <w:szCs w:val="24"/>
        </w:rPr>
        <w:t>, which provide guidance on how to interact with individuals (</w:t>
      </w:r>
      <w:r w:rsidRPr="00595408">
        <w:rPr>
          <w:rFonts w:ascii="Arial" w:hAnsi="Arial" w:cs="Arial"/>
          <w:sz w:val="24"/>
          <w:szCs w:val="24"/>
        </w:rPr>
        <w:t>Schneider, 2004)</w:t>
      </w:r>
      <w:r>
        <w:rPr>
          <w:rFonts w:ascii="Arial" w:hAnsi="Arial" w:cs="Arial"/>
          <w:sz w:val="24"/>
          <w:szCs w:val="24"/>
        </w:rPr>
        <w:t>.</w:t>
      </w:r>
      <w:r w:rsidR="001C19B5">
        <w:rPr>
          <w:rFonts w:ascii="Arial" w:hAnsi="Arial" w:cs="Arial"/>
          <w:sz w:val="24"/>
          <w:szCs w:val="24"/>
        </w:rPr>
        <w:t xml:space="preserve"> </w:t>
      </w:r>
      <w:r w:rsidR="00BB7491">
        <w:rPr>
          <w:rFonts w:ascii="Arial" w:hAnsi="Arial" w:cs="Arial"/>
          <w:sz w:val="24"/>
          <w:szCs w:val="24"/>
        </w:rPr>
        <w:t>Fiske and Neuberg (1990) argued that stereotypes are usually negative</w:t>
      </w:r>
      <w:r w:rsidR="00DD0D11">
        <w:rPr>
          <w:rFonts w:ascii="Arial" w:hAnsi="Arial" w:cs="Arial"/>
          <w:sz w:val="24"/>
          <w:szCs w:val="24"/>
        </w:rPr>
        <w:t xml:space="preserve"> </w:t>
      </w:r>
      <w:r w:rsidR="00BB7491">
        <w:rPr>
          <w:rFonts w:ascii="Arial" w:hAnsi="Arial" w:cs="Arial"/>
          <w:sz w:val="24"/>
          <w:szCs w:val="24"/>
        </w:rPr>
        <w:t xml:space="preserve">opinions about groups, </w:t>
      </w:r>
      <w:r w:rsidR="00347926">
        <w:rPr>
          <w:rFonts w:ascii="Arial" w:hAnsi="Arial" w:cs="Arial"/>
          <w:sz w:val="24"/>
          <w:szCs w:val="24"/>
        </w:rPr>
        <w:t>often</w:t>
      </w:r>
      <w:r w:rsidR="00BB7491">
        <w:rPr>
          <w:rFonts w:ascii="Arial" w:hAnsi="Arial" w:cs="Arial"/>
          <w:sz w:val="24"/>
          <w:szCs w:val="24"/>
        </w:rPr>
        <w:t xml:space="preserve"> based on rumours (Fiske and Taylor, 1991).</w:t>
      </w:r>
      <w:r w:rsidR="00FD772E">
        <w:rPr>
          <w:rFonts w:ascii="Arial" w:hAnsi="Arial" w:cs="Arial"/>
          <w:sz w:val="24"/>
          <w:szCs w:val="24"/>
        </w:rPr>
        <w:t xml:space="preserve"> Further research has suggested that stereotypes are distinct from discrimination, which </w:t>
      </w:r>
      <w:r w:rsidR="00347926">
        <w:rPr>
          <w:rFonts w:ascii="Arial" w:hAnsi="Arial" w:cs="Arial"/>
          <w:sz w:val="24"/>
          <w:szCs w:val="24"/>
        </w:rPr>
        <w:t>is</w:t>
      </w:r>
      <w:r w:rsidR="00FD772E">
        <w:rPr>
          <w:rFonts w:ascii="Arial" w:hAnsi="Arial" w:cs="Arial"/>
          <w:sz w:val="24"/>
          <w:szCs w:val="24"/>
        </w:rPr>
        <w:t xml:space="preserve"> behavioural </w:t>
      </w:r>
      <w:r w:rsidR="00FD772E" w:rsidRPr="00333449">
        <w:rPr>
          <w:rFonts w:ascii="Arial" w:hAnsi="Arial" w:cs="Arial"/>
          <w:sz w:val="24"/>
          <w:szCs w:val="24"/>
        </w:rPr>
        <w:t>(Fiske, 1998, 2004; Nelson, 2002</w:t>
      </w:r>
      <w:r w:rsidR="00FD772E">
        <w:rPr>
          <w:rFonts w:ascii="Arial" w:hAnsi="Arial" w:cs="Arial"/>
          <w:sz w:val="24"/>
          <w:szCs w:val="24"/>
        </w:rPr>
        <w:t>; Posthuma and Campion, 2009</w:t>
      </w:r>
      <w:r w:rsidR="00FD772E" w:rsidRPr="00333449">
        <w:rPr>
          <w:rFonts w:ascii="Arial" w:hAnsi="Arial" w:cs="Arial"/>
          <w:sz w:val="24"/>
          <w:szCs w:val="24"/>
        </w:rPr>
        <w:t>)</w:t>
      </w:r>
      <w:r w:rsidR="00FD772E">
        <w:rPr>
          <w:rFonts w:ascii="Arial" w:hAnsi="Arial" w:cs="Arial"/>
          <w:sz w:val="24"/>
          <w:szCs w:val="24"/>
        </w:rPr>
        <w:t xml:space="preserve">. </w:t>
      </w:r>
      <w:r w:rsidR="000A68AE">
        <w:rPr>
          <w:rFonts w:ascii="Arial" w:hAnsi="Arial" w:cs="Arial"/>
          <w:sz w:val="24"/>
          <w:szCs w:val="24"/>
        </w:rPr>
        <w:t xml:space="preserve">Later scholars, however, argued that stereotypes can </w:t>
      </w:r>
      <w:r w:rsidR="00171406">
        <w:rPr>
          <w:rFonts w:ascii="Arial" w:hAnsi="Arial" w:cs="Arial"/>
          <w:sz w:val="24"/>
          <w:szCs w:val="24"/>
        </w:rPr>
        <w:t>cause</w:t>
      </w:r>
      <w:r w:rsidR="000A68AE">
        <w:rPr>
          <w:rFonts w:ascii="Arial" w:hAnsi="Arial" w:cs="Arial"/>
          <w:sz w:val="24"/>
          <w:szCs w:val="24"/>
        </w:rPr>
        <w:t xml:space="preserve"> discrimination, as they can reduce impartiality</w:t>
      </w:r>
      <w:r w:rsidR="00171406">
        <w:rPr>
          <w:rFonts w:ascii="Arial" w:hAnsi="Arial" w:cs="Arial"/>
          <w:sz w:val="24"/>
          <w:szCs w:val="24"/>
        </w:rPr>
        <w:t xml:space="preserve"> and lead to unfavourable treatment</w:t>
      </w:r>
      <w:r w:rsidR="000A68AE">
        <w:rPr>
          <w:rFonts w:ascii="Arial" w:hAnsi="Arial" w:cs="Arial"/>
          <w:sz w:val="24"/>
          <w:szCs w:val="24"/>
        </w:rPr>
        <w:t xml:space="preserve"> </w:t>
      </w:r>
      <w:r w:rsidR="000A68AE" w:rsidRPr="00D27405">
        <w:rPr>
          <w:rFonts w:ascii="Arial" w:hAnsi="Arial" w:cs="Arial"/>
          <w:sz w:val="24"/>
          <w:szCs w:val="24"/>
        </w:rPr>
        <w:t>(</w:t>
      </w:r>
      <w:r w:rsidR="000A68AE">
        <w:rPr>
          <w:rFonts w:ascii="Arial" w:hAnsi="Arial" w:cs="Arial"/>
          <w:sz w:val="24"/>
          <w:szCs w:val="24"/>
        </w:rPr>
        <w:t xml:space="preserve">Carlana, 2019; </w:t>
      </w:r>
      <w:r w:rsidR="000A68AE" w:rsidRPr="00D27405">
        <w:rPr>
          <w:rFonts w:ascii="Arial" w:hAnsi="Arial" w:cs="Arial"/>
          <w:sz w:val="24"/>
          <w:szCs w:val="24"/>
        </w:rPr>
        <w:t>Glover</w:t>
      </w:r>
      <w:r w:rsidR="000A68AE">
        <w:rPr>
          <w:rFonts w:ascii="Arial" w:hAnsi="Arial" w:cs="Arial"/>
          <w:sz w:val="24"/>
          <w:szCs w:val="24"/>
        </w:rPr>
        <w:t xml:space="preserve"> </w:t>
      </w:r>
      <w:r w:rsidR="000A68AE">
        <w:rPr>
          <w:rFonts w:ascii="Arial" w:hAnsi="Arial" w:cs="Arial"/>
          <w:i/>
          <w:iCs/>
          <w:sz w:val="24"/>
          <w:szCs w:val="24"/>
        </w:rPr>
        <w:t>et al.</w:t>
      </w:r>
      <w:r w:rsidR="000A68AE" w:rsidRPr="00D27405">
        <w:rPr>
          <w:rFonts w:ascii="Arial" w:hAnsi="Arial" w:cs="Arial"/>
          <w:sz w:val="24"/>
          <w:szCs w:val="24"/>
        </w:rPr>
        <w:t>, 2017).</w:t>
      </w:r>
      <w:r w:rsidR="000A68AE">
        <w:rPr>
          <w:rFonts w:ascii="Arial" w:hAnsi="Arial" w:cs="Arial"/>
          <w:sz w:val="24"/>
          <w:szCs w:val="24"/>
        </w:rPr>
        <w:t xml:space="preserve"> </w:t>
      </w:r>
    </w:p>
    <w:p w14:paraId="06118B12" w14:textId="16A28EF7" w:rsidR="0008664D" w:rsidRDefault="0008664D" w:rsidP="001C19B5">
      <w:pPr>
        <w:spacing w:line="360" w:lineRule="auto"/>
        <w:rPr>
          <w:rFonts w:ascii="Arial" w:hAnsi="Arial" w:cs="Arial"/>
          <w:sz w:val="24"/>
          <w:szCs w:val="24"/>
        </w:rPr>
      </w:pPr>
      <w:r>
        <w:rPr>
          <w:rFonts w:ascii="Arial" w:hAnsi="Arial" w:cs="Arial"/>
          <w:sz w:val="24"/>
          <w:szCs w:val="24"/>
        </w:rPr>
        <w:t>Drag performances have a history as a key part of LGBTQ</w:t>
      </w:r>
      <w:r w:rsidR="00E43D2C">
        <w:rPr>
          <w:rFonts w:ascii="Arial" w:hAnsi="Arial" w:cs="Arial"/>
          <w:sz w:val="24"/>
          <w:szCs w:val="24"/>
        </w:rPr>
        <w:t>+</w:t>
      </w:r>
      <w:r>
        <w:rPr>
          <w:rFonts w:ascii="Arial" w:hAnsi="Arial" w:cs="Arial"/>
          <w:sz w:val="24"/>
          <w:szCs w:val="24"/>
        </w:rPr>
        <w:t xml:space="preserve"> spaces, representing for people whose gender and/or sexuality has left them marginalised in society (Barnett and Johnson, 2013a, 2013b; Newton, 1972). In recent years, drag performances have received increased media attention (Schact and Underwood, 2004; Vidal-Ortiz, 2008; Zervigon, 2009), becoming a widely recognised phenomenon (Barnett and Johnson, 2013a), with shows such as </w:t>
      </w:r>
      <w:r>
        <w:rPr>
          <w:rFonts w:ascii="Arial" w:hAnsi="Arial" w:cs="Arial"/>
          <w:i/>
          <w:iCs/>
          <w:sz w:val="24"/>
          <w:szCs w:val="24"/>
        </w:rPr>
        <w:t xml:space="preserve">RuPaul’s Drag Race </w:t>
      </w:r>
      <w:r>
        <w:rPr>
          <w:rFonts w:ascii="Arial" w:hAnsi="Arial" w:cs="Arial"/>
          <w:sz w:val="24"/>
          <w:szCs w:val="24"/>
        </w:rPr>
        <w:t>(Simmons, 2014)</w:t>
      </w:r>
      <w:r>
        <w:rPr>
          <w:rFonts w:ascii="Arial" w:hAnsi="Arial" w:cs="Arial"/>
          <w:i/>
          <w:iCs/>
          <w:sz w:val="24"/>
          <w:szCs w:val="24"/>
        </w:rPr>
        <w:t xml:space="preserve">, </w:t>
      </w:r>
      <w:r>
        <w:rPr>
          <w:rFonts w:ascii="Arial" w:hAnsi="Arial" w:cs="Arial"/>
          <w:sz w:val="24"/>
          <w:szCs w:val="24"/>
        </w:rPr>
        <w:t xml:space="preserve">films including </w:t>
      </w:r>
      <w:r>
        <w:rPr>
          <w:rFonts w:ascii="Arial" w:hAnsi="Arial" w:cs="Arial"/>
          <w:i/>
          <w:iCs/>
          <w:sz w:val="24"/>
          <w:szCs w:val="24"/>
        </w:rPr>
        <w:t xml:space="preserve">To Wong Foo </w:t>
      </w:r>
      <w:r>
        <w:rPr>
          <w:rFonts w:ascii="Arial" w:hAnsi="Arial" w:cs="Arial"/>
          <w:sz w:val="24"/>
          <w:szCs w:val="24"/>
        </w:rPr>
        <w:t>and popular books (Harris, 2005).</w:t>
      </w:r>
      <w:r w:rsidR="00642B5A">
        <w:rPr>
          <w:rFonts w:ascii="Arial" w:hAnsi="Arial" w:cs="Arial"/>
          <w:sz w:val="24"/>
          <w:szCs w:val="24"/>
        </w:rPr>
        <w:t xml:space="preserve"> As attention has increased, literature on drag queens has also extended, alongside the popularity of queer studies (Greaf, 2016).</w:t>
      </w:r>
      <w:r>
        <w:rPr>
          <w:rFonts w:ascii="Arial" w:hAnsi="Arial" w:cs="Arial"/>
          <w:sz w:val="24"/>
          <w:szCs w:val="24"/>
        </w:rPr>
        <w:t xml:space="preserve"> The majority of mainstream drag performances involve drag queens</w:t>
      </w:r>
      <w:r w:rsidR="007A46EE">
        <w:rPr>
          <w:rFonts w:ascii="Arial" w:hAnsi="Arial" w:cs="Arial"/>
          <w:sz w:val="24"/>
          <w:szCs w:val="24"/>
        </w:rPr>
        <w:t>,</w:t>
      </w:r>
      <w:r>
        <w:rPr>
          <w:rFonts w:ascii="Arial" w:hAnsi="Arial" w:cs="Arial"/>
          <w:sz w:val="24"/>
          <w:szCs w:val="24"/>
        </w:rPr>
        <w:t xml:space="preserve"> rather than drag kings, and due to their increased attention in the </w:t>
      </w:r>
      <w:r>
        <w:rPr>
          <w:rFonts w:ascii="Arial" w:hAnsi="Arial" w:cs="Arial"/>
          <w:sz w:val="24"/>
          <w:szCs w:val="24"/>
        </w:rPr>
        <w:lastRenderedPageBreak/>
        <w:t xml:space="preserve">public sphere, drag queens will be the focus of this submission </w:t>
      </w:r>
      <w:r w:rsidRPr="00C77EA6">
        <w:rPr>
          <w:rFonts w:ascii="Arial" w:hAnsi="Arial" w:cs="Arial"/>
          <w:sz w:val="24"/>
          <w:szCs w:val="24"/>
        </w:rPr>
        <w:t xml:space="preserve">(Ellis </w:t>
      </w:r>
      <w:r w:rsidRPr="00C77EA6">
        <w:rPr>
          <w:rFonts w:ascii="Arial" w:hAnsi="Arial" w:cs="Arial"/>
          <w:i/>
          <w:iCs/>
          <w:sz w:val="24"/>
          <w:szCs w:val="24"/>
        </w:rPr>
        <w:t xml:space="preserve">et al., </w:t>
      </w:r>
      <w:r w:rsidRPr="00C77EA6">
        <w:rPr>
          <w:rFonts w:ascii="Arial" w:hAnsi="Arial" w:cs="Arial"/>
          <w:sz w:val="24"/>
          <w:szCs w:val="24"/>
        </w:rPr>
        <w:t>2022; Rupp et al., 2010)</w:t>
      </w:r>
      <w:r>
        <w:rPr>
          <w:rFonts w:ascii="Arial" w:hAnsi="Arial" w:cs="Arial"/>
          <w:sz w:val="24"/>
          <w:szCs w:val="24"/>
        </w:rPr>
        <w:t>.</w:t>
      </w:r>
    </w:p>
    <w:p w14:paraId="26B2A43A" w14:textId="03C97B26" w:rsidR="0008664D" w:rsidRDefault="0008664D" w:rsidP="001C19B5">
      <w:pPr>
        <w:spacing w:line="360" w:lineRule="auto"/>
        <w:rPr>
          <w:rFonts w:ascii="Arial" w:hAnsi="Arial" w:cs="Arial"/>
          <w:sz w:val="24"/>
          <w:szCs w:val="24"/>
        </w:rPr>
      </w:pPr>
      <w:r>
        <w:rPr>
          <w:rFonts w:ascii="Arial" w:hAnsi="Arial" w:cs="Arial"/>
          <w:sz w:val="24"/>
          <w:szCs w:val="24"/>
        </w:rPr>
        <w:t xml:space="preserve">As a term, drag queen needs to </w:t>
      </w:r>
      <w:r w:rsidR="00480FFB">
        <w:rPr>
          <w:rFonts w:ascii="Arial" w:hAnsi="Arial" w:cs="Arial"/>
          <w:sz w:val="24"/>
          <w:szCs w:val="24"/>
        </w:rPr>
        <w:t>be defined, as there is little consistency (Schmid and Payam, 2022)</w:t>
      </w:r>
      <w:r w:rsidR="00480FFB" w:rsidRPr="009F65AF">
        <w:rPr>
          <w:rFonts w:ascii="Arial" w:hAnsi="Arial" w:cs="Arial"/>
          <w:sz w:val="24"/>
          <w:szCs w:val="24"/>
        </w:rPr>
        <w:t>.</w:t>
      </w:r>
      <w:r w:rsidR="00480FFB">
        <w:rPr>
          <w:rFonts w:ascii="Arial" w:hAnsi="Arial" w:cs="Arial"/>
          <w:sz w:val="24"/>
          <w:szCs w:val="24"/>
        </w:rPr>
        <w:t xml:space="preserve"> Previous terms that have been used include cross-dresser and female impersonator (Barnett and Johnson, 2013a), but drag queen is used throughout this submission</w:t>
      </w:r>
      <w:r w:rsidR="007A46EE">
        <w:rPr>
          <w:rFonts w:ascii="Arial" w:hAnsi="Arial" w:cs="Arial"/>
          <w:sz w:val="24"/>
          <w:szCs w:val="24"/>
        </w:rPr>
        <w:t>,</w:t>
      </w:r>
      <w:r w:rsidR="00480FFB">
        <w:rPr>
          <w:rFonts w:ascii="Arial" w:hAnsi="Arial" w:cs="Arial"/>
          <w:sz w:val="24"/>
          <w:szCs w:val="24"/>
        </w:rPr>
        <w:t xml:space="preserve"> as it is the most recognised marker (Carretta </w:t>
      </w:r>
      <w:r w:rsidR="00480FFB">
        <w:rPr>
          <w:rFonts w:ascii="Arial" w:hAnsi="Arial" w:cs="Arial"/>
          <w:i/>
          <w:iCs/>
          <w:sz w:val="24"/>
          <w:szCs w:val="24"/>
        </w:rPr>
        <w:t xml:space="preserve">et al., </w:t>
      </w:r>
      <w:r w:rsidR="00480FFB">
        <w:rPr>
          <w:rFonts w:ascii="Arial" w:hAnsi="Arial" w:cs="Arial"/>
          <w:sz w:val="24"/>
          <w:szCs w:val="24"/>
        </w:rPr>
        <w:t>2019; Holcomb, 2007)</w:t>
      </w:r>
      <w:r w:rsidR="00604521">
        <w:rPr>
          <w:rFonts w:ascii="Arial" w:hAnsi="Arial" w:cs="Arial"/>
          <w:sz w:val="24"/>
          <w:szCs w:val="24"/>
        </w:rPr>
        <w:t xml:space="preserve">. Drag can refer to appearing to be a different gender (Barnett and Johnson, 2013a), or changing persona (Greaf, 2016), although Taylor and Rupp (2004) specifically define them as gay men who perform as women, but do not wish to be women (p.115; Rupp </w:t>
      </w:r>
      <w:r w:rsidR="00604521">
        <w:rPr>
          <w:rFonts w:ascii="Arial" w:hAnsi="Arial" w:cs="Arial"/>
          <w:i/>
          <w:iCs/>
          <w:sz w:val="24"/>
          <w:szCs w:val="24"/>
        </w:rPr>
        <w:t xml:space="preserve">et al,. </w:t>
      </w:r>
      <w:r w:rsidR="00604521">
        <w:rPr>
          <w:rFonts w:ascii="Arial" w:hAnsi="Arial" w:cs="Arial"/>
          <w:sz w:val="24"/>
          <w:szCs w:val="24"/>
        </w:rPr>
        <w:t xml:space="preserve">2010). This definition is problematic, however, as it uses binary gender categories, whereas a variety of gender identities are represented within the drag queen community </w:t>
      </w:r>
      <w:r w:rsidR="00604521" w:rsidRPr="00584C65">
        <w:rPr>
          <w:rFonts w:ascii="Arial" w:hAnsi="Arial" w:cs="Arial"/>
          <w:sz w:val="24"/>
          <w:szCs w:val="24"/>
        </w:rPr>
        <w:t xml:space="preserve">(Berkowitz </w:t>
      </w:r>
      <w:r w:rsidR="00604521" w:rsidRPr="00604521">
        <w:rPr>
          <w:rFonts w:ascii="Arial" w:hAnsi="Arial" w:cs="Arial"/>
          <w:i/>
          <w:iCs/>
          <w:sz w:val="24"/>
          <w:szCs w:val="24"/>
        </w:rPr>
        <w:t>et al</w:t>
      </w:r>
      <w:r w:rsidR="00604521" w:rsidRPr="00584C65">
        <w:rPr>
          <w:rFonts w:ascii="Arial" w:hAnsi="Arial" w:cs="Arial"/>
          <w:sz w:val="24"/>
          <w:szCs w:val="24"/>
        </w:rPr>
        <w:t>.,</w:t>
      </w:r>
      <w:r w:rsidR="00434CC9">
        <w:rPr>
          <w:rFonts w:ascii="Arial" w:hAnsi="Arial" w:cs="Arial"/>
          <w:sz w:val="24"/>
          <w:szCs w:val="24"/>
        </w:rPr>
        <w:t xml:space="preserve"> </w:t>
      </w:r>
      <w:r w:rsidR="00604521">
        <w:rPr>
          <w:rFonts w:ascii="Arial" w:hAnsi="Arial" w:cs="Arial"/>
          <w:sz w:val="24"/>
          <w:szCs w:val="24"/>
        </w:rPr>
        <w:t>2007).</w:t>
      </w:r>
      <w:r w:rsidR="00434CC9">
        <w:rPr>
          <w:rFonts w:ascii="Arial" w:hAnsi="Arial" w:cs="Arial"/>
          <w:sz w:val="24"/>
          <w:szCs w:val="24"/>
        </w:rPr>
        <w:t xml:space="preserve"> Consequently, Knutson </w:t>
      </w:r>
      <w:r w:rsidR="00434CC9">
        <w:rPr>
          <w:rFonts w:ascii="Arial" w:hAnsi="Arial" w:cs="Arial"/>
          <w:i/>
          <w:iCs/>
          <w:sz w:val="24"/>
          <w:szCs w:val="24"/>
        </w:rPr>
        <w:t xml:space="preserve">et al’s. </w:t>
      </w:r>
      <w:r w:rsidR="00434CC9">
        <w:rPr>
          <w:rFonts w:ascii="Arial" w:hAnsi="Arial" w:cs="Arial"/>
          <w:sz w:val="24"/>
          <w:szCs w:val="24"/>
        </w:rPr>
        <w:t>(2018) definition of self-identification as a drag queen being the key indicator, is used throughout. Self-identification as a drag queen links to Social Identity Theory</w:t>
      </w:r>
      <w:r w:rsidR="00BC1D12">
        <w:rPr>
          <w:rFonts w:ascii="Arial" w:hAnsi="Arial" w:cs="Arial"/>
          <w:sz w:val="24"/>
          <w:szCs w:val="24"/>
        </w:rPr>
        <w:t xml:space="preserve"> (SIT)</w:t>
      </w:r>
      <w:r w:rsidR="00434CC9">
        <w:rPr>
          <w:rFonts w:ascii="Arial" w:hAnsi="Arial" w:cs="Arial"/>
          <w:sz w:val="24"/>
          <w:szCs w:val="24"/>
        </w:rPr>
        <w:t xml:space="preserve">, whereby individuals identify with social groups that are reflective of their characteristics </w:t>
      </w:r>
      <w:r w:rsidR="00434CC9" w:rsidRPr="00071D83">
        <w:rPr>
          <w:rFonts w:ascii="Arial" w:hAnsi="Arial" w:cs="Arial"/>
          <w:sz w:val="24"/>
          <w:szCs w:val="24"/>
        </w:rPr>
        <w:t>(Ashforth and Mael, 1989).</w:t>
      </w:r>
      <w:r w:rsidR="00BC1D12">
        <w:rPr>
          <w:rFonts w:ascii="Arial" w:hAnsi="Arial" w:cs="Arial"/>
          <w:sz w:val="24"/>
          <w:szCs w:val="24"/>
        </w:rPr>
        <w:t xml:space="preserve"> Though SIT has criticisms for being vague </w:t>
      </w:r>
      <w:r w:rsidR="00BC1D12" w:rsidRPr="00071D83">
        <w:rPr>
          <w:rFonts w:ascii="Arial" w:hAnsi="Arial" w:cs="Arial"/>
          <w:sz w:val="24"/>
          <w:szCs w:val="24"/>
        </w:rPr>
        <w:t>(Ashforth and Mael, 1989)</w:t>
      </w:r>
      <w:r w:rsidR="00BC1D12">
        <w:rPr>
          <w:rFonts w:ascii="Arial" w:hAnsi="Arial" w:cs="Arial"/>
          <w:sz w:val="24"/>
          <w:szCs w:val="24"/>
        </w:rPr>
        <w:t>, its lack of reliance on pre-existing labels</w:t>
      </w:r>
      <w:r w:rsidR="00FA36ED">
        <w:rPr>
          <w:rFonts w:ascii="Arial" w:hAnsi="Arial" w:cs="Arial"/>
          <w:sz w:val="24"/>
          <w:szCs w:val="24"/>
        </w:rPr>
        <w:t xml:space="preserve">, and therefore increased inclusivity of those who </w:t>
      </w:r>
      <w:r w:rsidR="00DD0D11">
        <w:rPr>
          <w:rFonts w:ascii="Arial" w:hAnsi="Arial" w:cs="Arial"/>
          <w:sz w:val="24"/>
          <w:szCs w:val="24"/>
        </w:rPr>
        <w:t>s</w:t>
      </w:r>
      <w:r w:rsidR="00FA36ED">
        <w:rPr>
          <w:rFonts w:ascii="Arial" w:hAnsi="Arial" w:cs="Arial"/>
          <w:sz w:val="24"/>
          <w:szCs w:val="24"/>
        </w:rPr>
        <w:t>elf-define as drag queens,</w:t>
      </w:r>
      <w:r w:rsidR="00BC1D12">
        <w:rPr>
          <w:rFonts w:ascii="Arial" w:hAnsi="Arial" w:cs="Arial"/>
          <w:sz w:val="24"/>
          <w:szCs w:val="24"/>
        </w:rPr>
        <w:t xml:space="preserve"> makes it suitable for this submission (Schmid and Payam, 2022).</w:t>
      </w:r>
    </w:p>
    <w:p w14:paraId="77CE7BBD" w14:textId="7BB7A7DB" w:rsidR="00BF35D1" w:rsidRPr="00BF35D1" w:rsidRDefault="00BF35D1" w:rsidP="001C19B5">
      <w:pPr>
        <w:spacing w:line="360" w:lineRule="auto"/>
        <w:rPr>
          <w:rFonts w:ascii="Arial" w:hAnsi="Arial" w:cs="Arial"/>
          <w:sz w:val="24"/>
          <w:szCs w:val="24"/>
        </w:rPr>
      </w:pPr>
      <w:r>
        <w:rPr>
          <w:rFonts w:ascii="Arial" w:hAnsi="Arial" w:cs="Arial"/>
          <w:sz w:val="24"/>
          <w:szCs w:val="24"/>
        </w:rPr>
        <w:t xml:space="preserve">Within this submission, three images will be used which can be seen to perpetuate stereotypes associated with drag queens. The images that have been selected are of Trixie Mattel (Carrasquillo, 2021, image 1) and Aquaria (Photo provided by Aquaria, image 2), American drag queens who have featured on </w:t>
      </w:r>
      <w:r>
        <w:rPr>
          <w:rFonts w:ascii="Arial" w:hAnsi="Arial" w:cs="Arial"/>
          <w:i/>
          <w:iCs/>
          <w:sz w:val="24"/>
          <w:szCs w:val="24"/>
        </w:rPr>
        <w:t xml:space="preserve">RuPaul’s Drag Race, </w:t>
      </w:r>
      <w:r>
        <w:rPr>
          <w:rFonts w:ascii="Arial" w:hAnsi="Arial" w:cs="Arial"/>
          <w:sz w:val="24"/>
          <w:szCs w:val="24"/>
        </w:rPr>
        <w:t xml:space="preserve">and Fatt Butcher (Mitsis, 2021, image 3), a </w:t>
      </w:r>
      <w:r w:rsidR="00B52273">
        <w:rPr>
          <w:rFonts w:ascii="Arial" w:hAnsi="Arial" w:cs="Arial"/>
          <w:sz w:val="24"/>
          <w:szCs w:val="24"/>
        </w:rPr>
        <w:t>British</w:t>
      </w:r>
      <w:r>
        <w:rPr>
          <w:rFonts w:ascii="Arial" w:hAnsi="Arial" w:cs="Arial"/>
          <w:sz w:val="24"/>
          <w:szCs w:val="24"/>
        </w:rPr>
        <w:t xml:space="preserve"> drag queen. The stereotypical attitudes</w:t>
      </w:r>
      <w:r w:rsidR="007F2808">
        <w:rPr>
          <w:rFonts w:ascii="Arial" w:hAnsi="Arial" w:cs="Arial"/>
          <w:sz w:val="24"/>
          <w:szCs w:val="24"/>
        </w:rPr>
        <w:t xml:space="preserve"> towards drag queens</w:t>
      </w:r>
      <w:r>
        <w:rPr>
          <w:rFonts w:ascii="Arial" w:hAnsi="Arial" w:cs="Arial"/>
          <w:sz w:val="24"/>
          <w:szCs w:val="24"/>
        </w:rPr>
        <w:t xml:space="preserve"> that will be considered </w:t>
      </w:r>
      <w:r w:rsidR="00B52273">
        <w:rPr>
          <w:rFonts w:ascii="Arial" w:hAnsi="Arial" w:cs="Arial"/>
          <w:sz w:val="24"/>
          <w:szCs w:val="24"/>
        </w:rPr>
        <w:t>within</w:t>
      </w:r>
      <w:r>
        <w:rPr>
          <w:rFonts w:ascii="Arial" w:hAnsi="Arial" w:cs="Arial"/>
          <w:sz w:val="24"/>
          <w:szCs w:val="24"/>
        </w:rPr>
        <w:t xml:space="preserve"> these images are: as caricatures of women</w:t>
      </w:r>
      <w:r w:rsidR="00347926">
        <w:rPr>
          <w:rFonts w:ascii="Arial" w:hAnsi="Arial" w:cs="Arial"/>
          <w:sz w:val="24"/>
          <w:szCs w:val="24"/>
        </w:rPr>
        <w:t>,</w:t>
      </w:r>
      <w:r w:rsidR="00DD0D11">
        <w:rPr>
          <w:rFonts w:ascii="Arial" w:hAnsi="Arial" w:cs="Arial"/>
          <w:sz w:val="24"/>
          <w:szCs w:val="24"/>
        </w:rPr>
        <w:t xml:space="preserve"> with </w:t>
      </w:r>
      <w:r w:rsidR="00347926">
        <w:rPr>
          <w:rFonts w:ascii="Arial" w:hAnsi="Arial" w:cs="Arial"/>
          <w:sz w:val="24"/>
          <w:szCs w:val="24"/>
        </w:rPr>
        <w:t>over-emphasised</w:t>
      </w:r>
      <w:r w:rsidR="00DD0D11">
        <w:rPr>
          <w:rFonts w:ascii="Arial" w:hAnsi="Arial" w:cs="Arial"/>
          <w:sz w:val="24"/>
          <w:szCs w:val="24"/>
        </w:rPr>
        <w:t xml:space="preserve"> makeup and wigs</w:t>
      </w:r>
      <w:r>
        <w:rPr>
          <w:rFonts w:ascii="Arial" w:hAnsi="Arial" w:cs="Arial"/>
          <w:sz w:val="24"/>
          <w:szCs w:val="24"/>
        </w:rPr>
        <w:t xml:space="preserve"> (</w:t>
      </w:r>
      <w:r w:rsidR="00B52273">
        <w:rPr>
          <w:rFonts w:ascii="Arial" w:hAnsi="Arial" w:cs="Arial"/>
          <w:sz w:val="24"/>
          <w:szCs w:val="24"/>
        </w:rPr>
        <w:t xml:space="preserve">Image 1; </w:t>
      </w:r>
      <w:r>
        <w:rPr>
          <w:rFonts w:ascii="Arial" w:hAnsi="Arial" w:cs="Arial"/>
          <w:sz w:val="24"/>
          <w:szCs w:val="24"/>
        </w:rPr>
        <w:t xml:space="preserve">Butler, 1988; Carretta </w:t>
      </w:r>
      <w:r>
        <w:rPr>
          <w:rFonts w:ascii="Arial" w:hAnsi="Arial" w:cs="Arial"/>
          <w:i/>
          <w:iCs/>
          <w:sz w:val="24"/>
          <w:szCs w:val="24"/>
        </w:rPr>
        <w:t xml:space="preserve">et al., </w:t>
      </w:r>
      <w:r>
        <w:rPr>
          <w:rFonts w:ascii="Arial" w:hAnsi="Arial" w:cs="Arial"/>
          <w:sz w:val="24"/>
          <w:szCs w:val="24"/>
        </w:rPr>
        <w:t xml:space="preserve">2019; Hyde </w:t>
      </w:r>
      <w:r>
        <w:rPr>
          <w:rFonts w:ascii="Arial" w:hAnsi="Arial" w:cs="Arial"/>
          <w:i/>
          <w:iCs/>
          <w:sz w:val="24"/>
          <w:szCs w:val="24"/>
        </w:rPr>
        <w:t xml:space="preserve">et al., </w:t>
      </w:r>
      <w:r>
        <w:rPr>
          <w:rFonts w:ascii="Arial" w:hAnsi="Arial" w:cs="Arial"/>
          <w:sz w:val="24"/>
          <w:szCs w:val="24"/>
        </w:rPr>
        <w:t xml:space="preserve">2018); </w:t>
      </w:r>
      <w:r w:rsidR="007F2808">
        <w:rPr>
          <w:rFonts w:ascii="Arial" w:hAnsi="Arial" w:cs="Arial"/>
          <w:sz w:val="24"/>
          <w:szCs w:val="24"/>
        </w:rPr>
        <w:t>as over-sexualise</w:t>
      </w:r>
      <w:r w:rsidR="00B52273">
        <w:rPr>
          <w:rFonts w:ascii="Arial" w:hAnsi="Arial" w:cs="Arial"/>
          <w:sz w:val="24"/>
          <w:szCs w:val="24"/>
        </w:rPr>
        <w:t xml:space="preserve">d </w:t>
      </w:r>
      <w:r w:rsidR="007F2808">
        <w:rPr>
          <w:rFonts w:ascii="Arial" w:hAnsi="Arial" w:cs="Arial"/>
          <w:sz w:val="24"/>
          <w:szCs w:val="24"/>
        </w:rPr>
        <w:t>(</w:t>
      </w:r>
      <w:r w:rsidR="00B52273">
        <w:rPr>
          <w:rFonts w:ascii="Arial" w:hAnsi="Arial" w:cs="Arial"/>
          <w:sz w:val="24"/>
          <w:szCs w:val="24"/>
        </w:rPr>
        <w:t xml:space="preserve">Image 2; </w:t>
      </w:r>
      <w:r w:rsidR="007F2808">
        <w:rPr>
          <w:rFonts w:ascii="Arial" w:hAnsi="Arial" w:cs="Arial"/>
          <w:sz w:val="24"/>
          <w:szCs w:val="24"/>
        </w:rPr>
        <w:t>Friedman and Jones, 2011; Fox, 2008; Murnen and Byrne, 1991) and as a mechanism to shock audiences, through challenging gender binaries</w:t>
      </w:r>
      <w:r w:rsidR="00B52273">
        <w:rPr>
          <w:rFonts w:ascii="Arial" w:hAnsi="Arial" w:cs="Arial"/>
          <w:sz w:val="24"/>
          <w:szCs w:val="24"/>
        </w:rPr>
        <w:t xml:space="preserve"> </w:t>
      </w:r>
      <w:r w:rsidR="007F2808">
        <w:rPr>
          <w:rFonts w:ascii="Arial" w:hAnsi="Arial" w:cs="Arial"/>
          <w:sz w:val="24"/>
          <w:szCs w:val="24"/>
        </w:rPr>
        <w:t>(</w:t>
      </w:r>
      <w:r w:rsidR="00B52273">
        <w:rPr>
          <w:rFonts w:ascii="Arial" w:hAnsi="Arial" w:cs="Arial"/>
          <w:sz w:val="24"/>
          <w:szCs w:val="24"/>
        </w:rPr>
        <w:t xml:space="preserve">Image 3; </w:t>
      </w:r>
      <w:r w:rsidR="007F2808">
        <w:rPr>
          <w:rFonts w:ascii="Arial" w:hAnsi="Arial" w:cs="Arial"/>
          <w:sz w:val="24"/>
          <w:szCs w:val="24"/>
        </w:rPr>
        <w:t xml:space="preserve">Knutson </w:t>
      </w:r>
      <w:r w:rsidR="007F2808">
        <w:rPr>
          <w:rFonts w:ascii="Arial" w:hAnsi="Arial" w:cs="Arial"/>
          <w:i/>
          <w:iCs/>
          <w:sz w:val="24"/>
          <w:szCs w:val="24"/>
        </w:rPr>
        <w:t xml:space="preserve">et al., </w:t>
      </w:r>
      <w:r w:rsidR="007F2808">
        <w:rPr>
          <w:rFonts w:ascii="Arial" w:hAnsi="Arial" w:cs="Arial"/>
          <w:sz w:val="24"/>
          <w:szCs w:val="24"/>
        </w:rPr>
        <w:t>2019; Schmid and Payam, 2022).</w:t>
      </w:r>
      <w:r w:rsidR="006F4CA5">
        <w:rPr>
          <w:rFonts w:ascii="Arial" w:hAnsi="Arial" w:cs="Arial"/>
          <w:sz w:val="24"/>
          <w:szCs w:val="24"/>
        </w:rPr>
        <w:t xml:space="preserve"> Although these stereotypical attitudes may appear contradictory, they represent three of the main </w:t>
      </w:r>
      <w:r w:rsidR="006234EF">
        <w:rPr>
          <w:rFonts w:ascii="Arial" w:hAnsi="Arial" w:cs="Arial"/>
          <w:sz w:val="24"/>
          <w:szCs w:val="24"/>
        </w:rPr>
        <w:t>stereotypes</w:t>
      </w:r>
      <w:r w:rsidR="006F4CA5">
        <w:rPr>
          <w:rFonts w:ascii="Arial" w:hAnsi="Arial" w:cs="Arial"/>
          <w:sz w:val="24"/>
          <w:szCs w:val="24"/>
        </w:rPr>
        <w:t xml:space="preserve"> that drag queens face, which demonstrates the mixed reaction to drag queens within society </w:t>
      </w:r>
      <w:r w:rsidR="006F4CA5" w:rsidRPr="009A477E">
        <w:rPr>
          <w:rFonts w:ascii="Arial" w:hAnsi="Arial" w:cs="Arial"/>
          <w:sz w:val="24"/>
          <w:szCs w:val="24"/>
        </w:rPr>
        <w:t>(</w:t>
      </w:r>
      <w:r w:rsidR="006F4CA5">
        <w:rPr>
          <w:rFonts w:ascii="Arial" w:hAnsi="Arial" w:cs="Arial"/>
          <w:sz w:val="24"/>
          <w:szCs w:val="24"/>
        </w:rPr>
        <w:t xml:space="preserve">Berkowitz and Belgrave, 2010; </w:t>
      </w:r>
      <w:r w:rsidR="006F4CA5" w:rsidRPr="009A477E">
        <w:rPr>
          <w:rFonts w:ascii="Arial" w:hAnsi="Arial" w:cs="Arial"/>
          <w:sz w:val="24"/>
          <w:szCs w:val="24"/>
        </w:rPr>
        <w:t>Newton</w:t>
      </w:r>
      <w:r w:rsidR="00074F11">
        <w:rPr>
          <w:rFonts w:ascii="Arial" w:hAnsi="Arial" w:cs="Arial"/>
          <w:sz w:val="24"/>
          <w:szCs w:val="24"/>
        </w:rPr>
        <w:t xml:space="preserve">, </w:t>
      </w:r>
      <w:r w:rsidR="006F4CA5" w:rsidRPr="009A477E">
        <w:rPr>
          <w:rFonts w:ascii="Arial" w:hAnsi="Arial" w:cs="Arial"/>
          <w:sz w:val="24"/>
          <w:szCs w:val="24"/>
        </w:rPr>
        <w:t>1979; Tewksbury</w:t>
      </w:r>
      <w:r w:rsidR="00074F11">
        <w:rPr>
          <w:rFonts w:ascii="Arial" w:hAnsi="Arial" w:cs="Arial"/>
          <w:sz w:val="24"/>
          <w:szCs w:val="24"/>
        </w:rPr>
        <w:t xml:space="preserve">, </w:t>
      </w:r>
      <w:r w:rsidR="006F4CA5" w:rsidRPr="009A477E">
        <w:rPr>
          <w:rFonts w:ascii="Arial" w:hAnsi="Arial" w:cs="Arial"/>
          <w:sz w:val="24"/>
          <w:szCs w:val="24"/>
        </w:rPr>
        <w:t>1994)</w:t>
      </w:r>
      <w:r w:rsidR="006F4CA5">
        <w:rPr>
          <w:rFonts w:ascii="Arial" w:hAnsi="Arial" w:cs="Arial"/>
          <w:sz w:val="24"/>
          <w:szCs w:val="24"/>
        </w:rPr>
        <w:t>.</w:t>
      </w:r>
    </w:p>
    <w:p w14:paraId="5E0E63C3" w14:textId="6C351F54" w:rsidR="00CE0578" w:rsidRDefault="00CE0578" w:rsidP="00CE0578">
      <w:pPr>
        <w:spacing w:line="360" w:lineRule="auto"/>
        <w:rPr>
          <w:rFonts w:ascii="Arial" w:hAnsi="Arial" w:cs="Arial"/>
          <w:sz w:val="24"/>
          <w:szCs w:val="24"/>
        </w:rPr>
      </w:pPr>
      <w:bookmarkStart w:id="1" w:name="_Hlk124252630"/>
      <w:r>
        <w:rPr>
          <w:rFonts w:ascii="Arial" w:hAnsi="Arial" w:cs="Arial"/>
          <w:sz w:val="24"/>
          <w:szCs w:val="24"/>
        </w:rPr>
        <w:lastRenderedPageBreak/>
        <w:t>The first stereotypical attitude studied</w:t>
      </w:r>
      <w:r w:rsidR="00B52273">
        <w:rPr>
          <w:rFonts w:ascii="Arial" w:hAnsi="Arial" w:cs="Arial"/>
          <w:sz w:val="24"/>
          <w:szCs w:val="24"/>
        </w:rPr>
        <w:t>,</w:t>
      </w:r>
      <w:r>
        <w:rPr>
          <w:rFonts w:ascii="Arial" w:hAnsi="Arial" w:cs="Arial"/>
          <w:sz w:val="24"/>
          <w:szCs w:val="24"/>
        </w:rPr>
        <w:t xml:space="preserve"> is that drag queens are caricatures, often over-emphasising features such as makeup</w:t>
      </w:r>
      <w:r w:rsidR="00B52273">
        <w:rPr>
          <w:rFonts w:ascii="Arial" w:hAnsi="Arial" w:cs="Arial"/>
          <w:sz w:val="24"/>
          <w:szCs w:val="24"/>
        </w:rPr>
        <w:t xml:space="preserve"> and</w:t>
      </w:r>
      <w:r>
        <w:rPr>
          <w:rFonts w:ascii="Arial" w:hAnsi="Arial" w:cs="Arial"/>
          <w:sz w:val="24"/>
          <w:szCs w:val="24"/>
        </w:rPr>
        <w:t xml:space="preserve"> hair (Barnett and Johnson, 2013a;</w:t>
      </w:r>
      <w:r w:rsidR="00074F11">
        <w:rPr>
          <w:rFonts w:ascii="Arial" w:hAnsi="Arial" w:cs="Arial"/>
          <w:sz w:val="24"/>
          <w:szCs w:val="24"/>
        </w:rPr>
        <w:t xml:space="preserve"> </w:t>
      </w:r>
      <w:r w:rsidR="00074F11" w:rsidRPr="00CA7A5C">
        <w:rPr>
          <w:rFonts w:ascii="Arial" w:hAnsi="Arial" w:cs="Arial"/>
          <w:sz w:val="24"/>
          <w:szCs w:val="24"/>
        </w:rPr>
        <w:t>Greaf, 2016</w:t>
      </w:r>
      <w:r w:rsidR="00074F11">
        <w:rPr>
          <w:rFonts w:ascii="Arial" w:hAnsi="Arial" w:cs="Arial"/>
          <w:sz w:val="24"/>
          <w:szCs w:val="24"/>
        </w:rPr>
        <w:t>;</w:t>
      </w:r>
      <w:r>
        <w:rPr>
          <w:rFonts w:ascii="Arial" w:hAnsi="Arial" w:cs="Arial"/>
          <w:sz w:val="24"/>
          <w:szCs w:val="24"/>
        </w:rPr>
        <w:t xml:space="preserve"> Newton, 1972). The image chosen to show the perpetuation of this stereotype is image 1 </w:t>
      </w:r>
      <w:r w:rsidR="00347926">
        <w:rPr>
          <w:rFonts w:ascii="Arial" w:hAnsi="Arial" w:cs="Arial"/>
          <w:sz w:val="24"/>
          <w:szCs w:val="24"/>
        </w:rPr>
        <w:t xml:space="preserve">of Trixie Mattel </w:t>
      </w:r>
      <w:r>
        <w:rPr>
          <w:rFonts w:ascii="Arial" w:hAnsi="Arial" w:cs="Arial"/>
          <w:sz w:val="24"/>
          <w:szCs w:val="24"/>
        </w:rPr>
        <w:t>(Carrasquillo, 2021)</w:t>
      </w:r>
      <w:r w:rsidR="00347926">
        <w:rPr>
          <w:rFonts w:ascii="Arial" w:hAnsi="Arial" w:cs="Arial"/>
          <w:sz w:val="24"/>
          <w:szCs w:val="24"/>
        </w:rPr>
        <w:t xml:space="preserve">, </w:t>
      </w:r>
      <w:r>
        <w:rPr>
          <w:rFonts w:ascii="Arial" w:hAnsi="Arial" w:cs="Arial"/>
          <w:sz w:val="24"/>
          <w:szCs w:val="24"/>
        </w:rPr>
        <w:t xml:space="preserve">with thick makeup, voluptuous hair, </w:t>
      </w:r>
      <w:r w:rsidR="00074F11">
        <w:rPr>
          <w:rFonts w:ascii="Arial" w:hAnsi="Arial" w:cs="Arial"/>
          <w:sz w:val="24"/>
          <w:szCs w:val="24"/>
        </w:rPr>
        <w:t>bright</w:t>
      </w:r>
      <w:r>
        <w:rPr>
          <w:rFonts w:ascii="Arial" w:hAnsi="Arial" w:cs="Arial"/>
          <w:sz w:val="24"/>
          <w:szCs w:val="24"/>
        </w:rPr>
        <w:t xml:space="preserve"> earrings</w:t>
      </w:r>
      <w:r w:rsidR="00074F11">
        <w:rPr>
          <w:rFonts w:ascii="Arial" w:hAnsi="Arial" w:cs="Arial"/>
          <w:sz w:val="24"/>
          <w:szCs w:val="24"/>
        </w:rPr>
        <w:t xml:space="preserve"> and a colourful top (Carrasquillo, 2021</w:t>
      </w:r>
      <w:r w:rsidR="00B52273">
        <w:rPr>
          <w:rFonts w:ascii="Arial" w:hAnsi="Arial" w:cs="Arial"/>
          <w:sz w:val="24"/>
          <w:szCs w:val="24"/>
        </w:rPr>
        <w:t>; Mattel, 2022</w:t>
      </w:r>
      <w:r w:rsidR="00074F11">
        <w:rPr>
          <w:rFonts w:ascii="Arial" w:hAnsi="Arial" w:cs="Arial"/>
          <w:sz w:val="24"/>
          <w:szCs w:val="24"/>
        </w:rPr>
        <w:t>).</w:t>
      </w:r>
    </w:p>
    <w:p w14:paraId="439C3A78" w14:textId="2475E1B4" w:rsidR="00074F11" w:rsidRPr="00074F11" w:rsidRDefault="00074F11" w:rsidP="00074F11">
      <w:pPr>
        <w:spacing w:line="360" w:lineRule="auto"/>
        <w:rPr>
          <w:rFonts w:ascii="Arial" w:hAnsi="Arial" w:cs="Arial"/>
          <w:sz w:val="24"/>
          <w:szCs w:val="24"/>
        </w:rPr>
      </w:pPr>
      <w:r w:rsidRPr="00074F11">
        <w:rPr>
          <w:rFonts w:ascii="Arial" w:hAnsi="Arial" w:cs="Arial"/>
          <w:sz w:val="24"/>
          <w:szCs w:val="24"/>
        </w:rPr>
        <w:t>Drag looks can be gendered, centred around another person, usually based on a celebrity, or be a caricature of a social role, such as a housewife (Barnett and Johnson, 2013a;</w:t>
      </w:r>
      <w:r>
        <w:rPr>
          <w:rFonts w:ascii="Arial" w:hAnsi="Arial" w:cs="Arial"/>
          <w:sz w:val="24"/>
          <w:szCs w:val="24"/>
        </w:rPr>
        <w:t xml:space="preserve"> </w:t>
      </w:r>
      <w:r w:rsidRPr="00D25D63">
        <w:rPr>
          <w:rFonts w:ascii="Arial" w:hAnsi="Arial" w:cs="Arial"/>
          <w:sz w:val="24"/>
          <w:szCs w:val="24"/>
        </w:rPr>
        <w:t xml:space="preserve">Levitt </w:t>
      </w:r>
      <w:r w:rsidRPr="00074F11">
        <w:rPr>
          <w:rFonts w:ascii="Arial" w:hAnsi="Arial" w:cs="Arial"/>
          <w:i/>
          <w:iCs/>
          <w:sz w:val="24"/>
          <w:szCs w:val="24"/>
        </w:rPr>
        <w:t>et al</w:t>
      </w:r>
      <w:r w:rsidRPr="00D25D63">
        <w:rPr>
          <w:rFonts w:ascii="Arial" w:hAnsi="Arial" w:cs="Arial"/>
          <w:sz w:val="24"/>
          <w:szCs w:val="24"/>
        </w:rPr>
        <w:t>., 2018</w:t>
      </w:r>
      <w:r>
        <w:rPr>
          <w:rFonts w:ascii="Arial" w:hAnsi="Arial" w:cs="Arial"/>
          <w:sz w:val="24"/>
          <w:szCs w:val="24"/>
        </w:rPr>
        <w:t>;</w:t>
      </w:r>
      <w:r w:rsidRPr="00074F11">
        <w:rPr>
          <w:rFonts w:ascii="Arial" w:hAnsi="Arial" w:cs="Arial"/>
          <w:sz w:val="24"/>
          <w:szCs w:val="24"/>
        </w:rPr>
        <w:t xml:space="preserve"> Newton, 1972)</w:t>
      </w:r>
      <w:r>
        <w:rPr>
          <w:rFonts w:ascii="Arial" w:hAnsi="Arial" w:cs="Arial"/>
          <w:sz w:val="24"/>
          <w:szCs w:val="24"/>
        </w:rPr>
        <w:t xml:space="preserve">. Knutson </w:t>
      </w:r>
      <w:r>
        <w:rPr>
          <w:rFonts w:ascii="Arial" w:hAnsi="Arial" w:cs="Arial"/>
          <w:i/>
          <w:iCs/>
          <w:sz w:val="24"/>
          <w:szCs w:val="24"/>
        </w:rPr>
        <w:t xml:space="preserve">et al. </w:t>
      </w:r>
      <w:r>
        <w:rPr>
          <w:rFonts w:ascii="Arial" w:hAnsi="Arial" w:cs="Arial"/>
          <w:sz w:val="24"/>
          <w:szCs w:val="24"/>
        </w:rPr>
        <w:t xml:space="preserve">(2018) argued that drag is a parody, with further research adding that drag is based on adopting a persona (Butler, 1988; Carretta </w:t>
      </w:r>
      <w:r>
        <w:rPr>
          <w:rFonts w:ascii="Arial" w:hAnsi="Arial" w:cs="Arial"/>
          <w:i/>
          <w:iCs/>
          <w:sz w:val="24"/>
          <w:szCs w:val="24"/>
        </w:rPr>
        <w:t xml:space="preserve">et al., </w:t>
      </w:r>
      <w:r>
        <w:rPr>
          <w:rFonts w:ascii="Arial" w:hAnsi="Arial" w:cs="Arial"/>
          <w:sz w:val="24"/>
          <w:szCs w:val="24"/>
        </w:rPr>
        <w:t xml:space="preserve">2019; Greaf, 2016; Hyde </w:t>
      </w:r>
      <w:r>
        <w:rPr>
          <w:rFonts w:ascii="Arial" w:hAnsi="Arial" w:cs="Arial"/>
          <w:i/>
          <w:iCs/>
          <w:sz w:val="24"/>
          <w:szCs w:val="24"/>
        </w:rPr>
        <w:t xml:space="preserve">et al., </w:t>
      </w:r>
      <w:r>
        <w:rPr>
          <w:rFonts w:ascii="Arial" w:hAnsi="Arial" w:cs="Arial"/>
          <w:sz w:val="24"/>
          <w:szCs w:val="24"/>
        </w:rPr>
        <w:t>2018). Barnett and Johnson’s (2013a) research is pertinent here</w:t>
      </w:r>
      <w:r w:rsidR="00347926">
        <w:rPr>
          <w:rFonts w:ascii="Arial" w:hAnsi="Arial" w:cs="Arial"/>
          <w:sz w:val="24"/>
          <w:szCs w:val="24"/>
        </w:rPr>
        <w:t xml:space="preserve"> however</w:t>
      </w:r>
      <w:r>
        <w:rPr>
          <w:rFonts w:ascii="Arial" w:hAnsi="Arial" w:cs="Arial"/>
          <w:sz w:val="24"/>
          <w:szCs w:val="24"/>
        </w:rPr>
        <w:t>, as they argued that drag queens are social actors who reconstruct aspects of life to create mass entertainment. This exaggeration is often extreme</w:t>
      </w:r>
      <w:r w:rsidR="00FA36ED">
        <w:rPr>
          <w:rFonts w:ascii="Arial" w:hAnsi="Arial" w:cs="Arial"/>
          <w:sz w:val="24"/>
          <w:szCs w:val="24"/>
        </w:rPr>
        <w:t xml:space="preserve"> and not related to the majority of women</w:t>
      </w:r>
      <w:r>
        <w:rPr>
          <w:rFonts w:ascii="Arial" w:hAnsi="Arial" w:cs="Arial"/>
          <w:sz w:val="24"/>
          <w:szCs w:val="24"/>
        </w:rPr>
        <w:t>, as can be seen in image 1 (Ellis</w:t>
      </w:r>
      <w:r>
        <w:rPr>
          <w:rFonts w:ascii="Arial" w:hAnsi="Arial" w:cs="Arial"/>
          <w:i/>
          <w:iCs/>
          <w:sz w:val="24"/>
          <w:szCs w:val="24"/>
        </w:rPr>
        <w:t xml:space="preserve"> et al., </w:t>
      </w:r>
      <w:r>
        <w:rPr>
          <w:rFonts w:ascii="Arial" w:hAnsi="Arial" w:cs="Arial"/>
          <w:sz w:val="24"/>
          <w:szCs w:val="24"/>
        </w:rPr>
        <w:t>2022; Newton, 1972)</w:t>
      </w:r>
      <w:r w:rsidR="00EA3CE9">
        <w:rPr>
          <w:rFonts w:ascii="Arial" w:hAnsi="Arial" w:cs="Arial"/>
          <w:sz w:val="24"/>
          <w:szCs w:val="24"/>
        </w:rPr>
        <w:t>.</w:t>
      </w:r>
    </w:p>
    <w:p w14:paraId="19BF7291" w14:textId="596087B0" w:rsidR="00074F11" w:rsidRPr="00074F11" w:rsidRDefault="003C55E7" w:rsidP="00074F11">
      <w:pPr>
        <w:spacing w:line="360" w:lineRule="auto"/>
        <w:rPr>
          <w:rFonts w:ascii="Arial" w:hAnsi="Arial" w:cs="Arial"/>
          <w:sz w:val="24"/>
          <w:szCs w:val="24"/>
        </w:rPr>
      </w:pPr>
      <w:r>
        <w:rPr>
          <w:rFonts w:ascii="Arial" w:hAnsi="Arial" w:cs="Arial"/>
          <w:sz w:val="24"/>
          <w:szCs w:val="24"/>
        </w:rPr>
        <w:t xml:space="preserve">Schmid and Payam’s (2022) research furthered the argument that drag queens often perform as caricature-like women, </w:t>
      </w:r>
      <w:r w:rsidR="00DD0D11">
        <w:rPr>
          <w:rFonts w:ascii="Arial" w:hAnsi="Arial" w:cs="Arial"/>
          <w:sz w:val="24"/>
          <w:szCs w:val="24"/>
        </w:rPr>
        <w:t>and</w:t>
      </w:r>
      <w:r>
        <w:rPr>
          <w:rFonts w:ascii="Arial" w:hAnsi="Arial" w:cs="Arial"/>
          <w:sz w:val="24"/>
          <w:szCs w:val="24"/>
        </w:rPr>
        <w:t xml:space="preserve"> utilise this to entertain audiences </w:t>
      </w:r>
      <w:r w:rsidRPr="00006727">
        <w:rPr>
          <w:rFonts w:ascii="Arial" w:hAnsi="Arial" w:cs="Arial"/>
          <w:sz w:val="24"/>
          <w:szCs w:val="24"/>
        </w:rPr>
        <w:t>(Namaste</w:t>
      </w:r>
      <w:r>
        <w:rPr>
          <w:rFonts w:ascii="Arial" w:hAnsi="Arial" w:cs="Arial"/>
          <w:sz w:val="24"/>
          <w:szCs w:val="24"/>
        </w:rPr>
        <w:t>,</w:t>
      </w:r>
      <w:r w:rsidRPr="00006727">
        <w:rPr>
          <w:rFonts w:ascii="Arial" w:hAnsi="Arial" w:cs="Arial"/>
          <w:sz w:val="24"/>
          <w:szCs w:val="24"/>
        </w:rPr>
        <w:t xml:space="preserve"> 2000; Berkowitz</w:t>
      </w:r>
      <w:r>
        <w:rPr>
          <w:rFonts w:ascii="Arial" w:hAnsi="Arial" w:cs="Arial"/>
          <w:sz w:val="24"/>
          <w:szCs w:val="24"/>
        </w:rPr>
        <w:t xml:space="preserve"> </w:t>
      </w:r>
      <w:r>
        <w:rPr>
          <w:rFonts w:ascii="Arial" w:hAnsi="Arial" w:cs="Arial"/>
          <w:i/>
          <w:iCs/>
          <w:sz w:val="24"/>
          <w:szCs w:val="24"/>
        </w:rPr>
        <w:t xml:space="preserve">et al., </w:t>
      </w:r>
      <w:r w:rsidRPr="00006727">
        <w:rPr>
          <w:rFonts w:ascii="Arial" w:hAnsi="Arial" w:cs="Arial"/>
          <w:sz w:val="24"/>
          <w:szCs w:val="24"/>
        </w:rPr>
        <w:t>2007).</w:t>
      </w:r>
      <w:r>
        <w:rPr>
          <w:rFonts w:ascii="Arial" w:hAnsi="Arial" w:cs="Arial"/>
          <w:sz w:val="24"/>
          <w:szCs w:val="24"/>
        </w:rPr>
        <w:t xml:space="preserve"> Some of these stereotypical attitudes have come from within the LGBTQ+ community, which has led to drag queens performing these stereotypes, as it is </w:t>
      </w:r>
      <w:r w:rsidR="00DD0D11">
        <w:rPr>
          <w:rFonts w:ascii="Arial" w:hAnsi="Arial" w:cs="Arial"/>
          <w:sz w:val="24"/>
          <w:szCs w:val="24"/>
        </w:rPr>
        <w:t>seen to increase audiences</w:t>
      </w:r>
      <w:r>
        <w:rPr>
          <w:rFonts w:ascii="Arial" w:hAnsi="Arial" w:cs="Arial"/>
          <w:sz w:val="24"/>
          <w:szCs w:val="24"/>
        </w:rPr>
        <w:t xml:space="preserve"> </w:t>
      </w:r>
      <w:r w:rsidRPr="002738CA">
        <w:rPr>
          <w:rFonts w:ascii="Arial" w:hAnsi="Arial" w:cs="Arial"/>
          <w:sz w:val="24"/>
          <w:szCs w:val="24"/>
        </w:rPr>
        <w:t>(Namaste, 2000)</w:t>
      </w:r>
      <w:r>
        <w:rPr>
          <w:rFonts w:ascii="Arial" w:hAnsi="Arial" w:cs="Arial"/>
          <w:sz w:val="24"/>
          <w:szCs w:val="24"/>
        </w:rPr>
        <w:t xml:space="preserve">. Drag queens have become the jesters of the LGBTQ+ community, with their job only to perform, meaning that their personas are only suitable for the stage </w:t>
      </w:r>
      <w:r w:rsidRPr="002738CA">
        <w:rPr>
          <w:rFonts w:ascii="Arial" w:hAnsi="Arial" w:cs="Arial"/>
          <w:sz w:val="24"/>
          <w:szCs w:val="24"/>
        </w:rPr>
        <w:t>(Namaste, 2000)</w:t>
      </w:r>
      <w:r>
        <w:rPr>
          <w:rFonts w:ascii="Arial" w:hAnsi="Arial" w:cs="Arial"/>
          <w:sz w:val="24"/>
          <w:szCs w:val="24"/>
        </w:rPr>
        <w:t xml:space="preserve">. These </w:t>
      </w:r>
      <w:r w:rsidR="00FA36ED">
        <w:rPr>
          <w:rFonts w:ascii="Arial" w:hAnsi="Arial" w:cs="Arial"/>
          <w:sz w:val="24"/>
          <w:szCs w:val="24"/>
        </w:rPr>
        <w:t>caricature-like</w:t>
      </w:r>
      <w:r>
        <w:rPr>
          <w:rFonts w:ascii="Arial" w:hAnsi="Arial" w:cs="Arial"/>
          <w:sz w:val="24"/>
          <w:szCs w:val="24"/>
        </w:rPr>
        <w:t xml:space="preserve"> performances can impact on drag </w:t>
      </w:r>
      <w:r w:rsidR="00B5460B">
        <w:rPr>
          <w:rFonts w:ascii="Arial" w:hAnsi="Arial" w:cs="Arial"/>
          <w:sz w:val="24"/>
          <w:szCs w:val="24"/>
        </w:rPr>
        <w:t>queens’</w:t>
      </w:r>
      <w:r>
        <w:rPr>
          <w:rFonts w:ascii="Arial" w:hAnsi="Arial" w:cs="Arial"/>
          <w:sz w:val="24"/>
          <w:szCs w:val="24"/>
        </w:rPr>
        <w:t xml:space="preserve"> personal lives, </w:t>
      </w:r>
      <w:r w:rsidR="00DD0D11">
        <w:rPr>
          <w:rFonts w:ascii="Arial" w:hAnsi="Arial" w:cs="Arial"/>
          <w:sz w:val="24"/>
          <w:szCs w:val="24"/>
        </w:rPr>
        <w:t>as research shows that they</w:t>
      </w:r>
      <w:r>
        <w:rPr>
          <w:rFonts w:ascii="Arial" w:hAnsi="Arial" w:cs="Arial"/>
          <w:sz w:val="24"/>
          <w:szCs w:val="24"/>
        </w:rPr>
        <w:t xml:space="preserve"> often have difficulty finding relationships and can be marginalised within the LGBTQ+ community (Berkowitz and Belgrave, 2010; Berkowitz </w:t>
      </w:r>
      <w:r>
        <w:rPr>
          <w:rFonts w:ascii="Arial" w:hAnsi="Arial" w:cs="Arial"/>
          <w:i/>
          <w:iCs/>
          <w:sz w:val="24"/>
          <w:szCs w:val="24"/>
        </w:rPr>
        <w:t xml:space="preserve">et al., </w:t>
      </w:r>
      <w:r>
        <w:rPr>
          <w:rFonts w:ascii="Arial" w:hAnsi="Arial" w:cs="Arial"/>
          <w:sz w:val="24"/>
          <w:szCs w:val="24"/>
        </w:rPr>
        <w:t>2007)</w:t>
      </w:r>
      <w:r w:rsidR="00347926">
        <w:rPr>
          <w:rFonts w:ascii="Arial" w:hAnsi="Arial" w:cs="Arial"/>
          <w:sz w:val="24"/>
          <w:szCs w:val="24"/>
        </w:rPr>
        <w:t>.</w:t>
      </w:r>
    </w:p>
    <w:p w14:paraId="6F49732C" w14:textId="7D855532" w:rsidR="00497A37" w:rsidRPr="00497A37" w:rsidRDefault="003C55E7" w:rsidP="00DD216A">
      <w:pPr>
        <w:spacing w:line="360" w:lineRule="auto"/>
        <w:rPr>
          <w:rFonts w:ascii="Arial" w:hAnsi="Arial" w:cs="Arial"/>
          <w:sz w:val="24"/>
          <w:szCs w:val="24"/>
        </w:rPr>
      </w:pPr>
      <w:r w:rsidRPr="00497A37">
        <w:rPr>
          <w:rFonts w:ascii="Arial" w:hAnsi="Arial" w:cs="Arial"/>
          <w:sz w:val="24"/>
          <w:szCs w:val="24"/>
        </w:rPr>
        <w:t>Despite the exaggerated makeup, hair and clothing that drag queens may wear, drag queens are often more masculine than their female caricature appearance may imply, merely using stereotypical facets of femininity to increase status</w:t>
      </w:r>
      <w:r w:rsidR="00DD216A" w:rsidRPr="00497A37">
        <w:rPr>
          <w:rFonts w:ascii="Arial" w:hAnsi="Arial" w:cs="Arial"/>
          <w:sz w:val="24"/>
          <w:szCs w:val="24"/>
        </w:rPr>
        <w:t>, income</w:t>
      </w:r>
      <w:r w:rsidRPr="00497A37">
        <w:rPr>
          <w:rFonts w:ascii="Arial" w:hAnsi="Arial" w:cs="Arial"/>
          <w:sz w:val="24"/>
          <w:szCs w:val="24"/>
        </w:rPr>
        <w:t xml:space="preserve"> and power (</w:t>
      </w:r>
      <w:r w:rsidR="00DD216A" w:rsidRPr="00497A37">
        <w:rPr>
          <w:rFonts w:ascii="Arial" w:hAnsi="Arial" w:cs="Arial"/>
          <w:sz w:val="24"/>
          <w:szCs w:val="24"/>
        </w:rPr>
        <w:t xml:space="preserve">Berkowitz and Belgrave, 2010; </w:t>
      </w:r>
      <w:r w:rsidRPr="00497A37">
        <w:rPr>
          <w:rFonts w:ascii="Arial" w:hAnsi="Arial" w:cs="Arial"/>
          <w:sz w:val="24"/>
          <w:szCs w:val="24"/>
        </w:rPr>
        <w:t>Schact and Underwood, 2004). This has led to feminist theorists criticising drag queens</w:t>
      </w:r>
      <w:r w:rsidR="00DD216A" w:rsidRPr="00497A37">
        <w:rPr>
          <w:rFonts w:ascii="Arial" w:hAnsi="Arial" w:cs="Arial"/>
          <w:sz w:val="24"/>
          <w:szCs w:val="24"/>
        </w:rPr>
        <w:t xml:space="preserve"> performing </w:t>
      </w:r>
      <w:r w:rsidRPr="00497A37">
        <w:rPr>
          <w:rFonts w:ascii="Arial" w:hAnsi="Arial" w:cs="Arial"/>
          <w:sz w:val="24"/>
          <w:szCs w:val="24"/>
        </w:rPr>
        <w:t>as reinforcing the patriarchy (Connell, 2000), as they will still receive benefits as men (Butler, 1988, 1990;</w:t>
      </w:r>
      <w:r w:rsidR="00DD216A" w:rsidRPr="00497A37">
        <w:rPr>
          <w:rFonts w:ascii="Arial" w:hAnsi="Arial" w:cs="Arial"/>
          <w:sz w:val="24"/>
          <w:szCs w:val="24"/>
        </w:rPr>
        <w:t xml:space="preserve"> Rupp </w:t>
      </w:r>
      <w:r w:rsidR="00DD216A" w:rsidRPr="00497A37">
        <w:rPr>
          <w:rFonts w:ascii="Arial" w:hAnsi="Arial" w:cs="Arial"/>
          <w:i/>
          <w:iCs/>
          <w:sz w:val="24"/>
          <w:szCs w:val="24"/>
        </w:rPr>
        <w:lastRenderedPageBreak/>
        <w:t xml:space="preserve">et al., </w:t>
      </w:r>
      <w:r w:rsidR="00DD216A" w:rsidRPr="00497A37">
        <w:rPr>
          <w:rFonts w:ascii="Arial" w:hAnsi="Arial" w:cs="Arial"/>
          <w:sz w:val="24"/>
          <w:szCs w:val="24"/>
        </w:rPr>
        <w:t>2010;</w:t>
      </w:r>
      <w:r w:rsidRPr="00497A37">
        <w:rPr>
          <w:rFonts w:ascii="Arial" w:hAnsi="Arial" w:cs="Arial"/>
          <w:sz w:val="24"/>
          <w:szCs w:val="24"/>
        </w:rPr>
        <w:t xml:space="preserve"> Schact and Underwood, 2004; Williams, 1995).</w:t>
      </w:r>
      <w:r w:rsidR="00DD216A" w:rsidRPr="00497A37">
        <w:rPr>
          <w:rFonts w:ascii="Arial" w:hAnsi="Arial" w:cs="Arial"/>
          <w:sz w:val="24"/>
          <w:szCs w:val="24"/>
        </w:rPr>
        <w:t xml:space="preserve"> </w:t>
      </w:r>
      <w:r w:rsidR="00497A37" w:rsidRPr="00497A37">
        <w:rPr>
          <w:rFonts w:ascii="Arial" w:hAnsi="Arial" w:cs="Arial"/>
          <w:sz w:val="24"/>
          <w:szCs w:val="24"/>
        </w:rPr>
        <w:t xml:space="preserve">Although this may be the case for some drag queens, this not only assumes that all drag queens are cisgender men, in a time when an increasing number of queens identifying as gender diverse (Berkowitz </w:t>
      </w:r>
      <w:r w:rsidR="00497A37" w:rsidRPr="00497A37">
        <w:rPr>
          <w:rFonts w:ascii="Arial" w:hAnsi="Arial" w:cs="Arial"/>
          <w:i/>
          <w:iCs/>
          <w:sz w:val="24"/>
          <w:szCs w:val="24"/>
        </w:rPr>
        <w:t>et al</w:t>
      </w:r>
      <w:r w:rsidR="00497A37" w:rsidRPr="00497A37">
        <w:rPr>
          <w:rFonts w:ascii="Arial" w:hAnsi="Arial" w:cs="Arial"/>
          <w:sz w:val="24"/>
          <w:szCs w:val="24"/>
        </w:rPr>
        <w:t>., 2007), but also is not inclusive of drag queens who challenge boundaries whilst performing as females, for example the rising presence of Drag Pageants, similar to Beauty Pageants (Greene, 2021</w:t>
      </w:r>
      <w:r w:rsidR="00393840">
        <w:rPr>
          <w:rFonts w:ascii="Arial" w:hAnsi="Arial" w:cs="Arial"/>
          <w:sz w:val="24"/>
          <w:szCs w:val="24"/>
        </w:rPr>
        <w:t>; Tewksbury, 1993</w:t>
      </w:r>
      <w:r w:rsidR="00497A37" w:rsidRPr="00497A37">
        <w:rPr>
          <w:rFonts w:ascii="Arial" w:hAnsi="Arial" w:cs="Arial"/>
          <w:sz w:val="24"/>
          <w:szCs w:val="24"/>
        </w:rPr>
        <w:t>). Whilst Drag Pageants and Beauty Pageants have some similarities, beauty queens tend to express individual expression within set boundaries</w:t>
      </w:r>
      <w:r w:rsidR="00393840">
        <w:rPr>
          <w:rFonts w:ascii="Arial" w:hAnsi="Arial" w:cs="Arial"/>
          <w:sz w:val="24"/>
          <w:szCs w:val="24"/>
        </w:rPr>
        <w:t xml:space="preserve"> (</w:t>
      </w:r>
      <w:r w:rsidR="00A24C83">
        <w:rPr>
          <w:rFonts w:ascii="Arial" w:hAnsi="Arial" w:cs="Arial"/>
          <w:sz w:val="24"/>
          <w:szCs w:val="24"/>
        </w:rPr>
        <w:t xml:space="preserve">Daems, 2014; </w:t>
      </w:r>
      <w:r w:rsidR="00393840">
        <w:rPr>
          <w:rFonts w:ascii="Arial" w:hAnsi="Arial" w:cs="Arial"/>
          <w:sz w:val="24"/>
          <w:szCs w:val="24"/>
        </w:rPr>
        <w:t>Greene, 2021)</w:t>
      </w:r>
      <w:r w:rsidR="00497A37" w:rsidRPr="00497A37">
        <w:rPr>
          <w:rFonts w:ascii="Arial" w:hAnsi="Arial" w:cs="Arial"/>
          <w:sz w:val="24"/>
          <w:szCs w:val="24"/>
        </w:rPr>
        <w:t xml:space="preserve">, whilst drag queens perform with creativity and uniqueness, working to </w:t>
      </w:r>
      <w:r w:rsidR="009F7CC9">
        <w:rPr>
          <w:rFonts w:ascii="Arial" w:hAnsi="Arial" w:cs="Arial"/>
          <w:sz w:val="24"/>
          <w:szCs w:val="24"/>
        </w:rPr>
        <w:t>challenge</w:t>
      </w:r>
      <w:r w:rsidR="00497A37" w:rsidRPr="00497A37">
        <w:rPr>
          <w:rFonts w:ascii="Arial" w:hAnsi="Arial" w:cs="Arial"/>
          <w:sz w:val="24"/>
          <w:szCs w:val="24"/>
        </w:rPr>
        <w:t xml:space="preserve"> what is means to be feminine (</w:t>
      </w:r>
      <w:r w:rsidR="00E03CB1">
        <w:rPr>
          <w:rFonts w:ascii="Arial" w:hAnsi="Arial" w:cs="Arial"/>
          <w:sz w:val="24"/>
          <w:szCs w:val="24"/>
        </w:rPr>
        <w:t xml:space="preserve">Barrett, 2017; </w:t>
      </w:r>
      <w:r w:rsidR="00393840">
        <w:rPr>
          <w:rFonts w:ascii="Arial" w:hAnsi="Arial" w:cs="Arial"/>
          <w:sz w:val="24"/>
          <w:szCs w:val="24"/>
        </w:rPr>
        <w:t xml:space="preserve">Hopkins, 2008; </w:t>
      </w:r>
      <w:r w:rsidR="00497A37" w:rsidRPr="00497A37">
        <w:rPr>
          <w:rFonts w:ascii="Arial" w:hAnsi="Arial" w:cs="Arial"/>
          <w:sz w:val="24"/>
          <w:szCs w:val="24"/>
        </w:rPr>
        <w:t>Greene, 2021).</w:t>
      </w:r>
      <w:r w:rsidR="00497A37">
        <w:rPr>
          <w:rFonts w:ascii="Arial" w:hAnsi="Arial" w:cs="Arial"/>
          <w:sz w:val="24"/>
          <w:szCs w:val="24"/>
        </w:rPr>
        <w:t xml:space="preserve"> </w:t>
      </w:r>
      <w:r w:rsidR="009F7CC9">
        <w:rPr>
          <w:rFonts w:ascii="Arial" w:hAnsi="Arial" w:cs="Arial"/>
          <w:sz w:val="24"/>
          <w:szCs w:val="24"/>
        </w:rPr>
        <w:t>This supports feminists and queer theorists aims of redefining femininity, and suggests that drag queens challenge the patriarchy, rather than reinforce it</w:t>
      </w:r>
      <w:r w:rsidR="00E03CB1">
        <w:rPr>
          <w:rFonts w:ascii="Arial" w:hAnsi="Arial" w:cs="Arial"/>
          <w:sz w:val="24"/>
          <w:szCs w:val="24"/>
        </w:rPr>
        <w:t xml:space="preserve"> (Barrett, 2017)</w:t>
      </w:r>
      <w:r w:rsidR="00393840">
        <w:rPr>
          <w:rFonts w:ascii="Arial" w:hAnsi="Arial" w:cs="Arial"/>
          <w:sz w:val="24"/>
          <w:szCs w:val="24"/>
        </w:rPr>
        <w:t>.</w:t>
      </w:r>
    </w:p>
    <w:bookmarkEnd w:id="1"/>
    <w:p w14:paraId="1C4C0451" w14:textId="336BBBAF" w:rsidR="005B73D6" w:rsidRDefault="005B73D6" w:rsidP="005B73D6">
      <w:pPr>
        <w:spacing w:line="360" w:lineRule="auto"/>
        <w:rPr>
          <w:rFonts w:ascii="Arial" w:hAnsi="Arial" w:cs="Arial"/>
          <w:sz w:val="24"/>
          <w:szCs w:val="24"/>
        </w:rPr>
      </w:pPr>
      <w:r>
        <w:rPr>
          <w:rFonts w:ascii="Arial" w:hAnsi="Arial" w:cs="Arial"/>
          <w:sz w:val="24"/>
          <w:szCs w:val="24"/>
        </w:rPr>
        <w:t xml:space="preserve">In addition to </w:t>
      </w:r>
      <w:r w:rsidR="00DD0D11">
        <w:rPr>
          <w:rFonts w:ascii="Arial" w:hAnsi="Arial" w:cs="Arial"/>
          <w:sz w:val="24"/>
          <w:szCs w:val="24"/>
        </w:rPr>
        <w:t>performing as exaggerated, caricature-like females</w:t>
      </w:r>
      <w:r>
        <w:rPr>
          <w:rFonts w:ascii="Arial" w:hAnsi="Arial" w:cs="Arial"/>
          <w:sz w:val="24"/>
          <w:szCs w:val="24"/>
        </w:rPr>
        <w:t xml:space="preserve">, a further stereotype associated with drag queens are that they dress and behave in a manner that is over-sexualised (Berkowitz and Belgrave, 2010; Berkowitz </w:t>
      </w:r>
      <w:r>
        <w:rPr>
          <w:rFonts w:ascii="Arial" w:hAnsi="Arial" w:cs="Arial"/>
          <w:i/>
          <w:iCs/>
          <w:sz w:val="24"/>
          <w:szCs w:val="24"/>
        </w:rPr>
        <w:t xml:space="preserve">et al., </w:t>
      </w:r>
      <w:r>
        <w:rPr>
          <w:rFonts w:ascii="Arial" w:hAnsi="Arial" w:cs="Arial"/>
          <w:sz w:val="24"/>
          <w:szCs w:val="24"/>
        </w:rPr>
        <w:t>2007). This includes being</w:t>
      </w:r>
      <w:r w:rsidR="003F20B0">
        <w:rPr>
          <w:rFonts w:ascii="Arial" w:hAnsi="Arial" w:cs="Arial"/>
          <w:sz w:val="24"/>
          <w:szCs w:val="24"/>
        </w:rPr>
        <w:t xml:space="preserve"> seen as</w:t>
      </w:r>
      <w:r>
        <w:rPr>
          <w:rFonts w:ascii="Arial" w:hAnsi="Arial" w:cs="Arial"/>
          <w:sz w:val="24"/>
          <w:szCs w:val="24"/>
        </w:rPr>
        <w:t xml:space="preserve"> flamboyant and promiscuous, leading to negative associations both inside and outside the </w:t>
      </w:r>
      <w:r w:rsidR="00685510">
        <w:rPr>
          <w:rFonts w:ascii="Arial" w:hAnsi="Arial" w:cs="Arial"/>
          <w:sz w:val="24"/>
          <w:szCs w:val="24"/>
        </w:rPr>
        <w:t xml:space="preserve">LGBTQ+ community (Berkowitz and Belgrave, 2010; Berkowitz </w:t>
      </w:r>
      <w:r w:rsidR="00685510">
        <w:rPr>
          <w:rFonts w:ascii="Arial" w:hAnsi="Arial" w:cs="Arial"/>
          <w:i/>
          <w:iCs/>
          <w:sz w:val="24"/>
          <w:szCs w:val="24"/>
        </w:rPr>
        <w:t xml:space="preserve">et al., </w:t>
      </w:r>
      <w:r w:rsidR="00685510">
        <w:rPr>
          <w:rFonts w:ascii="Arial" w:hAnsi="Arial" w:cs="Arial"/>
          <w:sz w:val="24"/>
          <w:szCs w:val="24"/>
        </w:rPr>
        <w:t>2007).</w:t>
      </w:r>
    </w:p>
    <w:p w14:paraId="3001EED0" w14:textId="016ADA4A" w:rsidR="00685510" w:rsidRDefault="00685510" w:rsidP="005B73D6">
      <w:pPr>
        <w:spacing w:line="360" w:lineRule="auto"/>
        <w:rPr>
          <w:rFonts w:ascii="Arial" w:hAnsi="Arial" w:cs="Arial"/>
          <w:sz w:val="24"/>
          <w:szCs w:val="24"/>
        </w:rPr>
      </w:pPr>
      <w:r>
        <w:rPr>
          <w:rFonts w:ascii="Arial" w:hAnsi="Arial" w:cs="Arial"/>
          <w:sz w:val="24"/>
          <w:szCs w:val="24"/>
        </w:rPr>
        <w:t>The image chosen that perpetuates this stereotype is image 2 (Aquaria, 2020), of Aquaria. The image of Aquaria with legs apart, visible breasts and parted lips demonstrate</w:t>
      </w:r>
      <w:r w:rsidR="003F20B0">
        <w:rPr>
          <w:rFonts w:ascii="Arial" w:hAnsi="Arial" w:cs="Arial"/>
          <w:sz w:val="24"/>
          <w:szCs w:val="24"/>
        </w:rPr>
        <w:t>s</w:t>
      </w:r>
      <w:r>
        <w:rPr>
          <w:rFonts w:ascii="Arial" w:hAnsi="Arial" w:cs="Arial"/>
          <w:sz w:val="24"/>
          <w:szCs w:val="24"/>
        </w:rPr>
        <w:t xml:space="preserve"> the overt sexuality and hyper femininity that is stereotypically associated with drag queens (Carretta </w:t>
      </w:r>
      <w:r>
        <w:rPr>
          <w:rFonts w:ascii="Arial" w:hAnsi="Arial" w:cs="Arial"/>
          <w:i/>
          <w:iCs/>
          <w:sz w:val="24"/>
          <w:szCs w:val="24"/>
        </w:rPr>
        <w:t xml:space="preserve">et al., </w:t>
      </w:r>
      <w:r>
        <w:rPr>
          <w:rFonts w:ascii="Arial" w:hAnsi="Arial" w:cs="Arial"/>
          <w:sz w:val="24"/>
          <w:szCs w:val="24"/>
        </w:rPr>
        <w:t>2019; Friedman and Jones, 2011; Fox, 2008; Murnen and Byrne, 1991).</w:t>
      </w:r>
      <w:r w:rsidR="00A24C83">
        <w:rPr>
          <w:rFonts w:ascii="Arial" w:hAnsi="Arial" w:cs="Arial"/>
          <w:sz w:val="24"/>
          <w:szCs w:val="24"/>
        </w:rPr>
        <w:t xml:space="preserve"> Although drag queens are becoming more diverse, in regards to ethnicity, gender, body shape and age (Daems, 2014; Mayora, 2014), a large number of </w:t>
      </w:r>
      <w:r w:rsidRPr="00BC19F9">
        <w:rPr>
          <w:rFonts w:ascii="Arial" w:hAnsi="Arial" w:cs="Arial"/>
          <w:sz w:val="24"/>
          <w:szCs w:val="24"/>
        </w:rPr>
        <w:t xml:space="preserve">drag queens </w:t>
      </w:r>
      <w:r w:rsidR="00A24C83" w:rsidRPr="00BC19F9">
        <w:rPr>
          <w:rFonts w:ascii="Arial" w:hAnsi="Arial" w:cs="Arial"/>
          <w:sz w:val="24"/>
          <w:szCs w:val="24"/>
        </w:rPr>
        <w:t xml:space="preserve">still </w:t>
      </w:r>
      <w:r w:rsidRPr="00BC19F9">
        <w:rPr>
          <w:rFonts w:ascii="Arial" w:hAnsi="Arial" w:cs="Arial"/>
          <w:sz w:val="24"/>
          <w:szCs w:val="24"/>
        </w:rPr>
        <w:t xml:space="preserve">attempt to imitate white, western standards </w:t>
      </w:r>
      <w:r w:rsidR="003F20B0" w:rsidRPr="00BC19F9">
        <w:rPr>
          <w:rFonts w:ascii="Arial" w:hAnsi="Arial" w:cs="Arial"/>
          <w:sz w:val="24"/>
          <w:szCs w:val="24"/>
        </w:rPr>
        <w:t xml:space="preserve">of </w:t>
      </w:r>
      <w:r w:rsidRPr="00BC19F9">
        <w:rPr>
          <w:rFonts w:ascii="Arial" w:hAnsi="Arial" w:cs="Arial"/>
          <w:sz w:val="24"/>
          <w:szCs w:val="24"/>
        </w:rPr>
        <w:t>beauty, such as being</w:t>
      </w:r>
      <w:r w:rsidR="00373D82" w:rsidRPr="00BC19F9">
        <w:rPr>
          <w:rFonts w:ascii="Arial" w:hAnsi="Arial" w:cs="Arial"/>
          <w:sz w:val="24"/>
          <w:szCs w:val="24"/>
        </w:rPr>
        <w:t xml:space="preserve"> young and</w:t>
      </w:r>
      <w:r w:rsidRPr="00BC19F9">
        <w:rPr>
          <w:rFonts w:ascii="Arial" w:hAnsi="Arial" w:cs="Arial"/>
          <w:sz w:val="24"/>
          <w:szCs w:val="24"/>
        </w:rPr>
        <w:t xml:space="preserve"> slim with large breasts (</w:t>
      </w:r>
      <w:r w:rsidR="00373D82" w:rsidRPr="00BC19F9">
        <w:rPr>
          <w:rFonts w:ascii="Arial" w:hAnsi="Arial" w:cs="Arial"/>
          <w:sz w:val="24"/>
          <w:szCs w:val="24"/>
        </w:rPr>
        <w:t xml:space="preserve">Berkowitz &amp; Belgrave, 2010; Berkowitz et al., 2007; </w:t>
      </w:r>
      <w:r w:rsidRPr="00BC19F9">
        <w:rPr>
          <w:rFonts w:ascii="Arial" w:hAnsi="Arial" w:cs="Arial"/>
          <w:sz w:val="24"/>
          <w:szCs w:val="24"/>
        </w:rPr>
        <w:t xml:space="preserve">Carretta </w:t>
      </w:r>
      <w:r w:rsidRPr="00BC19F9">
        <w:rPr>
          <w:rFonts w:ascii="Arial" w:hAnsi="Arial" w:cs="Arial"/>
          <w:i/>
          <w:iCs/>
          <w:sz w:val="24"/>
          <w:szCs w:val="24"/>
        </w:rPr>
        <w:t xml:space="preserve">et al., </w:t>
      </w:r>
      <w:r w:rsidRPr="00BC19F9">
        <w:rPr>
          <w:rFonts w:ascii="Arial" w:hAnsi="Arial" w:cs="Arial"/>
          <w:sz w:val="24"/>
          <w:szCs w:val="24"/>
        </w:rPr>
        <w:t>2019; Greaf, 2016</w:t>
      </w:r>
      <w:r w:rsidR="00373D82" w:rsidRPr="00BC19F9">
        <w:rPr>
          <w:rFonts w:ascii="Arial" w:hAnsi="Arial" w:cs="Arial"/>
          <w:sz w:val="24"/>
          <w:szCs w:val="24"/>
        </w:rPr>
        <w:t>; Tewksbury, 1993</w:t>
      </w:r>
      <w:r w:rsidRPr="00BC19F9">
        <w:rPr>
          <w:rFonts w:ascii="Arial" w:hAnsi="Arial" w:cs="Arial"/>
          <w:sz w:val="24"/>
          <w:szCs w:val="24"/>
        </w:rPr>
        <w:t>), sometimes even attempting to ‘pass’ to audiences as a cisgender woman (Garber, 1992; Greaf, 2016).</w:t>
      </w:r>
      <w:r w:rsidR="00AB57D5" w:rsidRPr="00BC19F9">
        <w:rPr>
          <w:rFonts w:ascii="Arial" w:hAnsi="Arial" w:cs="Arial"/>
          <w:sz w:val="24"/>
          <w:szCs w:val="24"/>
        </w:rPr>
        <w:t xml:space="preserve"> Image 2 portrays this image, and all three images chosen are of white drag queens, reflecting the majority of drag queens in western society (Berkowitz &amp; Belgrave, 2010; Berkowitz et al., 2007).</w:t>
      </w:r>
    </w:p>
    <w:p w14:paraId="4A63C80D" w14:textId="2E5B92A3" w:rsidR="00E42023" w:rsidRDefault="00F206F5" w:rsidP="005B73D6">
      <w:pPr>
        <w:spacing w:line="360" w:lineRule="auto"/>
        <w:rPr>
          <w:rFonts w:ascii="Arial" w:hAnsi="Arial" w:cs="Arial"/>
          <w:sz w:val="24"/>
          <w:szCs w:val="24"/>
        </w:rPr>
      </w:pPr>
      <w:r>
        <w:rPr>
          <w:rFonts w:ascii="Arial" w:hAnsi="Arial" w:cs="Arial"/>
          <w:sz w:val="24"/>
          <w:szCs w:val="24"/>
        </w:rPr>
        <w:lastRenderedPageBreak/>
        <w:t xml:space="preserve">The stereotype of drag queens being sexualised is mainly applied to those who are young (over 20, but under 35) (Carretta </w:t>
      </w:r>
      <w:r>
        <w:rPr>
          <w:rFonts w:ascii="Arial" w:hAnsi="Arial" w:cs="Arial"/>
          <w:i/>
          <w:iCs/>
          <w:sz w:val="24"/>
          <w:szCs w:val="24"/>
        </w:rPr>
        <w:t xml:space="preserve">et al., </w:t>
      </w:r>
      <w:r>
        <w:rPr>
          <w:rFonts w:ascii="Arial" w:hAnsi="Arial" w:cs="Arial"/>
          <w:sz w:val="24"/>
          <w:szCs w:val="24"/>
        </w:rPr>
        <w:t>2019)</w:t>
      </w:r>
      <w:r w:rsidR="00ED2A6A">
        <w:rPr>
          <w:rFonts w:ascii="Arial" w:hAnsi="Arial" w:cs="Arial"/>
          <w:sz w:val="24"/>
          <w:szCs w:val="24"/>
        </w:rPr>
        <w:t xml:space="preserve"> </w:t>
      </w:r>
      <w:r>
        <w:rPr>
          <w:rFonts w:ascii="Arial" w:hAnsi="Arial" w:cs="Arial"/>
          <w:sz w:val="24"/>
          <w:szCs w:val="24"/>
        </w:rPr>
        <w:t>and slender, creating a preference for slimmer bodies, labelling these as ‘appropriately female’ (</w:t>
      </w:r>
      <w:r w:rsidRPr="00405216">
        <w:rPr>
          <w:rFonts w:ascii="Arial" w:hAnsi="Arial" w:cs="Arial"/>
          <w:sz w:val="24"/>
          <w:szCs w:val="24"/>
        </w:rPr>
        <w:t>Darnell and Tabatabai</w:t>
      </w:r>
      <w:r>
        <w:rPr>
          <w:rFonts w:ascii="Arial" w:hAnsi="Arial" w:cs="Arial"/>
          <w:sz w:val="24"/>
          <w:szCs w:val="24"/>
        </w:rPr>
        <w:t xml:space="preserve">, </w:t>
      </w:r>
      <w:r w:rsidRPr="00405216">
        <w:rPr>
          <w:rFonts w:ascii="Arial" w:hAnsi="Arial" w:cs="Arial"/>
          <w:sz w:val="24"/>
          <w:szCs w:val="24"/>
        </w:rPr>
        <w:t>2017)</w:t>
      </w:r>
      <w:r>
        <w:rPr>
          <w:rFonts w:ascii="Arial" w:hAnsi="Arial" w:cs="Arial"/>
          <w:sz w:val="24"/>
          <w:szCs w:val="24"/>
        </w:rPr>
        <w:t xml:space="preserve">. Drag queens often experienced being objectified by audiences (Wiseman and Moradi, 2010), including touching and sexualised remarks, which then led to cash tips, which could mean that drag queens </w:t>
      </w:r>
      <w:r w:rsidR="00ED2A6A">
        <w:rPr>
          <w:rFonts w:ascii="Arial" w:hAnsi="Arial" w:cs="Arial"/>
          <w:sz w:val="24"/>
          <w:szCs w:val="24"/>
        </w:rPr>
        <w:t>perpetuated</w:t>
      </w:r>
      <w:r>
        <w:rPr>
          <w:rFonts w:ascii="Arial" w:hAnsi="Arial" w:cs="Arial"/>
          <w:sz w:val="24"/>
          <w:szCs w:val="24"/>
        </w:rPr>
        <w:t xml:space="preserve"> these stereotypes to continue receiving money </w:t>
      </w:r>
      <w:r w:rsidRPr="00F206F5">
        <w:rPr>
          <w:rFonts w:ascii="Arial" w:hAnsi="Arial" w:cs="Arial"/>
          <w:sz w:val="24"/>
          <w:szCs w:val="24"/>
        </w:rPr>
        <w:t xml:space="preserve">(Carretta </w:t>
      </w:r>
      <w:r w:rsidRPr="00F206F5">
        <w:rPr>
          <w:rFonts w:ascii="Arial" w:hAnsi="Arial" w:cs="Arial"/>
          <w:i/>
          <w:iCs/>
          <w:sz w:val="24"/>
          <w:szCs w:val="24"/>
        </w:rPr>
        <w:t xml:space="preserve">et al., </w:t>
      </w:r>
      <w:r w:rsidRPr="00F206F5">
        <w:rPr>
          <w:rFonts w:ascii="Arial" w:hAnsi="Arial" w:cs="Arial"/>
          <w:sz w:val="24"/>
          <w:szCs w:val="24"/>
        </w:rPr>
        <w:t>2019)</w:t>
      </w:r>
      <w:r>
        <w:rPr>
          <w:rFonts w:ascii="Arial" w:hAnsi="Arial" w:cs="Arial"/>
          <w:sz w:val="24"/>
          <w:szCs w:val="24"/>
        </w:rPr>
        <w:t>.</w:t>
      </w:r>
      <w:r w:rsidR="00E42023">
        <w:rPr>
          <w:rFonts w:ascii="Arial" w:hAnsi="Arial" w:cs="Arial"/>
          <w:sz w:val="24"/>
          <w:szCs w:val="24"/>
        </w:rPr>
        <w:t xml:space="preserve"> Although sometimes this stereotype may be played upon by drag queens for financial gains, it could also lead to them becoming marginalised. An empirical study conducted by Berkowitz and Belgrave (2010, p.169) included a drag queen stating that some people called them ‘freaks or sluts’ and assumed they were trying to seduce straight men.</w:t>
      </w:r>
    </w:p>
    <w:p w14:paraId="1518F7FC" w14:textId="1E5BCE0F" w:rsidR="00BD556C" w:rsidRPr="000602FC" w:rsidRDefault="00373D82" w:rsidP="000602FC">
      <w:pPr>
        <w:spacing w:line="360" w:lineRule="auto"/>
        <w:rPr>
          <w:rFonts w:ascii="Arial" w:hAnsi="Arial" w:cs="Arial"/>
          <w:sz w:val="24"/>
          <w:szCs w:val="24"/>
        </w:rPr>
      </w:pPr>
      <w:r>
        <w:rPr>
          <w:rFonts w:ascii="Arial" w:hAnsi="Arial" w:cs="Arial"/>
          <w:sz w:val="24"/>
          <w:szCs w:val="24"/>
        </w:rPr>
        <w:t xml:space="preserve">Carretta </w:t>
      </w:r>
      <w:r>
        <w:rPr>
          <w:rFonts w:ascii="Arial" w:hAnsi="Arial" w:cs="Arial"/>
          <w:i/>
          <w:iCs/>
          <w:sz w:val="24"/>
          <w:szCs w:val="24"/>
        </w:rPr>
        <w:t xml:space="preserve">et al’s. </w:t>
      </w:r>
      <w:r>
        <w:rPr>
          <w:rFonts w:ascii="Arial" w:hAnsi="Arial" w:cs="Arial"/>
          <w:sz w:val="24"/>
          <w:szCs w:val="24"/>
        </w:rPr>
        <w:t>(2019) study into drag performances show that drag queens act out sexualised</w:t>
      </w:r>
      <w:r w:rsidR="003F20B0">
        <w:rPr>
          <w:rFonts w:ascii="Arial" w:hAnsi="Arial" w:cs="Arial"/>
          <w:sz w:val="24"/>
          <w:szCs w:val="24"/>
        </w:rPr>
        <w:t xml:space="preserve"> </w:t>
      </w:r>
      <w:r>
        <w:rPr>
          <w:rFonts w:ascii="Arial" w:hAnsi="Arial" w:cs="Arial"/>
          <w:sz w:val="24"/>
          <w:szCs w:val="24"/>
        </w:rPr>
        <w:t xml:space="preserve">shows of femininity that replicate heteronormative ideals. Drag queens not only use wigs, makeup, padding and clothing, but may shave body hair and diet to achieve this. Rupp </w:t>
      </w:r>
      <w:r>
        <w:rPr>
          <w:rFonts w:ascii="Arial" w:hAnsi="Arial" w:cs="Arial"/>
          <w:i/>
          <w:iCs/>
          <w:sz w:val="24"/>
          <w:szCs w:val="24"/>
        </w:rPr>
        <w:t xml:space="preserve">et al. </w:t>
      </w:r>
      <w:r>
        <w:rPr>
          <w:rFonts w:ascii="Arial" w:hAnsi="Arial" w:cs="Arial"/>
          <w:sz w:val="24"/>
          <w:szCs w:val="24"/>
        </w:rPr>
        <w:t xml:space="preserve">(2010) have </w:t>
      </w:r>
      <w:r w:rsidR="004E2938">
        <w:rPr>
          <w:rFonts w:ascii="Arial" w:hAnsi="Arial" w:cs="Arial"/>
          <w:sz w:val="24"/>
          <w:szCs w:val="24"/>
        </w:rPr>
        <w:t>used queer theory to argue</w:t>
      </w:r>
      <w:r>
        <w:rPr>
          <w:rFonts w:ascii="Arial" w:hAnsi="Arial" w:cs="Arial"/>
          <w:sz w:val="24"/>
          <w:szCs w:val="24"/>
        </w:rPr>
        <w:t xml:space="preserve"> that drag queens elicit non-normative sexual responses from their audiences</w:t>
      </w:r>
      <w:r w:rsidR="00A24C83">
        <w:rPr>
          <w:rFonts w:ascii="Arial" w:hAnsi="Arial" w:cs="Arial"/>
          <w:sz w:val="24"/>
          <w:szCs w:val="24"/>
        </w:rPr>
        <w:t xml:space="preserve"> (Marcel, 2014)</w:t>
      </w:r>
      <w:r>
        <w:rPr>
          <w:rFonts w:ascii="Arial" w:hAnsi="Arial" w:cs="Arial"/>
          <w:sz w:val="24"/>
          <w:szCs w:val="24"/>
        </w:rPr>
        <w:t xml:space="preserve">, whilst others suggests that they reinforce heteronormative sexual desire through their portrayal of feminine beauty </w:t>
      </w:r>
      <w:r w:rsidRPr="00B021B5">
        <w:rPr>
          <w:rFonts w:ascii="Arial" w:hAnsi="Arial" w:cs="Arial"/>
          <w:sz w:val="24"/>
          <w:szCs w:val="24"/>
        </w:rPr>
        <w:t>(Dolan, 1985;</w:t>
      </w:r>
      <w:r>
        <w:rPr>
          <w:rFonts w:ascii="Arial" w:hAnsi="Arial" w:cs="Arial"/>
          <w:sz w:val="24"/>
          <w:szCs w:val="24"/>
        </w:rPr>
        <w:t xml:space="preserve"> </w:t>
      </w:r>
      <w:r w:rsidRPr="00B021B5">
        <w:rPr>
          <w:rFonts w:ascii="Arial" w:hAnsi="Arial" w:cs="Arial"/>
          <w:sz w:val="24"/>
          <w:szCs w:val="24"/>
        </w:rPr>
        <w:t>Frye, 1983; Gagné and Tewksbury, 1996; Schacht, 1998, 2000, 2002a,</w:t>
      </w:r>
      <w:r>
        <w:rPr>
          <w:rFonts w:ascii="Arial" w:hAnsi="Arial" w:cs="Arial"/>
          <w:sz w:val="24"/>
          <w:szCs w:val="24"/>
        </w:rPr>
        <w:t xml:space="preserve"> </w:t>
      </w:r>
      <w:r w:rsidRPr="00B021B5">
        <w:rPr>
          <w:rFonts w:ascii="Arial" w:hAnsi="Arial" w:cs="Arial"/>
          <w:sz w:val="24"/>
          <w:szCs w:val="24"/>
        </w:rPr>
        <w:t>2002b; Tewksbury, 1993, 1994).</w:t>
      </w:r>
      <w:r w:rsidR="00F206F5">
        <w:rPr>
          <w:rFonts w:ascii="Arial" w:hAnsi="Arial" w:cs="Arial"/>
          <w:sz w:val="24"/>
          <w:szCs w:val="24"/>
        </w:rPr>
        <w:t xml:space="preserve"> Greaf’s (2016) study</w:t>
      </w:r>
      <w:r w:rsidR="00E42023">
        <w:rPr>
          <w:rFonts w:ascii="Arial" w:hAnsi="Arial" w:cs="Arial"/>
          <w:sz w:val="24"/>
          <w:szCs w:val="24"/>
        </w:rPr>
        <w:t xml:space="preserve"> is relevant here, as </w:t>
      </w:r>
      <w:r w:rsidR="00F206F5">
        <w:rPr>
          <w:rFonts w:ascii="Arial" w:hAnsi="Arial" w:cs="Arial"/>
          <w:sz w:val="24"/>
          <w:szCs w:val="24"/>
        </w:rPr>
        <w:t xml:space="preserve">the drag queens interviewed </w:t>
      </w:r>
      <w:r w:rsidR="000602FC">
        <w:rPr>
          <w:rFonts w:ascii="Arial" w:hAnsi="Arial" w:cs="Arial"/>
          <w:sz w:val="24"/>
          <w:szCs w:val="24"/>
        </w:rPr>
        <w:t xml:space="preserve">highlighted heterosexual audience members expressing a sexual attraction towards them, despite knowing that they were male. This is because some drag queens, including Aquaria, use their performances to continue heteronormative male and female gender roles and stereotypes, which aids audience members in constructing their sense of what is real </w:t>
      </w:r>
      <w:r w:rsidR="000602FC" w:rsidRPr="00CA7A5C">
        <w:rPr>
          <w:rFonts w:ascii="Arial" w:hAnsi="Arial" w:cs="Arial"/>
          <w:sz w:val="24"/>
          <w:szCs w:val="24"/>
        </w:rPr>
        <w:t>(Johnson, 2004).</w:t>
      </w:r>
      <w:r w:rsidR="000602FC">
        <w:rPr>
          <w:rFonts w:ascii="Arial" w:hAnsi="Arial" w:cs="Arial"/>
          <w:sz w:val="24"/>
          <w:szCs w:val="24"/>
        </w:rPr>
        <w:t xml:space="preserve"> Drag queens style their wigs, choose feminine clothing and create female, sexualised personas to reflect the images that audiences have consumed from media </w:t>
      </w:r>
      <w:r w:rsidR="000602FC" w:rsidRPr="00CA7A5C">
        <w:rPr>
          <w:rFonts w:ascii="Arial" w:hAnsi="Arial" w:cs="Arial"/>
          <w:sz w:val="24"/>
          <w:szCs w:val="24"/>
        </w:rPr>
        <w:t>(Greaf, 2016)</w:t>
      </w:r>
      <w:r w:rsidR="000602FC">
        <w:rPr>
          <w:rFonts w:ascii="Arial" w:hAnsi="Arial" w:cs="Arial"/>
          <w:sz w:val="24"/>
          <w:szCs w:val="24"/>
        </w:rPr>
        <w:t xml:space="preserve">. </w:t>
      </w:r>
      <w:r w:rsidR="00E42023">
        <w:rPr>
          <w:rFonts w:ascii="Arial" w:hAnsi="Arial" w:cs="Arial"/>
          <w:sz w:val="24"/>
          <w:szCs w:val="24"/>
        </w:rPr>
        <w:t>T</w:t>
      </w:r>
      <w:r w:rsidR="000602FC">
        <w:rPr>
          <w:rFonts w:ascii="Arial" w:hAnsi="Arial" w:cs="Arial"/>
          <w:sz w:val="24"/>
          <w:szCs w:val="24"/>
        </w:rPr>
        <w:t>his suggest</w:t>
      </w:r>
      <w:r w:rsidR="00E42023">
        <w:rPr>
          <w:rFonts w:ascii="Arial" w:hAnsi="Arial" w:cs="Arial"/>
          <w:sz w:val="24"/>
          <w:szCs w:val="24"/>
        </w:rPr>
        <w:t>s</w:t>
      </w:r>
      <w:r w:rsidR="000602FC">
        <w:rPr>
          <w:rFonts w:ascii="Arial" w:hAnsi="Arial" w:cs="Arial"/>
          <w:sz w:val="24"/>
          <w:szCs w:val="24"/>
        </w:rPr>
        <w:t xml:space="preserve"> that drag queens are aware of the stereotype of them being sexualised, and continue this in their performances to achieve financial security, even if this leads to them being marginalised. </w:t>
      </w:r>
    </w:p>
    <w:p w14:paraId="3DA4E76D" w14:textId="78FFFAFD" w:rsidR="000D6AB1" w:rsidRDefault="000D6AB1" w:rsidP="000D6AB1">
      <w:pPr>
        <w:spacing w:line="360" w:lineRule="auto"/>
        <w:rPr>
          <w:rFonts w:ascii="Arial" w:hAnsi="Arial" w:cs="Arial"/>
          <w:sz w:val="24"/>
          <w:szCs w:val="24"/>
        </w:rPr>
      </w:pPr>
      <w:r>
        <w:rPr>
          <w:rFonts w:ascii="Arial" w:hAnsi="Arial" w:cs="Arial"/>
          <w:sz w:val="24"/>
          <w:szCs w:val="24"/>
        </w:rPr>
        <w:t xml:space="preserve">The final stereotype associated with drag queens that will be considered in this submission is that they use their drag to shock audiences, </w:t>
      </w:r>
      <w:r w:rsidR="00ED2A6A">
        <w:rPr>
          <w:rFonts w:ascii="Arial" w:hAnsi="Arial" w:cs="Arial"/>
          <w:sz w:val="24"/>
          <w:szCs w:val="24"/>
        </w:rPr>
        <w:t xml:space="preserve">through </w:t>
      </w:r>
      <w:r>
        <w:rPr>
          <w:rFonts w:ascii="Arial" w:hAnsi="Arial" w:cs="Arial"/>
          <w:sz w:val="24"/>
          <w:szCs w:val="24"/>
        </w:rPr>
        <w:t xml:space="preserve">their gender presentation. Image </w:t>
      </w:r>
      <w:r w:rsidR="002912D8">
        <w:rPr>
          <w:rFonts w:ascii="Arial" w:hAnsi="Arial" w:cs="Arial"/>
          <w:sz w:val="24"/>
          <w:szCs w:val="24"/>
        </w:rPr>
        <w:t>3</w:t>
      </w:r>
      <w:r>
        <w:rPr>
          <w:rFonts w:ascii="Arial" w:hAnsi="Arial" w:cs="Arial"/>
          <w:sz w:val="24"/>
          <w:szCs w:val="24"/>
        </w:rPr>
        <w:t xml:space="preserve"> (Mitsis, 2021) portrays Fatt Butcher, a </w:t>
      </w:r>
      <w:r w:rsidR="00B52273">
        <w:rPr>
          <w:rFonts w:ascii="Arial" w:hAnsi="Arial" w:cs="Arial"/>
          <w:sz w:val="24"/>
          <w:szCs w:val="24"/>
        </w:rPr>
        <w:t>British</w:t>
      </w:r>
      <w:r>
        <w:rPr>
          <w:rFonts w:ascii="Arial" w:hAnsi="Arial" w:cs="Arial"/>
          <w:sz w:val="24"/>
          <w:szCs w:val="24"/>
        </w:rPr>
        <w:t xml:space="preserve"> drag queen, who has body hair, but wears full makeup and stereotypically feminine clothing. This </w:t>
      </w:r>
      <w:r>
        <w:rPr>
          <w:rFonts w:ascii="Arial" w:hAnsi="Arial" w:cs="Arial"/>
          <w:sz w:val="24"/>
          <w:szCs w:val="24"/>
        </w:rPr>
        <w:lastRenderedPageBreak/>
        <w:t>challenges heteronormative views</w:t>
      </w:r>
      <w:r w:rsidR="00B66260">
        <w:rPr>
          <w:rFonts w:ascii="Arial" w:hAnsi="Arial" w:cs="Arial"/>
          <w:sz w:val="24"/>
          <w:szCs w:val="24"/>
        </w:rPr>
        <w:t xml:space="preserve"> on gender</w:t>
      </w:r>
      <w:r>
        <w:rPr>
          <w:rFonts w:ascii="Arial" w:hAnsi="Arial" w:cs="Arial"/>
          <w:sz w:val="24"/>
          <w:szCs w:val="24"/>
        </w:rPr>
        <w:t xml:space="preserve"> (Greaf, 2016) and </w:t>
      </w:r>
      <w:r w:rsidR="00B66260">
        <w:rPr>
          <w:rFonts w:ascii="Arial" w:hAnsi="Arial" w:cs="Arial"/>
          <w:sz w:val="24"/>
          <w:szCs w:val="24"/>
        </w:rPr>
        <w:t>perpetuates the</w:t>
      </w:r>
      <w:r>
        <w:rPr>
          <w:rFonts w:ascii="Arial" w:hAnsi="Arial" w:cs="Arial"/>
          <w:sz w:val="24"/>
          <w:szCs w:val="24"/>
        </w:rPr>
        <w:t xml:space="preserve"> stereotype that drag queens adopt this persona to shock audiences.</w:t>
      </w:r>
    </w:p>
    <w:p w14:paraId="3600D61E" w14:textId="7CFF6465" w:rsidR="00C80B37" w:rsidRDefault="00C80B37" w:rsidP="000D6AB1">
      <w:pPr>
        <w:spacing w:line="360" w:lineRule="auto"/>
        <w:rPr>
          <w:rFonts w:ascii="Arial" w:hAnsi="Arial" w:cs="Arial"/>
          <w:sz w:val="24"/>
          <w:szCs w:val="24"/>
        </w:rPr>
      </w:pPr>
      <w:r>
        <w:rPr>
          <w:rFonts w:ascii="Arial" w:hAnsi="Arial" w:cs="Arial"/>
          <w:sz w:val="24"/>
          <w:szCs w:val="24"/>
        </w:rPr>
        <w:t xml:space="preserve">A heteronormative society assumes someone that looks and acts as a man is a man, and that someone who looks and acts like a woman is a woman </w:t>
      </w:r>
      <w:r w:rsidRPr="00F45778">
        <w:rPr>
          <w:rFonts w:ascii="Arial" w:hAnsi="Arial" w:cs="Arial"/>
          <w:sz w:val="24"/>
          <w:szCs w:val="24"/>
        </w:rPr>
        <w:t>(Devor, 2002, p. 528; Greaf, 2016)</w:t>
      </w:r>
      <w:r>
        <w:rPr>
          <w:rFonts w:ascii="Arial" w:hAnsi="Arial" w:cs="Arial"/>
          <w:sz w:val="24"/>
          <w:szCs w:val="24"/>
        </w:rPr>
        <w:t>, which drag queens</w:t>
      </w:r>
      <w:r w:rsidR="00EB0887">
        <w:rPr>
          <w:rFonts w:ascii="Arial" w:hAnsi="Arial" w:cs="Arial"/>
          <w:sz w:val="24"/>
          <w:szCs w:val="24"/>
        </w:rPr>
        <w:t xml:space="preserve"> and queer theorists</w:t>
      </w:r>
      <w:r>
        <w:rPr>
          <w:rFonts w:ascii="Arial" w:hAnsi="Arial" w:cs="Arial"/>
          <w:sz w:val="24"/>
          <w:szCs w:val="24"/>
        </w:rPr>
        <w:t xml:space="preserve"> challenge.</w:t>
      </w:r>
      <w:r w:rsidR="00341460">
        <w:rPr>
          <w:rFonts w:ascii="Arial" w:hAnsi="Arial" w:cs="Arial"/>
          <w:sz w:val="24"/>
          <w:szCs w:val="24"/>
        </w:rPr>
        <w:t xml:space="preserve"> Gender diversity has traditionally been accepted in various cultures, notably the Asian subcontinent (Vincent and Manzano, 2017), but</w:t>
      </w:r>
      <w:r w:rsidR="0096098F">
        <w:rPr>
          <w:rFonts w:ascii="Arial" w:hAnsi="Arial" w:cs="Arial"/>
          <w:sz w:val="24"/>
          <w:szCs w:val="24"/>
        </w:rPr>
        <w:t xml:space="preserve"> </w:t>
      </w:r>
      <w:r w:rsidR="00341460">
        <w:rPr>
          <w:rFonts w:ascii="Arial" w:hAnsi="Arial" w:cs="Arial"/>
          <w:sz w:val="24"/>
          <w:szCs w:val="24"/>
        </w:rPr>
        <w:t>i</w:t>
      </w:r>
      <w:r w:rsidR="0096098F">
        <w:rPr>
          <w:rFonts w:ascii="Arial" w:hAnsi="Arial" w:cs="Arial"/>
          <w:sz w:val="24"/>
          <w:szCs w:val="24"/>
        </w:rPr>
        <w:t xml:space="preserve">n many Western societies, cross-dressing is viewed as deviant, meaning that drag queen performances interact with social expectations of gender and create stereotypes (Greaf, 2016; Knutson </w:t>
      </w:r>
      <w:r w:rsidR="0096098F">
        <w:rPr>
          <w:rFonts w:ascii="Arial" w:hAnsi="Arial" w:cs="Arial"/>
          <w:i/>
          <w:iCs/>
          <w:sz w:val="24"/>
          <w:szCs w:val="24"/>
        </w:rPr>
        <w:t xml:space="preserve">et al., </w:t>
      </w:r>
      <w:r w:rsidR="0096098F">
        <w:rPr>
          <w:rFonts w:ascii="Arial" w:hAnsi="Arial" w:cs="Arial"/>
          <w:sz w:val="24"/>
          <w:szCs w:val="24"/>
        </w:rPr>
        <w:t xml:space="preserve">2019; Rupp </w:t>
      </w:r>
      <w:r w:rsidR="0096098F">
        <w:rPr>
          <w:rFonts w:ascii="Arial" w:hAnsi="Arial" w:cs="Arial"/>
          <w:i/>
          <w:iCs/>
          <w:sz w:val="24"/>
          <w:szCs w:val="24"/>
        </w:rPr>
        <w:t xml:space="preserve">et al., </w:t>
      </w:r>
      <w:r w:rsidR="0096098F">
        <w:rPr>
          <w:rFonts w:ascii="Arial" w:hAnsi="Arial" w:cs="Arial"/>
          <w:sz w:val="24"/>
          <w:szCs w:val="24"/>
        </w:rPr>
        <w:t xml:space="preserve">2010; </w:t>
      </w:r>
      <w:r w:rsidR="002912D8">
        <w:rPr>
          <w:rFonts w:ascii="Arial" w:hAnsi="Arial" w:cs="Arial"/>
          <w:sz w:val="24"/>
          <w:szCs w:val="24"/>
        </w:rPr>
        <w:t xml:space="preserve">Schechner, 2003; </w:t>
      </w:r>
      <w:r w:rsidR="0096098F">
        <w:rPr>
          <w:rFonts w:ascii="Arial" w:hAnsi="Arial" w:cs="Arial"/>
          <w:sz w:val="24"/>
          <w:szCs w:val="24"/>
        </w:rPr>
        <w:t xml:space="preserve">Schmid and Payam, 2022). Rupp </w:t>
      </w:r>
      <w:r w:rsidR="0096098F">
        <w:rPr>
          <w:rFonts w:ascii="Arial" w:hAnsi="Arial" w:cs="Arial"/>
          <w:i/>
          <w:iCs/>
          <w:sz w:val="24"/>
          <w:szCs w:val="24"/>
        </w:rPr>
        <w:t>et al</w:t>
      </w:r>
      <w:r w:rsidR="00B66260">
        <w:rPr>
          <w:rFonts w:ascii="Arial" w:hAnsi="Arial" w:cs="Arial"/>
          <w:i/>
          <w:iCs/>
          <w:sz w:val="24"/>
          <w:szCs w:val="24"/>
        </w:rPr>
        <w:t>’</w:t>
      </w:r>
      <w:r w:rsidR="0096098F">
        <w:rPr>
          <w:rFonts w:ascii="Arial" w:hAnsi="Arial" w:cs="Arial"/>
          <w:i/>
          <w:iCs/>
          <w:sz w:val="24"/>
          <w:szCs w:val="24"/>
        </w:rPr>
        <w:t>s.</w:t>
      </w:r>
      <w:r w:rsidR="0096098F">
        <w:rPr>
          <w:rFonts w:ascii="Arial" w:hAnsi="Arial" w:cs="Arial"/>
          <w:sz w:val="24"/>
          <w:szCs w:val="24"/>
        </w:rPr>
        <w:t xml:space="preserve"> (2010) research suggested that drag queens are often perceived as being transgender, but Barnett and Johnson (2013a) </w:t>
      </w:r>
      <w:r w:rsidR="00B66260">
        <w:rPr>
          <w:rFonts w:ascii="Arial" w:hAnsi="Arial" w:cs="Arial"/>
          <w:sz w:val="24"/>
          <w:szCs w:val="24"/>
        </w:rPr>
        <w:t>state</w:t>
      </w:r>
      <w:r w:rsidR="0096098F">
        <w:rPr>
          <w:rFonts w:ascii="Arial" w:hAnsi="Arial" w:cs="Arial"/>
          <w:sz w:val="24"/>
          <w:szCs w:val="24"/>
        </w:rPr>
        <w:t xml:space="preserve"> that drag queens construct their own gender and portray this to audiences authentically, rather than as a way to play into a stereotype of shocking audiences.</w:t>
      </w:r>
    </w:p>
    <w:p w14:paraId="7142668F" w14:textId="778A009A" w:rsidR="009A477E" w:rsidRDefault="003F1206" w:rsidP="0096098F">
      <w:pPr>
        <w:spacing w:line="360" w:lineRule="auto"/>
        <w:rPr>
          <w:rFonts w:ascii="Arial" w:hAnsi="Arial" w:cs="Arial"/>
          <w:sz w:val="24"/>
          <w:szCs w:val="24"/>
        </w:rPr>
      </w:pPr>
      <w:r w:rsidRPr="003F1206">
        <w:rPr>
          <w:rFonts w:ascii="Arial" w:hAnsi="Arial" w:cs="Arial"/>
          <w:sz w:val="24"/>
          <w:szCs w:val="24"/>
        </w:rPr>
        <w:t>Some have suggested that as drag performance become more mainstream, the shock audiences feel has lessened (Schact and Underwood, 2004; Vidal-Ortiz, 2008), but an element of seeing gender outside of the heteronormative binary may still be shocking, due to</w:t>
      </w:r>
      <w:r w:rsidR="0096098F" w:rsidRPr="003F1206">
        <w:rPr>
          <w:rFonts w:ascii="Arial" w:hAnsi="Arial" w:cs="Arial"/>
          <w:sz w:val="24"/>
          <w:szCs w:val="24"/>
        </w:rPr>
        <w:t xml:space="preserve"> fear associated with the criminalisation and pathologisation of same-sex attraction</w:t>
      </w:r>
      <w:r w:rsidRPr="003F1206">
        <w:rPr>
          <w:rFonts w:ascii="Arial" w:hAnsi="Arial" w:cs="Arial"/>
          <w:sz w:val="24"/>
          <w:szCs w:val="24"/>
        </w:rPr>
        <w:t xml:space="preserve"> </w:t>
      </w:r>
      <w:r w:rsidR="0096098F" w:rsidRPr="003F1206">
        <w:rPr>
          <w:rFonts w:ascii="Arial" w:hAnsi="Arial" w:cs="Arial"/>
          <w:sz w:val="24"/>
          <w:szCs w:val="24"/>
        </w:rPr>
        <w:t xml:space="preserve">(Ellis </w:t>
      </w:r>
      <w:r w:rsidR="0096098F" w:rsidRPr="003F1206">
        <w:rPr>
          <w:rFonts w:ascii="Arial" w:hAnsi="Arial" w:cs="Arial"/>
          <w:i/>
          <w:iCs/>
          <w:sz w:val="24"/>
          <w:szCs w:val="24"/>
        </w:rPr>
        <w:t>et al.</w:t>
      </w:r>
      <w:r w:rsidR="0096098F" w:rsidRPr="003F1206">
        <w:rPr>
          <w:rFonts w:ascii="Arial" w:hAnsi="Arial" w:cs="Arial"/>
          <w:sz w:val="24"/>
          <w:szCs w:val="24"/>
        </w:rPr>
        <w:t xml:space="preserve">, 2022). Consequently, drag queens not only shock audiences, but also hold a unique power (Berkowitz and Belgrave, 2010; Rupp </w:t>
      </w:r>
      <w:r w:rsidR="0096098F" w:rsidRPr="003F1206">
        <w:rPr>
          <w:rFonts w:ascii="Arial" w:hAnsi="Arial" w:cs="Arial"/>
          <w:i/>
          <w:iCs/>
          <w:sz w:val="24"/>
          <w:szCs w:val="24"/>
        </w:rPr>
        <w:t xml:space="preserve">et al., </w:t>
      </w:r>
      <w:r w:rsidR="0096098F" w:rsidRPr="003F1206">
        <w:rPr>
          <w:rFonts w:ascii="Arial" w:hAnsi="Arial" w:cs="Arial"/>
          <w:sz w:val="24"/>
          <w:szCs w:val="24"/>
        </w:rPr>
        <w:t>2010)</w:t>
      </w:r>
      <w:r w:rsidR="0096098F" w:rsidRPr="003F1206">
        <w:rPr>
          <w:rFonts w:ascii="Arial" w:hAnsi="Arial" w:cs="Arial"/>
          <w:sz w:val="28"/>
          <w:szCs w:val="28"/>
        </w:rPr>
        <w:t xml:space="preserve">, </w:t>
      </w:r>
      <w:r w:rsidR="0096098F" w:rsidRPr="003F1206">
        <w:rPr>
          <w:rFonts w:ascii="Arial" w:hAnsi="Arial" w:cs="Arial"/>
          <w:sz w:val="24"/>
          <w:szCs w:val="24"/>
        </w:rPr>
        <w:t>as they demonstrate that gender is a social construct (Greaf, 2016; West &amp; Zimmerman, 1987).</w:t>
      </w:r>
    </w:p>
    <w:p w14:paraId="20076364" w14:textId="768379B8" w:rsidR="00341943" w:rsidRDefault="008906DF" w:rsidP="00341943">
      <w:pPr>
        <w:spacing w:line="360" w:lineRule="auto"/>
        <w:rPr>
          <w:rFonts w:ascii="Arial" w:hAnsi="Arial" w:cs="Arial"/>
          <w:sz w:val="24"/>
          <w:szCs w:val="24"/>
        </w:rPr>
      </w:pPr>
      <w:r w:rsidRPr="008906DF">
        <w:rPr>
          <w:rFonts w:ascii="Arial" w:hAnsi="Arial" w:cs="Arial"/>
          <w:sz w:val="24"/>
          <w:szCs w:val="24"/>
        </w:rPr>
        <w:t xml:space="preserve">Therefore, despite assertions that drag queens reinforce the patriarchy through performing as females only (Butler, 1988, 1990; Rupp </w:t>
      </w:r>
      <w:r w:rsidRPr="008906DF">
        <w:rPr>
          <w:rFonts w:ascii="Arial" w:hAnsi="Arial" w:cs="Arial"/>
          <w:i/>
          <w:iCs/>
          <w:sz w:val="24"/>
          <w:szCs w:val="24"/>
        </w:rPr>
        <w:t xml:space="preserve">et al., </w:t>
      </w:r>
      <w:r w:rsidRPr="008906DF">
        <w:rPr>
          <w:rFonts w:ascii="Arial" w:hAnsi="Arial" w:cs="Arial"/>
          <w:sz w:val="24"/>
          <w:szCs w:val="24"/>
        </w:rPr>
        <w:t>2010; Schact and Underwood, 2004; Williams, 1995)</w:t>
      </w:r>
      <w:r w:rsidR="0096098F" w:rsidRPr="008906DF">
        <w:rPr>
          <w:rFonts w:ascii="Arial" w:hAnsi="Arial" w:cs="Arial"/>
          <w:sz w:val="24"/>
          <w:szCs w:val="24"/>
        </w:rPr>
        <w:t xml:space="preserve">, masculinity, femininity and queerness are all included within drag queen performances </w:t>
      </w:r>
      <w:r w:rsidR="00F91002" w:rsidRPr="008906DF">
        <w:rPr>
          <w:rFonts w:ascii="Arial" w:hAnsi="Arial" w:cs="Arial"/>
          <w:sz w:val="24"/>
          <w:szCs w:val="24"/>
        </w:rPr>
        <w:t xml:space="preserve">(Berkowitz and Belgrave, 2010; Greaf, 2016; Levitt </w:t>
      </w:r>
      <w:r w:rsidR="00F91002" w:rsidRPr="008906DF">
        <w:rPr>
          <w:rFonts w:ascii="Arial" w:hAnsi="Arial" w:cs="Arial"/>
          <w:i/>
          <w:iCs/>
          <w:sz w:val="24"/>
          <w:szCs w:val="24"/>
        </w:rPr>
        <w:t xml:space="preserve">et al., </w:t>
      </w:r>
      <w:r w:rsidR="00F91002" w:rsidRPr="008906DF">
        <w:rPr>
          <w:rFonts w:ascii="Arial" w:hAnsi="Arial" w:cs="Arial"/>
          <w:sz w:val="24"/>
          <w:szCs w:val="24"/>
        </w:rPr>
        <w:t>2018), which questions social systems</w:t>
      </w:r>
      <w:r w:rsidRPr="008906DF">
        <w:rPr>
          <w:rFonts w:ascii="Arial" w:hAnsi="Arial" w:cs="Arial"/>
          <w:sz w:val="24"/>
          <w:szCs w:val="24"/>
        </w:rPr>
        <w:t xml:space="preserve"> </w:t>
      </w:r>
      <w:r w:rsidR="00F91002" w:rsidRPr="008906DF">
        <w:rPr>
          <w:rFonts w:ascii="Arial" w:hAnsi="Arial" w:cs="Arial"/>
          <w:sz w:val="24"/>
          <w:szCs w:val="24"/>
        </w:rPr>
        <w:t>(Barnett and Johnson, 2013a). Queer theorists also argue that drag queens perform transgressive acts, which challenges heteronormative assumptions and acknowledges minority gender identities (Butler, 1990,1993; Garber, 1992; Lorber, 1994, 1999; Muñoz, 1999; Rupp and Taylor, 2003).</w:t>
      </w:r>
      <w:r w:rsidR="00F91002" w:rsidRPr="00A36B42">
        <w:rPr>
          <w:rFonts w:ascii="Arial" w:hAnsi="Arial" w:cs="Arial"/>
          <w:sz w:val="24"/>
          <w:szCs w:val="24"/>
        </w:rPr>
        <w:t xml:space="preserve"> </w:t>
      </w:r>
      <w:r>
        <w:rPr>
          <w:rFonts w:ascii="Arial" w:hAnsi="Arial" w:cs="Arial"/>
          <w:sz w:val="24"/>
          <w:szCs w:val="24"/>
        </w:rPr>
        <w:t xml:space="preserve"> </w:t>
      </w:r>
      <w:r w:rsidR="00B11C0F">
        <w:rPr>
          <w:rFonts w:ascii="Arial" w:hAnsi="Arial" w:cs="Arial"/>
          <w:sz w:val="24"/>
          <w:szCs w:val="24"/>
        </w:rPr>
        <w:t xml:space="preserve">Drag queen performances may therefore be described as genderqueer, even if the drag queens themselves do not identify as such. </w:t>
      </w:r>
      <w:r w:rsidR="00B11C0F">
        <w:rPr>
          <w:rFonts w:ascii="Arial" w:hAnsi="Arial" w:cs="Arial"/>
          <w:sz w:val="24"/>
          <w:szCs w:val="24"/>
        </w:rPr>
        <w:lastRenderedPageBreak/>
        <w:t>Genderqueer performers may identify as both male and female, or somewhere in between (Beemyn, 2009), contrary to the previous assumptions that drag queens were transgender (Stryker and Whittle, 2006; Valentine, 2007).</w:t>
      </w:r>
      <w:r w:rsidR="00341943">
        <w:rPr>
          <w:rFonts w:ascii="Arial" w:hAnsi="Arial" w:cs="Arial"/>
          <w:sz w:val="24"/>
          <w:szCs w:val="24"/>
        </w:rPr>
        <w:t xml:space="preserve"> Symbolic interactionism (SI) is relevant here, as this assumes that people add meaning to their worlds through interacting with others </w:t>
      </w:r>
      <w:r w:rsidR="00341943" w:rsidRPr="00291CE9">
        <w:rPr>
          <w:rFonts w:ascii="Arial" w:hAnsi="Arial" w:cs="Arial"/>
          <w:sz w:val="24"/>
          <w:szCs w:val="24"/>
        </w:rPr>
        <w:t>(</w:t>
      </w:r>
      <w:r w:rsidR="00341943">
        <w:rPr>
          <w:rFonts w:ascii="Arial" w:hAnsi="Arial" w:cs="Arial"/>
          <w:sz w:val="24"/>
          <w:szCs w:val="24"/>
        </w:rPr>
        <w:t xml:space="preserve">Berkowitz and Belgrave, 2010; </w:t>
      </w:r>
      <w:r w:rsidR="00341943" w:rsidRPr="00291CE9">
        <w:rPr>
          <w:rFonts w:ascii="Arial" w:hAnsi="Arial" w:cs="Arial"/>
          <w:sz w:val="24"/>
          <w:szCs w:val="24"/>
        </w:rPr>
        <w:t>Mead</w:t>
      </w:r>
      <w:r w:rsidR="00341943">
        <w:rPr>
          <w:rFonts w:ascii="Arial" w:hAnsi="Arial" w:cs="Arial"/>
          <w:sz w:val="24"/>
          <w:szCs w:val="24"/>
        </w:rPr>
        <w:t>,</w:t>
      </w:r>
      <w:r w:rsidR="00341943" w:rsidRPr="00291CE9">
        <w:rPr>
          <w:rFonts w:ascii="Arial" w:hAnsi="Arial" w:cs="Arial"/>
          <w:sz w:val="24"/>
          <w:szCs w:val="24"/>
        </w:rPr>
        <w:t xml:space="preserve"> 1934).</w:t>
      </w:r>
      <w:r w:rsidR="00341943">
        <w:rPr>
          <w:rFonts w:ascii="Arial" w:hAnsi="Arial" w:cs="Arial"/>
          <w:sz w:val="24"/>
          <w:szCs w:val="24"/>
        </w:rPr>
        <w:t xml:space="preserve"> SI is relevant to drag queens as it suggests that </w:t>
      </w:r>
      <w:r w:rsidR="00ED2A6A">
        <w:rPr>
          <w:rFonts w:ascii="Arial" w:hAnsi="Arial" w:cs="Arial"/>
          <w:sz w:val="24"/>
          <w:szCs w:val="24"/>
        </w:rPr>
        <w:t>they</w:t>
      </w:r>
      <w:r w:rsidR="00341943">
        <w:rPr>
          <w:rFonts w:ascii="Arial" w:hAnsi="Arial" w:cs="Arial"/>
          <w:sz w:val="24"/>
          <w:szCs w:val="24"/>
        </w:rPr>
        <w:t xml:space="preserve"> give meanings to their world that have been created </w:t>
      </w:r>
      <w:r w:rsidR="00ED2A6A">
        <w:rPr>
          <w:rFonts w:ascii="Arial" w:hAnsi="Arial" w:cs="Arial"/>
          <w:sz w:val="24"/>
          <w:szCs w:val="24"/>
        </w:rPr>
        <w:t>through</w:t>
      </w:r>
      <w:r w:rsidR="00341943">
        <w:rPr>
          <w:rFonts w:ascii="Arial" w:hAnsi="Arial" w:cs="Arial"/>
          <w:sz w:val="24"/>
          <w:szCs w:val="24"/>
        </w:rPr>
        <w:t xml:space="preserve"> an interpretive process (Berkowitz and Belgrave, 2010). This is supported by Simmel’s (1955) research into SI, that </w:t>
      </w:r>
      <w:r w:rsidR="00B66260">
        <w:rPr>
          <w:rFonts w:ascii="Arial" w:hAnsi="Arial" w:cs="Arial"/>
          <w:sz w:val="24"/>
          <w:szCs w:val="24"/>
        </w:rPr>
        <w:t>states</w:t>
      </w:r>
      <w:r w:rsidR="00341943">
        <w:rPr>
          <w:rFonts w:ascii="Arial" w:hAnsi="Arial" w:cs="Arial"/>
          <w:sz w:val="24"/>
          <w:szCs w:val="24"/>
        </w:rPr>
        <w:t xml:space="preserve"> that people have multi-layered identities, with parts of these shown or hidden, depending on the audience (</w:t>
      </w:r>
      <w:r w:rsidR="002912D8">
        <w:rPr>
          <w:rFonts w:ascii="Arial" w:hAnsi="Arial" w:cs="Arial"/>
          <w:sz w:val="24"/>
          <w:szCs w:val="24"/>
        </w:rPr>
        <w:t xml:space="preserve">Berkowitz and Belgrave, 2010; </w:t>
      </w:r>
      <w:r w:rsidR="00341943">
        <w:rPr>
          <w:rFonts w:ascii="Arial" w:hAnsi="Arial" w:cs="Arial"/>
          <w:sz w:val="24"/>
          <w:szCs w:val="24"/>
        </w:rPr>
        <w:t>Stryker, 1980).</w:t>
      </w:r>
    </w:p>
    <w:p w14:paraId="59E21556" w14:textId="403A39E7" w:rsidR="00A70E15" w:rsidRPr="00A70E15" w:rsidRDefault="008121A7" w:rsidP="00A70E15">
      <w:pPr>
        <w:spacing w:line="360" w:lineRule="auto"/>
        <w:rPr>
          <w:rFonts w:ascii="Arial" w:hAnsi="Arial" w:cs="Arial"/>
          <w:sz w:val="24"/>
          <w:szCs w:val="24"/>
        </w:rPr>
      </w:pPr>
      <w:r w:rsidRPr="00A70E15">
        <w:rPr>
          <w:rFonts w:ascii="Arial" w:hAnsi="Arial" w:cs="Arial"/>
          <w:sz w:val="24"/>
          <w:szCs w:val="24"/>
        </w:rPr>
        <w:t>Despite</w:t>
      </w:r>
      <w:r w:rsidR="00A70E15" w:rsidRPr="00A70E15">
        <w:rPr>
          <w:rFonts w:ascii="Arial" w:hAnsi="Arial" w:cs="Arial"/>
          <w:sz w:val="24"/>
          <w:szCs w:val="24"/>
        </w:rPr>
        <w:t xml:space="preserve"> the SI theorist argument that</w:t>
      </w:r>
      <w:r w:rsidRPr="00A70E15">
        <w:rPr>
          <w:rFonts w:ascii="Arial" w:hAnsi="Arial" w:cs="Arial"/>
          <w:sz w:val="24"/>
          <w:szCs w:val="24"/>
        </w:rPr>
        <w:t xml:space="preserve"> </w:t>
      </w:r>
      <w:r w:rsidR="00A70E15" w:rsidRPr="00A70E15">
        <w:rPr>
          <w:rFonts w:ascii="Arial" w:hAnsi="Arial" w:cs="Arial"/>
          <w:sz w:val="24"/>
          <w:szCs w:val="24"/>
        </w:rPr>
        <w:t xml:space="preserve">drag queens portraying their gender as part of a multi-layered identity (Barnett and Johnson, 2013a; Corwin, 2009; Garber, 1992), some drag queens may perpetuate this stereotype as a means of political resistance (Barnett and Johnson, 2013a; Corwin, 2009; Nestle </w:t>
      </w:r>
      <w:r w:rsidR="00A70E15" w:rsidRPr="00A70E15">
        <w:rPr>
          <w:rFonts w:ascii="Arial" w:hAnsi="Arial" w:cs="Arial"/>
          <w:i/>
          <w:iCs/>
          <w:sz w:val="24"/>
          <w:szCs w:val="24"/>
        </w:rPr>
        <w:t xml:space="preserve">et al., </w:t>
      </w:r>
      <w:r w:rsidR="00A70E15" w:rsidRPr="00A70E15">
        <w:rPr>
          <w:rFonts w:ascii="Arial" w:hAnsi="Arial" w:cs="Arial"/>
          <w:sz w:val="24"/>
          <w:szCs w:val="24"/>
        </w:rPr>
        <w:t>2002</w:t>
      </w:r>
      <w:r w:rsidR="00654610">
        <w:rPr>
          <w:rFonts w:ascii="Arial" w:hAnsi="Arial" w:cs="Arial"/>
          <w:sz w:val="24"/>
          <w:szCs w:val="24"/>
        </w:rPr>
        <w:t xml:space="preserve">; </w:t>
      </w:r>
      <w:r w:rsidR="00654610" w:rsidRPr="00A36B42">
        <w:rPr>
          <w:rFonts w:ascii="Arial" w:hAnsi="Arial" w:cs="Arial"/>
          <w:sz w:val="24"/>
          <w:szCs w:val="24"/>
        </w:rPr>
        <w:t>Moloney and</w:t>
      </w:r>
      <w:r w:rsidR="00654610">
        <w:rPr>
          <w:rFonts w:ascii="Arial" w:hAnsi="Arial" w:cs="Arial"/>
          <w:sz w:val="24"/>
          <w:szCs w:val="24"/>
        </w:rPr>
        <w:t xml:space="preserve"> </w:t>
      </w:r>
      <w:r w:rsidR="00654610" w:rsidRPr="00A36B42">
        <w:rPr>
          <w:rFonts w:ascii="Arial" w:hAnsi="Arial" w:cs="Arial"/>
          <w:sz w:val="24"/>
          <w:szCs w:val="24"/>
        </w:rPr>
        <w:t>Fenstermaker, 2002</w:t>
      </w:r>
      <w:r w:rsidR="00654610">
        <w:rPr>
          <w:rFonts w:ascii="Arial" w:hAnsi="Arial" w:cs="Arial"/>
          <w:sz w:val="24"/>
          <w:szCs w:val="24"/>
        </w:rPr>
        <w:t xml:space="preserve">; Rupp </w:t>
      </w:r>
      <w:r w:rsidR="00654610">
        <w:rPr>
          <w:rFonts w:ascii="Arial" w:hAnsi="Arial" w:cs="Arial"/>
          <w:i/>
          <w:iCs/>
          <w:sz w:val="24"/>
          <w:szCs w:val="24"/>
        </w:rPr>
        <w:t xml:space="preserve">et al., </w:t>
      </w:r>
      <w:r w:rsidR="00654610">
        <w:rPr>
          <w:rFonts w:ascii="Arial" w:hAnsi="Arial" w:cs="Arial"/>
          <w:sz w:val="24"/>
          <w:szCs w:val="24"/>
        </w:rPr>
        <w:t>2010</w:t>
      </w:r>
      <w:r w:rsidR="00A70E15" w:rsidRPr="00A70E15">
        <w:rPr>
          <w:rFonts w:ascii="Arial" w:hAnsi="Arial" w:cs="Arial"/>
          <w:sz w:val="24"/>
          <w:szCs w:val="24"/>
        </w:rPr>
        <w:t xml:space="preserve">). Genderqueer performances could be viewed as political, as they are ambiguous and challenges traditional binaries (Barnett and Johnson, 2013a). </w:t>
      </w:r>
      <w:r w:rsidR="00BC19F9">
        <w:rPr>
          <w:rFonts w:ascii="Arial" w:hAnsi="Arial" w:cs="Arial"/>
          <w:sz w:val="24"/>
          <w:szCs w:val="24"/>
        </w:rPr>
        <w:t xml:space="preserve">Whilst some scholars argue that drag queens </w:t>
      </w:r>
      <w:r w:rsidR="008906DF">
        <w:rPr>
          <w:rFonts w:ascii="Arial" w:hAnsi="Arial" w:cs="Arial"/>
          <w:sz w:val="24"/>
          <w:szCs w:val="24"/>
        </w:rPr>
        <w:t>do</w:t>
      </w:r>
      <w:r w:rsidR="00BC19F9">
        <w:rPr>
          <w:rFonts w:ascii="Arial" w:hAnsi="Arial" w:cs="Arial"/>
          <w:sz w:val="24"/>
          <w:szCs w:val="24"/>
        </w:rPr>
        <w:t xml:space="preserve"> not display political resistance, and instead mock women (Morrison, 2014), </w:t>
      </w:r>
      <w:r w:rsidR="00A70E15" w:rsidRPr="00A70E15">
        <w:rPr>
          <w:rFonts w:ascii="Arial" w:hAnsi="Arial" w:cs="Arial"/>
          <w:sz w:val="24"/>
          <w:szCs w:val="24"/>
        </w:rPr>
        <w:t>Wilchins (2002) argue</w:t>
      </w:r>
      <w:r w:rsidR="00BC19F9">
        <w:rPr>
          <w:rFonts w:ascii="Arial" w:hAnsi="Arial" w:cs="Arial"/>
          <w:sz w:val="24"/>
          <w:szCs w:val="24"/>
        </w:rPr>
        <w:t>s</w:t>
      </w:r>
      <w:r w:rsidR="00A70E15" w:rsidRPr="00A70E15">
        <w:rPr>
          <w:rFonts w:ascii="Arial" w:hAnsi="Arial" w:cs="Arial"/>
          <w:sz w:val="24"/>
          <w:szCs w:val="24"/>
        </w:rPr>
        <w:t xml:space="preserve"> that gender was a way to rebel and defy societies norms, and drag queens may perform in this way to continue the history of them fight</w:t>
      </w:r>
      <w:r w:rsidR="00ED2A6A">
        <w:rPr>
          <w:rFonts w:ascii="Arial" w:hAnsi="Arial" w:cs="Arial"/>
          <w:sz w:val="24"/>
          <w:szCs w:val="24"/>
        </w:rPr>
        <w:t>ing</w:t>
      </w:r>
      <w:r w:rsidR="00A70E15" w:rsidRPr="00A70E15">
        <w:rPr>
          <w:rFonts w:ascii="Arial" w:hAnsi="Arial" w:cs="Arial"/>
          <w:sz w:val="24"/>
          <w:szCs w:val="24"/>
        </w:rPr>
        <w:t xml:space="preserve"> for social justice (Berkowitz and Belgrave, 2010; Simmons, 2014</w:t>
      </w:r>
      <w:r w:rsidR="00ED2A6A">
        <w:rPr>
          <w:rFonts w:ascii="Arial" w:hAnsi="Arial" w:cs="Arial"/>
          <w:sz w:val="24"/>
          <w:szCs w:val="24"/>
        </w:rPr>
        <w:t xml:space="preserve">; </w:t>
      </w:r>
      <w:r w:rsidR="00A70E15" w:rsidRPr="00A70E15">
        <w:rPr>
          <w:rFonts w:ascii="Arial" w:hAnsi="Arial" w:cs="Arial"/>
          <w:sz w:val="24"/>
          <w:szCs w:val="24"/>
        </w:rPr>
        <w:t>Zervigon, 2009)</w:t>
      </w:r>
      <w:r w:rsidR="008906DF">
        <w:rPr>
          <w:rFonts w:ascii="Arial" w:hAnsi="Arial" w:cs="Arial"/>
          <w:sz w:val="24"/>
          <w:szCs w:val="24"/>
        </w:rPr>
        <w:t>, despite this visible way of challenging heteronormative assumptions potenitally leading to marginalisation, violence and discrimination (</w:t>
      </w:r>
      <w:r w:rsidR="0075764E">
        <w:rPr>
          <w:rFonts w:ascii="Arial" w:hAnsi="Arial" w:cs="Arial"/>
          <w:sz w:val="24"/>
          <w:szCs w:val="24"/>
        </w:rPr>
        <w:t xml:space="preserve">Ellis </w:t>
      </w:r>
      <w:r w:rsidR="0075764E">
        <w:rPr>
          <w:rFonts w:ascii="Arial" w:hAnsi="Arial" w:cs="Arial"/>
          <w:i/>
          <w:iCs/>
          <w:sz w:val="24"/>
          <w:szCs w:val="24"/>
        </w:rPr>
        <w:t xml:space="preserve">et al., </w:t>
      </w:r>
      <w:r w:rsidR="0075764E">
        <w:rPr>
          <w:rFonts w:ascii="Arial" w:hAnsi="Arial" w:cs="Arial"/>
          <w:sz w:val="24"/>
          <w:szCs w:val="24"/>
        </w:rPr>
        <w:t xml:space="preserve">2022; </w:t>
      </w:r>
      <w:r w:rsidR="008906DF">
        <w:rPr>
          <w:rFonts w:ascii="Arial" w:hAnsi="Arial" w:cs="Arial"/>
          <w:sz w:val="24"/>
          <w:szCs w:val="24"/>
        </w:rPr>
        <w:t>Stein, 2023)</w:t>
      </w:r>
      <w:r w:rsidR="00A70E15" w:rsidRPr="00A70E15">
        <w:rPr>
          <w:rFonts w:ascii="Arial" w:hAnsi="Arial" w:cs="Arial"/>
          <w:sz w:val="24"/>
          <w:szCs w:val="24"/>
        </w:rPr>
        <w:t>. Drag queens have a unique position of portraying entertainment and politics, meaning that they are some of the most visible people within LGBTQ+ communities</w:t>
      </w:r>
      <w:r w:rsidR="00ED2A6A">
        <w:rPr>
          <w:rFonts w:ascii="Arial" w:hAnsi="Arial" w:cs="Arial"/>
          <w:sz w:val="24"/>
          <w:szCs w:val="24"/>
        </w:rPr>
        <w:t xml:space="preserve"> </w:t>
      </w:r>
      <w:r w:rsidR="00A70E15" w:rsidRPr="00A70E15">
        <w:rPr>
          <w:rFonts w:ascii="Arial" w:hAnsi="Arial" w:cs="Arial"/>
          <w:sz w:val="24"/>
          <w:szCs w:val="24"/>
        </w:rPr>
        <w:t xml:space="preserve">(Barnett and Johnson, 2013a; Berkowitz and Belgrave, 2010; Buetti </w:t>
      </w:r>
      <w:r w:rsidR="00A70E15" w:rsidRPr="00A70E15">
        <w:rPr>
          <w:rFonts w:ascii="Arial" w:hAnsi="Arial" w:cs="Arial"/>
          <w:i/>
          <w:iCs/>
          <w:sz w:val="24"/>
          <w:szCs w:val="24"/>
        </w:rPr>
        <w:t xml:space="preserve">et al., </w:t>
      </w:r>
      <w:r w:rsidR="00A70E15" w:rsidRPr="00A70E15">
        <w:rPr>
          <w:rFonts w:ascii="Arial" w:hAnsi="Arial" w:cs="Arial"/>
          <w:sz w:val="24"/>
          <w:szCs w:val="24"/>
        </w:rPr>
        <w:t>2016)</w:t>
      </w:r>
      <w:r w:rsidR="00A70E15">
        <w:rPr>
          <w:rFonts w:ascii="Arial" w:hAnsi="Arial" w:cs="Arial"/>
          <w:sz w:val="24"/>
          <w:szCs w:val="24"/>
        </w:rPr>
        <w:t>. This suggests that although the stereotypical attitude suggested</w:t>
      </w:r>
      <w:r w:rsidR="00ED2A6A">
        <w:rPr>
          <w:rFonts w:ascii="Arial" w:hAnsi="Arial" w:cs="Arial"/>
          <w:sz w:val="24"/>
          <w:szCs w:val="24"/>
        </w:rPr>
        <w:t xml:space="preserve"> </w:t>
      </w:r>
      <w:r w:rsidR="00A70E15">
        <w:rPr>
          <w:rFonts w:ascii="Arial" w:hAnsi="Arial" w:cs="Arial"/>
          <w:sz w:val="24"/>
          <w:szCs w:val="24"/>
        </w:rPr>
        <w:t>is that drag queen shock audiences, this is</w:t>
      </w:r>
      <w:r w:rsidR="00B66260">
        <w:rPr>
          <w:rFonts w:ascii="Arial" w:hAnsi="Arial" w:cs="Arial"/>
          <w:sz w:val="24"/>
          <w:szCs w:val="24"/>
        </w:rPr>
        <w:t xml:space="preserve"> an acknowledged part of drag performances that may be</w:t>
      </w:r>
      <w:r w:rsidR="00A70E15">
        <w:rPr>
          <w:rFonts w:ascii="Arial" w:hAnsi="Arial" w:cs="Arial"/>
          <w:sz w:val="24"/>
          <w:szCs w:val="24"/>
        </w:rPr>
        <w:t xml:space="preserve"> an act of political resistance</w:t>
      </w:r>
      <w:r w:rsidR="008906DF">
        <w:rPr>
          <w:rFonts w:ascii="Arial" w:hAnsi="Arial" w:cs="Arial"/>
          <w:sz w:val="24"/>
          <w:szCs w:val="24"/>
        </w:rPr>
        <w:t>, despite the potential consequences of discrimination</w:t>
      </w:r>
      <w:r w:rsidR="00A70E15">
        <w:rPr>
          <w:rFonts w:ascii="Arial" w:hAnsi="Arial" w:cs="Arial"/>
          <w:sz w:val="24"/>
          <w:szCs w:val="24"/>
        </w:rPr>
        <w:t>.</w:t>
      </w:r>
    </w:p>
    <w:p w14:paraId="4DBF1B51" w14:textId="1EE7ECC4" w:rsidR="00A70E15" w:rsidRPr="00A70E15" w:rsidRDefault="00A70E15" w:rsidP="001215F9">
      <w:pPr>
        <w:spacing w:line="360" w:lineRule="auto"/>
        <w:rPr>
          <w:rFonts w:ascii="Arial" w:hAnsi="Arial" w:cs="Arial"/>
          <w:sz w:val="24"/>
          <w:szCs w:val="24"/>
        </w:rPr>
      </w:pPr>
      <w:r>
        <w:rPr>
          <w:rFonts w:ascii="Arial" w:hAnsi="Arial" w:cs="Arial"/>
          <w:sz w:val="24"/>
          <w:szCs w:val="24"/>
        </w:rPr>
        <w:t xml:space="preserve">To conclude, drag queens can face stereotypical attitudes from both inside and outside the LGBTQ+ community (Berkowitz and Belgrave, 2010; Berkowitz </w:t>
      </w:r>
      <w:r>
        <w:rPr>
          <w:rFonts w:ascii="Arial" w:hAnsi="Arial" w:cs="Arial"/>
          <w:i/>
          <w:iCs/>
          <w:sz w:val="24"/>
          <w:szCs w:val="24"/>
        </w:rPr>
        <w:t xml:space="preserve">et al., </w:t>
      </w:r>
      <w:r>
        <w:rPr>
          <w:rFonts w:ascii="Arial" w:hAnsi="Arial" w:cs="Arial"/>
          <w:sz w:val="24"/>
          <w:szCs w:val="24"/>
        </w:rPr>
        <w:t>2007; Namaste, 2000). Images 1,2 and 3 have been considered as portraying stereotypical attitudes of drag queens being caricature like females, viewed as over-</w:t>
      </w:r>
      <w:r>
        <w:rPr>
          <w:rFonts w:ascii="Arial" w:hAnsi="Arial" w:cs="Arial"/>
          <w:sz w:val="24"/>
          <w:szCs w:val="24"/>
        </w:rPr>
        <w:lastRenderedPageBreak/>
        <w:t>sexualised and being purposefully shocking towards the audience. It is apparent that these perceptions exist</w:t>
      </w:r>
      <w:r w:rsidR="00C405C3">
        <w:rPr>
          <w:rFonts w:ascii="Arial" w:hAnsi="Arial" w:cs="Arial"/>
          <w:sz w:val="24"/>
          <w:szCs w:val="24"/>
        </w:rPr>
        <w:t xml:space="preserve"> and are often continued by the drag queens themselves </w:t>
      </w:r>
      <w:r w:rsidR="00B66260">
        <w:rPr>
          <w:rFonts w:ascii="Arial" w:hAnsi="Arial" w:cs="Arial"/>
          <w:sz w:val="24"/>
          <w:szCs w:val="24"/>
        </w:rPr>
        <w:t>to</w:t>
      </w:r>
      <w:r w:rsidR="00C405C3">
        <w:rPr>
          <w:rFonts w:ascii="Arial" w:hAnsi="Arial" w:cs="Arial"/>
          <w:sz w:val="24"/>
          <w:szCs w:val="24"/>
        </w:rPr>
        <w:t xml:space="preserve"> exert power and to be financially secure</w:t>
      </w:r>
      <w:r w:rsidR="00ED2A6A">
        <w:rPr>
          <w:rFonts w:ascii="Arial" w:hAnsi="Arial" w:cs="Arial"/>
          <w:sz w:val="24"/>
          <w:szCs w:val="24"/>
        </w:rPr>
        <w:t>, despite the potential marginalisation caused by these acts</w:t>
      </w:r>
      <w:r w:rsidR="00C405C3">
        <w:rPr>
          <w:rFonts w:ascii="Arial" w:hAnsi="Arial" w:cs="Arial"/>
          <w:sz w:val="24"/>
          <w:szCs w:val="24"/>
        </w:rPr>
        <w:t xml:space="preserve"> (Berkowitz and Belgrave, 2010; Rupp </w:t>
      </w:r>
      <w:r w:rsidR="00C405C3">
        <w:rPr>
          <w:rFonts w:ascii="Arial" w:hAnsi="Arial" w:cs="Arial"/>
          <w:i/>
          <w:iCs/>
          <w:sz w:val="24"/>
          <w:szCs w:val="24"/>
        </w:rPr>
        <w:t xml:space="preserve">et al., </w:t>
      </w:r>
      <w:r w:rsidR="00C405C3">
        <w:rPr>
          <w:rFonts w:ascii="Arial" w:hAnsi="Arial" w:cs="Arial"/>
          <w:sz w:val="24"/>
          <w:szCs w:val="24"/>
        </w:rPr>
        <w:t xml:space="preserve">2010). The stereotype of drag queens being shocking to audiences, however, may actually be </w:t>
      </w:r>
      <w:r w:rsidR="00ED2A6A">
        <w:rPr>
          <w:rFonts w:ascii="Arial" w:hAnsi="Arial" w:cs="Arial"/>
          <w:sz w:val="24"/>
          <w:szCs w:val="24"/>
        </w:rPr>
        <w:t>as a purposeful and</w:t>
      </w:r>
      <w:r w:rsidR="00C405C3">
        <w:rPr>
          <w:rFonts w:ascii="Arial" w:hAnsi="Arial" w:cs="Arial"/>
          <w:sz w:val="24"/>
          <w:szCs w:val="24"/>
        </w:rPr>
        <w:t xml:space="preserve"> effective way of political resistance</w:t>
      </w:r>
      <w:r w:rsidR="00ED2A6A">
        <w:rPr>
          <w:rFonts w:ascii="Arial" w:hAnsi="Arial" w:cs="Arial"/>
          <w:sz w:val="24"/>
          <w:szCs w:val="24"/>
        </w:rPr>
        <w:t xml:space="preserve"> </w:t>
      </w:r>
      <w:r w:rsidR="00C405C3" w:rsidRPr="00A70E15">
        <w:rPr>
          <w:rFonts w:ascii="Arial" w:hAnsi="Arial" w:cs="Arial"/>
          <w:sz w:val="24"/>
          <w:szCs w:val="24"/>
        </w:rPr>
        <w:t xml:space="preserve">(Barnett and Johnson, 2013a; Corwin, 2009; Nestle </w:t>
      </w:r>
      <w:r w:rsidR="00C405C3" w:rsidRPr="00A70E15">
        <w:rPr>
          <w:rFonts w:ascii="Arial" w:hAnsi="Arial" w:cs="Arial"/>
          <w:i/>
          <w:iCs/>
          <w:sz w:val="24"/>
          <w:szCs w:val="24"/>
        </w:rPr>
        <w:t xml:space="preserve">et al., </w:t>
      </w:r>
      <w:r w:rsidR="00C405C3" w:rsidRPr="00A70E15">
        <w:rPr>
          <w:rFonts w:ascii="Arial" w:hAnsi="Arial" w:cs="Arial"/>
          <w:sz w:val="24"/>
          <w:szCs w:val="24"/>
        </w:rPr>
        <w:t>2002).</w:t>
      </w:r>
    </w:p>
    <w:p w14:paraId="4BD4A38B" w14:textId="77777777" w:rsidR="00FA2095" w:rsidRDefault="00FA2095" w:rsidP="001215F9">
      <w:pPr>
        <w:spacing w:line="360" w:lineRule="auto"/>
        <w:rPr>
          <w:rFonts w:ascii="Arial" w:hAnsi="Arial" w:cs="Arial"/>
          <w:b/>
          <w:bCs/>
          <w:sz w:val="24"/>
          <w:szCs w:val="24"/>
        </w:rPr>
      </w:pPr>
    </w:p>
    <w:p w14:paraId="191BE0EE" w14:textId="77777777" w:rsidR="00FA2095" w:rsidRDefault="00FA2095" w:rsidP="001215F9">
      <w:pPr>
        <w:spacing w:line="360" w:lineRule="auto"/>
        <w:rPr>
          <w:rFonts w:ascii="Arial" w:hAnsi="Arial" w:cs="Arial"/>
          <w:b/>
          <w:bCs/>
          <w:sz w:val="24"/>
          <w:szCs w:val="24"/>
        </w:rPr>
      </w:pPr>
    </w:p>
    <w:p w14:paraId="154C2C6E" w14:textId="77777777" w:rsidR="00FA2095" w:rsidRDefault="00FA2095" w:rsidP="001215F9">
      <w:pPr>
        <w:spacing w:line="360" w:lineRule="auto"/>
        <w:rPr>
          <w:rFonts w:ascii="Arial" w:hAnsi="Arial" w:cs="Arial"/>
          <w:b/>
          <w:bCs/>
          <w:sz w:val="24"/>
          <w:szCs w:val="24"/>
        </w:rPr>
      </w:pPr>
    </w:p>
    <w:p w14:paraId="15B999CF" w14:textId="77777777" w:rsidR="00FA2095" w:rsidRDefault="00FA2095" w:rsidP="001215F9">
      <w:pPr>
        <w:spacing w:line="360" w:lineRule="auto"/>
        <w:rPr>
          <w:rFonts w:ascii="Arial" w:hAnsi="Arial" w:cs="Arial"/>
          <w:b/>
          <w:bCs/>
          <w:sz w:val="24"/>
          <w:szCs w:val="24"/>
        </w:rPr>
      </w:pPr>
    </w:p>
    <w:p w14:paraId="31BF0644" w14:textId="14CC1A54" w:rsidR="00FA2095" w:rsidRDefault="00FA2095" w:rsidP="001215F9">
      <w:pPr>
        <w:spacing w:line="360" w:lineRule="auto"/>
        <w:rPr>
          <w:rFonts w:ascii="Arial" w:hAnsi="Arial" w:cs="Arial"/>
          <w:b/>
          <w:bCs/>
          <w:sz w:val="24"/>
          <w:szCs w:val="24"/>
        </w:rPr>
      </w:pPr>
    </w:p>
    <w:p w14:paraId="751ABFF6" w14:textId="1E432A18" w:rsidR="0075764E" w:rsidRDefault="0075764E" w:rsidP="001215F9">
      <w:pPr>
        <w:spacing w:line="360" w:lineRule="auto"/>
        <w:rPr>
          <w:rFonts w:ascii="Arial" w:hAnsi="Arial" w:cs="Arial"/>
          <w:b/>
          <w:bCs/>
          <w:sz w:val="24"/>
          <w:szCs w:val="24"/>
        </w:rPr>
      </w:pPr>
    </w:p>
    <w:p w14:paraId="11B29996" w14:textId="0BBAD22F" w:rsidR="0075764E" w:rsidRDefault="0075764E" w:rsidP="001215F9">
      <w:pPr>
        <w:spacing w:line="360" w:lineRule="auto"/>
        <w:rPr>
          <w:rFonts w:ascii="Arial" w:hAnsi="Arial" w:cs="Arial"/>
          <w:b/>
          <w:bCs/>
          <w:sz w:val="24"/>
          <w:szCs w:val="24"/>
        </w:rPr>
      </w:pPr>
    </w:p>
    <w:p w14:paraId="191DFB84" w14:textId="2E46B166" w:rsidR="0075764E" w:rsidRDefault="0075764E" w:rsidP="001215F9">
      <w:pPr>
        <w:spacing w:line="360" w:lineRule="auto"/>
        <w:rPr>
          <w:rFonts w:ascii="Arial" w:hAnsi="Arial" w:cs="Arial"/>
          <w:b/>
          <w:bCs/>
          <w:sz w:val="24"/>
          <w:szCs w:val="24"/>
        </w:rPr>
      </w:pPr>
    </w:p>
    <w:p w14:paraId="6910639A" w14:textId="34CA0B13" w:rsidR="0075764E" w:rsidRDefault="0075764E" w:rsidP="001215F9">
      <w:pPr>
        <w:spacing w:line="360" w:lineRule="auto"/>
        <w:rPr>
          <w:rFonts w:ascii="Arial" w:hAnsi="Arial" w:cs="Arial"/>
          <w:b/>
          <w:bCs/>
          <w:sz w:val="24"/>
          <w:szCs w:val="24"/>
        </w:rPr>
      </w:pPr>
    </w:p>
    <w:p w14:paraId="4617A29B" w14:textId="13C5F1D2" w:rsidR="0075764E" w:rsidRDefault="0075764E" w:rsidP="001215F9">
      <w:pPr>
        <w:spacing w:line="360" w:lineRule="auto"/>
        <w:rPr>
          <w:rFonts w:ascii="Arial" w:hAnsi="Arial" w:cs="Arial"/>
          <w:b/>
          <w:bCs/>
          <w:sz w:val="24"/>
          <w:szCs w:val="24"/>
        </w:rPr>
      </w:pPr>
    </w:p>
    <w:p w14:paraId="2BDAD324" w14:textId="04E2DB5B" w:rsidR="0075764E" w:rsidRDefault="0075764E" w:rsidP="001215F9">
      <w:pPr>
        <w:spacing w:line="360" w:lineRule="auto"/>
        <w:rPr>
          <w:rFonts w:ascii="Arial" w:hAnsi="Arial" w:cs="Arial"/>
          <w:b/>
          <w:bCs/>
          <w:sz w:val="24"/>
          <w:szCs w:val="24"/>
        </w:rPr>
      </w:pPr>
    </w:p>
    <w:p w14:paraId="0E05EC48" w14:textId="14463ECE" w:rsidR="0075764E" w:rsidRDefault="0075764E" w:rsidP="001215F9">
      <w:pPr>
        <w:spacing w:line="360" w:lineRule="auto"/>
        <w:rPr>
          <w:rFonts w:ascii="Arial" w:hAnsi="Arial" w:cs="Arial"/>
          <w:b/>
          <w:bCs/>
          <w:sz w:val="24"/>
          <w:szCs w:val="24"/>
        </w:rPr>
      </w:pPr>
    </w:p>
    <w:p w14:paraId="65E42499" w14:textId="7C5CF186" w:rsidR="0075764E" w:rsidRDefault="0075764E" w:rsidP="001215F9">
      <w:pPr>
        <w:spacing w:line="360" w:lineRule="auto"/>
        <w:rPr>
          <w:rFonts w:ascii="Arial" w:hAnsi="Arial" w:cs="Arial"/>
          <w:b/>
          <w:bCs/>
          <w:sz w:val="24"/>
          <w:szCs w:val="24"/>
        </w:rPr>
      </w:pPr>
    </w:p>
    <w:p w14:paraId="14AA89C2" w14:textId="6D73967D" w:rsidR="0075764E" w:rsidRDefault="0075764E" w:rsidP="001215F9">
      <w:pPr>
        <w:spacing w:line="360" w:lineRule="auto"/>
        <w:rPr>
          <w:rFonts w:ascii="Arial" w:hAnsi="Arial" w:cs="Arial"/>
          <w:b/>
          <w:bCs/>
          <w:sz w:val="24"/>
          <w:szCs w:val="24"/>
        </w:rPr>
      </w:pPr>
    </w:p>
    <w:p w14:paraId="06613066" w14:textId="598A7D9D" w:rsidR="0075764E" w:rsidRDefault="0075764E" w:rsidP="001215F9">
      <w:pPr>
        <w:spacing w:line="360" w:lineRule="auto"/>
        <w:rPr>
          <w:rFonts w:ascii="Arial" w:hAnsi="Arial" w:cs="Arial"/>
          <w:b/>
          <w:bCs/>
          <w:sz w:val="24"/>
          <w:szCs w:val="24"/>
        </w:rPr>
      </w:pPr>
    </w:p>
    <w:p w14:paraId="3101D198" w14:textId="2DD27ABA" w:rsidR="0075764E" w:rsidRDefault="0075764E" w:rsidP="001215F9">
      <w:pPr>
        <w:spacing w:line="360" w:lineRule="auto"/>
        <w:rPr>
          <w:rFonts w:ascii="Arial" w:hAnsi="Arial" w:cs="Arial"/>
          <w:b/>
          <w:bCs/>
          <w:sz w:val="24"/>
          <w:szCs w:val="24"/>
        </w:rPr>
      </w:pPr>
    </w:p>
    <w:p w14:paraId="7EBB087C" w14:textId="684171DC" w:rsidR="0075764E" w:rsidRDefault="0075764E" w:rsidP="001215F9">
      <w:pPr>
        <w:spacing w:line="360" w:lineRule="auto"/>
        <w:rPr>
          <w:rFonts w:ascii="Arial" w:hAnsi="Arial" w:cs="Arial"/>
          <w:b/>
          <w:bCs/>
          <w:sz w:val="24"/>
          <w:szCs w:val="24"/>
        </w:rPr>
      </w:pPr>
    </w:p>
    <w:p w14:paraId="37F5014A" w14:textId="77777777" w:rsidR="0075764E" w:rsidRDefault="0075764E" w:rsidP="001215F9">
      <w:pPr>
        <w:spacing w:line="360" w:lineRule="auto"/>
        <w:rPr>
          <w:rFonts w:ascii="Arial" w:hAnsi="Arial" w:cs="Arial"/>
          <w:b/>
          <w:bCs/>
          <w:sz w:val="24"/>
          <w:szCs w:val="24"/>
        </w:rPr>
      </w:pPr>
    </w:p>
    <w:p w14:paraId="47545E30" w14:textId="77777777" w:rsidR="00FA2095" w:rsidRDefault="00FA2095" w:rsidP="001215F9">
      <w:pPr>
        <w:spacing w:line="360" w:lineRule="auto"/>
        <w:rPr>
          <w:rFonts w:ascii="Arial" w:hAnsi="Arial" w:cs="Arial"/>
          <w:b/>
          <w:bCs/>
          <w:sz w:val="24"/>
          <w:szCs w:val="24"/>
        </w:rPr>
      </w:pPr>
    </w:p>
    <w:p w14:paraId="41D029D3" w14:textId="1156BB19" w:rsidR="001215F9" w:rsidRDefault="001215F9" w:rsidP="001215F9">
      <w:pPr>
        <w:spacing w:line="360" w:lineRule="auto"/>
        <w:rPr>
          <w:rFonts w:ascii="Arial" w:hAnsi="Arial" w:cs="Arial"/>
          <w:b/>
          <w:bCs/>
          <w:sz w:val="24"/>
          <w:szCs w:val="24"/>
        </w:rPr>
      </w:pPr>
      <w:r>
        <w:rPr>
          <w:rFonts w:ascii="Arial" w:hAnsi="Arial" w:cs="Arial"/>
          <w:b/>
          <w:bCs/>
          <w:sz w:val="24"/>
          <w:szCs w:val="24"/>
        </w:rPr>
        <w:lastRenderedPageBreak/>
        <w:t>Reference list</w:t>
      </w:r>
    </w:p>
    <w:p w14:paraId="7E362396" w14:textId="059CFBC6" w:rsidR="00BC1D12" w:rsidRPr="00BF35D1" w:rsidRDefault="00BC1D12" w:rsidP="0008664D">
      <w:pPr>
        <w:spacing w:line="360" w:lineRule="auto"/>
        <w:rPr>
          <w:rFonts w:ascii="Arial" w:hAnsi="Arial" w:cs="Arial"/>
          <w:sz w:val="28"/>
          <w:szCs w:val="28"/>
        </w:rPr>
      </w:pPr>
      <w:r w:rsidRPr="003D6168">
        <w:rPr>
          <w:rFonts w:ascii="Arial" w:hAnsi="Arial" w:cs="Arial"/>
          <w:sz w:val="24"/>
          <w:szCs w:val="24"/>
        </w:rPr>
        <w:t xml:space="preserve">Ashforth, B. E., &amp; Mael, F., (1989), ‘Social identity theory and the organization’, </w:t>
      </w:r>
      <w:r w:rsidRPr="003D6168">
        <w:rPr>
          <w:rFonts w:ascii="Arial" w:hAnsi="Arial" w:cs="Arial"/>
          <w:i/>
          <w:iCs/>
          <w:sz w:val="24"/>
          <w:szCs w:val="24"/>
        </w:rPr>
        <w:t>Academy of Management Review</w:t>
      </w:r>
      <w:r w:rsidRPr="003D6168">
        <w:rPr>
          <w:rFonts w:ascii="Arial" w:hAnsi="Arial" w:cs="Arial"/>
          <w:sz w:val="24"/>
          <w:szCs w:val="24"/>
        </w:rPr>
        <w:t>, 14 (1), pp.20–39</w:t>
      </w:r>
    </w:p>
    <w:p w14:paraId="01B1DBD3" w14:textId="43E54937" w:rsidR="0008664D" w:rsidRDefault="0008664D" w:rsidP="0008664D">
      <w:pPr>
        <w:spacing w:line="360" w:lineRule="auto"/>
        <w:rPr>
          <w:rFonts w:ascii="Arial" w:hAnsi="Arial" w:cs="Arial"/>
          <w:sz w:val="24"/>
          <w:szCs w:val="24"/>
        </w:rPr>
      </w:pPr>
      <w:r>
        <w:rPr>
          <w:rFonts w:ascii="Arial" w:hAnsi="Arial" w:cs="Arial"/>
          <w:sz w:val="24"/>
          <w:szCs w:val="24"/>
        </w:rPr>
        <w:t>Barnett, Joshua Trey, and Johnson, Corey W., (2013</w:t>
      </w:r>
      <w:r w:rsidR="00074F11">
        <w:rPr>
          <w:rFonts w:ascii="Arial" w:hAnsi="Arial" w:cs="Arial"/>
          <w:sz w:val="24"/>
          <w:szCs w:val="24"/>
        </w:rPr>
        <w:t>a</w:t>
      </w:r>
      <w:r>
        <w:rPr>
          <w:rFonts w:ascii="Arial" w:hAnsi="Arial" w:cs="Arial"/>
          <w:sz w:val="24"/>
          <w:szCs w:val="24"/>
        </w:rPr>
        <w:t xml:space="preserve">), ‘We Are All Royalty: Narrative Comparison of a Drag Queen and King’, </w:t>
      </w:r>
      <w:r>
        <w:rPr>
          <w:rFonts w:ascii="Arial" w:hAnsi="Arial" w:cs="Arial"/>
          <w:i/>
          <w:iCs/>
          <w:sz w:val="24"/>
          <w:szCs w:val="24"/>
        </w:rPr>
        <w:t xml:space="preserve">Journal of Leisure Research, </w:t>
      </w:r>
      <w:r>
        <w:rPr>
          <w:rFonts w:ascii="Arial" w:hAnsi="Arial" w:cs="Arial"/>
          <w:sz w:val="24"/>
          <w:szCs w:val="24"/>
        </w:rPr>
        <w:t>45 (5), pp.677-694</w:t>
      </w:r>
    </w:p>
    <w:p w14:paraId="0F09B001" w14:textId="65A7EF7D" w:rsidR="0008664D" w:rsidRDefault="0008664D" w:rsidP="001C19B5">
      <w:pPr>
        <w:spacing w:line="360" w:lineRule="auto"/>
        <w:rPr>
          <w:rFonts w:ascii="Arial" w:hAnsi="Arial" w:cs="Arial"/>
          <w:sz w:val="24"/>
          <w:szCs w:val="24"/>
        </w:rPr>
      </w:pPr>
      <w:r>
        <w:rPr>
          <w:rFonts w:ascii="Arial" w:hAnsi="Arial" w:cs="Arial"/>
          <w:sz w:val="24"/>
          <w:szCs w:val="24"/>
        </w:rPr>
        <w:t>Barnett, Joshua Trey, and Johnson, Corey W., (2013</w:t>
      </w:r>
      <w:r w:rsidR="00074F11">
        <w:rPr>
          <w:rFonts w:ascii="Arial" w:hAnsi="Arial" w:cs="Arial"/>
          <w:sz w:val="24"/>
          <w:szCs w:val="24"/>
        </w:rPr>
        <w:t>b</w:t>
      </w:r>
      <w:r>
        <w:rPr>
          <w:rFonts w:ascii="Arial" w:hAnsi="Arial" w:cs="Arial"/>
          <w:sz w:val="24"/>
          <w:szCs w:val="24"/>
        </w:rPr>
        <w:t xml:space="preserve">), ‘Our Town’s a drag: Drag queens and queer space in Athens, Georgia’, in K. Schwab and D. Dustin (Eds.), </w:t>
      </w:r>
      <w:r>
        <w:rPr>
          <w:rFonts w:ascii="Arial" w:hAnsi="Arial" w:cs="Arial"/>
          <w:i/>
          <w:iCs/>
          <w:sz w:val="24"/>
          <w:szCs w:val="24"/>
        </w:rPr>
        <w:t xml:space="preserve">Just Leisure: Things we believe in, </w:t>
      </w:r>
      <w:r>
        <w:rPr>
          <w:rFonts w:ascii="Arial" w:hAnsi="Arial" w:cs="Arial"/>
          <w:sz w:val="24"/>
          <w:szCs w:val="24"/>
        </w:rPr>
        <w:t>Illinois: Sagamore, pp.49-58</w:t>
      </w:r>
    </w:p>
    <w:p w14:paraId="769B8924" w14:textId="574345CC" w:rsidR="00E03CB1" w:rsidRPr="00E03CB1" w:rsidRDefault="00E03CB1" w:rsidP="001C19B5">
      <w:pPr>
        <w:spacing w:line="360" w:lineRule="auto"/>
        <w:rPr>
          <w:rFonts w:ascii="Arial" w:hAnsi="Arial" w:cs="Arial"/>
          <w:sz w:val="24"/>
          <w:szCs w:val="24"/>
        </w:rPr>
      </w:pPr>
      <w:r>
        <w:rPr>
          <w:rFonts w:ascii="Arial" w:hAnsi="Arial" w:cs="Arial"/>
          <w:sz w:val="24"/>
          <w:szCs w:val="24"/>
        </w:rPr>
        <w:t xml:space="preserve">Barrett, Rusty, (2017), </w:t>
      </w:r>
      <w:r>
        <w:rPr>
          <w:rFonts w:ascii="Arial" w:hAnsi="Arial" w:cs="Arial"/>
          <w:i/>
          <w:iCs/>
          <w:sz w:val="24"/>
          <w:szCs w:val="24"/>
        </w:rPr>
        <w:t xml:space="preserve">From Drag Queens to Leathermen: Language, gender and gay male subcultures, </w:t>
      </w:r>
      <w:r>
        <w:rPr>
          <w:rFonts w:ascii="Arial" w:hAnsi="Arial" w:cs="Arial"/>
          <w:sz w:val="24"/>
          <w:szCs w:val="24"/>
        </w:rPr>
        <w:t>Oxford: Oxford University Press</w:t>
      </w:r>
    </w:p>
    <w:p w14:paraId="339603BE" w14:textId="16E0D18A" w:rsidR="00B11C0F" w:rsidRDefault="00B11C0F" w:rsidP="001C19B5">
      <w:pPr>
        <w:spacing w:line="360" w:lineRule="auto"/>
        <w:rPr>
          <w:rFonts w:ascii="Arial" w:hAnsi="Arial" w:cs="Arial"/>
          <w:sz w:val="24"/>
          <w:szCs w:val="24"/>
        </w:rPr>
      </w:pPr>
      <w:r>
        <w:rPr>
          <w:rFonts w:ascii="Arial" w:hAnsi="Arial" w:cs="Arial"/>
          <w:sz w:val="24"/>
          <w:szCs w:val="24"/>
        </w:rPr>
        <w:t xml:space="preserve">Beemyn, B. G., (2009), ‘Genderqueer’, </w:t>
      </w:r>
      <w:r>
        <w:rPr>
          <w:rFonts w:ascii="Arial" w:hAnsi="Arial" w:cs="Arial"/>
          <w:i/>
          <w:iCs/>
          <w:sz w:val="24"/>
          <w:szCs w:val="24"/>
        </w:rPr>
        <w:t xml:space="preserve">GLBTQ Arts, </w:t>
      </w:r>
      <w:r>
        <w:rPr>
          <w:rFonts w:ascii="Arial" w:hAnsi="Arial" w:cs="Arial"/>
          <w:sz w:val="24"/>
          <w:szCs w:val="24"/>
        </w:rPr>
        <w:t>1, pp.1-2</w:t>
      </w:r>
    </w:p>
    <w:p w14:paraId="5D15697E" w14:textId="39CEFBA4" w:rsidR="003C55E7" w:rsidRDefault="00434CC9" w:rsidP="001C19B5">
      <w:pPr>
        <w:spacing w:line="360" w:lineRule="auto"/>
        <w:rPr>
          <w:rFonts w:ascii="Arial" w:hAnsi="Arial" w:cs="Arial"/>
          <w:sz w:val="24"/>
          <w:szCs w:val="24"/>
        </w:rPr>
      </w:pPr>
      <w:r>
        <w:rPr>
          <w:rFonts w:ascii="Arial" w:hAnsi="Arial" w:cs="Arial"/>
          <w:sz w:val="24"/>
          <w:szCs w:val="24"/>
        </w:rPr>
        <w:t xml:space="preserve">Berkowitz, D.; Belgrave, L., and Halberstein, R. A., (2007), ‘The interaction of drag queens and gay men in public and private spaces’ </w:t>
      </w:r>
      <w:r>
        <w:rPr>
          <w:rFonts w:ascii="Arial" w:hAnsi="Arial" w:cs="Arial"/>
          <w:i/>
          <w:iCs/>
          <w:sz w:val="24"/>
          <w:szCs w:val="24"/>
        </w:rPr>
        <w:t xml:space="preserve">Journal of homosexuality, </w:t>
      </w:r>
      <w:r>
        <w:rPr>
          <w:rFonts w:ascii="Arial" w:hAnsi="Arial" w:cs="Arial"/>
          <w:sz w:val="24"/>
          <w:szCs w:val="24"/>
        </w:rPr>
        <w:t>52 (3/4), pp.11-32</w:t>
      </w:r>
      <w:r w:rsidR="003C55E7" w:rsidRPr="003C55E7">
        <w:rPr>
          <w:rFonts w:ascii="Arial" w:hAnsi="Arial" w:cs="Arial"/>
          <w:sz w:val="24"/>
          <w:szCs w:val="24"/>
        </w:rPr>
        <w:t xml:space="preserve"> </w:t>
      </w:r>
      <w:r w:rsidR="003C55E7">
        <w:rPr>
          <w:rFonts w:ascii="Arial" w:hAnsi="Arial" w:cs="Arial"/>
          <w:sz w:val="24"/>
          <w:szCs w:val="24"/>
        </w:rPr>
        <w:t xml:space="preserve">Berkowitz, D., and Belgrave, L., (2010), ‘”She works hard for the money”: Drag queens and the management of their contradictory status of celebrity and marginality’, </w:t>
      </w:r>
      <w:r w:rsidR="003C55E7">
        <w:rPr>
          <w:rFonts w:ascii="Arial" w:hAnsi="Arial" w:cs="Arial"/>
          <w:i/>
          <w:iCs/>
          <w:sz w:val="24"/>
          <w:szCs w:val="24"/>
        </w:rPr>
        <w:t xml:space="preserve">Journal of Contemporary Ethnography, </w:t>
      </w:r>
      <w:r w:rsidR="003C55E7">
        <w:rPr>
          <w:rFonts w:ascii="Arial" w:hAnsi="Arial" w:cs="Arial"/>
          <w:sz w:val="24"/>
          <w:szCs w:val="24"/>
        </w:rPr>
        <w:t>39 (2), pp.159-186</w:t>
      </w:r>
    </w:p>
    <w:p w14:paraId="54988DA8" w14:textId="5BC7DF6C" w:rsidR="00A70E15" w:rsidRDefault="00A70E15" w:rsidP="001C19B5">
      <w:pPr>
        <w:spacing w:line="360" w:lineRule="auto"/>
        <w:rPr>
          <w:rFonts w:ascii="Arial" w:hAnsi="Arial" w:cs="Arial"/>
          <w:sz w:val="24"/>
          <w:szCs w:val="24"/>
        </w:rPr>
      </w:pPr>
      <w:r>
        <w:rPr>
          <w:rFonts w:ascii="Arial" w:hAnsi="Arial" w:cs="Arial"/>
          <w:sz w:val="24"/>
          <w:szCs w:val="24"/>
        </w:rPr>
        <w:t xml:space="preserve">Buetti, D.; Martinello, N.; Moureau, N.; Lapointe-Harris T., and Ladouceur, P., (2016), ‘Social representations of male homosexuality and their consequences for gay men: An explorative inquiry within the Canadian context’, </w:t>
      </w:r>
      <w:r>
        <w:rPr>
          <w:rFonts w:ascii="Arial" w:hAnsi="Arial" w:cs="Arial"/>
          <w:i/>
          <w:iCs/>
          <w:sz w:val="24"/>
          <w:szCs w:val="24"/>
        </w:rPr>
        <w:t xml:space="preserve">Culture, Society &amp; Masculinities, </w:t>
      </w:r>
      <w:r>
        <w:rPr>
          <w:rFonts w:ascii="Arial" w:hAnsi="Arial" w:cs="Arial"/>
          <w:sz w:val="24"/>
          <w:szCs w:val="24"/>
        </w:rPr>
        <w:t>8 (2), pp.155-173</w:t>
      </w:r>
    </w:p>
    <w:p w14:paraId="29A8BEE1" w14:textId="19437C83" w:rsidR="00BF35D1" w:rsidRDefault="00BF35D1" w:rsidP="001C19B5">
      <w:pPr>
        <w:spacing w:line="360" w:lineRule="auto"/>
        <w:rPr>
          <w:rFonts w:ascii="Arial" w:hAnsi="Arial" w:cs="Arial"/>
          <w:sz w:val="24"/>
          <w:szCs w:val="24"/>
        </w:rPr>
      </w:pPr>
      <w:r w:rsidRPr="00C22D8A">
        <w:rPr>
          <w:rFonts w:ascii="Arial" w:hAnsi="Arial" w:cs="Arial"/>
          <w:sz w:val="24"/>
          <w:szCs w:val="24"/>
        </w:rPr>
        <w:t xml:space="preserve">Butler, J., (1988), ‘Performative acts and gender constitution: An essay in phenomenology and feminist theory’, </w:t>
      </w:r>
      <w:r w:rsidRPr="00C22D8A">
        <w:rPr>
          <w:rFonts w:ascii="Arial" w:hAnsi="Arial" w:cs="Arial"/>
          <w:i/>
          <w:iCs/>
          <w:sz w:val="24"/>
          <w:szCs w:val="24"/>
        </w:rPr>
        <w:t>Theatre Journal</w:t>
      </w:r>
      <w:r w:rsidRPr="00C22D8A">
        <w:rPr>
          <w:rFonts w:ascii="Arial" w:hAnsi="Arial" w:cs="Arial"/>
          <w:sz w:val="24"/>
          <w:szCs w:val="24"/>
        </w:rPr>
        <w:t>, 40, pp.519–531</w:t>
      </w:r>
    </w:p>
    <w:p w14:paraId="4D0C5D18" w14:textId="6D1A32E4" w:rsidR="003C55E7" w:rsidRDefault="003C55E7" w:rsidP="001C19B5">
      <w:pPr>
        <w:spacing w:line="360" w:lineRule="auto"/>
        <w:rPr>
          <w:rFonts w:ascii="Arial" w:hAnsi="Arial" w:cs="Arial"/>
          <w:sz w:val="24"/>
          <w:szCs w:val="24"/>
        </w:rPr>
      </w:pPr>
      <w:r>
        <w:rPr>
          <w:rFonts w:ascii="Arial" w:hAnsi="Arial" w:cs="Arial"/>
          <w:sz w:val="24"/>
          <w:szCs w:val="24"/>
        </w:rPr>
        <w:t xml:space="preserve">Butler, J., (1990), </w:t>
      </w:r>
      <w:r>
        <w:rPr>
          <w:rFonts w:ascii="Arial" w:hAnsi="Arial" w:cs="Arial"/>
          <w:i/>
          <w:iCs/>
          <w:sz w:val="24"/>
          <w:szCs w:val="24"/>
        </w:rPr>
        <w:t xml:space="preserve">Gender trouble: Feminism and the subversion of identity, </w:t>
      </w:r>
      <w:r>
        <w:rPr>
          <w:rFonts w:ascii="Arial" w:hAnsi="Arial" w:cs="Arial"/>
          <w:sz w:val="24"/>
          <w:szCs w:val="24"/>
        </w:rPr>
        <w:t>New York: Routledge</w:t>
      </w:r>
    </w:p>
    <w:p w14:paraId="211F53E9" w14:textId="1C0D03CC" w:rsidR="00F91002" w:rsidRPr="003C55E7" w:rsidRDefault="00F91002" w:rsidP="001C19B5">
      <w:pPr>
        <w:spacing w:line="360" w:lineRule="auto"/>
        <w:rPr>
          <w:rFonts w:ascii="Arial" w:hAnsi="Arial" w:cs="Arial"/>
          <w:sz w:val="24"/>
          <w:szCs w:val="24"/>
        </w:rPr>
      </w:pPr>
      <w:r w:rsidRPr="00A36B42">
        <w:rPr>
          <w:rFonts w:ascii="Arial" w:hAnsi="Arial" w:cs="Arial"/>
          <w:sz w:val="24"/>
          <w:szCs w:val="24"/>
        </w:rPr>
        <w:t>Butler, Judith</w:t>
      </w:r>
      <w:r>
        <w:rPr>
          <w:rFonts w:ascii="Arial" w:hAnsi="Arial" w:cs="Arial"/>
          <w:sz w:val="24"/>
          <w:szCs w:val="24"/>
        </w:rPr>
        <w:t>,</w:t>
      </w:r>
      <w:r w:rsidRPr="00A36B42">
        <w:rPr>
          <w:rFonts w:ascii="Arial" w:hAnsi="Arial" w:cs="Arial"/>
          <w:sz w:val="24"/>
          <w:szCs w:val="24"/>
        </w:rPr>
        <w:t xml:space="preserve"> (1993)</w:t>
      </w:r>
      <w:r>
        <w:rPr>
          <w:rFonts w:ascii="Arial" w:hAnsi="Arial" w:cs="Arial"/>
          <w:sz w:val="24"/>
          <w:szCs w:val="24"/>
        </w:rPr>
        <w:t>,</w:t>
      </w:r>
      <w:r w:rsidRPr="00A36B42">
        <w:rPr>
          <w:rFonts w:ascii="Arial" w:hAnsi="Arial" w:cs="Arial"/>
          <w:sz w:val="24"/>
          <w:szCs w:val="24"/>
        </w:rPr>
        <w:t xml:space="preserve"> </w:t>
      </w:r>
      <w:r w:rsidRPr="00A36B42">
        <w:rPr>
          <w:rFonts w:ascii="Arial" w:hAnsi="Arial" w:cs="Arial"/>
          <w:i/>
          <w:iCs/>
          <w:sz w:val="24"/>
          <w:szCs w:val="24"/>
        </w:rPr>
        <w:t>Bodies that Matter: On the Discursive Limits of Sex</w:t>
      </w:r>
      <w:r>
        <w:rPr>
          <w:rFonts w:ascii="Arial" w:hAnsi="Arial" w:cs="Arial"/>
          <w:sz w:val="24"/>
          <w:szCs w:val="24"/>
        </w:rPr>
        <w:t>,</w:t>
      </w:r>
      <w:r w:rsidRPr="00A36B42">
        <w:rPr>
          <w:rFonts w:ascii="Arial" w:hAnsi="Arial" w:cs="Arial"/>
          <w:sz w:val="24"/>
          <w:szCs w:val="24"/>
        </w:rPr>
        <w:t xml:space="preserve"> New York: Routledge</w:t>
      </w:r>
    </w:p>
    <w:p w14:paraId="00C72051" w14:textId="3B10D009" w:rsidR="000A68AE" w:rsidRDefault="000A68AE" w:rsidP="001C19B5">
      <w:pPr>
        <w:spacing w:line="360" w:lineRule="auto"/>
        <w:rPr>
          <w:rFonts w:ascii="Arial" w:hAnsi="Arial" w:cs="Arial"/>
          <w:sz w:val="24"/>
          <w:szCs w:val="24"/>
        </w:rPr>
      </w:pPr>
      <w:r>
        <w:rPr>
          <w:rFonts w:ascii="Arial" w:hAnsi="Arial" w:cs="Arial"/>
          <w:sz w:val="24"/>
          <w:szCs w:val="24"/>
        </w:rPr>
        <w:t xml:space="preserve">Carlana, Michela, (2019), ‘Implicit Stereotypes’, </w:t>
      </w:r>
      <w:r>
        <w:rPr>
          <w:rFonts w:ascii="Arial" w:hAnsi="Arial" w:cs="Arial"/>
          <w:i/>
          <w:iCs/>
          <w:sz w:val="24"/>
          <w:szCs w:val="24"/>
        </w:rPr>
        <w:t xml:space="preserve">The Quarterly journal of Economics, </w:t>
      </w:r>
      <w:r>
        <w:rPr>
          <w:rFonts w:ascii="Arial" w:hAnsi="Arial" w:cs="Arial"/>
          <w:sz w:val="24"/>
          <w:szCs w:val="24"/>
        </w:rPr>
        <w:t>134 (3), pp.1163-1224</w:t>
      </w:r>
    </w:p>
    <w:p w14:paraId="75C1C3CF" w14:textId="712F6E5A" w:rsidR="001C19B5" w:rsidRDefault="001C19B5" w:rsidP="001C19B5">
      <w:pPr>
        <w:spacing w:line="360" w:lineRule="auto"/>
        <w:rPr>
          <w:rFonts w:ascii="Arial" w:hAnsi="Arial" w:cs="Arial"/>
          <w:sz w:val="24"/>
          <w:szCs w:val="24"/>
        </w:rPr>
      </w:pPr>
      <w:r>
        <w:rPr>
          <w:rFonts w:ascii="Arial" w:hAnsi="Arial" w:cs="Arial"/>
          <w:sz w:val="24"/>
          <w:szCs w:val="24"/>
        </w:rPr>
        <w:lastRenderedPageBreak/>
        <w:t xml:space="preserve">Carrasquillo, Gilbert, (2021), </w:t>
      </w:r>
      <w:r>
        <w:rPr>
          <w:rFonts w:ascii="Arial" w:hAnsi="Arial" w:cs="Arial"/>
          <w:i/>
          <w:iCs/>
          <w:sz w:val="24"/>
          <w:szCs w:val="24"/>
        </w:rPr>
        <w:t>Trixie Mattel</w:t>
      </w:r>
      <w:r>
        <w:rPr>
          <w:rFonts w:ascii="Arial" w:hAnsi="Arial" w:cs="Arial"/>
          <w:sz w:val="24"/>
          <w:szCs w:val="24"/>
        </w:rPr>
        <w:t xml:space="preserve">, accompanies Michael Segalov, ‘Sunday with Trixie Mattel: ‘I refuse to stop – every day is a Monday’, </w:t>
      </w:r>
      <w:r>
        <w:rPr>
          <w:rFonts w:ascii="Arial" w:hAnsi="Arial" w:cs="Arial"/>
          <w:i/>
          <w:iCs/>
          <w:sz w:val="24"/>
          <w:szCs w:val="24"/>
        </w:rPr>
        <w:t xml:space="preserve">The Guardian, </w:t>
      </w:r>
      <w:r>
        <w:rPr>
          <w:rFonts w:ascii="Arial" w:hAnsi="Arial" w:cs="Arial"/>
          <w:sz w:val="24"/>
          <w:szCs w:val="24"/>
        </w:rPr>
        <w:t xml:space="preserve">Accessed via: </w:t>
      </w:r>
      <w:hyperlink r:id="rId9" w:history="1">
        <w:r w:rsidRPr="00474D13">
          <w:rPr>
            <w:rStyle w:val="Hyperlink"/>
            <w:rFonts w:ascii="Arial" w:hAnsi="Arial" w:cs="Arial"/>
            <w:sz w:val="24"/>
            <w:szCs w:val="24"/>
          </w:rPr>
          <w:t>Sunday with Trixie Mattel: ‘I refuse to stop – every day is a Monday’ | Sunday with… | The Guardian</w:t>
        </w:r>
      </w:hyperlink>
      <w:r w:rsidRPr="00474D13">
        <w:rPr>
          <w:rFonts w:ascii="Arial" w:hAnsi="Arial" w:cs="Arial"/>
          <w:sz w:val="24"/>
          <w:szCs w:val="24"/>
        </w:rPr>
        <w:t>, Accessed on: 17/12/22</w:t>
      </w:r>
    </w:p>
    <w:p w14:paraId="57088EF5" w14:textId="46FA6FA9" w:rsidR="00C90572" w:rsidRDefault="00C90572" w:rsidP="00C90572">
      <w:pPr>
        <w:spacing w:line="360" w:lineRule="auto"/>
        <w:rPr>
          <w:rFonts w:ascii="Arial" w:hAnsi="Arial" w:cs="Arial"/>
          <w:sz w:val="24"/>
          <w:szCs w:val="24"/>
        </w:rPr>
      </w:pPr>
      <w:r>
        <w:rPr>
          <w:rFonts w:ascii="Arial" w:hAnsi="Arial" w:cs="Arial"/>
          <w:sz w:val="24"/>
          <w:szCs w:val="24"/>
        </w:rPr>
        <w:t xml:space="preserve">Carretta, Rachel; Szymanski, Dawn M., and DeVore, Elliott, (2019), ‘Predictors of disordered eating and acceptance of cosmetic surgery among grad queen performers’, </w:t>
      </w:r>
      <w:r>
        <w:rPr>
          <w:rFonts w:ascii="Arial" w:hAnsi="Arial" w:cs="Arial"/>
          <w:i/>
          <w:iCs/>
          <w:sz w:val="24"/>
          <w:szCs w:val="24"/>
        </w:rPr>
        <w:t xml:space="preserve">Body image, </w:t>
      </w:r>
      <w:r>
        <w:rPr>
          <w:rFonts w:ascii="Arial" w:hAnsi="Arial" w:cs="Arial"/>
          <w:sz w:val="24"/>
          <w:szCs w:val="24"/>
        </w:rPr>
        <w:t>30, pp.64-74</w:t>
      </w:r>
    </w:p>
    <w:p w14:paraId="109A705A" w14:textId="4D0A598F" w:rsidR="003C55E7" w:rsidRDefault="003C55E7" w:rsidP="00C90572">
      <w:pPr>
        <w:spacing w:line="360" w:lineRule="auto"/>
        <w:rPr>
          <w:rFonts w:ascii="Arial" w:hAnsi="Arial" w:cs="Arial"/>
          <w:i/>
          <w:iCs/>
          <w:sz w:val="24"/>
          <w:szCs w:val="24"/>
        </w:rPr>
      </w:pPr>
      <w:r>
        <w:rPr>
          <w:rFonts w:ascii="Arial" w:hAnsi="Arial" w:cs="Arial"/>
          <w:sz w:val="24"/>
          <w:szCs w:val="24"/>
        </w:rPr>
        <w:t xml:space="preserve">Connell, R., (1992), </w:t>
      </w:r>
      <w:r>
        <w:rPr>
          <w:rFonts w:ascii="Arial" w:hAnsi="Arial" w:cs="Arial"/>
          <w:i/>
          <w:iCs/>
          <w:sz w:val="24"/>
          <w:szCs w:val="24"/>
        </w:rPr>
        <w:t>Masculinities,</w:t>
      </w:r>
      <w:r>
        <w:rPr>
          <w:rFonts w:ascii="Arial" w:hAnsi="Arial" w:cs="Arial"/>
          <w:sz w:val="24"/>
          <w:szCs w:val="24"/>
        </w:rPr>
        <w:t xml:space="preserve"> Berkeley: University of California Press</w:t>
      </w:r>
      <w:r>
        <w:rPr>
          <w:rFonts w:ascii="Arial" w:hAnsi="Arial" w:cs="Arial"/>
          <w:i/>
          <w:iCs/>
          <w:sz w:val="24"/>
          <w:szCs w:val="24"/>
        </w:rPr>
        <w:t xml:space="preserve"> </w:t>
      </w:r>
    </w:p>
    <w:p w14:paraId="211AB238" w14:textId="08CD5D37" w:rsidR="008121A7" w:rsidRDefault="008121A7" w:rsidP="00C90572">
      <w:pPr>
        <w:spacing w:line="360" w:lineRule="auto"/>
        <w:rPr>
          <w:rFonts w:ascii="Arial" w:hAnsi="Arial" w:cs="Arial"/>
          <w:sz w:val="24"/>
          <w:szCs w:val="24"/>
        </w:rPr>
      </w:pPr>
      <w:r>
        <w:rPr>
          <w:rFonts w:ascii="Arial" w:hAnsi="Arial" w:cs="Arial"/>
          <w:sz w:val="24"/>
          <w:szCs w:val="24"/>
        </w:rPr>
        <w:t xml:space="preserve">Corwin, A. I., (2009), ‘Language and gender variance: Constructing gender beyond the male/female binary’, </w:t>
      </w:r>
      <w:r>
        <w:rPr>
          <w:rFonts w:ascii="Arial" w:hAnsi="Arial" w:cs="Arial"/>
          <w:i/>
          <w:iCs/>
          <w:sz w:val="24"/>
          <w:szCs w:val="24"/>
        </w:rPr>
        <w:t xml:space="preserve">Electronic Journal of Human Sexuality, </w:t>
      </w:r>
      <w:r>
        <w:rPr>
          <w:rFonts w:ascii="Arial" w:hAnsi="Arial" w:cs="Arial"/>
          <w:sz w:val="24"/>
          <w:szCs w:val="24"/>
        </w:rPr>
        <w:t>12</w:t>
      </w:r>
      <w:r w:rsidR="00A24C83">
        <w:rPr>
          <w:rFonts w:ascii="Arial" w:hAnsi="Arial" w:cs="Arial"/>
          <w:sz w:val="24"/>
          <w:szCs w:val="24"/>
        </w:rPr>
        <w:t>, pp.1-19</w:t>
      </w:r>
    </w:p>
    <w:p w14:paraId="497DCE76" w14:textId="752AF053" w:rsidR="00A24C83" w:rsidRPr="00A24C83" w:rsidRDefault="00A24C83" w:rsidP="00C90572">
      <w:pPr>
        <w:spacing w:line="360" w:lineRule="auto"/>
        <w:rPr>
          <w:rFonts w:ascii="Arial" w:hAnsi="Arial" w:cs="Arial"/>
          <w:sz w:val="24"/>
          <w:szCs w:val="24"/>
        </w:rPr>
      </w:pPr>
      <w:r>
        <w:rPr>
          <w:rFonts w:ascii="Arial" w:hAnsi="Arial" w:cs="Arial"/>
          <w:sz w:val="24"/>
          <w:szCs w:val="24"/>
        </w:rPr>
        <w:t xml:space="preserve">Daems, Jim, (2014), </w:t>
      </w:r>
      <w:r>
        <w:rPr>
          <w:rFonts w:ascii="Arial" w:hAnsi="Arial" w:cs="Arial"/>
          <w:i/>
          <w:iCs/>
          <w:sz w:val="24"/>
          <w:szCs w:val="24"/>
        </w:rPr>
        <w:t xml:space="preserve">The Makeup of RuPaul’s Drag Race: Essays on the Queen of Reality Shows, </w:t>
      </w:r>
      <w:r>
        <w:rPr>
          <w:rFonts w:ascii="Arial" w:hAnsi="Arial" w:cs="Arial"/>
          <w:sz w:val="24"/>
          <w:szCs w:val="24"/>
        </w:rPr>
        <w:t>North Carolina: McFarland &amp; Company</w:t>
      </w:r>
    </w:p>
    <w:p w14:paraId="19159AC8" w14:textId="5FC24413" w:rsidR="00F206F5" w:rsidRDefault="00F206F5" w:rsidP="00C90572">
      <w:pPr>
        <w:spacing w:line="360" w:lineRule="auto"/>
        <w:rPr>
          <w:rFonts w:ascii="Arial" w:hAnsi="Arial" w:cs="Arial"/>
          <w:sz w:val="24"/>
          <w:szCs w:val="24"/>
        </w:rPr>
      </w:pPr>
      <w:r w:rsidRPr="00405216">
        <w:rPr>
          <w:rFonts w:ascii="Arial" w:hAnsi="Arial" w:cs="Arial"/>
          <w:sz w:val="24"/>
          <w:szCs w:val="24"/>
        </w:rPr>
        <w:t xml:space="preserve">Darnell, A. L., and Tabatabai, A., (2017), ‘The werk that remains: Drag and the mining of the idealized female form’, In N. Brennan &amp; D. Gudelunas (Eds.), </w:t>
      </w:r>
      <w:r w:rsidRPr="00405216">
        <w:rPr>
          <w:rFonts w:ascii="Arial" w:hAnsi="Arial" w:cs="Arial"/>
          <w:i/>
          <w:iCs/>
          <w:sz w:val="24"/>
          <w:szCs w:val="24"/>
        </w:rPr>
        <w:t>RuPaul’s drag face and the shifting visibility of drag culture,</w:t>
      </w:r>
      <w:r w:rsidRPr="00405216">
        <w:rPr>
          <w:rFonts w:ascii="Arial" w:hAnsi="Arial" w:cs="Arial"/>
          <w:sz w:val="24"/>
          <w:szCs w:val="24"/>
        </w:rPr>
        <w:t xml:space="preserve"> Cham: Springer Nature, pp. 91–101</w:t>
      </w:r>
    </w:p>
    <w:p w14:paraId="3ABA677E" w14:textId="3C8BA0F6" w:rsidR="0096098F" w:rsidRPr="0096098F" w:rsidRDefault="0096098F" w:rsidP="00C90572">
      <w:pPr>
        <w:spacing w:line="360" w:lineRule="auto"/>
        <w:rPr>
          <w:rFonts w:ascii="Arial" w:hAnsi="Arial" w:cs="Arial"/>
          <w:sz w:val="36"/>
          <w:szCs w:val="36"/>
        </w:rPr>
      </w:pPr>
      <w:r w:rsidRPr="00F45778">
        <w:rPr>
          <w:rFonts w:ascii="Arial" w:hAnsi="Arial" w:cs="Arial"/>
          <w:sz w:val="24"/>
          <w:szCs w:val="24"/>
        </w:rPr>
        <w:t xml:space="preserve">Devor, H., (2002), ‘Who are “we”? Where sexual orientation meets gender identity’, </w:t>
      </w:r>
      <w:r w:rsidRPr="00F45778">
        <w:rPr>
          <w:rFonts w:ascii="Arial" w:hAnsi="Arial" w:cs="Arial"/>
          <w:i/>
          <w:iCs/>
          <w:sz w:val="24"/>
          <w:szCs w:val="24"/>
        </w:rPr>
        <w:t>Journal of Gay &amp; Lesbian Psychotherapy</w:t>
      </w:r>
      <w:r w:rsidRPr="00F45778">
        <w:rPr>
          <w:rFonts w:ascii="Arial" w:hAnsi="Arial" w:cs="Arial"/>
          <w:sz w:val="24"/>
          <w:szCs w:val="24"/>
        </w:rPr>
        <w:t>, 6, pp.5–21</w:t>
      </w:r>
    </w:p>
    <w:p w14:paraId="0B3DBCC4" w14:textId="649C3CA8" w:rsidR="00373D82" w:rsidRPr="00373D82" w:rsidRDefault="00373D82" w:rsidP="00C90572">
      <w:pPr>
        <w:spacing w:line="360" w:lineRule="auto"/>
        <w:rPr>
          <w:rFonts w:ascii="Arial" w:hAnsi="Arial" w:cs="Arial"/>
          <w:sz w:val="24"/>
          <w:szCs w:val="24"/>
        </w:rPr>
      </w:pPr>
      <w:r w:rsidRPr="00B021B5">
        <w:rPr>
          <w:rFonts w:ascii="Arial" w:hAnsi="Arial" w:cs="Arial"/>
          <w:sz w:val="24"/>
          <w:szCs w:val="24"/>
        </w:rPr>
        <w:t>Dolan, Jill</w:t>
      </w:r>
      <w:r>
        <w:rPr>
          <w:rFonts w:ascii="Arial" w:hAnsi="Arial" w:cs="Arial"/>
          <w:sz w:val="24"/>
          <w:szCs w:val="24"/>
        </w:rPr>
        <w:t>,</w:t>
      </w:r>
      <w:r w:rsidRPr="00B021B5">
        <w:rPr>
          <w:rFonts w:ascii="Arial" w:hAnsi="Arial" w:cs="Arial"/>
          <w:sz w:val="24"/>
          <w:szCs w:val="24"/>
        </w:rPr>
        <w:t xml:space="preserve"> (1985)</w:t>
      </w:r>
      <w:r>
        <w:rPr>
          <w:rFonts w:ascii="Arial" w:hAnsi="Arial" w:cs="Arial"/>
          <w:sz w:val="24"/>
          <w:szCs w:val="24"/>
        </w:rPr>
        <w:t>,</w:t>
      </w:r>
      <w:r w:rsidRPr="00B021B5">
        <w:rPr>
          <w:rFonts w:ascii="Arial" w:hAnsi="Arial" w:cs="Arial"/>
          <w:sz w:val="24"/>
          <w:szCs w:val="24"/>
        </w:rPr>
        <w:t xml:space="preserve"> ‘Gender Impersonation Onstage: Destroying or Maintaining</w:t>
      </w:r>
      <w:r>
        <w:rPr>
          <w:rFonts w:ascii="Arial" w:hAnsi="Arial" w:cs="Arial"/>
          <w:sz w:val="24"/>
          <w:szCs w:val="24"/>
        </w:rPr>
        <w:t xml:space="preserve"> </w:t>
      </w:r>
      <w:r w:rsidRPr="00B021B5">
        <w:rPr>
          <w:rFonts w:ascii="Arial" w:hAnsi="Arial" w:cs="Arial"/>
          <w:sz w:val="24"/>
          <w:szCs w:val="24"/>
        </w:rPr>
        <w:t>the Mirror of Gender Roles?’</w:t>
      </w:r>
      <w:r>
        <w:rPr>
          <w:rFonts w:ascii="Arial" w:hAnsi="Arial" w:cs="Arial"/>
          <w:sz w:val="24"/>
          <w:szCs w:val="24"/>
        </w:rPr>
        <w:t>,</w:t>
      </w:r>
      <w:r w:rsidRPr="00B021B5">
        <w:rPr>
          <w:rFonts w:ascii="Arial" w:hAnsi="Arial" w:cs="Arial"/>
          <w:sz w:val="24"/>
          <w:szCs w:val="24"/>
        </w:rPr>
        <w:t xml:space="preserve"> </w:t>
      </w:r>
      <w:r w:rsidRPr="00B021B5">
        <w:rPr>
          <w:rFonts w:ascii="Arial" w:hAnsi="Arial" w:cs="Arial"/>
          <w:i/>
          <w:iCs/>
          <w:sz w:val="24"/>
          <w:szCs w:val="24"/>
        </w:rPr>
        <w:t>Women and Performance: A Journal of Feminist</w:t>
      </w:r>
      <w:r>
        <w:rPr>
          <w:rFonts w:ascii="Arial" w:hAnsi="Arial" w:cs="Arial"/>
          <w:i/>
          <w:iCs/>
          <w:sz w:val="24"/>
          <w:szCs w:val="24"/>
        </w:rPr>
        <w:t xml:space="preserve"> </w:t>
      </w:r>
      <w:r w:rsidRPr="00B021B5">
        <w:rPr>
          <w:rFonts w:ascii="Arial" w:hAnsi="Arial" w:cs="Arial"/>
          <w:i/>
          <w:iCs/>
          <w:sz w:val="24"/>
          <w:szCs w:val="24"/>
        </w:rPr>
        <w:t>Theory</w:t>
      </w:r>
      <w:r>
        <w:rPr>
          <w:rFonts w:ascii="Arial" w:hAnsi="Arial" w:cs="Arial"/>
          <w:i/>
          <w:iCs/>
          <w:sz w:val="24"/>
          <w:szCs w:val="24"/>
        </w:rPr>
        <w:t>,</w:t>
      </w:r>
      <w:r w:rsidRPr="00B021B5">
        <w:rPr>
          <w:rFonts w:ascii="Arial" w:hAnsi="Arial" w:cs="Arial"/>
          <w:i/>
          <w:iCs/>
          <w:sz w:val="24"/>
          <w:szCs w:val="24"/>
        </w:rPr>
        <w:t xml:space="preserve"> </w:t>
      </w:r>
      <w:r w:rsidRPr="00B021B5">
        <w:rPr>
          <w:rFonts w:ascii="Arial" w:hAnsi="Arial" w:cs="Arial"/>
          <w:sz w:val="24"/>
          <w:szCs w:val="24"/>
        </w:rPr>
        <w:t>2</w:t>
      </w:r>
      <w:r>
        <w:rPr>
          <w:rFonts w:ascii="Arial" w:hAnsi="Arial" w:cs="Arial"/>
          <w:sz w:val="24"/>
          <w:szCs w:val="24"/>
        </w:rPr>
        <w:t xml:space="preserve"> </w:t>
      </w:r>
      <w:r w:rsidRPr="00B021B5">
        <w:rPr>
          <w:rFonts w:ascii="Arial" w:hAnsi="Arial" w:cs="Arial"/>
          <w:sz w:val="24"/>
          <w:szCs w:val="24"/>
        </w:rPr>
        <w:t>(2)</w:t>
      </w:r>
      <w:r>
        <w:rPr>
          <w:rFonts w:ascii="Arial" w:hAnsi="Arial" w:cs="Arial"/>
          <w:sz w:val="24"/>
          <w:szCs w:val="24"/>
        </w:rPr>
        <w:t>,</w:t>
      </w:r>
      <w:r w:rsidRPr="00B021B5">
        <w:rPr>
          <w:rFonts w:ascii="Arial" w:hAnsi="Arial" w:cs="Arial"/>
          <w:sz w:val="24"/>
          <w:szCs w:val="24"/>
        </w:rPr>
        <w:t xml:space="preserve"> </w:t>
      </w:r>
      <w:r>
        <w:rPr>
          <w:rFonts w:ascii="Arial" w:hAnsi="Arial" w:cs="Arial"/>
          <w:sz w:val="24"/>
          <w:szCs w:val="24"/>
        </w:rPr>
        <w:t>pp.</w:t>
      </w:r>
      <w:r w:rsidRPr="00B021B5">
        <w:rPr>
          <w:rFonts w:ascii="Arial" w:hAnsi="Arial" w:cs="Arial"/>
          <w:sz w:val="24"/>
          <w:szCs w:val="24"/>
        </w:rPr>
        <w:t>5–11</w:t>
      </w:r>
    </w:p>
    <w:p w14:paraId="7273E270" w14:textId="008BD26B" w:rsidR="001C19B5" w:rsidRDefault="001C19B5" w:rsidP="001C19B5">
      <w:pPr>
        <w:spacing w:line="360" w:lineRule="auto"/>
        <w:rPr>
          <w:rFonts w:ascii="Arial" w:hAnsi="Arial" w:cs="Arial"/>
          <w:sz w:val="24"/>
          <w:szCs w:val="24"/>
        </w:rPr>
      </w:pPr>
      <w:r>
        <w:rPr>
          <w:rFonts w:ascii="Arial" w:hAnsi="Arial" w:cs="Arial"/>
          <w:sz w:val="24"/>
          <w:szCs w:val="24"/>
        </w:rPr>
        <w:t xml:space="preserve">Ellemers, Naomi, (2018), ‘Gender stereotypes’, </w:t>
      </w:r>
      <w:r>
        <w:rPr>
          <w:rFonts w:ascii="Arial" w:hAnsi="Arial" w:cs="Arial"/>
          <w:i/>
          <w:iCs/>
          <w:sz w:val="24"/>
          <w:szCs w:val="24"/>
        </w:rPr>
        <w:t xml:space="preserve">Annual review of psychology, </w:t>
      </w:r>
      <w:r>
        <w:rPr>
          <w:rFonts w:ascii="Arial" w:hAnsi="Arial" w:cs="Arial"/>
          <w:sz w:val="24"/>
          <w:szCs w:val="24"/>
        </w:rPr>
        <w:t>69 (1), pp.275-298</w:t>
      </w:r>
    </w:p>
    <w:p w14:paraId="0F1408BF" w14:textId="6F975186" w:rsidR="0008664D" w:rsidRDefault="0008664D" w:rsidP="001C19B5">
      <w:pPr>
        <w:spacing w:line="360" w:lineRule="auto"/>
        <w:rPr>
          <w:rFonts w:ascii="Arial" w:hAnsi="Arial" w:cs="Arial"/>
          <w:sz w:val="24"/>
          <w:szCs w:val="24"/>
        </w:rPr>
      </w:pPr>
      <w:r>
        <w:rPr>
          <w:rFonts w:ascii="Arial" w:hAnsi="Arial" w:cs="Arial"/>
          <w:sz w:val="24"/>
          <w:szCs w:val="24"/>
        </w:rPr>
        <w:t xml:space="preserve">Ellis, Justin R.; Ashford, Chris and Maine, Alexander, (2022), ‘A Fairy Tale Gone Wrong: Social media, Recursive Hate and the Politicisation of Drag Queen Storytime, </w:t>
      </w:r>
      <w:r>
        <w:rPr>
          <w:rFonts w:ascii="Arial" w:hAnsi="Arial" w:cs="Arial"/>
          <w:i/>
          <w:iCs/>
          <w:sz w:val="24"/>
          <w:szCs w:val="24"/>
        </w:rPr>
        <w:t xml:space="preserve">Journal of criminal law, </w:t>
      </w:r>
      <w:r>
        <w:rPr>
          <w:rFonts w:ascii="Arial" w:hAnsi="Arial" w:cs="Arial"/>
          <w:sz w:val="24"/>
          <w:szCs w:val="24"/>
        </w:rPr>
        <w:t>86 (2), pp.94—108</w:t>
      </w:r>
    </w:p>
    <w:p w14:paraId="42F64752" w14:textId="77777777" w:rsidR="00FD772E" w:rsidRDefault="00FD772E" w:rsidP="00FD772E">
      <w:pPr>
        <w:spacing w:line="360" w:lineRule="auto"/>
        <w:rPr>
          <w:rFonts w:ascii="Arial" w:hAnsi="Arial" w:cs="Arial"/>
          <w:sz w:val="24"/>
          <w:szCs w:val="24"/>
        </w:rPr>
      </w:pPr>
      <w:r w:rsidRPr="00333449">
        <w:rPr>
          <w:rFonts w:ascii="Arial" w:hAnsi="Arial" w:cs="Arial"/>
          <w:sz w:val="24"/>
          <w:szCs w:val="24"/>
        </w:rPr>
        <w:t>Fiske, S. T.</w:t>
      </w:r>
      <w:r>
        <w:rPr>
          <w:rFonts w:ascii="Arial" w:hAnsi="Arial" w:cs="Arial"/>
          <w:sz w:val="24"/>
          <w:szCs w:val="24"/>
        </w:rPr>
        <w:t>,</w:t>
      </w:r>
      <w:r w:rsidRPr="00333449">
        <w:rPr>
          <w:rFonts w:ascii="Arial" w:hAnsi="Arial" w:cs="Arial"/>
          <w:sz w:val="24"/>
          <w:szCs w:val="24"/>
        </w:rPr>
        <w:t xml:space="preserve"> </w:t>
      </w:r>
      <w:r>
        <w:rPr>
          <w:rFonts w:ascii="Arial" w:hAnsi="Arial" w:cs="Arial"/>
          <w:sz w:val="24"/>
          <w:szCs w:val="24"/>
        </w:rPr>
        <w:t>(</w:t>
      </w:r>
      <w:r w:rsidRPr="00333449">
        <w:rPr>
          <w:rFonts w:ascii="Arial" w:hAnsi="Arial" w:cs="Arial"/>
          <w:sz w:val="24"/>
          <w:szCs w:val="24"/>
        </w:rPr>
        <w:t>1998</w:t>
      </w:r>
      <w:r>
        <w:rPr>
          <w:rFonts w:ascii="Arial" w:hAnsi="Arial" w:cs="Arial"/>
          <w:sz w:val="24"/>
          <w:szCs w:val="24"/>
        </w:rPr>
        <w:t>),</w:t>
      </w:r>
      <w:r w:rsidRPr="00333449">
        <w:rPr>
          <w:rFonts w:ascii="Arial" w:hAnsi="Arial" w:cs="Arial"/>
          <w:sz w:val="24"/>
          <w:szCs w:val="24"/>
        </w:rPr>
        <w:t xml:space="preserve"> </w:t>
      </w:r>
      <w:r>
        <w:rPr>
          <w:rFonts w:ascii="Arial" w:hAnsi="Arial" w:cs="Arial"/>
          <w:sz w:val="24"/>
          <w:szCs w:val="24"/>
        </w:rPr>
        <w:t>‘</w:t>
      </w:r>
      <w:r w:rsidRPr="00333449">
        <w:rPr>
          <w:rFonts w:ascii="Arial" w:hAnsi="Arial" w:cs="Arial"/>
          <w:sz w:val="24"/>
          <w:szCs w:val="24"/>
        </w:rPr>
        <w:t>Stereotyping, prejudice, and discrimination</w:t>
      </w:r>
      <w:r>
        <w:rPr>
          <w:rFonts w:ascii="Arial" w:hAnsi="Arial" w:cs="Arial"/>
          <w:sz w:val="24"/>
          <w:szCs w:val="24"/>
        </w:rPr>
        <w:t>’,</w:t>
      </w:r>
      <w:r w:rsidRPr="00333449">
        <w:rPr>
          <w:rFonts w:ascii="Arial" w:hAnsi="Arial" w:cs="Arial"/>
          <w:sz w:val="24"/>
          <w:szCs w:val="24"/>
        </w:rPr>
        <w:t xml:space="preserve"> In D. T. Gilbert </w:t>
      </w:r>
      <w:r>
        <w:rPr>
          <w:rFonts w:ascii="Arial" w:hAnsi="Arial" w:cs="Arial"/>
          <w:sz w:val="24"/>
          <w:szCs w:val="24"/>
        </w:rPr>
        <w:t>and</w:t>
      </w:r>
      <w:r w:rsidRPr="00333449">
        <w:rPr>
          <w:rFonts w:ascii="Arial" w:hAnsi="Arial" w:cs="Arial"/>
          <w:sz w:val="24"/>
          <w:szCs w:val="24"/>
        </w:rPr>
        <w:t xml:space="preserve"> S. T. Fiske (Eds),</w:t>
      </w:r>
      <w:r w:rsidRPr="00333449">
        <w:rPr>
          <w:rFonts w:ascii="Arial" w:hAnsi="Arial" w:cs="Arial"/>
          <w:i/>
          <w:iCs/>
          <w:sz w:val="24"/>
          <w:szCs w:val="24"/>
        </w:rPr>
        <w:t>Handbook of social psychology(4th ed.)</w:t>
      </w:r>
      <w:r>
        <w:rPr>
          <w:rFonts w:ascii="Arial" w:hAnsi="Arial" w:cs="Arial"/>
          <w:i/>
          <w:iCs/>
          <w:sz w:val="24"/>
          <w:szCs w:val="24"/>
        </w:rPr>
        <w:t>,</w:t>
      </w:r>
      <w:r w:rsidRPr="00333449">
        <w:rPr>
          <w:rFonts w:ascii="Arial" w:hAnsi="Arial" w:cs="Arial"/>
          <w:sz w:val="24"/>
          <w:szCs w:val="24"/>
        </w:rPr>
        <w:t xml:space="preserve"> Boston: McGraw-Hill</w:t>
      </w:r>
      <w:r>
        <w:rPr>
          <w:rFonts w:ascii="Arial" w:hAnsi="Arial" w:cs="Arial"/>
          <w:sz w:val="24"/>
          <w:szCs w:val="24"/>
        </w:rPr>
        <w:t>, pp.</w:t>
      </w:r>
      <w:r w:rsidRPr="00333449">
        <w:rPr>
          <w:rFonts w:ascii="Arial" w:hAnsi="Arial" w:cs="Arial"/>
          <w:sz w:val="24"/>
          <w:szCs w:val="24"/>
        </w:rPr>
        <w:t xml:space="preserve"> 357-411</w:t>
      </w:r>
    </w:p>
    <w:p w14:paraId="3F052201" w14:textId="0D558742" w:rsidR="00FD772E" w:rsidRDefault="00FD772E" w:rsidP="001C19B5">
      <w:pPr>
        <w:spacing w:line="360" w:lineRule="auto"/>
        <w:rPr>
          <w:rFonts w:ascii="Arial" w:hAnsi="Arial" w:cs="Arial"/>
          <w:sz w:val="24"/>
          <w:szCs w:val="24"/>
        </w:rPr>
      </w:pPr>
      <w:r w:rsidRPr="00333449">
        <w:rPr>
          <w:rFonts w:ascii="Arial" w:hAnsi="Arial" w:cs="Arial"/>
          <w:sz w:val="24"/>
          <w:szCs w:val="24"/>
        </w:rPr>
        <w:lastRenderedPageBreak/>
        <w:t>Fiske, S. T.</w:t>
      </w:r>
      <w:r>
        <w:rPr>
          <w:rFonts w:ascii="Arial" w:hAnsi="Arial" w:cs="Arial"/>
          <w:sz w:val="24"/>
          <w:szCs w:val="24"/>
        </w:rPr>
        <w:t>,</w:t>
      </w:r>
      <w:r w:rsidRPr="00333449">
        <w:rPr>
          <w:rFonts w:ascii="Arial" w:hAnsi="Arial" w:cs="Arial"/>
          <w:sz w:val="24"/>
          <w:szCs w:val="24"/>
        </w:rPr>
        <w:t xml:space="preserve"> </w:t>
      </w:r>
      <w:r>
        <w:rPr>
          <w:rFonts w:ascii="Arial" w:hAnsi="Arial" w:cs="Arial"/>
          <w:sz w:val="24"/>
          <w:szCs w:val="24"/>
        </w:rPr>
        <w:t>(</w:t>
      </w:r>
      <w:r w:rsidRPr="00333449">
        <w:rPr>
          <w:rFonts w:ascii="Arial" w:hAnsi="Arial" w:cs="Arial"/>
          <w:sz w:val="24"/>
          <w:szCs w:val="24"/>
        </w:rPr>
        <w:t>2004</w:t>
      </w:r>
      <w:r>
        <w:rPr>
          <w:rFonts w:ascii="Arial" w:hAnsi="Arial" w:cs="Arial"/>
          <w:sz w:val="24"/>
          <w:szCs w:val="24"/>
        </w:rPr>
        <w:t>),</w:t>
      </w:r>
      <w:r w:rsidRPr="00333449">
        <w:rPr>
          <w:rFonts w:ascii="Arial" w:hAnsi="Arial" w:cs="Arial"/>
          <w:sz w:val="24"/>
          <w:szCs w:val="24"/>
        </w:rPr>
        <w:t xml:space="preserve"> </w:t>
      </w:r>
      <w:r>
        <w:rPr>
          <w:rFonts w:ascii="Arial" w:hAnsi="Arial" w:cs="Arial"/>
          <w:sz w:val="24"/>
          <w:szCs w:val="24"/>
        </w:rPr>
        <w:t>‘</w:t>
      </w:r>
      <w:r w:rsidRPr="00333449">
        <w:rPr>
          <w:rFonts w:ascii="Arial" w:hAnsi="Arial" w:cs="Arial"/>
          <w:sz w:val="24"/>
          <w:szCs w:val="24"/>
        </w:rPr>
        <w:t>Intent and ordinary bias: Unintended thought and social motivation create casual prejudice</w:t>
      </w:r>
      <w:r>
        <w:rPr>
          <w:rFonts w:ascii="Arial" w:hAnsi="Arial" w:cs="Arial"/>
          <w:sz w:val="24"/>
          <w:szCs w:val="24"/>
        </w:rPr>
        <w:t>’,</w:t>
      </w:r>
      <w:r w:rsidRPr="00333449">
        <w:rPr>
          <w:rFonts w:ascii="Arial" w:hAnsi="Arial" w:cs="Arial"/>
          <w:sz w:val="24"/>
          <w:szCs w:val="24"/>
        </w:rPr>
        <w:t xml:space="preserve"> </w:t>
      </w:r>
      <w:r w:rsidRPr="00333449">
        <w:rPr>
          <w:rFonts w:ascii="Arial" w:hAnsi="Arial" w:cs="Arial"/>
          <w:i/>
          <w:iCs/>
          <w:sz w:val="24"/>
          <w:szCs w:val="24"/>
        </w:rPr>
        <w:t>Social Justice Research</w:t>
      </w:r>
      <w:r w:rsidRPr="00333449">
        <w:rPr>
          <w:rFonts w:ascii="Arial" w:hAnsi="Arial" w:cs="Arial"/>
          <w:sz w:val="24"/>
          <w:szCs w:val="24"/>
        </w:rPr>
        <w:t>, 17</w:t>
      </w:r>
      <w:r>
        <w:rPr>
          <w:rFonts w:ascii="Arial" w:hAnsi="Arial" w:cs="Arial"/>
          <w:sz w:val="24"/>
          <w:szCs w:val="24"/>
        </w:rPr>
        <w:t>, pp.</w:t>
      </w:r>
      <w:r w:rsidRPr="00333449">
        <w:rPr>
          <w:rFonts w:ascii="Arial" w:hAnsi="Arial" w:cs="Arial"/>
          <w:sz w:val="24"/>
          <w:szCs w:val="24"/>
        </w:rPr>
        <w:t>117-127</w:t>
      </w:r>
    </w:p>
    <w:p w14:paraId="1538F04A" w14:textId="24673485" w:rsidR="00B76C21" w:rsidRDefault="00B76C21" w:rsidP="001C19B5">
      <w:pPr>
        <w:spacing w:line="360" w:lineRule="auto"/>
        <w:rPr>
          <w:rFonts w:ascii="Arial" w:hAnsi="Arial" w:cs="Arial"/>
          <w:sz w:val="24"/>
          <w:szCs w:val="24"/>
        </w:rPr>
      </w:pPr>
      <w:r w:rsidRPr="00333449">
        <w:rPr>
          <w:rFonts w:ascii="Arial" w:hAnsi="Arial" w:cs="Arial"/>
          <w:sz w:val="24"/>
          <w:szCs w:val="24"/>
        </w:rPr>
        <w:t xml:space="preserve">Fiske, S.  T., </w:t>
      </w:r>
      <w:r>
        <w:rPr>
          <w:rFonts w:ascii="Arial" w:hAnsi="Arial" w:cs="Arial"/>
          <w:sz w:val="24"/>
          <w:szCs w:val="24"/>
        </w:rPr>
        <w:t>and</w:t>
      </w:r>
      <w:r w:rsidRPr="00333449">
        <w:rPr>
          <w:rFonts w:ascii="Arial" w:hAnsi="Arial" w:cs="Arial"/>
          <w:sz w:val="24"/>
          <w:szCs w:val="24"/>
        </w:rPr>
        <w:t xml:space="preserve"> Neuberg, S.</w:t>
      </w:r>
      <w:r>
        <w:rPr>
          <w:rFonts w:ascii="Arial" w:hAnsi="Arial" w:cs="Arial"/>
          <w:sz w:val="24"/>
          <w:szCs w:val="24"/>
        </w:rPr>
        <w:t>,</w:t>
      </w:r>
      <w:r w:rsidRPr="00333449">
        <w:rPr>
          <w:rFonts w:ascii="Arial" w:hAnsi="Arial" w:cs="Arial"/>
          <w:sz w:val="24"/>
          <w:szCs w:val="24"/>
        </w:rPr>
        <w:t xml:space="preserve"> </w:t>
      </w:r>
      <w:r>
        <w:rPr>
          <w:rFonts w:ascii="Arial" w:hAnsi="Arial" w:cs="Arial"/>
          <w:sz w:val="24"/>
          <w:szCs w:val="24"/>
        </w:rPr>
        <w:t>(</w:t>
      </w:r>
      <w:r w:rsidRPr="00333449">
        <w:rPr>
          <w:rFonts w:ascii="Arial" w:hAnsi="Arial" w:cs="Arial"/>
          <w:sz w:val="24"/>
          <w:szCs w:val="24"/>
        </w:rPr>
        <w:t>1990</w:t>
      </w:r>
      <w:r>
        <w:rPr>
          <w:rFonts w:ascii="Arial" w:hAnsi="Arial" w:cs="Arial"/>
          <w:sz w:val="24"/>
          <w:szCs w:val="24"/>
        </w:rPr>
        <w:t>),</w:t>
      </w:r>
      <w:r w:rsidRPr="00333449">
        <w:rPr>
          <w:rFonts w:ascii="Arial" w:hAnsi="Arial" w:cs="Arial"/>
          <w:sz w:val="24"/>
          <w:szCs w:val="24"/>
        </w:rPr>
        <w:t xml:space="preserve"> </w:t>
      </w:r>
      <w:r>
        <w:rPr>
          <w:rFonts w:ascii="Arial" w:hAnsi="Arial" w:cs="Arial"/>
          <w:sz w:val="24"/>
          <w:szCs w:val="24"/>
        </w:rPr>
        <w:t>‘</w:t>
      </w:r>
      <w:r w:rsidRPr="00333449">
        <w:rPr>
          <w:rFonts w:ascii="Arial" w:hAnsi="Arial" w:cs="Arial"/>
          <w:sz w:val="24"/>
          <w:szCs w:val="24"/>
        </w:rPr>
        <w:t>A continuum of impression formation, from category-based to individuation</w:t>
      </w:r>
      <w:r>
        <w:rPr>
          <w:rFonts w:ascii="Arial" w:hAnsi="Arial" w:cs="Arial"/>
          <w:sz w:val="24"/>
          <w:szCs w:val="24"/>
        </w:rPr>
        <w:t xml:space="preserve"> </w:t>
      </w:r>
      <w:r w:rsidRPr="00333449">
        <w:rPr>
          <w:rFonts w:ascii="Arial" w:hAnsi="Arial" w:cs="Arial"/>
          <w:sz w:val="24"/>
          <w:szCs w:val="24"/>
        </w:rPr>
        <w:t>processes:</w:t>
      </w:r>
      <w:r>
        <w:rPr>
          <w:rFonts w:ascii="Arial" w:hAnsi="Arial" w:cs="Arial"/>
          <w:sz w:val="24"/>
          <w:szCs w:val="24"/>
        </w:rPr>
        <w:t xml:space="preserve"> </w:t>
      </w:r>
      <w:r w:rsidRPr="00333449">
        <w:rPr>
          <w:rFonts w:ascii="Arial" w:hAnsi="Arial" w:cs="Arial"/>
          <w:sz w:val="24"/>
          <w:szCs w:val="24"/>
        </w:rPr>
        <w:t>Influences of information and motivation on attention and interpretation</w:t>
      </w:r>
      <w:r>
        <w:rPr>
          <w:rFonts w:ascii="Arial" w:hAnsi="Arial" w:cs="Arial"/>
          <w:sz w:val="24"/>
          <w:szCs w:val="24"/>
        </w:rPr>
        <w:t>’,</w:t>
      </w:r>
      <w:r w:rsidRPr="00333449">
        <w:rPr>
          <w:rFonts w:ascii="Arial" w:hAnsi="Arial" w:cs="Arial"/>
          <w:sz w:val="24"/>
          <w:szCs w:val="24"/>
        </w:rPr>
        <w:t xml:space="preserve"> </w:t>
      </w:r>
      <w:r w:rsidRPr="00333449">
        <w:rPr>
          <w:rFonts w:ascii="Arial" w:hAnsi="Arial" w:cs="Arial"/>
          <w:i/>
          <w:iCs/>
          <w:sz w:val="24"/>
          <w:szCs w:val="24"/>
        </w:rPr>
        <w:t>Advances in Experimental Social Psychology</w:t>
      </w:r>
      <w:r w:rsidRPr="00333449">
        <w:rPr>
          <w:rFonts w:ascii="Arial" w:hAnsi="Arial" w:cs="Arial"/>
          <w:sz w:val="24"/>
          <w:szCs w:val="24"/>
        </w:rPr>
        <w:t>,</w:t>
      </w:r>
      <w:r>
        <w:rPr>
          <w:rFonts w:ascii="Arial" w:hAnsi="Arial" w:cs="Arial"/>
          <w:sz w:val="24"/>
          <w:szCs w:val="24"/>
        </w:rPr>
        <w:t xml:space="preserve"> </w:t>
      </w:r>
      <w:r w:rsidRPr="00333449">
        <w:rPr>
          <w:rFonts w:ascii="Arial" w:hAnsi="Arial" w:cs="Arial"/>
          <w:sz w:val="24"/>
          <w:szCs w:val="24"/>
        </w:rPr>
        <w:t>23</w:t>
      </w:r>
      <w:r>
        <w:rPr>
          <w:rFonts w:ascii="Arial" w:hAnsi="Arial" w:cs="Arial"/>
          <w:sz w:val="24"/>
          <w:szCs w:val="24"/>
        </w:rPr>
        <w:t>, pp.</w:t>
      </w:r>
      <w:r w:rsidRPr="00333449">
        <w:rPr>
          <w:rFonts w:ascii="Arial" w:hAnsi="Arial" w:cs="Arial"/>
          <w:sz w:val="24"/>
          <w:szCs w:val="24"/>
        </w:rPr>
        <w:t>1-74</w:t>
      </w:r>
    </w:p>
    <w:p w14:paraId="26569BD3" w14:textId="46329A8E" w:rsidR="00B76C21" w:rsidRDefault="00B76C21" w:rsidP="001C19B5">
      <w:pPr>
        <w:spacing w:line="360" w:lineRule="auto"/>
        <w:rPr>
          <w:rFonts w:ascii="Arial" w:hAnsi="Arial" w:cs="Arial"/>
          <w:sz w:val="24"/>
          <w:szCs w:val="24"/>
        </w:rPr>
      </w:pPr>
      <w:r>
        <w:rPr>
          <w:rFonts w:ascii="Arial" w:hAnsi="Arial" w:cs="Arial"/>
          <w:sz w:val="24"/>
          <w:szCs w:val="24"/>
        </w:rPr>
        <w:t xml:space="preserve">Fiske, S. T., and Taylor, S. E., (1991), </w:t>
      </w:r>
      <w:r>
        <w:rPr>
          <w:rFonts w:ascii="Arial" w:hAnsi="Arial" w:cs="Arial"/>
          <w:i/>
          <w:iCs/>
          <w:sz w:val="24"/>
          <w:szCs w:val="24"/>
        </w:rPr>
        <w:t xml:space="preserve">Social Cognition, </w:t>
      </w:r>
      <w:r>
        <w:rPr>
          <w:rFonts w:ascii="Arial" w:hAnsi="Arial" w:cs="Arial"/>
          <w:sz w:val="24"/>
          <w:szCs w:val="24"/>
        </w:rPr>
        <w:t>New York:</w:t>
      </w:r>
      <w:r w:rsidR="000A68AE">
        <w:rPr>
          <w:rFonts w:ascii="Arial" w:hAnsi="Arial" w:cs="Arial"/>
          <w:sz w:val="24"/>
          <w:szCs w:val="24"/>
        </w:rPr>
        <w:t xml:space="preserve"> </w:t>
      </w:r>
      <w:r>
        <w:rPr>
          <w:rFonts w:ascii="Arial" w:hAnsi="Arial" w:cs="Arial"/>
          <w:sz w:val="24"/>
          <w:szCs w:val="24"/>
        </w:rPr>
        <w:t>McGraw-Hill</w:t>
      </w:r>
    </w:p>
    <w:p w14:paraId="6412EE15" w14:textId="77777777" w:rsidR="007F2808" w:rsidRDefault="007F2808" w:rsidP="007F2808">
      <w:pPr>
        <w:spacing w:line="360" w:lineRule="auto"/>
        <w:rPr>
          <w:rFonts w:ascii="Arial" w:hAnsi="Arial" w:cs="Arial"/>
          <w:sz w:val="24"/>
          <w:szCs w:val="24"/>
        </w:rPr>
      </w:pPr>
      <w:r>
        <w:rPr>
          <w:rFonts w:ascii="Arial" w:hAnsi="Arial" w:cs="Arial"/>
          <w:sz w:val="24"/>
          <w:szCs w:val="24"/>
        </w:rPr>
        <w:t xml:space="preserve">Fox, Ragan, (2008), ‘Sober Drag Queens, Digital Forests, and Bloated ‘Lesbians’: Performing Gay Identities Online’, </w:t>
      </w:r>
      <w:r>
        <w:rPr>
          <w:rFonts w:ascii="Arial" w:hAnsi="Arial" w:cs="Arial"/>
          <w:i/>
          <w:iCs/>
          <w:sz w:val="24"/>
          <w:szCs w:val="24"/>
        </w:rPr>
        <w:t xml:space="preserve">Qualitative Inquiry, </w:t>
      </w:r>
      <w:r>
        <w:rPr>
          <w:rFonts w:ascii="Arial" w:hAnsi="Arial" w:cs="Arial"/>
          <w:sz w:val="24"/>
          <w:szCs w:val="24"/>
        </w:rPr>
        <w:t>14 )7), pp.1245-1263</w:t>
      </w:r>
    </w:p>
    <w:p w14:paraId="1E6000FF" w14:textId="38D67B4E" w:rsidR="007F2808" w:rsidRDefault="007F2808" w:rsidP="001C19B5">
      <w:pPr>
        <w:spacing w:line="360" w:lineRule="auto"/>
        <w:rPr>
          <w:rFonts w:ascii="Arial" w:hAnsi="Arial" w:cs="Arial"/>
          <w:sz w:val="24"/>
          <w:szCs w:val="24"/>
        </w:rPr>
      </w:pPr>
      <w:r w:rsidRPr="00C77EA6">
        <w:rPr>
          <w:rFonts w:ascii="Arial" w:hAnsi="Arial" w:cs="Arial"/>
          <w:sz w:val="24"/>
          <w:szCs w:val="24"/>
        </w:rPr>
        <w:t xml:space="preserve">Friedman, R. B., and Jones, A., (2011), ‘Corsets, headpieces, and tape: An ethnography of gendered performance’, </w:t>
      </w:r>
      <w:r w:rsidRPr="00C77EA6">
        <w:rPr>
          <w:rFonts w:ascii="Arial" w:hAnsi="Arial" w:cs="Arial"/>
          <w:i/>
          <w:iCs/>
          <w:sz w:val="24"/>
          <w:szCs w:val="24"/>
        </w:rPr>
        <w:t>Cross-Cultural Communication</w:t>
      </w:r>
      <w:r w:rsidRPr="00C77EA6">
        <w:rPr>
          <w:rFonts w:ascii="Arial" w:hAnsi="Arial" w:cs="Arial"/>
          <w:sz w:val="24"/>
          <w:szCs w:val="24"/>
        </w:rPr>
        <w:t>, 7, pp.82–91</w:t>
      </w:r>
    </w:p>
    <w:p w14:paraId="17452758" w14:textId="4470DD9D" w:rsidR="00373D82" w:rsidRDefault="00373D82" w:rsidP="001C19B5">
      <w:pPr>
        <w:spacing w:line="360" w:lineRule="auto"/>
        <w:rPr>
          <w:rFonts w:ascii="Arial" w:hAnsi="Arial" w:cs="Arial"/>
          <w:sz w:val="24"/>
          <w:szCs w:val="24"/>
        </w:rPr>
      </w:pPr>
      <w:r w:rsidRPr="00B021B5">
        <w:rPr>
          <w:rFonts w:ascii="Arial" w:hAnsi="Arial" w:cs="Arial"/>
          <w:sz w:val="24"/>
          <w:szCs w:val="24"/>
        </w:rPr>
        <w:t>Frye, Marilyn</w:t>
      </w:r>
      <w:r>
        <w:rPr>
          <w:rFonts w:ascii="Arial" w:hAnsi="Arial" w:cs="Arial"/>
          <w:sz w:val="24"/>
          <w:szCs w:val="24"/>
        </w:rPr>
        <w:t>,</w:t>
      </w:r>
      <w:r w:rsidRPr="00B021B5">
        <w:rPr>
          <w:rFonts w:ascii="Arial" w:hAnsi="Arial" w:cs="Arial"/>
          <w:sz w:val="24"/>
          <w:szCs w:val="24"/>
        </w:rPr>
        <w:t xml:space="preserve"> (1983)</w:t>
      </w:r>
      <w:r>
        <w:rPr>
          <w:rFonts w:ascii="Arial" w:hAnsi="Arial" w:cs="Arial"/>
          <w:sz w:val="24"/>
          <w:szCs w:val="24"/>
        </w:rPr>
        <w:t>,</w:t>
      </w:r>
      <w:r w:rsidRPr="00B021B5">
        <w:rPr>
          <w:rFonts w:ascii="Arial" w:hAnsi="Arial" w:cs="Arial"/>
          <w:sz w:val="24"/>
          <w:szCs w:val="24"/>
        </w:rPr>
        <w:t xml:space="preserve"> </w:t>
      </w:r>
      <w:r w:rsidRPr="00B021B5">
        <w:rPr>
          <w:rFonts w:ascii="Arial" w:hAnsi="Arial" w:cs="Arial"/>
          <w:i/>
          <w:iCs/>
          <w:sz w:val="24"/>
          <w:szCs w:val="24"/>
        </w:rPr>
        <w:t>Politics of Reality</w:t>
      </w:r>
      <w:r>
        <w:rPr>
          <w:rFonts w:ascii="Arial" w:hAnsi="Arial" w:cs="Arial"/>
          <w:sz w:val="24"/>
          <w:szCs w:val="24"/>
        </w:rPr>
        <w:t>,</w:t>
      </w:r>
      <w:r w:rsidRPr="00B021B5">
        <w:rPr>
          <w:rFonts w:ascii="Arial" w:hAnsi="Arial" w:cs="Arial"/>
          <w:sz w:val="24"/>
          <w:szCs w:val="24"/>
        </w:rPr>
        <w:t xml:space="preserve"> </w:t>
      </w:r>
      <w:r>
        <w:rPr>
          <w:rFonts w:ascii="Arial" w:hAnsi="Arial" w:cs="Arial"/>
          <w:sz w:val="24"/>
          <w:szCs w:val="24"/>
        </w:rPr>
        <w:t>California</w:t>
      </w:r>
      <w:r w:rsidRPr="00B021B5">
        <w:rPr>
          <w:rFonts w:ascii="Arial" w:hAnsi="Arial" w:cs="Arial"/>
          <w:sz w:val="24"/>
          <w:szCs w:val="24"/>
        </w:rPr>
        <w:t>: Crossing Press</w:t>
      </w:r>
    </w:p>
    <w:p w14:paraId="38F2BBEF" w14:textId="222FFD67" w:rsidR="00373D82" w:rsidRDefault="00373D82" w:rsidP="001C19B5">
      <w:pPr>
        <w:spacing w:line="360" w:lineRule="auto"/>
        <w:rPr>
          <w:rFonts w:ascii="Arial" w:hAnsi="Arial" w:cs="Arial"/>
          <w:sz w:val="24"/>
          <w:szCs w:val="24"/>
        </w:rPr>
      </w:pPr>
      <w:r w:rsidRPr="00B021B5">
        <w:rPr>
          <w:rFonts w:ascii="Arial" w:hAnsi="Arial" w:cs="Arial"/>
          <w:sz w:val="24"/>
          <w:szCs w:val="24"/>
        </w:rPr>
        <w:t>Gagné, Patricia and Tewksbury, Richard</w:t>
      </w:r>
      <w:r>
        <w:rPr>
          <w:rFonts w:ascii="Arial" w:hAnsi="Arial" w:cs="Arial"/>
          <w:sz w:val="24"/>
          <w:szCs w:val="24"/>
        </w:rPr>
        <w:t>,</w:t>
      </w:r>
      <w:r w:rsidRPr="00B021B5">
        <w:rPr>
          <w:rFonts w:ascii="Arial" w:hAnsi="Arial" w:cs="Arial"/>
          <w:sz w:val="24"/>
          <w:szCs w:val="24"/>
        </w:rPr>
        <w:t xml:space="preserve"> (1996)</w:t>
      </w:r>
      <w:r>
        <w:rPr>
          <w:rFonts w:ascii="Arial" w:hAnsi="Arial" w:cs="Arial"/>
          <w:sz w:val="24"/>
          <w:szCs w:val="24"/>
        </w:rPr>
        <w:t>,</w:t>
      </w:r>
      <w:r w:rsidRPr="00B021B5">
        <w:rPr>
          <w:rFonts w:ascii="Arial" w:hAnsi="Arial" w:cs="Arial"/>
          <w:sz w:val="24"/>
          <w:szCs w:val="24"/>
        </w:rPr>
        <w:t xml:space="preserve"> ‘No “Man’s” Land:</w:t>
      </w:r>
      <w:r>
        <w:rPr>
          <w:rFonts w:ascii="Arial" w:hAnsi="Arial" w:cs="Arial"/>
          <w:sz w:val="24"/>
          <w:szCs w:val="24"/>
        </w:rPr>
        <w:t xml:space="preserve"> </w:t>
      </w:r>
      <w:r w:rsidRPr="00B021B5">
        <w:rPr>
          <w:rFonts w:ascii="Arial" w:hAnsi="Arial" w:cs="Arial"/>
          <w:sz w:val="24"/>
          <w:szCs w:val="24"/>
        </w:rPr>
        <w:t>Transgenderism and the Stigma of the Feminine Man’, in</w:t>
      </w:r>
      <w:r>
        <w:rPr>
          <w:rFonts w:ascii="Arial" w:hAnsi="Arial" w:cs="Arial"/>
          <w:sz w:val="24"/>
          <w:szCs w:val="24"/>
        </w:rPr>
        <w:t xml:space="preserve"> P.</w:t>
      </w:r>
      <w:r w:rsidRPr="00B021B5">
        <w:rPr>
          <w:rFonts w:ascii="Arial" w:hAnsi="Arial" w:cs="Arial"/>
          <w:sz w:val="24"/>
          <w:szCs w:val="24"/>
        </w:rPr>
        <w:t xml:space="preserve"> Vasilikie</w:t>
      </w:r>
      <w:r>
        <w:rPr>
          <w:rFonts w:ascii="Arial" w:hAnsi="Arial" w:cs="Arial"/>
          <w:sz w:val="24"/>
          <w:szCs w:val="24"/>
        </w:rPr>
        <w:t xml:space="preserve">; Marcia </w:t>
      </w:r>
      <w:r w:rsidRPr="00B021B5">
        <w:rPr>
          <w:rFonts w:ascii="Arial" w:hAnsi="Arial" w:cs="Arial"/>
          <w:sz w:val="24"/>
          <w:szCs w:val="24"/>
        </w:rPr>
        <w:t>Demosand</w:t>
      </w:r>
      <w:r>
        <w:rPr>
          <w:rFonts w:ascii="Arial" w:hAnsi="Arial" w:cs="Arial"/>
          <w:sz w:val="24"/>
          <w:szCs w:val="24"/>
        </w:rPr>
        <w:t>, and Segak</w:t>
      </w:r>
      <w:r w:rsidRPr="00B021B5">
        <w:rPr>
          <w:rFonts w:ascii="Arial" w:hAnsi="Arial" w:cs="Arial"/>
          <w:sz w:val="24"/>
          <w:szCs w:val="24"/>
        </w:rPr>
        <w:t xml:space="preserve"> Texler (</w:t>
      </w:r>
      <w:r>
        <w:rPr>
          <w:rFonts w:ascii="Arial" w:hAnsi="Arial" w:cs="Arial"/>
          <w:sz w:val="24"/>
          <w:szCs w:val="24"/>
        </w:rPr>
        <w:t>E</w:t>
      </w:r>
      <w:r w:rsidRPr="00B021B5">
        <w:rPr>
          <w:rFonts w:ascii="Arial" w:hAnsi="Arial" w:cs="Arial"/>
          <w:sz w:val="24"/>
          <w:szCs w:val="24"/>
        </w:rPr>
        <w:t>ds</w:t>
      </w:r>
      <w:r>
        <w:rPr>
          <w:rFonts w:ascii="Arial" w:hAnsi="Arial" w:cs="Arial"/>
          <w:sz w:val="24"/>
          <w:szCs w:val="24"/>
        </w:rPr>
        <w:t>.</w:t>
      </w:r>
      <w:r w:rsidRPr="00B021B5">
        <w:rPr>
          <w:rFonts w:ascii="Arial" w:hAnsi="Arial" w:cs="Arial"/>
          <w:sz w:val="24"/>
          <w:szCs w:val="24"/>
        </w:rPr>
        <w:t>)</w:t>
      </w:r>
      <w:r>
        <w:rPr>
          <w:rFonts w:ascii="Arial" w:hAnsi="Arial" w:cs="Arial"/>
          <w:sz w:val="24"/>
          <w:szCs w:val="24"/>
        </w:rPr>
        <w:t>,</w:t>
      </w:r>
      <w:r w:rsidRPr="00B021B5">
        <w:rPr>
          <w:rFonts w:ascii="Arial" w:hAnsi="Arial" w:cs="Arial"/>
          <w:sz w:val="24"/>
          <w:szCs w:val="24"/>
        </w:rPr>
        <w:t xml:space="preserve"> </w:t>
      </w:r>
      <w:r w:rsidRPr="00B021B5">
        <w:rPr>
          <w:rFonts w:ascii="Arial" w:hAnsi="Arial" w:cs="Arial"/>
          <w:i/>
          <w:iCs/>
          <w:sz w:val="24"/>
          <w:szCs w:val="24"/>
        </w:rPr>
        <w:t>Advances in Gender Research Vol. 1</w:t>
      </w:r>
      <w:r w:rsidRPr="00B021B5">
        <w:rPr>
          <w:rFonts w:ascii="Arial" w:hAnsi="Arial" w:cs="Arial"/>
          <w:sz w:val="24"/>
          <w:szCs w:val="24"/>
        </w:rPr>
        <w:t>, Greenwich: JAI Press</w:t>
      </w:r>
      <w:r>
        <w:rPr>
          <w:rFonts w:ascii="Arial" w:hAnsi="Arial" w:cs="Arial"/>
          <w:sz w:val="24"/>
          <w:szCs w:val="24"/>
        </w:rPr>
        <w:t xml:space="preserve">, </w:t>
      </w:r>
      <w:r w:rsidRPr="00B021B5">
        <w:rPr>
          <w:rFonts w:ascii="Arial" w:hAnsi="Arial" w:cs="Arial"/>
          <w:sz w:val="24"/>
          <w:szCs w:val="24"/>
        </w:rPr>
        <w:t>pp.115–55</w:t>
      </w:r>
    </w:p>
    <w:p w14:paraId="64DBC8DD" w14:textId="7B92BD5A" w:rsidR="00685510" w:rsidRPr="00685510" w:rsidRDefault="00685510" w:rsidP="001C19B5">
      <w:pPr>
        <w:spacing w:line="360" w:lineRule="auto"/>
        <w:rPr>
          <w:rFonts w:ascii="Arial" w:hAnsi="Arial" w:cs="Arial"/>
          <w:sz w:val="24"/>
          <w:szCs w:val="24"/>
        </w:rPr>
      </w:pPr>
      <w:r w:rsidRPr="00A36B42">
        <w:rPr>
          <w:rFonts w:ascii="Arial" w:hAnsi="Arial" w:cs="Arial"/>
          <w:sz w:val="24"/>
          <w:szCs w:val="24"/>
        </w:rPr>
        <w:t>Garber, Marjorie</w:t>
      </w:r>
      <w:r>
        <w:rPr>
          <w:rFonts w:ascii="Arial" w:hAnsi="Arial" w:cs="Arial"/>
          <w:sz w:val="24"/>
          <w:szCs w:val="24"/>
        </w:rPr>
        <w:t>,</w:t>
      </w:r>
      <w:r w:rsidRPr="00A36B42">
        <w:rPr>
          <w:rFonts w:ascii="Arial" w:hAnsi="Arial" w:cs="Arial"/>
          <w:sz w:val="24"/>
          <w:szCs w:val="24"/>
        </w:rPr>
        <w:t xml:space="preserve"> (1992)</w:t>
      </w:r>
      <w:r>
        <w:rPr>
          <w:rFonts w:ascii="Arial" w:hAnsi="Arial" w:cs="Arial"/>
          <w:sz w:val="24"/>
          <w:szCs w:val="24"/>
        </w:rPr>
        <w:t>,</w:t>
      </w:r>
      <w:r w:rsidRPr="00A36B42">
        <w:rPr>
          <w:rFonts w:ascii="Arial" w:hAnsi="Arial" w:cs="Arial"/>
          <w:sz w:val="24"/>
          <w:szCs w:val="24"/>
        </w:rPr>
        <w:t xml:space="preserve"> </w:t>
      </w:r>
      <w:r w:rsidRPr="00A36B42">
        <w:rPr>
          <w:rFonts w:ascii="Arial" w:hAnsi="Arial" w:cs="Arial"/>
          <w:i/>
          <w:iCs/>
          <w:sz w:val="24"/>
          <w:szCs w:val="24"/>
        </w:rPr>
        <w:t>Vested Interests: Cross-Dressing and Cultural Anxiety</w:t>
      </w:r>
      <w:r w:rsidRPr="00A36B42">
        <w:rPr>
          <w:rFonts w:ascii="Arial" w:hAnsi="Arial" w:cs="Arial"/>
          <w:sz w:val="24"/>
          <w:szCs w:val="24"/>
        </w:rPr>
        <w:t>.</w:t>
      </w:r>
      <w:r>
        <w:rPr>
          <w:rFonts w:ascii="Arial" w:hAnsi="Arial" w:cs="Arial"/>
          <w:sz w:val="24"/>
          <w:szCs w:val="24"/>
        </w:rPr>
        <w:t xml:space="preserve"> </w:t>
      </w:r>
      <w:r w:rsidRPr="00A36B42">
        <w:rPr>
          <w:rFonts w:ascii="Arial" w:hAnsi="Arial" w:cs="Arial"/>
          <w:sz w:val="24"/>
          <w:szCs w:val="24"/>
        </w:rPr>
        <w:t>New York: Routledge</w:t>
      </w:r>
    </w:p>
    <w:p w14:paraId="4E4E7694" w14:textId="42B368CB" w:rsidR="000A68AE" w:rsidRDefault="000A68AE" w:rsidP="001C19B5">
      <w:pPr>
        <w:spacing w:line="360" w:lineRule="auto"/>
        <w:rPr>
          <w:rFonts w:ascii="Arial" w:hAnsi="Arial" w:cs="Arial"/>
          <w:sz w:val="24"/>
          <w:szCs w:val="24"/>
        </w:rPr>
      </w:pPr>
      <w:r w:rsidRPr="00D27405">
        <w:rPr>
          <w:rFonts w:ascii="Arial" w:hAnsi="Arial" w:cs="Arial"/>
          <w:sz w:val="24"/>
          <w:szCs w:val="24"/>
        </w:rPr>
        <w:t xml:space="preserve">Glover, Dylan; Amanda Pallais, and Pariente, William, (2017), ‘Discrimination as a Self-Fulfilling Prophecy: Evidence from French Grocery Stores’, </w:t>
      </w:r>
      <w:r w:rsidRPr="00D27405">
        <w:rPr>
          <w:rFonts w:ascii="Arial" w:hAnsi="Arial" w:cs="Arial"/>
          <w:i/>
          <w:iCs/>
          <w:sz w:val="24"/>
          <w:szCs w:val="24"/>
        </w:rPr>
        <w:t>Quarterly Journal of Economics</w:t>
      </w:r>
      <w:r w:rsidRPr="00D27405">
        <w:rPr>
          <w:rFonts w:ascii="Arial" w:hAnsi="Arial" w:cs="Arial"/>
          <w:sz w:val="24"/>
          <w:szCs w:val="24"/>
        </w:rPr>
        <w:t>, 132, pp.1219–1260</w:t>
      </w:r>
    </w:p>
    <w:p w14:paraId="77C80231" w14:textId="55BA5BED" w:rsidR="00604521" w:rsidRDefault="00604521" w:rsidP="001C19B5">
      <w:pPr>
        <w:spacing w:line="360" w:lineRule="auto"/>
        <w:rPr>
          <w:rFonts w:ascii="Arial" w:hAnsi="Arial" w:cs="Arial"/>
          <w:sz w:val="24"/>
          <w:szCs w:val="24"/>
        </w:rPr>
      </w:pPr>
      <w:r>
        <w:rPr>
          <w:rFonts w:ascii="Arial" w:hAnsi="Arial" w:cs="Arial"/>
          <w:sz w:val="24"/>
          <w:szCs w:val="24"/>
        </w:rPr>
        <w:t xml:space="preserve">Greaf, Caitlin, (2016), ‘Drag queens and gender identity’, </w:t>
      </w:r>
      <w:r>
        <w:rPr>
          <w:rFonts w:ascii="Arial" w:hAnsi="Arial" w:cs="Arial"/>
          <w:i/>
          <w:iCs/>
          <w:sz w:val="24"/>
          <w:szCs w:val="24"/>
        </w:rPr>
        <w:t xml:space="preserve">Journal of gender studies, </w:t>
      </w:r>
      <w:r>
        <w:rPr>
          <w:rFonts w:ascii="Arial" w:hAnsi="Arial" w:cs="Arial"/>
          <w:sz w:val="24"/>
          <w:szCs w:val="24"/>
        </w:rPr>
        <w:t>25 (6), pp.655-665</w:t>
      </w:r>
    </w:p>
    <w:p w14:paraId="69656A76" w14:textId="6D498064" w:rsidR="00497A37" w:rsidRPr="00497A37" w:rsidRDefault="00497A37" w:rsidP="001C19B5">
      <w:pPr>
        <w:spacing w:line="360" w:lineRule="auto"/>
        <w:rPr>
          <w:rFonts w:ascii="Arial" w:hAnsi="Arial" w:cs="Arial"/>
          <w:sz w:val="24"/>
          <w:szCs w:val="24"/>
        </w:rPr>
      </w:pPr>
      <w:r>
        <w:rPr>
          <w:rFonts w:ascii="Arial" w:hAnsi="Arial" w:cs="Arial"/>
          <w:sz w:val="24"/>
          <w:szCs w:val="24"/>
        </w:rPr>
        <w:t xml:space="preserve">Greene, Laurie A., (2021), </w:t>
      </w:r>
      <w:r>
        <w:rPr>
          <w:rFonts w:ascii="Arial" w:hAnsi="Arial" w:cs="Arial"/>
          <w:i/>
          <w:iCs/>
          <w:sz w:val="24"/>
          <w:szCs w:val="24"/>
        </w:rPr>
        <w:t xml:space="preserve">Drag Queens and beauty queens: contesting femininity in the world’s playground, </w:t>
      </w:r>
      <w:r>
        <w:rPr>
          <w:rFonts w:ascii="Arial" w:hAnsi="Arial" w:cs="Arial"/>
          <w:sz w:val="24"/>
          <w:szCs w:val="24"/>
        </w:rPr>
        <w:t>New Brunswick: Rutgers University Press</w:t>
      </w:r>
    </w:p>
    <w:p w14:paraId="6A8F8AAD" w14:textId="7F1FB173" w:rsidR="001C19B5" w:rsidRDefault="001C19B5" w:rsidP="001C19B5">
      <w:pPr>
        <w:spacing w:line="360" w:lineRule="auto"/>
        <w:rPr>
          <w:rFonts w:ascii="Arial" w:hAnsi="Arial" w:cs="Arial"/>
          <w:sz w:val="24"/>
          <w:szCs w:val="24"/>
        </w:rPr>
      </w:pPr>
      <w:r w:rsidRPr="00595408">
        <w:rPr>
          <w:rFonts w:ascii="Arial" w:hAnsi="Arial" w:cs="Arial"/>
          <w:sz w:val="24"/>
          <w:szCs w:val="24"/>
        </w:rPr>
        <w:t xml:space="preserve">Greenwald, A. G., and Banaji, M. R., (1995), ‘Implicit social cognition: Attitudes, self-esteem, and stereotypes’, </w:t>
      </w:r>
      <w:r w:rsidRPr="00595408">
        <w:rPr>
          <w:rFonts w:ascii="Arial" w:hAnsi="Arial" w:cs="Arial"/>
          <w:i/>
          <w:iCs/>
          <w:sz w:val="24"/>
          <w:szCs w:val="24"/>
        </w:rPr>
        <w:t>Psychological Review</w:t>
      </w:r>
      <w:r w:rsidRPr="00595408">
        <w:rPr>
          <w:rFonts w:ascii="Arial" w:hAnsi="Arial" w:cs="Arial"/>
          <w:sz w:val="24"/>
          <w:szCs w:val="24"/>
        </w:rPr>
        <w:t>, 102, pp.4–27</w:t>
      </w:r>
    </w:p>
    <w:p w14:paraId="7DE77293" w14:textId="6EC7BBB6" w:rsidR="00F206F5" w:rsidRPr="00F206F5" w:rsidRDefault="00F206F5" w:rsidP="001C19B5">
      <w:pPr>
        <w:spacing w:line="360" w:lineRule="auto"/>
        <w:rPr>
          <w:rFonts w:ascii="Arial" w:hAnsi="Arial" w:cs="Arial"/>
          <w:sz w:val="28"/>
          <w:szCs w:val="28"/>
        </w:rPr>
      </w:pPr>
      <w:r w:rsidRPr="000E21C9">
        <w:rPr>
          <w:rFonts w:ascii="Arial" w:hAnsi="Arial" w:cs="Arial"/>
          <w:sz w:val="24"/>
          <w:szCs w:val="24"/>
        </w:rPr>
        <w:t xml:space="preserve">Harris, D., (1995), ‘The aesthetic of drag’, </w:t>
      </w:r>
      <w:r w:rsidRPr="000E21C9">
        <w:rPr>
          <w:rFonts w:ascii="Arial" w:hAnsi="Arial" w:cs="Arial"/>
          <w:i/>
          <w:iCs/>
          <w:sz w:val="24"/>
          <w:szCs w:val="24"/>
        </w:rPr>
        <w:t>Salmagundi</w:t>
      </w:r>
      <w:r w:rsidRPr="000E21C9">
        <w:rPr>
          <w:rFonts w:ascii="Arial" w:hAnsi="Arial" w:cs="Arial"/>
          <w:sz w:val="24"/>
          <w:szCs w:val="24"/>
        </w:rPr>
        <w:t>, 108, pp.62–74</w:t>
      </w:r>
    </w:p>
    <w:p w14:paraId="15DBDC83" w14:textId="36216CE7" w:rsidR="0008664D" w:rsidRDefault="0008664D" w:rsidP="001C19B5">
      <w:pPr>
        <w:spacing w:line="360" w:lineRule="auto"/>
        <w:rPr>
          <w:rFonts w:ascii="Arial" w:hAnsi="Arial" w:cs="Arial"/>
          <w:sz w:val="24"/>
          <w:szCs w:val="24"/>
        </w:rPr>
      </w:pPr>
      <w:r>
        <w:rPr>
          <w:rFonts w:ascii="Arial" w:hAnsi="Arial" w:cs="Arial"/>
          <w:sz w:val="24"/>
          <w:szCs w:val="24"/>
        </w:rPr>
        <w:t xml:space="preserve">Harris, D., (2005), </w:t>
      </w:r>
      <w:r w:rsidRPr="00BB6450">
        <w:rPr>
          <w:rFonts w:ascii="Arial" w:hAnsi="Arial" w:cs="Arial"/>
          <w:i/>
          <w:iCs/>
          <w:sz w:val="24"/>
          <w:szCs w:val="24"/>
        </w:rPr>
        <w:t>Diary of a Drag Queen</w:t>
      </w:r>
      <w:r>
        <w:rPr>
          <w:rFonts w:ascii="Arial" w:hAnsi="Arial" w:cs="Arial"/>
          <w:sz w:val="24"/>
          <w:szCs w:val="24"/>
        </w:rPr>
        <w:t xml:space="preserve">, </w:t>
      </w:r>
      <w:r w:rsidRPr="00BB6450">
        <w:rPr>
          <w:rFonts w:ascii="Arial" w:hAnsi="Arial" w:cs="Arial"/>
          <w:sz w:val="24"/>
          <w:szCs w:val="24"/>
        </w:rPr>
        <w:t>New York: Carroll &amp; Graf Publishers</w:t>
      </w:r>
    </w:p>
    <w:p w14:paraId="3B5BA0BA" w14:textId="3226979F" w:rsidR="00C90572" w:rsidRDefault="00C90572" w:rsidP="001C19B5">
      <w:pPr>
        <w:spacing w:line="360" w:lineRule="auto"/>
        <w:rPr>
          <w:rFonts w:ascii="Arial" w:hAnsi="Arial" w:cs="Arial"/>
          <w:sz w:val="24"/>
          <w:szCs w:val="24"/>
        </w:rPr>
      </w:pPr>
      <w:r w:rsidRPr="00626746">
        <w:rPr>
          <w:rFonts w:ascii="Arial" w:hAnsi="Arial" w:cs="Arial"/>
          <w:sz w:val="24"/>
          <w:szCs w:val="24"/>
        </w:rPr>
        <w:lastRenderedPageBreak/>
        <w:t xml:space="preserve">Holcomb, B. D., (2007), ‘Drag queens’ In F. Malti-Douglas (Ed.), </w:t>
      </w:r>
      <w:r w:rsidRPr="00626746">
        <w:rPr>
          <w:rFonts w:ascii="Arial" w:hAnsi="Arial" w:cs="Arial"/>
          <w:i/>
          <w:iCs/>
          <w:sz w:val="24"/>
          <w:szCs w:val="24"/>
        </w:rPr>
        <w:t>Encyclopedia of sex and gender (Vol. 2)</w:t>
      </w:r>
      <w:r w:rsidRPr="00626746">
        <w:rPr>
          <w:rFonts w:ascii="Arial" w:hAnsi="Arial" w:cs="Arial"/>
          <w:sz w:val="24"/>
          <w:szCs w:val="24"/>
        </w:rPr>
        <w:t>, Detroit: Macmillan, pp. 415–418</w:t>
      </w:r>
    </w:p>
    <w:p w14:paraId="0D93708D" w14:textId="3DF669DC" w:rsidR="00393840" w:rsidRPr="00393840" w:rsidRDefault="00393840" w:rsidP="001C19B5">
      <w:pPr>
        <w:spacing w:line="360" w:lineRule="auto"/>
        <w:rPr>
          <w:rFonts w:ascii="Arial" w:hAnsi="Arial" w:cs="Arial"/>
          <w:sz w:val="24"/>
          <w:szCs w:val="24"/>
        </w:rPr>
      </w:pPr>
      <w:r>
        <w:rPr>
          <w:rFonts w:ascii="Arial" w:hAnsi="Arial" w:cs="Arial"/>
          <w:sz w:val="24"/>
          <w:szCs w:val="24"/>
        </w:rPr>
        <w:t xml:space="preserve">Hopkins, Steven J., (2008), ‘”Let the Drag Race Begin”: The Rewards of Becoming a Drag Queens’, </w:t>
      </w:r>
      <w:r>
        <w:rPr>
          <w:rFonts w:ascii="Arial" w:hAnsi="Arial" w:cs="Arial"/>
          <w:i/>
          <w:iCs/>
          <w:sz w:val="24"/>
          <w:szCs w:val="24"/>
        </w:rPr>
        <w:t xml:space="preserve">Journal of Homosexuality, </w:t>
      </w:r>
      <w:r>
        <w:rPr>
          <w:rFonts w:ascii="Arial" w:hAnsi="Arial" w:cs="Arial"/>
          <w:sz w:val="24"/>
          <w:szCs w:val="24"/>
        </w:rPr>
        <w:t>46 (3), pp.135-149</w:t>
      </w:r>
    </w:p>
    <w:p w14:paraId="75D8482D" w14:textId="6424152A" w:rsidR="007F2808" w:rsidRDefault="007F2808" w:rsidP="001C19B5">
      <w:pPr>
        <w:spacing w:line="360" w:lineRule="auto"/>
        <w:rPr>
          <w:rFonts w:ascii="Arial" w:hAnsi="Arial" w:cs="Arial"/>
          <w:sz w:val="24"/>
          <w:szCs w:val="24"/>
        </w:rPr>
      </w:pPr>
      <w:r w:rsidRPr="00D25D63">
        <w:rPr>
          <w:rFonts w:ascii="Arial" w:hAnsi="Arial" w:cs="Arial"/>
          <w:sz w:val="24"/>
          <w:szCs w:val="24"/>
        </w:rPr>
        <w:t xml:space="preserve">Hyde, J. S.; Bigler, R. S.; Joel, D.; Tate, C. C., and van Anders, S. M., (2018), ‘The future of sex and gender in psychology: Five challenges to the gender binary’, </w:t>
      </w:r>
      <w:r w:rsidRPr="00D25D63">
        <w:rPr>
          <w:rFonts w:ascii="Arial" w:hAnsi="Arial" w:cs="Arial"/>
          <w:i/>
          <w:iCs/>
          <w:sz w:val="24"/>
          <w:szCs w:val="24"/>
        </w:rPr>
        <w:t>The American Psychologist</w:t>
      </w:r>
      <w:r w:rsidRPr="00D25D63">
        <w:rPr>
          <w:rFonts w:ascii="Arial" w:hAnsi="Arial" w:cs="Arial"/>
          <w:sz w:val="24"/>
          <w:szCs w:val="24"/>
        </w:rPr>
        <w:t>, 74, pp.171–193</w:t>
      </w:r>
    </w:p>
    <w:p w14:paraId="574CEA49" w14:textId="67DD54B1" w:rsidR="000602FC" w:rsidRPr="007F2808" w:rsidRDefault="000602FC" w:rsidP="001C19B5">
      <w:pPr>
        <w:spacing w:line="360" w:lineRule="auto"/>
        <w:rPr>
          <w:rFonts w:ascii="Arial" w:hAnsi="Arial" w:cs="Arial"/>
          <w:sz w:val="28"/>
          <w:szCs w:val="28"/>
        </w:rPr>
      </w:pPr>
      <w:r w:rsidRPr="00CA7A5C">
        <w:rPr>
          <w:rFonts w:ascii="Arial" w:hAnsi="Arial" w:cs="Arial"/>
          <w:sz w:val="24"/>
          <w:szCs w:val="24"/>
        </w:rPr>
        <w:t xml:space="preserve">Johnson, A. G., (2004), Patriarchy, the system, </w:t>
      </w:r>
      <w:r w:rsidRPr="00CA7A5C">
        <w:rPr>
          <w:rFonts w:ascii="Arial" w:hAnsi="Arial" w:cs="Arial"/>
          <w:i/>
          <w:iCs/>
          <w:sz w:val="24"/>
          <w:szCs w:val="24"/>
        </w:rPr>
        <w:t>Women’s Lives: Multicultural Perspectives</w:t>
      </w:r>
      <w:r w:rsidRPr="00CA7A5C">
        <w:rPr>
          <w:rFonts w:ascii="Arial" w:hAnsi="Arial" w:cs="Arial"/>
          <w:sz w:val="24"/>
          <w:szCs w:val="24"/>
        </w:rPr>
        <w:t>, 3, pp.25–32</w:t>
      </w:r>
    </w:p>
    <w:p w14:paraId="6C1007CD" w14:textId="1BAD6739" w:rsidR="00074F11" w:rsidRDefault="00434CC9" w:rsidP="001C19B5">
      <w:pPr>
        <w:spacing w:line="360" w:lineRule="auto"/>
        <w:rPr>
          <w:rFonts w:ascii="Arial" w:hAnsi="Arial" w:cs="Arial"/>
          <w:sz w:val="24"/>
          <w:szCs w:val="24"/>
        </w:rPr>
      </w:pPr>
      <w:r w:rsidRPr="00D93F3E">
        <w:rPr>
          <w:rFonts w:ascii="Arial" w:hAnsi="Arial" w:cs="Arial"/>
          <w:sz w:val="24"/>
          <w:szCs w:val="24"/>
        </w:rPr>
        <w:t>Knutson, D.</w:t>
      </w:r>
      <w:r>
        <w:rPr>
          <w:rFonts w:ascii="Arial" w:hAnsi="Arial" w:cs="Arial"/>
          <w:sz w:val="24"/>
          <w:szCs w:val="24"/>
        </w:rPr>
        <w:t>;</w:t>
      </w:r>
      <w:r w:rsidRPr="00D93F3E">
        <w:rPr>
          <w:rFonts w:ascii="Arial" w:hAnsi="Arial" w:cs="Arial"/>
          <w:sz w:val="24"/>
          <w:szCs w:val="24"/>
        </w:rPr>
        <w:t xml:space="preserve"> Koch, J. M.</w:t>
      </w:r>
      <w:r>
        <w:rPr>
          <w:rFonts w:ascii="Arial" w:hAnsi="Arial" w:cs="Arial"/>
          <w:sz w:val="24"/>
          <w:szCs w:val="24"/>
        </w:rPr>
        <w:t xml:space="preserve">; </w:t>
      </w:r>
      <w:r w:rsidRPr="00D93F3E">
        <w:rPr>
          <w:rFonts w:ascii="Arial" w:hAnsi="Arial" w:cs="Arial"/>
          <w:sz w:val="24"/>
          <w:szCs w:val="24"/>
        </w:rPr>
        <w:t xml:space="preserve">Sneed, J., </w:t>
      </w:r>
      <w:r>
        <w:rPr>
          <w:rFonts w:ascii="Arial" w:hAnsi="Arial" w:cs="Arial"/>
          <w:sz w:val="24"/>
          <w:szCs w:val="24"/>
        </w:rPr>
        <w:t>and</w:t>
      </w:r>
      <w:r w:rsidRPr="00D93F3E">
        <w:rPr>
          <w:rFonts w:ascii="Arial" w:hAnsi="Arial" w:cs="Arial"/>
          <w:sz w:val="24"/>
          <w:szCs w:val="24"/>
        </w:rPr>
        <w:t xml:space="preserve"> Lee, A.</w:t>
      </w:r>
      <w:r>
        <w:rPr>
          <w:rFonts w:ascii="Arial" w:hAnsi="Arial" w:cs="Arial"/>
          <w:sz w:val="24"/>
          <w:szCs w:val="24"/>
        </w:rPr>
        <w:t>,</w:t>
      </w:r>
      <w:r w:rsidRPr="00D93F3E">
        <w:rPr>
          <w:rFonts w:ascii="Arial" w:hAnsi="Arial" w:cs="Arial"/>
          <w:sz w:val="24"/>
          <w:szCs w:val="24"/>
        </w:rPr>
        <w:t xml:space="preserve"> (2018)</w:t>
      </w:r>
      <w:r>
        <w:rPr>
          <w:rFonts w:ascii="Arial" w:hAnsi="Arial" w:cs="Arial"/>
          <w:sz w:val="24"/>
          <w:szCs w:val="24"/>
        </w:rPr>
        <w:t>,</w:t>
      </w:r>
      <w:r w:rsidRPr="00D93F3E">
        <w:rPr>
          <w:rFonts w:ascii="Arial" w:hAnsi="Arial" w:cs="Arial"/>
          <w:sz w:val="24"/>
          <w:szCs w:val="24"/>
        </w:rPr>
        <w:t xml:space="preserve"> </w:t>
      </w:r>
      <w:r>
        <w:rPr>
          <w:rFonts w:ascii="Arial" w:hAnsi="Arial" w:cs="Arial"/>
          <w:sz w:val="24"/>
          <w:szCs w:val="24"/>
        </w:rPr>
        <w:t>‘</w:t>
      </w:r>
      <w:r w:rsidRPr="00D93F3E">
        <w:rPr>
          <w:rFonts w:ascii="Arial" w:hAnsi="Arial" w:cs="Arial"/>
          <w:sz w:val="24"/>
          <w:szCs w:val="24"/>
        </w:rPr>
        <w:t>The emotional and psychological experiences of drag performers: A qualitative study</w:t>
      </w:r>
      <w:r>
        <w:rPr>
          <w:rFonts w:ascii="Arial" w:hAnsi="Arial" w:cs="Arial"/>
          <w:sz w:val="24"/>
          <w:szCs w:val="24"/>
        </w:rPr>
        <w:t>’,</w:t>
      </w:r>
      <w:r w:rsidRPr="00D93F3E">
        <w:rPr>
          <w:rFonts w:ascii="Arial" w:hAnsi="Arial" w:cs="Arial"/>
          <w:sz w:val="24"/>
          <w:szCs w:val="24"/>
        </w:rPr>
        <w:t xml:space="preserve"> </w:t>
      </w:r>
      <w:r w:rsidRPr="00D93F3E">
        <w:rPr>
          <w:rFonts w:ascii="Arial" w:hAnsi="Arial" w:cs="Arial"/>
          <w:i/>
          <w:iCs/>
          <w:sz w:val="24"/>
          <w:szCs w:val="24"/>
        </w:rPr>
        <w:t>Journal of LGBT Issues in Counseling</w:t>
      </w:r>
      <w:r w:rsidRPr="00D93F3E">
        <w:rPr>
          <w:rFonts w:ascii="Arial" w:hAnsi="Arial" w:cs="Arial"/>
          <w:sz w:val="24"/>
          <w:szCs w:val="24"/>
        </w:rPr>
        <w:t>, 12</w:t>
      </w:r>
      <w:r>
        <w:rPr>
          <w:rFonts w:ascii="Arial" w:hAnsi="Arial" w:cs="Arial"/>
          <w:sz w:val="24"/>
          <w:szCs w:val="24"/>
        </w:rPr>
        <w:t xml:space="preserve"> </w:t>
      </w:r>
      <w:r w:rsidRPr="00D93F3E">
        <w:rPr>
          <w:rFonts w:ascii="Arial" w:hAnsi="Arial" w:cs="Arial"/>
          <w:sz w:val="24"/>
          <w:szCs w:val="24"/>
        </w:rPr>
        <w:t xml:space="preserve">(1), </w:t>
      </w:r>
      <w:r>
        <w:rPr>
          <w:rFonts w:ascii="Arial" w:hAnsi="Arial" w:cs="Arial"/>
          <w:sz w:val="24"/>
          <w:szCs w:val="24"/>
        </w:rPr>
        <w:t>pp.</w:t>
      </w:r>
      <w:r w:rsidRPr="00D93F3E">
        <w:rPr>
          <w:rFonts w:ascii="Arial" w:hAnsi="Arial" w:cs="Arial"/>
          <w:sz w:val="24"/>
          <w:szCs w:val="24"/>
        </w:rPr>
        <w:t>32–50</w:t>
      </w:r>
    </w:p>
    <w:p w14:paraId="665DB372" w14:textId="1F41A1D1" w:rsidR="00F91002" w:rsidRDefault="00F91002" w:rsidP="001C19B5">
      <w:pPr>
        <w:spacing w:line="360" w:lineRule="auto"/>
        <w:rPr>
          <w:rFonts w:ascii="Arial" w:hAnsi="Arial" w:cs="Arial"/>
          <w:sz w:val="24"/>
          <w:szCs w:val="24"/>
        </w:rPr>
      </w:pPr>
      <w:r>
        <w:rPr>
          <w:rFonts w:ascii="Arial" w:hAnsi="Arial" w:cs="Arial"/>
          <w:sz w:val="24"/>
          <w:szCs w:val="24"/>
        </w:rPr>
        <w:t xml:space="preserve">Levitt, Heidi; Surace, Francisco; Wheeler, Emily E., and Maki, Erik, (2018), ‘Drag Gender: Experiences of Gender for Gay and Queer Men who perform drag’, </w:t>
      </w:r>
      <w:r>
        <w:rPr>
          <w:rFonts w:ascii="Arial" w:hAnsi="Arial" w:cs="Arial"/>
          <w:i/>
          <w:iCs/>
          <w:sz w:val="24"/>
          <w:szCs w:val="24"/>
        </w:rPr>
        <w:t xml:space="preserve">Sex Roles, </w:t>
      </w:r>
      <w:r>
        <w:rPr>
          <w:rFonts w:ascii="Arial" w:hAnsi="Arial" w:cs="Arial"/>
          <w:sz w:val="24"/>
          <w:szCs w:val="24"/>
        </w:rPr>
        <w:t>78 (3/4), pp.82-99</w:t>
      </w:r>
    </w:p>
    <w:p w14:paraId="22D47D38" w14:textId="77777777" w:rsidR="00F91002" w:rsidRDefault="00F91002" w:rsidP="00F91002">
      <w:pPr>
        <w:spacing w:line="360" w:lineRule="auto"/>
        <w:rPr>
          <w:rFonts w:ascii="Arial" w:hAnsi="Arial" w:cs="Arial"/>
          <w:sz w:val="24"/>
          <w:szCs w:val="24"/>
        </w:rPr>
      </w:pPr>
      <w:r w:rsidRPr="00A36B42">
        <w:rPr>
          <w:rFonts w:ascii="Arial" w:hAnsi="Arial" w:cs="Arial"/>
          <w:sz w:val="24"/>
          <w:szCs w:val="24"/>
        </w:rPr>
        <w:t>Lorber, Judith</w:t>
      </w:r>
      <w:r>
        <w:rPr>
          <w:rFonts w:ascii="Arial" w:hAnsi="Arial" w:cs="Arial"/>
          <w:sz w:val="24"/>
          <w:szCs w:val="24"/>
        </w:rPr>
        <w:t>,</w:t>
      </w:r>
      <w:r w:rsidRPr="00A36B42">
        <w:rPr>
          <w:rFonts w:ascii="Arial" w:hAnsi="Arial" w:cs="Arial"/>
          <w:sz w:val="24"/>
          <w:szCs w:val="24"/>
        </w:rPr>
        <w:t xml:space="preserve"> (1994)</w:t>
      </w:r>
      <w:r>
        <w:rPr>
          <w:rFonts w:ascii="Arial" w:hAnsi="Arial" w:cs="Arial"/>
          <w:sz w:val="24"/>
          <w:szCs w:val="24"/>
        </w:rPr>
        <w:t>,</w:t>
      </w:r>
      <w:r w:rsidRPr="00A36B42">
        <w:rPr>
          <w:rFonts w:ascii="Arial" w:hAnsi="Arial" w:cs="Arial"/>
          <w:sz w:val="24"/>
          <w:szCs w:val="24"/>
        </w:rPr>
        <w:t xml:space="preserve"> </w:t>
      </w:r>
      <w:r w:rsidRPr="00A36B42">
        <w:rPr>
          <w:rFonts w:ascii="Arial" w:hAnsi="Arial" w:cs="Arial"/>
          <w:i/>
          <w:iCs/>
          <w:sz w:val="24"/>
          <w:szCs w:val="24"/>
        </w:rPr>
        <w:t>Paradoxes of Gender</w:t>
      </w:r>
      <w:r w:rsidRPr="00A36B42">
        <w:rPr>
          <w:rFonts w:ascii="Arial" w:hAnsi="Arial" w:cs="Arial"/>
          <w:sz w:val="24"/>
          <w:szCs w:val="24"/>
        </w:rPr>
        <w:t>.</w:t>
      </w:r>
      <w:r>
        <w:rPr>
          <w:rFonts w:ascii="Arial" w:hAnsi="Arial" w:cs="Arial"/>
          <w:sz w:val="24"/>
          <w:szCs w:val="24"/>
        </w:rPr>
        <w:t>,</w:t>
      </w:r>
      <w:r w:rsidRPr="00A36B42">
        <w:rPr>
          <w:rFonts w:ascii="Arial" w:hAnsi="Arial" w:cs="Arial"/>
          <w:sz w:val="24"/>
          <w:szCs w:val="24"/>
        </w:rPr>
        <w:t xml:space="preserve"> New Haven: Yale University</w:t>
      </w:r>
      <w:r>
        <w:rPr>
          <w:rFonts w:ascii="Arial" w:hAnsi="Arial" w:cs="Arial"/>
          <w:sz w:val="24"/>
          <w:szCs w:val="24"/>
        </w:rPr>
        <w:t xml:space="preserve"> </w:t>
      </w:r>
      <w:r w:rsidRPr="00A36B42">
        <w:rPr>
          <w:rFonts w:ascii="Arial" w:hAnsi="Arial" w:cs="Arial"/>
          <w:sz w:val="24"/>
          <w:szCs w:val="24"/>
        </w:rPr>
        <w:t>Press</w:t>
      </w:r>
    </w:p>
    <w:p w14:paraId="33E993B6" w14:textId="775B219A" w:rsidR="00F91002" w:rsidRDefault="00F91002" w:rsidP="001C19B5">
      <w:pPr>
        <w:spacing w:line="360" w:lineRule="auto"/>
        <w:rPr>
          <w:rFonts w:ascii="Arial" w:hAnsi="Arial" w:cs="Arial"/>
          <w:sz w:val="24"/>
          <w:szCs w:val="24"/>
        </w:rPr>
      </w:pPr>
      <w:r w:rsidRPr="00A36B42">
        <w:rPr>
          <w:rFonts w:ascii="Arial" w:hAnsi="Arial" w:cs="Arial"/>
          <w:sz w:val="24"/>
          <w:szCs w:val="24"/>
        </w:rPr>
        <w:t>Lorber, Judith</w:t>
      </w:r>
      <w:r>
        <w:rPr>
          <w:rFonts w:ascii="Arial" w:hAnsi="Arial" w:cs="Arial"/>
          <w:sz w:val="24"/>
          <w:szCs w:val="24"/>
        </w:rPr>
        <w:t>,</w:t>
      </w:r>
      <w:r w:rsidRPr="00A36B42">
        <w:rPr>
          <w:rFonts w:ascii="Arial" w:hAnsi="Arial" w:cs="Arial"/>
          <w:sz w:val="24"/>
          <w:szCs w:val="24"/>
        </w:rPr>
        <w:t xml:space="preserve"> (1999)</w:t>
      </w:r>
      <w:r>
        <w:rPr>
          <w:rFonts w:ascii="Arial" w:hAnsi="Arial" w:cs="Arial"/>
          <w:sz w:val="24"/>
          <w:szCs w:val="24"/>
        </w:rPr>
        <w:t>,</w:t>
      </w:r>
      <w:r w:rsidRPr="00A36B42">
        <w:rPr>
          <w:rFonts w:ascii="Arial" w:hAnsi="Arial" w:cs="Arial"/>
          <w:sz w:val="24"/>
          <w:szCs w:val="24"/>
        </w:rPr>
        <w:t xml:space="preserve"> ‘Crossing Borders and Erasing Boundaries: Paradoxes of</w:t>
      </w:r>
      <w:r>
        <w:rPr>
          <w:rFonts w:ascii="Arial" w:hAnsi="Arial" w:cs="Arial"/>
          <w:sz w:val="24"/>
          <w:szCs w:val="24"/>
        </w:rPr>
        <w:t xml:space="preserve"> </w:t>
      </w:r>
      <w:r w:rsidRPr="00A36B42">
        <w:rPr>
          <w:rFonts w:ascii="Arial" w:hAnsi="Arial" w:cs="Arial"/>
          <w:sz w:val="24"/>
          <w:szCs w:val="24"/>
        </w:rPr>
        <w:t xml:space="preserve">Identity Politics’, </w:t>
      </w:r>
      <w:r w:rsidRPr="00A36B42">
        <w:rPr>
          <w:rFonts w:ascii="Arial" w:hAnsi="Arial" w:cs="Arial"/>
          <w:i/>
          <w:iCs/>
          <w:sz w:val="24"/>
          <w:szCs w:val="24"/>
        </w:rPr>
        <w:t>Sociological Focus</w:t>
      </w:r>
      <w:r>
        <w:rPr>
          <w:rFonts w:ascii="Arial" w:hAnsi="Arial" w:cs="Arial"/>
          <w:i/>
          <w:iCs/>
          <w:sz w:val="24"/>
          <w:szCs w:val="24"/>
        </w:rPr>
        <w:t xml:space="preserve">, </w:t>
      </w:r>
      <w:r w:rsidRPr="00A36B42">
        <w:rPr>
          <w:rFonts w:ascii="Arial" w:hAnsi="Arial" w:cs="Arial"/>
          <w:sz w:val="24"/>
          <w:szCs w:val="24"/>
        </w:rPr>
        <w:t>32</w:t>
      </w:r>
      <w:r>
        <w:rPr>
          <w:rFonts w:ascii="Arial" w:hAnsi="Arial" w:cs="Arial"/>
          <w:sz w:val="24"/>
          <w:szCs w:val="24"/>
        </w:rPr>
        <w:t xml:space="preserve"> </w:t>
      </w:r>
      <w:r w:rsidRPr="00A36B42">
        <w:rPr>
          <w:rFonts w:ascii="Arial" w:hAnsi="Arial" w:cs="Arial"/>
          <w:sz w:val="24"/>
          <w:szCs w:val="24"/>
        </w:rPr>
        <w:t>(4)</w:t>
      </w:r>
      <w:r>
        <w:rPr>
          <w:rFonts w:ascii="Arial" w:hAnsi="Arial" w:cs="Arial"/>
          <w:sz w:val="24"/>
          <w:szCs w:val="24"/>
        </w:rPr>
        <w:t>, pp.</w:t>
      </w:r>
      <w:r w:rsidRPr="00A36B42">
        <w:rPr>
          <w:rFonts w:ascii="Arial" w:hAnsi="Arial" w:cs="Arial"/>
          <w:sz w:val="24"/>
          <w:szCs w:val="24"/>
        </w:rPr>
        <w:t>355–70</w:t>
      </w:r>
    </w:p>
    <w:p w14:paraId="7E24FC77" w14:textId="05549DE9" w:rsidR="00BC19F9" w:rsidRPr="00F91002" w:rsidRDefault="00BC19F9" w:rsidP="001C19B5">
      <w:pPr>
        <w:spacing w:line="360" w:lineRule="auto"/>
        <w:rPr>
          <w:rFonts w:ascii="Arial" w:hAnsi="Arial" w:cs="Arial"/>
          <w:sz w:val="24"/>
          <w:szCs w:val="24"/>
        </w:rPr>
      </w:pPr>
      <w:r>
        <w:rPr>
          <w:rFonts w:ascii="Arial" w:hAnsi="Arial" w:cs="Arial"/>
          <w:sz w:val="24"/>
          <w:szCs w:val="24"/>
        </w:rPr>
        <w:t xml:space="preserve">Marcel, Mary, (2014), ‘Representing Gender, Race and Realness: The Television World of America’s Next Drag Superstars’, in Jim Daems (Ed.), (2014), </w:t>
      </w:r>
      <w:r>
        <w:rPr>
          <w:rFonts w:ascii="Arial" w:hAnsi="Arial" w:cs="Arial"/>
          <w:i/>
          <w:iCs/>
          <w:sz w:val="24"/>
          <w:szCs w:val="24"/>
        </w:rPr>
        <w:t xml:space="preserve">The Makeup of RuPaul’s Drag Race: Essays on the Queen of Reality Shows, </w:t>
      </w:r>
      <w:r>
        <w:rPr>
          <w:rFonts w:ascii="Arial" w:hAnsi="Arial" w:cs="Arial"/>
          <w:sz w:val="24"/>
          <w:szCs w:val="24"/>
        </w:rPr>
        <w:t>North Carolina: McFarland &amp; Company, pp.3-12</w:t>
      </w:r>
    </w:p>
    <w:p w14:paraId="172A758C" w14:textId="57805E0D" w:rsidR="00074F11" w:rsidRDefault="00074F11" w:rsidP="001C19B5">
      <w:pPr>
        <w:spacing w:line="360" w:lineRule="auto"/>
        <w:rPr>
          <w:rFonts w:ascii="Arial" w:hAnsi="Arial" w:cs="Arial"/>
          <w:sz w:val="24"/>
          <w:szCs w:val="24"/>
        </w:rPr>
      </w:pPr>
      <w:r>
        <w:rPr>
          <w:rFonts w:ascii="Arial" w:hAnsi="Arial" w:cs="Arial"/>
          <w:sz w:val="24"/>
          <w:szCs w:val="24"/>
        </w:rPr>
        <w:t xml:space="preserve">Mattel, Trixie, (2022), ‘About Trixie’, Accessed via: </w:t>
      </w:r>
      <w:hyperlink r:id="rId10" w:history="1">
        <w:r w:rsidRPr="00CE0578">
          <w:rPr>
            <w:rStyle w:val="Hyperlink"/>
            <w:rFonts w:ascii="Arial" w:hAnsi="Arial" w:cs="Arial"/>
            <w:sz w:val="24"/>
            <w:szCs w:val="24"/>
          </w:rPr>
          <w:t>About - Trixie Mattel</w:t>
        </w:r>
      </w:hyperlink>
      <w:r w:rsidRPr="00CE0578">
        <w:rPr>
          <w:rFonts w:ascii="Arial" w:hAnsi="Arial" w:cs="Arial"/>
          <w:sz w:val="24"/>
          <w:szCs w:val="24"/>
        </w:rPr>
        <w:t>, Accessed on: 18/12/22</w:t>
      </w:r>
    </w:p>
    <w:p w14:paraId="72A50FEE" w14:textId="5B7D5AA1" w:rsidR="00BC19F9" w:rsidRPr="00BC19F9" w:rsidRDefault="00BC19F9" w:rsidP="001C19B5">
      <w:pPr>
        <w:spacing w:line="360" w:lineRule="auto"/>
        <w:rPr>
          <w:rFonts w:ascii="Arial" w:hAnsi="Arial" w:cs="Arial"/>
          <w:sz w:val="24"/>
          <w:szCs w:val="24"/>
        </w:rPr>
      </w:pPr>
      <w:r>
        <w:rPr>
          <w:rFonts w:ascii="Arial" w:hAnsi="Arial" w:cs="Arial"/>
          <w:sz w:val="24"/>
          <w:szCs w:val="24"/>
        </w:rPr>
        <w:t>Mayora, R. Gabriel, (2014), ‘Coverm Girl: Branding Puerto Rican Drag in 21</w:t>
      </w:r>
      <w:r w:rsidRPr="00BC19F9">
        <w:rPr>
          <w:rFonts w:ascii="Arial" w:hAnsi="Arial" w:cs="Arial"/>
          <w:sz w:val="24"/>
          <w:szCs w:val="24"/>
          <w:vertAlign w:val="superscript"/>
        </w:rPr>
        <w:t>st</w:t>
      </w:r>
      <w:r>
        <w:rPr>
          <w:rFonts w:ascii="Arial" w:hAnsi="Arial" w:cs="Arial"/>
          <w:sz w:val="24"/>
          <w:szCs w:val="24"/>
        </w:rPr>
        <w:t xml:space="preserve">-Century U.S. Popular Culture’, in Jim Daems (Ed.), (2014), </w:t>
      </w:r>
      <w:r>
        <w:rPr>
          <w:rFonts w:ascii="Arial" w:hAnsi="Arial" w:cs="Arial"/>
          <w:i/>
          <w:iCs/>
          <w:sz w:val="24"/>
          <w:szCs w:val="24"/>
        </w:rPr>
        <w:t xml:space="preserve">The Makeup of RuPaul’s Drag Race: Essays on the Queen of Reality Shows, </w:t>
      </w:r>
      <w:r>
        <w:rPr>
          <w:rFonts w:ascii="Arial" w:hAnsi="Arial" w:cs="Arial"/>
          <w:sz w:val="24"/>
          <w:szCs w:val="24"/>
        </w:rPr>
        <w:t>North Carolina: McFarland &amp; Company, pp. 106-123</w:t>
      </w:r>
    </w:p>
    <w:p w14:paraId="63A3818E" w14:textId="3A34142E" w:rsidR="00341943" w:rsidRDefault="00341943" w:rsidP="001C19B5">
      <w:pPr>
        <w:spacing w:line="360" w:lineRule="auto"/>
        <w:rPr>
          <w:rFonts w:ascii="Arial" w:hAnsi="Arial" w:cs="Arial"/>
          <w:sz w:val="24"/>
          <w:szCs w:val="24"/>
        </w:rPr>
      </w:pPr>
      <w:r w:rsidRPr="00291CE9">
        <w:rPr>
          <w:rFonts w:ascii="Arial" w:hAnsi="Arial" w:cs="Arial"/>
          <w:sz w:val="24"/>
          <w:szCs w:val="24"/>
        </w:rPr>
        <w:t>Mead, G. H.</w:t>
      </w:r>
      <w:r>
        <w:rPr>
          <w:rFonts w:ascii="Arial" w:hAnsi="Arial" w:cs="Arial"/>
          <w:sz w:val="24"/>
          <w:szCs w:val="24"/>
        </w:rPr>
        <w:t>,</w:t>
      </w:r>
      <w:r w:rsidRPr="00291CE9">
        <w:rPr>
          <w:rFonts w:ascii="Arial" w:hAnsi="Arial" w:cs="Arial"/>
          <w:sz w:val="24"/>
          <w:szCs w:val="24"/>
        </w:rPr>
        <w:t xml:space="preserve"> </w:t>
      </w:r>
      <w:r>
        <w:rPr>
          <w:rFonts w:ascii="Arial" w:hAnsi="Arial" w:cs="Arial"/>
          <w:sz w:val="24"/>
          <w:szCs w:val="24"/>
        </w:rPr>
        <w:t>(</w:t>
      </w:r>
      <w:r w:rsidRPr="00291CE9">
        <w:rPr>
          <w:rFonts w:ascii="Arial" w:hAnsi="Arial" w:cs="Arial"/>
          <w:sz w:val="24"/>
          <w:szCs w:val="24"/>
        </w:rPr>
        <w:t>1934</w:t>
      </w:r>
      <w:r>
        <w:rPr>
          <w:rFonts w:ascii="Arial" w:hAnsi="Arial" w:cs="Arial"/>
          <w:sz w:val="24"/>
          <w:szCs w:val="24"/>
        </w:rPr>
        <w:t>),</w:t>
      </w:r>
      <w:r w:rsidRPr="00291CE9">
        <w:rPr>
          <w:rFonts w:ascii="Arial" w:hAnsi="Arial" w:cs="Arial"/>
          <w:sz w:val="24"/>
          <w:szCs w:val="24"/>
        </w:rPr>
        <w:t xml:space="preserve"> </w:t>
      </w:r>
      <w:r w:rsidRPr="00291CE9">
        <w:rPr>
          <w:rFonts w:ascii="Arial" w:hAnsi="Arial" w:cs="Arial"/>
          <w:i/>
          <w:iCs/>
          <w:sz w:val="24"/>
          <w:szCs w:val="24"/>
        </w:rPr>
        <w:t>Mind, self, and society</w:t>
      </w:r>
      <w:r>
        <w:rPr>
          <w:rFonts w:ascii="Arial" w:hAnsi="Arial" w:cs="Arial"/>
          <w:sz w:val="24"/>
          <w:szCs w:val="24"/>
        </w:rPr>
        <w:t>,</w:t>
      </w:r>
      <w:r w:rsidRPr="00291CE9">
        <w:rPr>
          <w:rFonts w:ascii="Arial" w:hAnsi="Arial" w:cs="Arial"/>
          <w:sz w:val="24"/>
          <w:szCs w:val="24"/>
        </w:rPr>
        <w:t xml:space="preserve"> Chicago: University of Chicago Press</w:t>
      </w:r>
    </w:p>
    <w:p w14:paraId="290AE595" w14:textId="190C1198" w:rsidR="001C19B5" w:rsidRDefault="001C19B5" w:rsidP="001C19B5">
      <w:pPr>
        <w:spacing w:line="360" w:lineRule="auto"/>
        <w:rPr>
          <w:rFonts w:ascii="Arial" w:hAnsi="Arial" w:cs="Arial"/>
          <w:sz w:val="24"/>
          <w:szCs w:val="24"/>
        </w:rPr>
      </w:pPr>
      <w:r>
        <w:rPr>
          <w:rFonts w:ascii="Arial" w:hAnsi="Arial" w:cs="Arial"/>
          <w:sz w:val="24"/>
          <w:szCs w:val="24"/>
        </w:rPr>
        <w:lastRenderedPageBreak/>
        <w:t xml:space="preserve">Mitsis, Mario, (2021), </w:t>
      </w:r>
      <w:r w:rsidRPr="001C19B5">
        <w:rPr>
          <w:rFonts w:ascii="Arial" w:hAnsi="Arial" w:cs="Arial"/>
          <w:i/>
          <w:iCs/>
          <w:sz w:val="24"/>
          <w:szCs w:val="24"/>
        </w:rPr>
        <w:t>Fatt Butcher</w:t>
      </w:r>
      <w:r>
        <w:rPr>
          <w:rFonts w:ascii="Arial" w:hAnsi="Arial" w:cs="Arial"/>
          <w:sz w:val="24"/>
          <w:szCs w:val="24"/>
        </w:rPr>
        <w:t xml:space="preserve">, accompanies Adam Carver, ‘Adam Carver: Fatt Projects’, Accessed via: </w:t>
      </w:r>
      <w:hyperlink r:id="rId11" w:history="1">
        <w:r w:rsidRPr="00642213">
          <w:rPr>
            <w:rStyle w:val="Hyperlink"/>
            <w:rFonts w:ascii="Arial" w:hAnsi="Arial" w:cs="Arial"/>
            <w:sz w:val="24"/>
            <w:szCs w:val="24"/>
          </w:rPr>
          <w:t>FATT BUTCHER – Adam Carver (adamgcarver.com)</w:t>
        </w:r>
      </w:hyperlink>
      <w:r w:rsidRPr="00642213">
        <w:rPr>
          <w:rFonts w:ascii="Arial" w:hAnsi="Arial" w:cs="Arial"/>
          <w:sz w:val="24"/>
          <w:szCs w:val="24"/>
        </w:rPr>
        <w:t>, Accessed on: 17/12/22</w:t>
      </w:r>
    </w:p>
    <w:p w14:paraId="7F0BBB9F" w14:textId="730ABA90" w:rsidR="00F91002" w:rsidRDefault="00F91002" w:rsidP="001C19B5">
      <w:pPr>
        <w:spacing w:line="360" w:lineRule="auto"/>
        <w:rPr>
          <w:rFonts w:ascii="Arial" w:hAnsi="Arial" w:cs="Arial"/>
          <w:sz w:val="24"/>
          <w:szCs w:val="24"/>
        </w:rPr>
      </w:pPr>
      <w:r w:rsidRPr="00A36B42">
        <w:rPr>
          <w:rFonts w:ascii="Arial" w:hAnsi="Arial" w:cs="Arial"/>
          <w:sz w:val="24"/>
          <w:szCs w:val="24"/>
        </w:rPr>
        <w:t>Moloney, Molly and Fenstermaker, Sarah</w:t>
      </w:r>
      <w:r>
        <w:rPr>
          <w:rFonts w:ascii="Arial" w:hAnsi="Arial" w:cs="Arial"/>
          <w:sz w:val="24"/>
          <w:szCs w:val="24"/>
        </w:rPr>
        <w:t>,</w:t>
      </w:r>
      <w:r w:rsidRPr="00A36B42">
        <w:rPr>
          <w:rFonts w:ascii="Arial" w:hAnsi="Arial" w:cs="Arial"/>
          <w:sz w:val="24"/>
          <w:szCs w:val="24"/>
        </w:rPr>
        <w:t xml:space="preserve"> (2002)</w:t>
      </w:r>
      <w:r>
        <w:rPr>
          <w:rFonts w:ascii="Arial" w:hAnsi="Arial" w:cs="Arial"/>
          <w:sz w:val="24"/>
          <w:szCs w:val="24"/>
        </w:rPr>
        <w:t>,</w:t>
      </w:r>
      <w:r w:rsidRPr="00A36B42">
        <w:rPr>
          <w:rFonts w:ascii="Arial" w:hAnsi="Arial" w:cs="Arial"/>
          <w:sz w:val="24"/>
          <w:szCs w:val="24"/>
        </w:rPr>
        <w:t xml:space="preserve"> ‘Performance and</w:t>
      </w:r>
      <w:r>
        <w:rPr>
          <w:rFonts w:ascii="Arial" w:hAnsi="Arial" w:cs="Arial"/>
          <w:sz w:val="24"/>
          <w:szCs w:val="24"/>
        </w:rPr>
        <w:t xml:space="preserve"> </w:t>
      </w:r>
      <w:r w:rsidRPr="00A36B42">
        <w:rPr>
          <w:rFonts w:ascii="Arial" w:hAnsi="Arial" w:cs="Arial"/>
          <w:sz w:val="24"/>
          <w:szCs w:val="24"/>
        </w:rPr>
        <w:t>Accomplishment: Reconciling Feminist Conceptions of Gender’, in Sarah</w:t>
      </w:r>
      <w:r>
        <w:rPr>
          <w:rFonts w:ascii="Arial" w:hAnsi="Arial" w:cs="Arial"/>
          <w:sz w:val="24"/>
          <w:szCs w:val="24"/>
        </w:rPr>
        <w:t xml:space="preserve"> </w:t>
      </w:r>
      <w:r w:rsidRPr="00A36B42">
        <w:rPr>
          <w:rFonts w:ascii="Arial" w:hAnsi="Arial" w:cs="Arial"/>
          <w:sz w:val="24"/>
          <w:szCs w:val="24"/>
        </w:rPr>
        <w:t>Fenstermaker and Candace West (</w:t>
      </w:r>
      <w:r>
        <w:rPr>
          <w:rFonts w:ascii="Arial" w:hAnsi="Arial" w:cs="Arial"/>
          <w:sz w:val="24"/>
          <w:szCs w:val="24"/>
        </w:rPr>
        <w:t>E</w:t>
      </w:r>
      <w:r w:rsidRPr="00A36B42">
        <w:rPr>
          <w:rFonts w:ascii="Arial" w:hAnsi="Arial" w:cs="Arial"/>
          <w:sz w:val="24"/>
          <w:szCs w:val="24"/>
        </w:rPr>
        <w:t>ds</w:t>
      </w:r>
      <w:r>
        <w:rPr>
          <w:rFonts w:ascii="Arial" w:hAnsi="Arial" w:cs="Arial"/>
          <w:sz w:val="24"/>
          <w:szCs w:val="24"/>
        </w:rPr>
        <w:t>.</w:t>
      </w:r>
      <w:r w:rsidRPr="00A36B42">
        <w:rPr>
          <w:rFonts w:ascii="Arial" w:hAnsi="Arial" w:cs="Arial"/>
          <w:sz w:val="24"/>
          <w:szCs w:val="24"/>
        </w:rPr>
        <w:t>)</w:t>
      </w:r>
      <w:r>
        <w:rPr>
          <w:rFonts w:ascii="Arial" w:hAnsi="Arial" w:cs="Arial"/>
          <w:sz w:val="24"/>
          <w:szCs w:val="24"/>
        </w:rPr>
        <w:t xml:space="preserve">, </w:t>
      </w:r>
      <w:r w:rsidRPr="00A36B42">
        <w:rPr>
          <w:rFonts w:ascii="Arial" w:hAnsi="Arial" w:cs="Arial"/>
          <w:i/>
          <w:iCs/>
          <w:sz w:val="24"/>
          <w:szCs w:val="24"/>
        </w:rPr>
        <w:t>Doing Gender, Doing Difference</w:t>
      </w:r>
      <w:r w:rsidRPr="00A36B42">
        <w:rPr>
          <w:rFonts w:ascii="Arial" w:hAnsi="Arial" w:cs="Arial"/>
          <w:sz w:val="24"/>
          <w:szCs w:val="24"/>
        </w:rPr>
        <w:t>,</w:t>
      </w:r>
      <w:r>
        <w:rPr>
          <w:rFonts w:ascii="Arial" w:hAnsi="Arial" w:cs="Arial"/>
          <w:sz w:val="24"/>
          <w:szCs w:val="24"/>
        </w:rPr>
        <w:t xml:space="preserve"> </w:t>
      </w:r>
      <w:r w:rsidRPr="00A36B42">
        <w:rPr>
          <w:rFonts w:ascii="Arial" w:hAnsi="Arial" w:cs="Arial"/>
          <w:sz w:val="24"/>
          <w:szCs w:val="24"/>
        </w:rPr>
        <w:t>New York: Routledge</w:t>
      </w:r>
      <w:r>
        <w:rPr>
          <w:rFonts w:ascii="Arial" w:hAnsi="Arial" w:cs="Arial"/>
          <w:sz w:val="24"/>
          <w:szCs w:val="24"/>
        </w:rPr>
        <w:t xml:space="preserve">, </w:t>
      </w:r>
      <w:r w:rsidRPr="00A36B42">
        <w:rPr>
          <w:rFonts w:ascii="Arial" w:hAnsi="Arial" w:cs="Arial"/>
          <w:sz w:val="24"/>
          <w:szCs w:val="24"/>
        </w:rPr>
        <w:t>pp. 189–204</w:t>
      </w:r>
    </w:p>
    <w:p w14:paraId="7DA40B9D" w14:textId="0879FFDF" w:rsidR="00BC19F9" w:rsidRDefault="00BC19F9" w:rsidP="001C19B5">
      <w:pPr>
        <w:spacing w:line="360" w:lineRule="auto"/>
        <w:rPr>
          <w:rFonts w:ascii="Arial" w:hAnsi="Arial" w:cs="Arial"/>
          <w:sz w:val="24"/>
          <w:szCs w:val="24"/>
        </w:rPr>
      </w:pPr>
      <w:r>
        <w:rPr>
          <w:rFonts w:ascii="Arial" w:hAnsi="Arial" w:cs="Arial"/>
          <w:sz w:val="24"/>
          <w:szCs w:val="24"/>
        </w:rPr>
        <w:t xml:space="preserve">Morrison, Josh, (2014), ‘”Draguating to Normal: Camp and Homonormative Politics’, in Jim Daems (Ed.), (2014), </w:t>
      </w:r>
      <w:r>
        <w:rPr>
          <w:rFonts w:ascii="Arial" w:hAnsi="Arial" w:cs="Arial"/>
          <w:i/>
          <w:iCs/>
          <w:sz w:val="24"/>
          <w:szCs w:val="24"/>
        </w:rPr>
        <w:t xml:space="preserve">The Makeup of RuPaul’s Drag Race: Essays on the Queen of Reality Shows, </w:t>
      </w:r>
      <w:r>
        <w:rPr>
          <w:rFonts w:ascii="Arial" w:hAnsi="Arial" w:cs="Arial"/>
          <w:sz w:val="24"/>
          <w:szCs w:val="24"/>
        </w:rPr>
        <w:t>North Carolina: McFarland &amp; Company, pp. 124-147</w:t>
      </w:r>
    </w:p>
    <w:p w14:paraId="5AD0D7FC" w14:textId="648F0A80" w:rsidR="00F91002" w:rsidRPr="001C19B5" w:rsidRDefault="00F91002" w:rsidP="001C19B5">
      <w:pPr>
        <w:spacing w:line="360" w:lineRule="auto"/>
        <w:rPr>
          <w:rFonts w:ascii="Arial" w:hAnsi="Arial" w:cs="Arial"/>
          <w:sz w:val="24"/>
          <w:szCs w:val="24"/>
        </w:rPr>
      </w:pPr>
      <w:r w:rsidRPr="00A36B42">
        <w:rPr>
          <w:rFonts w:ascii="Arial" w:hAnsi="Arial" w:cs="Arial"/>
          <w:sz w:val="24"/>
          <w:szCs w:val="24"/>
        </w:rPr>
        <w:t>Muñoz, José Esteban</w:t>
      </w:r>
      <w:r>
        <w:rPr>
          <w:rFonts w:ascii="Arial" w:hAnsi="Arial" w:cs="Arial"/>
          <w:sz w:val="24"/>
          <w:szCs w:val="24"/>
        </w:rPr>
        <w:t>,</w:t>
      </w:r>
      <w:r w:rsidRPr="00A36B42">
        <w:rPr>
          <w:rFonts w:ascii="Arial" w:hAnsi="Arial" w:cs="Arial"/>
          <w:sz w:val="24"/>
          <w:szCs w:val="24"/>
        </w:rPr>
        <w:t xml:space="preserve"> (1999)</w:t>
      </w:r>
      <w:r>
        <w:rPr>
          <w:rFonts w:ascii="Arial" w:hAnsi="Arial" w:cs="Arial"/>
          <w:sz w:val="24"/>
          <w:szCs w:val="24"/>
        </w:rPr>
        <w:t>,</w:t>
      </w:r>
      <w:r w:rsidRPr="00A36B42">
        <w:rPr>
          <w:rFonts w:ascii="Arial" w:hAnsi="Arial" w:cs="Arial"/>
          <w:sz w:val="24"/>
          <w:szCs w:val="24"/>
        </w:rPr>
        <w:t xml:space="preserve"> </w:t>
      </w:r>
      <w:r w:rsidRPr="00A36B42">
        <w:rPr>
          <w:rFonts w:ascii="Arial" w:hAnsi="Arial" w:cs="Arial"/>
          <w:i/>
          <w:iCs/>
          <w:sz w:val="24"/>
          <w:szCs w:val="24"/>
        </w:rPr>
        <w:t>Disidentifications: Queers of Color and the</w:t>
      </w:r>
      <w:r>
        <w:rPr>
          <w:rFonts w:ascii="Arial" w:hAnsi="Arial" w:cs="Arial"/>
          <w:i/>
          <w:iCs/>
          <w:sz w:val="24"/>
          <w:szCs w:val="24"/>
        </w:rPr>
        <w:t xml:space="preserve"> </w:t>
      </w:r>
      <w:r w:rsidRPr="00A36B42">
        <w:rPr>
          <w:rFonts w:ascii="Arial" w:hAnsi="Arial" w:cs="Arial"/>
          <w:i/>
          <w:iCs/>
          <w:sz w:val="24"/>
          <w:szCs w:val="24"/>
        </w:rPr>
        <w:t>Performance of Politics</w:t>
      </w:r>
      <w:r>
        <w:rPr>
          <w:rFonts w:ascii="Arial" w:hAnsi="Arial" w:cs="Arial"/>
          <w:sz w:val="24"/>
          <w:szCs w:val="24"/>
        </w:rPr>
        <w:t xml:space="preserve">, </w:t>
      </w:r>
      <w:r w:rsidRPr="00A36B42">
        <w:rPr>
          <w:rFonts w:ascii="Arial" w:hAnsi="Arial" w:cs="Arial"/>
          <w:sz w:val="24"/>
          <w:szCs w:val="24"/>
        </w:rPr>
        <w:t>Minneapolis: University of Minnesota Press</w:t>
      </w:r>
    </w:p>
    <w:p w14:paraId="54DD0699" w14:textId="60B0B7C3" w:rsidR="001C19B5" w:rsidRDefault="001C19B5" w:rsidP="001C19B5">
      <w:pPr>
        <w:spacing w:line="360" w:lineRule="auto"/>
        <w:rPr>
          <w:rFonts w:ascii="Arial" w:hAnsi="Arial" w:cs="Arial"/>
          <w:sz w:val="24"/>
          <w:szCs w:val="24"/>
        </w:rPr>
      </w:pPr>
      <w:r>
        <w:rPr>
          <w:rFonts w:ascii="Arial" w:hAnsi="Arial" w:cs="Arial"/>
          <w:sz w:val="24"/>
          <w:szCs w:val="24"/>
        </w:rPr>
        <w:t>Muntoni, Francesca; Wagner, Jenny and Retelsdorf, Jan, (2021), ‘Beware of Stereotypes: Are Classmates’ Stereotypes Associated with Student Reading Outcomes?’, 92 (1), pp.189-204</w:t>
      </w:r>
    </w:p>
    <w:p w14:paraId="7686A727" w14:textId="76698D71" w:rsidR="007F2808" w:rsidRDefault="007F2808" w:rsidP="001C19B5">
      <w:pPr>
        <w:spacing w:line="360" w:lineRule="auto"/>
        <w:rPr>
          <w:rFonts w:ascii="Arial" w:hAnsi="Arial" w:cs="Arial"/>
          <w:sz w:val="24"/>
          <w:szCs w:val="24"/>
        </w:rPr>
      </w:pPr>
      <w:r w:rsidRPr="00CA7A5C">
        <w:rPr>
          <w:rFonts w:ascii="Arial" w:hAnsi="Arial" w:cs="Arial"/>
          <w:sz w:val="24"/>
          <w:szCs w:val="24"/>
        </w:rPr>
        <w:t xml:space="preserve">Murnen, S. K., and Byrne, D., (1991), ‘Hyperfemininity: Measurement and initial validation of the construct’, </w:t>
      </w:r>
      <w:r w:rsidRPr="00CA7A5C">
        <w:rPr>
          <w:rFonts w:ascii="Arial" w:hAnsi="Arial" w:cs="Arial"/>
          <w:i/>
          <w:iCs/>
          <w:sz w:val="24"/>
          <w:szCs w:val="24"/>
        </w:rPr>
        <w:t>The Journal of Sex Research</w:t>
      </w:r>
      <w:r w:rsidRPr="00CA7A5C">
        <w:rPr>
          <w:rFonts w:ascii="Arial" w:hAnsi="Arial" w:cs="Arial"/>
          <w:sz w:val="24"/>
          <w:szCs w:val="24"/>
        </w:rPr>
        <w:t>, 28, pp.479–489</w:t>
      </w:r>
    </w:p>
    <w:p w14:paraId="4A641393" w14:textId="19C7DAF6" w:rsidR="003C55E7" w:rsidRPr="003C55E7" w:rsidRDefault="003C55E7" w:rsidP="001C19B5">
      <w:pPr>
        <w:spacing w:line="360" w:lineRule="auto"/>
        <w:rPr>
          <w:rFonts w:ascii="Arial" w:hAnsi="Arial" w:cs="Arial"/>
          <w:sz w:val="24"/>
          <w:szCs w:val="24"/>
        </w:rPr>
      </w:pPr>
      <w:r w:rsidRPr="002738CA">
        <w:rPr>
          <w:rFonts w:ascii="Arial" w:hAnsi="Arial" w:cs="Arial"/>
          <w:sz w:val="24"/>
          <w:szCs w:val="24"/>
        </w:rPr>
        <w:t xml:space="preserve">Namaste, V., (2000), </w:t>
      </w:r>
      <w:r w:rsidRPr="002738CA">
        <w:rPr>
          <w:rFonts w:ascii="Arial" w:hAnsi="Arial" w:cs="Arial"/>
          <w:i/>
          <w:iCs/>
          <w:sz w:val="24"/>
          <w:szCs w:val="24"/>
        </w:rPr>
        <w:t>Invisible lives</w:t>
      </w:r>
      <w:r w:rsidRPr="002738CA">
        <w:rPr>
          <w:rFonts w:ascii="Arial" w:hAnsi="Arial" w:cs="Arial"/>
          <w:sz w:val="24"/>
          <w:szCs w:val="24"/>
        </w:rPr>
        <w:t>, Chicago: University of Chicago Press</w:t>
      </w:r>
    </w:p>
    <w:p w14:paraId="215015B0" w14:textId="203629D3" w:rsidR="00FD772E" w:rsidRDefault="00FD772E" w:rsidP="001C19B5">
      <w:pPr>
        <w:spacing w:line="360" w:lineRule="auto"/>
        <w:rPr>
          <w:rFonts w:ascii="Arial" w:hAnsi="Arial" w:cs="Arial"/>
          <w:sz w:val="24"/>
          <w:szCs w:val="24"/>
        </w:rPr>
      </w:pPr>
      <w:r w:rsidRPr="00333449">
        <w:rPr>
          <w:rFonts w:ascii="Arial" w:hAnsi="Arial" w:cs="Arial"/>
          <w:sz w:val="24"/>
          <w:szCs w:val="24"/>
        </w:rPr>
        <w:t xml:space="preserve">Nelson, T. D., (2002), </w:t>
      </w:r>
      <w:r w:rsidRPr="00333449">
        <w:rPr>
          <w:rFonts w:ascii="Arial" w:hAnsi="Arial" w:cs="Arial"/>
          <w:i/>
          <w:iCs/>
          <w:sz w:val="24"/>
          <w:szCs w:val="24"/>
        </w:rPr>
        <w:t>The psychology of prejudice</w:t>
      </w:r>
      <w:r w:rsidRPr="00333449">
        <w:rPr>
          <w:rFonts w:ascii="Arial" w:hAnsi="Arial" w:cs="Arial"/>
          <w:sz w:val="24"/>
          <w:szCs w:val="24"/>
        </w:rPr>
        <w:t>, Boston: Allyn &amp; Bacon</w:t>
      </w:r>
    </w:p>
    <w:p w14:paraId="58EF4B35" w14:textId="7DB00D7A" w:rsidR="00A70E15" w:rsidRDefault="00A70E15" w:rsidP="001C19B5">
      <w:pPr>
        <w:spacing w:line="360" w:lineRule="auto"/>
        <w:rPr>
          <w:rFonts w:ascii="Arial" w:hAnsi="Arial" w:cs="Arial"/>
          <w:sz w:val="24"/>
          <w:szCs w:val="24"/>
        </w:rPr>
      </w:pPr>
      <w:r>
        <w:rPr>
          <w:rFonts w:ascii="Arial" w:hAnsi="Arial" w:cs="Arial"/>
          <w:sz w:val="24"/>
          <w:szCs w:val="24"/>
        </w:rPr>
        <w:t xml:space="preserve">Nestle, J.; Wilchins, R., and Howell, C., (2002), </w:t>
      </w:r>
      <w:r>
        <w:rPr>
          <w:rFonts w:ascii="Arial" w:hAnsi="Arial" w:cs="Arial"/>
          <w:i/>
          <w:iCs/>
          <w:sz w:val="24"/>
          <w:szCs w:val="24"/>
        </w:rPr>
        <w:t xml:space="preserve">Genderqueer: Voices beyond the sexual binary, </w:t>
      </w:r>
      <w:r>
        <w:rPr>
          <w:rFonts w:ascii="Arial" w:hAnsi="Arial" w:cs="Arial"/>
          <w:sz w:val="24"/>
          <w:szCs w:val="24"/>
        </w:rPr>
        <w:t>Los Angeles: Alyson Books</w:t>
      </w:r>
    </w:p>
    <w:p w14:paraId="649F6B06" w14:textId="06E378DF" w:rsidR="0008664D" w:rsidRDefault="0008664D" w:rsidP="001C19B5">
      <w:pPr>
        <w:spacing w:line="360" w:lineRule="auto"/>
        <w:rPr>
          <w:rFonts w:ascii="Arial" w:hAnsi="Arial" w:cs="Arial"/>
          <w:sz w:val="24"/>
          <w:szCs w:val="24"/>
        </w:rPr>
      </w:pPr>
      <w:r>
        <w:rPr>
          <w:rFonts w:ascii="Arial" w:hAnsi="Arial" w:cs="Arial"/>
          <w:sz w:val="24"/>
          <w:szCs w:val="24"/>
        </w:rPr>
        <w:t xml:space="preserve">Newton, E., (1972), </w:t>
      </w:r>
      <w:r>
        <w:rPr>
          <w:rFonts w:ascii="Arial" w:hAnsi="Arial" w:cs="Arial"/>
          <w:i/>
          <w:iCs/>
          <w:sz w:val="24"/>
          <w:szCs w:val="24"/>
        </w:rPr>
        <w:t xml:space="preserve">Mother camp: Female impersonators in America, </w:t>
      </w:r>
      <w:r>
        <w:rPr>
          <w:rFonts w:ascii="Arial" w:hAnsi="Arial" w:cs="Arial"/>
          <w:sz w:val="24"/>
          <w:szCs w:val="24"/>
        </w:rPr>
        <w:t>Chicago: The University of Chicago Press</w:t>
      </w:r>
    </w:p>
    <w:p w14:paraId="3853D5C1" w14:textId="23EDBE09" w:rsidR="001C19B5" w:rsidRDefault="001C19B5" w:rsidP="001C19B5">
      <w:pPr>
        <w:spacing w:line="360" w:lineRule="auto"/>
        <w:rPr>
          <w:rFonts w:ascii="Arial" w:hAnsi="Arial" w:cs="Arial"/>
          <w:sz w:val="24"/>
          <w:szCs w:val="24"/>
        </w:rPr>
      </w:pPr>
      <w:r>
        <w:rPr>
          <w:rFonts w:ascii="Arial" w:hAnsi="Arial" w:cs="Arial"/>
          <w:sz w:val="24"/>
          <w:szCs w:val="24"/>
        </w:rPr>
        <w:t xml:space="preserve">Photo provided by Aquaria, (2020), Aquaria seated against red background, accompanies Smith, Dakota, ‘It’s still the age of Aquaria: an interview with the Ru Paul’s Drag Race season 10 winner’, </w:t>
      </w:r>
      <w:r>
        <w:rPr>
          <w:rFonts w:ascii="Arial" w:hAnsi="Arial" w:cs="Arial"/>
          <w:i/>
          <w:iCs/>
          <w:sz w:val="24"/>
          <w:szCs w:val="24"/>
        </w:rPr>
        <w:t xml:space="preserve">Wussy, </w:t>
      </w:r>
      <w:r>
        <w:rPr>
          <w:rFonts w:ascii="Arial" w:hAnsi="Arial" w:cs="Arial"/>
          <w:sz w:val="24"/>
          <w:szCs w:val="24"/>
        </w:rPr>
        <w:t xml:space="preserve">Accessed via: </w:t>
      </w:r>
      <w:hyperlink r:id="rId12" w:history="1">
        <w:r w:rsidRPr="00DA3D7A">
          <w:rPr>
            <w:rStyle w:val="Hyperlink"/>
            <w:rFonts w:ascii="Arial" w:hAnsi="Arial" w:cs="Arial"/>
            <w:sz w:val="24"/>
            <w:szCs w:val="24"/>
          </w:rPr>
          <w:t>It’s Still the Age of Aquaria: An Interview With the RuPaul’s Drag Race Season 10 Winner — WUSSY Mag</w:t>
        </w:r>
      </w:hyperlink>
      <w:r w:rsidRPr="00DA3D7A">
        <w:rPr>
          <w:rFonts w:ascii="Arial" w:hAnsi="Arial" w:cs="Arial"/>
          <w:sz w:val="24"/>
          <w:szCs w:val="24"/>
        </w:rPr>
        <w:t>, Accessed on: 17/12/22</w:t>
      </w:r>
    </w:p>
    <w:p w14:paraId="72A0349C" w14:textId="2B1F600C" w:rsidR="00FD772E" w:rsidRDefault="00FD772E" w:rsidP="001C19B5">
      <w:pPr>
        <w:spacing w:line="360" w:lineRule="auto"/>
        <w:rPr>
          <w:rFonts w:ascii="Arial" w:hAnsi="Arial" w:cs="Arial"/>
          <w:sz w:val="24"/>
          <w:szCs w:val="24"/>
        </w:rPr>
      </w:pPr>
      <w:r>
        <w:rPr>
          <w:rFonts w:ascii="Arial" w:hAnsi="Arial" w:cs="Arial"/>
          <w:sz w:val="24"/>
          <w:szCs w:val="24"/>
        </w:rPr>
        <w:lastRenderedPageBreak/>
        <w:t xml:space="preserve">Posthuma, Richard A., and Campion, Michael A., (2009), ‘Age Stereotypes in the Workplace: Common Stereotypes, Moderators and Future Research Directions’, </w:t>
      </w:r>
      <w:r>
        <w:rPr>
          <w:rFonts w:ascii="Arial" w:hAnsi="Arial" w:cs="Arial"/>
          <w:i/>
          <w:iCs/>
          <w:sz w:val="24"/>
          <w:szCs w:val="24"/>
        </w:rPr>
        <w:t xml:space="preserve">Journal of management, </w:t>
      </w:r>
      <w:r>
        <w:rPr>
          <w:rFonts w:ascii="Arial" w:hAnsi="Arial" w:cs="Arial"/>
          <w:sz w:val="24"/>
          <w:szCs w:val="24"/>
        </w:rPr>
        <w:t>35 (1), pp.158-188</w:t>
      </w:r>
    </w:p>
    <w:p w14:paraId="6DB4733D" w14:textId="631BEBA7" w:rsidR="0096098F" w:rsidRDefault="0096098F" w:rsidP="001C19B5">
      <w:pPr>
        <w:spacing w:line="360" w:lineRule="auto"/>
        <w:rPr>
          <w:rFonts w:ascii="Arial" w:hAnsi="Arial" w:cs="Arial"/>
          <w:sz w:val="24"/>
          <w:szCs w:val="24"/>
        </w:rPr>
      </w:pPr>
      <w:r>
        <w:rPr>
          <w:rFonts w:ascii="Arial" w:hAnsi="Arial" w:cs="Arial"/>
          <w:sz w:val="24"/>
          <w:szCs w:val="24"/>
        </w:rPr>
        <w:t xml:space="preserve">Rupp, L. J., and Taylor, V., (2004), </w:t>
      </w:r>
      <w:r>
        <w:rPr>
          <w:rFonts w:ascii="Arial" w:hAnsi="Arial" w:cs="Arial"/>
          <w:i/>
          <w:iCs/>
          <w:sz w:val="24"/>
          <w:szCs w:val="24"/>
        </w:rPr>
        <w:t xml:space="preserve">Drag queens at the 801 Cabaret, </w:t>
      </w:r>
      <w:r>
        <w:rPr>
          <w:rFonts w:ascii="Arial" w:hAnsi="Arial" w:cs="Arial"/>
          <w:sz w:val="24"/>
          <w:szCs w:val="24"/>
        </w:rPr>
        <w:t>Chicago: The University of Chicago Press</w:t>
      </w:r>
    </w:p>
    <w:p w14:paraId="4712EA13" w14:textId="4F1B8384" w:rsidR="0008664D" w:rsidRDefault="0008664D" w:rsidP="0008664D">
      <w:pPr>
        <w:spacing w:line="360" w:lineRule="auto"/>
        <w:rPr>
          <w:rFonts w:ascii="Arial" w:hAnsi="Arial" w:cs="Arial"/>
          <w:sz w:val="24"/>
          <w:szCs w:val="24"/>
        </w:rPr>
      </w:pPr>
      <w:r>
        <w:rPr>
          <w:rFonts w:ascii="Arial" w:hAnsi="Arial" w:cs="Arial"/>
          <w:sz w:val="24"/>
          <w:szCs w:val="24"/>
        </w:rPr>
        <w:t>Rupp, L. J.; Taylor, Verta, and Shapiro, E. L., (2010), ‘Drag Queens and Drag Kin</w:t>
      </w:r>
      <w:r w:rsidR="0096098F">
        <w:rPr>
          <w:rFonts w:ascii="Arial" w:hAnsi="Arial" w:cs="Arial"/>
          <w:sz w:val="24"/>
          <w:szCs w:val="24"/>
        </w:rPr>
        <w:t>g</w:t>
      </w:r>
      <w:r>
        <w:rPr>
          <w:rFonts w:ascii="Arial" w:hAnsi="Arial" w:cs="Arial"/>
          <w:sz w:val="24"/>
          <w:szCs w:val="24"/>
        </w:rPr>
        <w:t xml:space="preserve">s: The Difference Gender Makes’, </w:t>
      </w:r>
      <w:r>
        <w:rPr>
          <w:rFonts w:ascii="Arial" w:hAnsi="Arial" w:cs="Arial"/>
          <w:i/>
          <w:iCs/>
          <w:sz w:val="24"/>
          <w:szCs w:val="24"/>
        </w:rPr>
        <w:t xml:space="preserve">Sexualities, </w:t>
      </w:r>
      <w:r>
        <w:rPr>
          <w:rFonts w:ascii="Arial" w:hAnsi="Arial" w:cs="Arial"/>
          <w:sz w:val="24"/>
          <w:szCs w:val="24"/>
        </w:rPr>
        <w:t>2010, 13 (3), pp.275-294</w:t>
      </w:r>
    </w:p>
    <w:p w14:paraId="3752DFEE" w14:textId="77777777" w:rsidR="00373D82" w:rsidRDefault="00373D82" w:rsidP="00373D82">
      <w:pPr>
        <w:spacing w:line="360" w:lineRule="auto"/>
        <w:rPr>
          <w:rFonts w:ascii="Arial" w:hAnsi="Arial" w:cs="Arial"/>
          <w:sz w:val="24"/>
          <w:szCs w:val="24"/>
        </w:rPr>
      </w:pPr>
      <w:r w:rsidRPr="00A94DBF">
        <w:rPr>
          <w:rFonts w:ascii="Arial" w:hAnsi="Arial" w:cs="Arial"/>
          <w:sz w:val="24"/>
          <w:szCs w:val="24"/>
        </w:rPr>
        <w:t>Schacht, Steven P.</w:t>
      </w:r>
      <w:r>
        <w:rPr>
          <w:rFonts w:ascii="Arial" w:hAnsi="Arial" w:cs="Arial"/>
          <w:sz w:val="24"/>
          <w:szCs w:val="24"/>
        </w:rPr>
        <w:t>,</w:t>
      </w:r>
      <w:r w:rsidRPr="00A94DBF">
        <w:rPr>
          <w:rFonts w:ascii="Arial" w:hAnsi="Arial" w:cs="Arial"/>
          <w:sz w:val="24"/>
          <w:szCs w:val="24"/>
        </w:rPr>
        <w:t xml:space="preserve"> (1998)</w:t>
      </w:r>
      <w:r>
        <w:rPr>
          <w:rFonts w:ascii="Arial" w:hAnsi="Arial" w:cs="Arial"/>
          <w:sz w:val="24"/>
          <w:szCs w:val="24"/>
        </w:rPr>
        <w:t>,</w:t>
      </w:r>
      <w:r w:rsidRPr="00A94DBF">
        <w:rPr>
          <w:rFonts w:ascii="Arial" w:hAnsi="Arial" w:cs="Arial"/>
          <w:sz w:val="24"/>
          <w:szCs w:val="24"/>
        </w:rPr>
        <w:t xml:space="preserve"> ‘The Multiple Genders of the Court: Issues of</w:t>
      </w:r>
      <w:r>
        <w:rPr>
          <w:rFonts w:ascii="Arial" w:hAnsi="Arial" w:cs="Arial"/>
          <w:sz w:val="24"/>
          <w:szCs w:val="24"/>
        </w:rPr>
        <w:t xml:space="preserve"> </w:t>
      </w:r>
      <w:r w:rsidRPr="00A94DBF">
        <w:rPr>
          <w:rFonts w:ascii="Arial" w:hAnsi="Arial" w:cs="Arial"/>
          <w:sz w:val="24"/>
          <w:szCs w:val="24"/>
        </w:rPr>
        <w:t>Identity and Performance in a Drag Setting’, in S. Schacht and D. Ewing</w:t>
      </w:r>
      <w:r>
        <w:rPr>
          <w:rFonts w:ascii="Arial" w:hAnsi="Arial" w:cs="Arial"/>
          <w:sz w:val="24"/>
          <w:szCs w:val="24"/>
        </w:rPr>
        <w:t xml:space="preserve"> </w:t>
      </w:r>
      <w:r w:rsidRPr="00A94DBF">
        <w:rPr>
          <w:rFonts w:ascii="Arial" w:hAnsi="Arial" w:cs="Arial"/>
          <w:sz w:val="24"/>
          <w:szCs w:val="24"/>
        </w:rPr>
        <w:t>(</w:t>
      </w:r>
      <w:r>
        <w:rPr>
          <w:rFonts w:ascii="Arial" w:hAnsi="Arial" w:cs="Arial"/>
          <w:sz w:val="24"/>
          <w:szCs w:val="24"/>
        </w:rPr>
        <w:t>E</w:t>
      </w:r>
      <w:r w:rsidRPr="00A94DBF">
        <w:rPr>
          <w:rFonts w:ascii="Arial" w:hAnsi="Arial" w:cs="Arial"/>
          <w:sz w:val="24"/>
          <w:szCs w:val="24"/>
        </w:rPr>
        <w:t>ds</w:t>
      </w:r>
      <w:r>
        <w:rPr>
          <w:rFonts w:ascii="Arial" w:hAnsi="Arial" w:cs="Arial"/>
          <w:sz w:val="24"/>
          <w:szCs w:val="24"/>
        </w:rPr>
        <w:t>.</w:t>
      </w:r>
      <w:r w:rsidRPr="00A94DBF">
        <w:rPr>
          <w:rFonts w:ascii="Arial" w:hAnsi="Arial" w:cs="Arial"/>
          <w:sz w:val="24"/>
          <w:szCs w:val="24"/>
        </w:rPr>
        <w:t>)</w:t>
      </w:r>
      <w:r>
        <w:rPr>
          <w:rFonts w:ascii="Arial" w:hAnsi="Arial" w:cs="Arial"/>
          <w:sz w:val="24"/>
          <w:szCs w:val="24"/>
        </w:rPr>
        <w:t>,</w:t>
      </w:r>
      <w:r w:rsidRPr="00A94DBF">
        <w:rPr>
          <w:rFonts w:ascii="Arial" w:hAnsi="Arial" w:cs="Arial"/>
          <w:sz w:val="24"/>
          <w:szCs w:val="24"/>
        </w:rPr>
        <w:t xml:space="preserve"> </w:t>
      </w:r>
      <w:r w:rsidRPr="00A94DBF">
        <w:rPr>
          <w:rFonts w:ascii="Arial" w:hAnsi="Arial" w:cs="Arial"/>
          <w:i/>
          <w:iCs/>
          <w:sz w:val="24"/>
          <w:szCs w:val="24"/>
        </w:rPr>
        <w:t>Feminism and Men: Reconstructing Gender Relations</w:t>
      </w:r>
      <w:r w:rsidRPr="00A94DBF">
        <w:rPr>
          <w:rFonts w:ascii="Arial" w:hAnsi="Arial" w:cs="Arial"/>
          <w:sz w:val="24"/>
          <w:szCs w:val="24"/>
        </w:rPr>
        <w:t>, New York: New York University</w:t>
      </w:r>
      <w:r>
        <w:rPr>
          <w:rFonts w:ascii="Arial" w:hAnsi="Arial" w:cs="Arial"/>
          <w:sz w:val="24"/>
          <w:szCs w:val="24"/>
        </w:rPr>
        <w:t xml:space="preserve"> Press, </w:t>
      </w:r>
      <w:r w:rsidRPr="00A94DBF">
        <w:rPr>
          <w:rFonts w:ascii="Arial" w:hAnsi="Arial" w:cs="Arial"/>
          <w:sz w:val="24"/>
          <w:szCs w:val="24"/>
        </w:rPr>
        <w:t xml:space="preserve">pp.202–24 </w:t>
      </w:r>
    </w:p>
    <w:p w14:paraId="016574CC" w14:textId="77777777" w:rsidR="00373D82" w:rsidRDefault="00373D82" w:rsidP="00373D82">
      <w:pPr>
        <w:spacing w:line="360" w:lineRule="auto"/>
        <w:rPr>
          <w:rFonts w:ascii="Arial" w:hAnsi="Arial" w:cs="Arial"/>
          <w:sz w:val="24"/>
          <w:szCs w:val="24"/>
        </w:rPr>
      </w:pPr>
      <w:r w:rsidRPr="00A94DBF">
        <w:rPr>
          <w:rFonts w:ascii="Arial" w:hAnsi="Arial" w:cs="Arial"/>
          <w:sz w:val="24"/>
          <w:szCs w:val="24"/>
        </w:rPr>
        <w:t>Schacht, Steven P.</w:t>
      </w:r>
      <w:r>
        <w:rPr>
          <w:rFonts w:ascii="Arial" w:hAnsi="Arial" w:cs="Arial"/>
          <w:sz w:val="24"/>
          <w:szCs w:val="24"/>
        </w:rPr>
        <w:t>,</w:t>
      </w:r>
      <w:r w:rsidRPr="00A94DBF">
        <w:rPr>
          <w:rFonts w:ascii="Arial" w:hAnsi="Arial" w:cs="Arial"/>
          <w:sz w:val="24"/>
          <w:szCs w:val="24"/>
        </w:rPr>
        <w:t xml:space="preserve"> (2000)</w:t>
      </w:r>
      <w:r>
        <w:rPr>
          <w:rFonts w:ascii="Arial" w:hAnsi="Arial" w:cs="Arial"/>
          <w:sz w:val="24"/>
          <w:szCs w:val="24"/>
        </w:rPr>
        <w:t>,</w:t>
      </w:r>
      <w:r w:rsidRPr="00A94DBF">
        <w:rPr>
          <w:rFonts w:ascii="Arial" w:hAnsi="Arial" w:cs="Arial"/>
          <w:sz w:val="24"/>
          <w:szCs w:val="24"/>
        </w:rPr>
        <w:t xml:space="preserve"> ‘Gay Masculinities in a Drag Community: Female</w:t>
      </w:r>
      <w:r>
        <w:rPr>
          <w:rFonts w:ascii="Arial" w:hAnsi="Arial" w:cs="Arial"/>
          <w:sz w:val="24"/>
          <w:szCs w:val="24"/>
        </w:rPr>
        <w:t xml:space="preserve"> </w:t>
      </w:r>
      <w:r w:rsidRPr="00A94DBF">
        <w:rPr>
          <w:rFonts w:ascii="Arial" w:hAnsi="Arial" w:cs="Arial"/>
          <w:sz w:val="24"/>
          <w:szCs w:val="24"/>
        </w:rPr>
        <w:t>Impersonators and the Social Construction of “Other”’, in Peter Nardi (</w:t>
      </w:r>
      <w:r>
        <w:rPr>
          <w:rFonts w:ascii="Arial" w:hAnsi="Arial" w:cs="Arial"/>
          <w:sz w:val="24"/>
          <w:szCs w:val="24"/>
        </w:rPr>
        <w:t>E</w:t>
      </w:r>
      <w:r w:rsidRPr="00A94DBF">
        <w:rPr>
          <w:rFonts w:ascii="Arial" w:hAnsi="Arial" w:cs="Arial"/>
          <w:sz w:val="24"/>
          <w:szCs w:val="24"/>
        </w:rPr>
        <w:t>d.)</w:t>
      </w:r>
      <w:r>
        <w:rPr>
          <w:rFonts w:ascii="Arial" w:hAnsi="Arial" w:cs="Arial"/>
          <w:sz w:val="24"/>
          <w:szCs w:val="24"/>
        </w:rPr>
        <w:t xml:space="preserve">, </w:t>
      </w:r>
      <w:r w:rsidRPr="00A94DBF">
        <w:rPr>
          <w:rFonts w:ascii="Arial" w:hAnsi="Arial" w:cs="Arial"/>
          <w:i/>
          <w:iCs/>
          <w:sz w:val="24"/>
          <w:szCs w:val="24"/>
        </w:rPr>
        <w:t>Gay Masculinities</w:t>
      </w:r>
      <w:r w:rsidRPr="00A94DBF">
        <w:rPr>
          <w:rFonts w:ascii="Arial" w:hAnsi="Arial" w:cs="Arial"/>
          <w:sz w:val="24"/>
          <w:szCs w:val="24"/>
        </w:rPr>
        <w:t xml:space="preserve">, </w:t>
      </w:r>
      <w:r>
        <w:rPr>
          <w:rFonts w:ascii="Arial" w:hAnsi="Arial" w:cs="Arial"/>
          <w:sz w:val="24"/>
          <w:szCs w:val="24"/>
        </w:rPr>
        <w:t>California</w:t>
      </w:r>
      <w:r w:rsidRPr="00A94DBF">
        <w:rPr>
          <w:rFonts w:ascii="Arial" w:hAnsi="Arial" w:cs="Arial"/>
          <w:sz w:val="24"/>
          <w:szCs w:val="24"/>
        </w:rPr>
        <w:t>: SAGE</w:t>
      </w:r>
      <w:r>
        <w:rPr>
          <w:rFonts w:ascii="Arial" w:hAnsi="Arial" w:cs="Arial"/>
          <w:sz w:val="24"/>
          <w:szCs w:val="24"/>
        </w:rPr>
        <w:t xml:space="preserve">, </w:t>
      </w:r>
      <w:r w:rsidRPr="00A94DBF">
        <w:rPr>
          <w:rFonts w:ascii="Arial" w:hAnsi="Arial" w:cs="Arial"/>
          <w:sz w:val="24"/>
          <w:szCs w:val="24"/>
        </w:rPr>
        <w:t>pp.247–68</w:t>
      </w:r>
    </w:p>
    <w:p w14:paraId="2C3E6697" w14:textId="77777777" w:rsidR="00373D82" w:rsidRDefault="00373D82" w:rsidP="00373D82">
      <w:pPr>
        <w:spacing w:line="360" w:lineRule="auto"/>
        <w:rPr>
          <w:rFonts w:ascii="Arial" w:hAnsi="Arial" w:cs="Arial"/>
          <w:sz w:val="24"/>
          <w:szCs w:val="24"/>
        </w:rPr>
      </w:pPr>
      <w:r w:rsidRPr="00A94DBF">
        <w:rPr>
          <w:rFonts w:ascii="Arial" w:hAnsi="Arial" w:cs="Arial"/>
          <w:sz w:val="24"/>
          <w:szCs w:val="24"/>
        </w:rPr>
        <w:t>Schacht, Steven P.</w:t>
      </w:r>
      <w:r>
        <w:rPr>
          <w:rFonts w:ascii="Arial" w:hAnsi="Arial" w:cs="Arial"/>
          <w:sz w:val="24"/>
          <w:szCs w:val="24"/>
        </w:rPr>
        <w:t>,</w:t>
      </w:r>
      <w:r w:rsidRPr="00A94DBF">
        <w:rPr>
          <w:rFonts w:ascii="Arial" w:hAnsi="Arial" w:cs="Arial"/>
          <w:sz w:val="24"/>
          <w:szCs w:val="24"/>
        </w:rPr>
        <w:t xml:space="preserve"> (2002a)</w:t>
      </w:r>
      <w:r>
        <w:rPr>
          <w:rFonts w:ascii="Arial" w:hAnsi="Arial" w:cs="Arial"/>
          <w:sz w:val="24"/>
          <w:szCs w:val="24"/>
        </w:rPr>
        <w:t>,</w:t>
      </w:r>
      <w:r w:rsidRPr="00A94DBF">
        <w:rPr>
          <w:rFonts w:ascii="Arial" w:hAnsi="Arial" w:cs="Arial"/>
          <w:sz w:val="24"/>
          <w:szCs w:val="24"/>
        </w:rPr>
        <w:t xml:space="preserve"> ‘Four Renditions of Doing Female Drag: Feminine</w:t>
      </w:r>
      <w:r>
        <w:rPr>
          <w:rFonts w:ascii="Arial" w:hAnsi="Arial" w:cs="Arial"/>
          <w:sz w:val="24"/>
          <w:szCs w:val="24"/>
        </w:rPr>
        <w:t xml:space="preserve"> </w:t>
      </w:r>
      <w:r w:rsidRPr="00A94DBF">
        <w:rPr>
          <w:rFonts w:ascii="Arial" w:hAnsi="Arial" w:cs="Arial"/>
          <w:sz w:val="24"/>
          <w:szCs w:val="24"/>
        </w:rPr>
        <w:t>Appearing Conceptual Variations of a Masculine Theme’, in P. Gagné and R. Tewksbury (</w:t>
      </w:r>
      <w:r>
        <w:rPr>
          <w:rFonts w:ascii="Arial" w:hAnsi="Arial" w:cs="Arial"/>
          <w:sz w:val="24"/>
          <w:szCs w:val="24"/>
        </w:rPr>
        <w:t>E</w:t>
      </w:r>
      <w:r w:rsidRPr="00A94DBF">
        <w:rPr>
          <w:rFonts w:ascii="Arial" w:hAnsi="Arial" w:cs="Arial"/>
          <w:sz w:val="24"/>
          <w:szCs w:val="24"/>
        </w:rPr>
        <w:t>ds</w:t>
      </w:r>
      <w:r>
        <w:rPr>
          <w:rFonts w:ascii="Arial" w:hAnsi="Arial" w:cs="Arial"/>
          <w:sz w:val="24"/>
          <w:szCs w:val="24"/>
        </w:rPr>
        <w:t>.</w:t>
      </w:r>
      <w:r w:rsidRPr="00A94DBF">
        <w:rPr>
          <w:rFonts w:ascii="Arial" w:hAnsi="Arial" w:cs="Arial"/>
          <w:sz w:val="24"/>
          <w:szCs w:val="24"/>
        </w:rPr>
        <w:t>)</w:t>
      </w:r>
      <w:r>
        <w:rPr>
          <w:rFonts w:ascii="Arial" w:hAnsi="Arial" w:cs="Arial"/>
          <w:sz w:val="24"/>
          <w:szCs w:val="24"/>
        </w:rPr>
        <w:t>,</w:t>
      </w:r>
      <w:r w:rsidRPr="00A94DBF">
        <w:rPr>
          <w:rFonts w:ascii="Arial" w:hAnsi="Arial" w:cs="Arial"/>
          <w:sz w:val="24"/>
          <w:szCs w:val="24"/>
        </w:rPr>
        <w:t xml:space="preserve"> </w:t>
      </w:r>
      <w:r w:rsidRPr="00A94DBF">
        <w:rPr>
          <w:rFonts w:ascii="Arial" w:hAnsi="Arial" w:cs="Arial"/>
          <w:i/>
          <w:iCs/>
          <w:sz w:val="24"/>
          <w:szCs w:val="24"/>
        </w:rPr>
        <w:t>Gendered Sexualities (Advances in Gender Research, vol. 6),</w:t>
      </w:r>
      <w:r w:rsidRPr="00A94DBF">
        <w:rPr>
          <w:rFonts w:ascii="Arial" w:hAnsi="Arial" w:cs="Arial"/>
          <w:sz w:val="24"/>
          <w:szCs w:val="24"/>
        </w:rPr>
        <w:t xml:space="preserve"> New York: JAI Press</w:t>
      </w:r>
      <w:r>
        <w:rPr>
          <w:rFonts w:ascii="Arial" w:hAnsi="Arial" w:cs="Arial"/>
          <w:sz w:val="24"/>
          <w:szCs w:val="24"/>
        </w:rPr>
        <w:t xml:space="preserve">, </w:t>
      </w:r>
      <w:r w:rsidRPr="00A94DBF">
        <w:rPr>
          <w:rFonts w:ascii="Arial" w:hAnsi="Arial" w:cs="Arial"/>
          <w:sz w:val="24"/>
          <w:szCs w:val="24"/>
        </w:rPr>
        <w:t>pp.157–80</w:t>
      </w:r>
    </w:p>
    <w:p w14:paraId="5CE0CE30" w14:textId="20B2B186" w:rsidR="00373D82" w:rsidRDefault="00373D82" w:rsidP="0008664D">
      <w:pPr>
        <w:spacing w:line="360" w:lineRule="auto"/>
        <w:rPr>
          <w:rFonts w:ascii="Arial" w:hAnsi="Arial" w:cs="Arial"/>
          <w:sz w:val="24"/>
          <w:szCs w:val="24"/>
        </w:rPr>
      </w:pPr>
      <w:r w:rsidRPr="00A94DBF">
        <w:rPr>
          <w:rFonts w:ascii="Arial" w:hAnsi="Arial" w:cs="Arial"/>
          <w:sz w:val="24"/>
          <w:szCs w:val="24"/>
        </w:rPr>
        <w:t>Schacht, Steven P.</w:t>
      </w:r>
      <w:r>
        <w:rPr>
          <w:rFonts w:ascii="Arial" w:hAnsi="Arial" w:cs="Arial"/>
          <w:sz w:val="24"/>
          <w:szCs w:val="24"/>
        </w:rPr>
        <w:t>,</w:t>
      </w:r>
      <w:r w:rsidRPr="00A94DBF">
        <w:rPr>
          <w:rFonts w:ascii="Arial" w:hAnsi="Arial" w:cs="Arial"/>
          <w:sz w:val="24"/>
          <w:szCs w:val="24"/>
        </w:rPr>
        <w:t xml:space="preserve"> (2002b)</w:t>
      </w:r>
      <w:r>
        <w:rPr>
          <w:rFonts w:ascii="Arial" w:hAnsi="Arial" w:cs="Arial"/>
          <w:sz w:val="24"/>
          <w:szCs w:val="24"/>
        </w:rPr>
        <w:t>,</w:t>
      </w:r>
      <w:r w:rsidRPr="00A94DBF">
        <w:rPr>
          <w:rFonts w:ascii="Arial" w:hAnsi="Arial" w:cs="Arial"/>
          <w:sz w:val="24"/>
          <w:szCs w:val="24"/>
        </w:rPr>
        <w:t xml:space="preserve"> ‘Turnabout: Gay Drag Queens and the Masculine</w:t>
      </w:r>
      <w:r>
        <w:rPr>
          <w:rFonts w:ascii="Arial" w:hAnsi="Arial" w:cs="Arial"/>
          <w:sz w:val="24"/>
          <w:szCs w:val="24"/>
        </w:rPr>
        <w:t xml:space="preserve"> </w:t>
      </w:r>
      <w:r w:rsidRPr="00A94DBF">
        <w:rPr>
          <w:rFonts w:ascii="Arial" w:hAnsi="Arial" w:cs="Arial"/>
          <w:sz w:val="24"/>
          <w:szCs w:val="24"/>
        </w:rPr>
        <w:t>Embodiment of the Feminine’, in N. Tuana (</w:t>
      </w:r>
      <w:r>
        <w:rPr>
          <w:rFonts w:ascii="Arial" w:hAnsi="Arial" w:cs="Arial"/>
          <w:sz w:val="24"/>
          <w:szCs w:val="24"/>
        </w:rPr>
        <w:t>E</w:t>
      </w:r>
      <w:r w:rsidRPr="00A94DBF">
        <w:rPr>
          <w:rFonts w:ascii="Arial" w:hAnsi="Arial" w:cs="Arial"/>
          <w:sz w:val="24"/>
          <w:szCs w:val="24"/>
        </w:rPr>
        <w:t>d</w:t>
      </w:r>
      <w:r>
        <w:rPr>
          <w:rFonts w:ascii="Arial" w:hAnsi="Arial" w:cs="Arial"/>
          <w:sz w:val="24"/>
          <w:szCs w:val="24"/>
        </w:rPr>
        <w:t>.</w:t>
      </w:r>
      <w:r w:rsidRPr="00A94DBF">
        <w:rPr>
          <w:rFonts w:ascii="Arial" w:hAnsi="Arial" w:cs="Arial"/>
          <w:sz w:val="24"/>
          <w:szCs w:val="24"/>
        </w:rPr>
        <w:t xml:space="preserve">) </w:t>
      </w:r>
      <w:r w:rsidRPr="00A94DBF">
        <w:rPr>
          <w:rFonts w:ascii="Arial" w:hAnsi="Arial" w:cs="Arial"/>
          <w:i/>
          <w:iCs/>
          <w:sz w:val="24"/>
          <w:szCs w:val="24"/>
        </w:rPr>
        <w:t>Revealing Male Bodies</w:t>
      </w:r>
      <w:r w:rsidRPr="00A94DBF">
        <w:rPr>
          <w:rFonts w:ascii="Arial" w:hAnsi="Arial" w:cs="Arial"/>
          <w:sz w:val="24"/>
          <w:szCs w:val="24"/>
        </w:rPr>
        <w:t>, Bloomington: Indiana University Press</w:t>
      </w:r>
      <w:r>
        <w:rPr>
          <w:rFonts w:ascii="Arial" w:hAnsi="Arial" w:cs="Arial"/>
          <w:sz w:val="24"/>
          <w:szCs w:val="24"/>
        </w:rPr>
        <w:t xml:space="preserve">, </w:t>
      </w:r>
      <w:r w:rsidRPr="00A94DBF">
        <w:rPr>
          <w:rFonts w:ascii="Arial" w:hAnsi="Arial" w:cs="Arial"/>
          <w:sz w:val="24"/>
          <w:szCs w:val="24"/>
        </w:rPr>
        <w:t>pp. 155–70</w:t>
      </w:r>
    </w:p>
    <w:p w14:paraId="4F7D9F52" w14:textId="1AE597DB" w:rsidR="0008664D" w:rsidRDefault="0008664D" w:rsidP="0008664D">
      <w:pPr>
        <w:spacing w:line="360" w:lineRule="auto"/>
        <w:rPr>
          <w:rFonts w:ascii="Arial" w:hAnsi="Arial" w:cs="Arial"/>
          <w:sz w:val="24"/>
          <w:szCs w:val="24"/>
        </w:rPr>
      </w:pPr>
      <w:r>
        <w:rPr>
          <w:rFonts w:ascii="Arial" w:hAnsi="Arial" w:cs="Arial"/>
          <w:sz w:val="24"/>
          <w:szCs w:val="24"/>
        </w:rPr>
        <w:t xml:space="preserve">Schact, S. P., and Underwood, L., (2004), ‘The absolutely fabulous but flawlessly customary world of female impersonators’, </w:t>
      </w:r>
      <w:r>
        <w:rPr>
          <w:rFonts w:ascii="Arial" w:hAnsi="Arial" w:cs="Arial"/>
          <w:i/>
          <w:iCs/>
          <w:sz w:val="24"/>
          <w:szCs w:val="24"/>
        </w:rPr>
        <w:t xml:space="preserve">Journal of Homosexuality, </w:t>
      </w:r>
      <w:r>
        <w:rPr>
          <w:rFonts w:ascii="Arial" w:hAnsi="Arial" w:cs="Arial"/>
          <w:sz w:val="24"/>
          <w:szCs w:val="24"/>
        </w:rPr>
        <w:t>46 (3), pp.1-17</w:t>
      </w:r>
    </w:p>
    <w:p w14:paraId="74FF6820" w14:textId="15A94549" w:rsidR="002912D8" w:rsidRDefault="002912D8" w:rsidP="0008664D">
      <w:pPr>
        <w:spacing w:line="360" w:lineRule="auto"/>
        <w:rPr>
          <w:rFonts w:ascii="Arial" w:hAnsi="Arial" w:cs="Arial"/>
          <w:sz w:val="24"/>
          <w:szCs w:val="24"/>
        </w:rPr>
      </w:pPr>
      <w:r>
        <w:rPr>
          <w:rFonts w:ascii="Arial" w:hAnsi="Arial" w:cs="Arial"/>
          <w:sz w:val="24"/>
          <w:szCs w:val="24"/>
        </w:rPr>
        <w:t>S</w:t>
      </w:r>
      <w:r w:rsidRPr="00BD556C">
        <w:rPr>
          <w:rFonts w:ascii="Arial" w:hAnsi="Arial" w:cs="Arial"/>
          <w:sz w:val="24"/>
          <w:szCs w:val="24"/>
        </w:rPr>
        <w:t>chechner, R.</w:t>
      </w:r>
      <w:r>
        <w:rPr>
          <w:rFonts w:ascii="Arial" w:hAnsi="Arial" w:cs="Arial"/>
          <w:sz w:val="24"/>
          <w:szCs w:val="24"/>
        </w:rPr>
        <w:t>,</w:t>
      </w:r>
      <w:r w:rsidRPr="00BD556C">
        <w:rPr>
          <w:rFonts w:ascii="Arial" w:hAnsi="Arial" w:cs="Arial"/>
          <w:sz w:val="24"/>
          <w:szCs w:val="24"/>
        </w:rPr>
        <w:t xml:space="preserve"> </w:t>
      </w:r>
      <w:r>
        <w:rPr>
          <w:rFonts w:ascii="Arial" w:hAnsi="Arial" w:cs="Arial"/>
          <w:sz w:val="24"/>
          <w:szCs w:val="24"/>
        </w:rPr>
        <w:t>(</w:t>
      </w:r>
      <w:r w:rsidRPr="00BD556C">
        <w:rPr>
          <w:rFonts w:ascii="Arial" w:hAnsi="Arial" w:cs="Arial"/>
          <w:sz w:val="24"/>
          <w:szCs w:val="24"/>
        </w:rPr>
        <w:t>2003</w:t>
      </w:r>
      <w:r>
        <w:rPr>
          <w:rFonts w:ascii="Arial" w:hAnsi="Arial" w:cs="Arial"/>
          <w:sz w:val="24"/>
          <w:szCs w:val="24"/>
        </w:rPr>
        <w:t>),</w:t>
      </w:r>
      <w:r w:rsidRPr="00BD556C">
        <w:rPr>
          <w:rFonts w:ascii="Arial" w:hAnsi="Arial" w:cs="Arial"/>
          <w:sz w:val="24"/>
          <w:szCs w:val="24"/>
        </w:rPr>
        <w:t xml:space="preserve"> </w:t>
      </w:r>
      <w:r w:rsidRPr="00BD556C">
        <w:rPr>
          <w:rFonts w:ascii="Arial" w:hAnsi="Arial" w:cs="Arial"/>
          <w:i/>
          <w:iCs/>
          <w:sz w:val="24"/>
          <w:szCs w:val="24"/>
        </w:rPr>
        <w:t>Performance studies: An introduction,</w:t>
      </w:r>
      <w:r w:rsidRPr="00BD556C">
        <w:rPr>
          <w:rFonts w:ascii="Arial" w:hAnsi="Arial" w:cs="Arial"/>
          <w:sz w:val="24"/>
          <w:szCs w:val="24"/>
        </w:rPr>
        <w:t xml:space="preserve"> New York: Routledge</w:t>
      </w:r>
    </w:p>
    <w:p w14:paraId="58C87DA7" w14:textId="13C7728C" w:rsidR="00480FFB" w:rsidRDefault="00480FFB" w:rsidP="0008664D">
      <w:pPr>
        <w:spacing w:line="360" w:lineRule="auto"/>
        <w:rPr>
          <w:rFonts w:ascii="Arial" w:hAnsi="Arial" w:cs="Arial"/>
          <w:sz w:val="24"/>
          <w:szCs w:val="24"/>
        </w:rPr>
      </w:pPr>
      <w:r>
        <w:rPr>
          <w:rFonts w:ascii="Arial" w:hAnsi="Arial" w:cs="Arial"/>
          <w:sz w:val="24"/>
          <w:szCs w:val="24"/>
        </w:rPr>
        <w:t xml:space="preserve">Schmid, Anna Theresa and Payam, Shahin, (2022), ‘”I Don’t Want to Have Sex as a Woman”: A Qualitative Study Exploring Sexuality and Sexual Practices of Drag Queens in Germany’, </w:t>
      </w:r>
      <w:r>
        <w:rPr>
          <w:rFonts w:ascii="Arial" w:hAnsi="Arial" w:cs="Arial"/>
          <w:i/>
          <w:iCs/>
          <w:sz w:val="24"/>
          <w:szCs w:val="24"/>
        </w:rPr>
        <w:t xml:space="preserve">Journal of Homosexuality, </w:t>
      </w:r>
      <w:r>
        <w:rPr>
          <w:rFonts w:ascii="Arial" w:hAnsi="Arial" w:cs="Arial"/>
          <w:sz w:val="24"/>
          <w:szCs w:val="24"/>
        </w:rPr>
        <w:t>69 (14), pp.1-21</w:t>
      </w:r>
    </w:p>
    <w:p w14:paraId="10C054D9" w14:textId="184B9369" w:rsidR="001C19B5" w:rsidRDefault="001C19B5" w:rsidP="001C19B5">
      <w:pPr>
        <w:spacing w:line="360" w:lineRule="auto"/>
        <w:rPr>
          <w:rFonts w:ascii="Arial" w:hAnsi="Arial" w:cs="Arial"/>
          <w:sz w:val="24"/>
          <w:szCs w:val="24"/>
        </w:rPr>
      </w:pPr>
      <w:r w:rsidRPr="00595408">
        <w:rPr>
          <w:rFonts w:ascii="Arial" w:hAnsi="Arial" w:cs="Arial"/>
          <w:sz w:val="24"/>
          <w:szCs w:val="24"/>
        </w:rPr>
        <w:t xml:space="preserve">Schneider, D. J., (2004), </w:t>
      </w:r>
      <w:r w:rsidRPr="00595408">
        <w:rPr>
          <w:rFonts w:ascii="Arial" w:hAnsi="Arial" w:cs="Arial"/>
          <w:i/>
          <w:iCs/>
          <w:sz w:val="24"/>
          <w:szCs w:val="24"/>
        </w:rPr>
        <w:t>The psychology of stereotyping</w:t>
      </w:r>
      <w:r w:rsidRPr="00595408">
        <w:rPr>
          <w:rFonts w:ascii="Arial" w:hAnsi="Arial" w:cs="Arial"/>
          <w:sz w:val="24"/>
          <w:szCs w:val="24"/>
        </w:rPr>
        <w:t>, New York: Guilford</w:t>
      </w:r>
    </w:p>
    <w:p w14:paraId="2662D5CC" w14:textId="707CE5EA" w:rsidR="00341943" w:rsidRDefault="00341943" w:rsidP="001C19B5">
      <w:pPr>
        <w:spacing w:line="360" w:lineRule="auto"/>
        <w:rPr>
          <w:rFonts w:ascii="Arial" w:hAnsi="Arial" w:cs="Arial"/>
          <w:sz w:val="24"/>
          <w:szCs w:val="24"/>
        </w:rPr>
      </w:pPr>
      <w:r w:rsidRPr="00897C65">
        <w:rPr>
          <w:rFonts w:ascii="Arial" w:hAnsi="Arial" w:cs="Arial"/>
          <w:sz w:val="24"/>
          <w:szCs w:val="24"/>
        </w:rPr>
        <w:t>Simmel, G.</w:t>
      </w:r>
      <w:r>
        <w:rPr>
          <w:rFonts w:ascii="Arial" w:hAnsi="Arial" w:cs="Arial"/>
          <w:sz w:val="24"/>
          <w:szCs w:val="24"/>
        </w:rPr>
        <w:t>,</w:t>
      </w:r>
      <w:r w:rsidRPr="00897C65">
        <w:rPr>
          <w:rFonts w:ascii="Arial" w:hAnsi="Arial" w:cs="Arial"/>
          <w:sz w:val="24"/>
          <w:szCs w:val="24"/>
        </w:rPr>
        <w:t xml:space="preserve"> </w:t>
      </w:r>
      <w:r>
        <w:rPr>
          <w:rFonts w:ascii="Arial" w:hAnsi="Arial" w:cs="Arial"/>
          <w:sz w:val="24"/>
          <w:szCs w:val="24"/>
        </w:rPr>
        <w:t>(</w:t>
      </w:r>
      <w:r w:rsidRPr="00897C65">
        <w:rPr>
          <w:rFonts w:ascii="Arial" w:hAnsi="Arial" w:cs="Arial"/>
          <w:sz w:val="24"/>
          <w:szCs w:val="24"/>
        </w:rPr>
        <w:t>1955</w:t>
      </w:r>
      <w:r>
        <w:rPr>
          <w:rFonts w:ascii="Arial" w:hAnsi="Arial" w:cs="Arial"/>
          <w:sz w:val="24"/>
          <w:szCs w:val="24"/>
        </w:rPr>
        <w:t xml:space="preserve">), </w:t>
      </w:r>
      <w:r w:rsidRPr="00897C65">
        <w:rPr>
          <w:rFonts w:ascii="Arial" w:hAnsi="Arial" w:cs="Arial"/>
          <w:i/>
          <w:iCs/>
          <w:sz w:val="24"/>
          <w:szCs w:val="24"/>
        </w:rPr>
        <w:t>Conflict and the web of group-affiliation</w:t>
      </w:r>
      <w:r>
        <w:rPr>
          <w:rFonts w:ascii="Arial" w:hAnsi="Arial" w:cs="Arial"/>
          <w:sz w:val="24"/>
          <w:szCs w:val="24"/>
        </w:rPr>
        <w:t>,</w:t>
      </w:r>
      <w:r w:rsidRPr="00897C65">
        <w:rPr>
          <w:rFonts w:ascii="Arial" w:hAnsi="Arial" w:cs="Arial"/>
          <w:sz w:val="24"/>
          <w:szCs w:val="24"/>
        </w:rPr>
        <w:t xml:space="preserve"> New York: Free Press</w:t>
      </w:r>
    </w:p>
    <w:p w14:paraId="408E3C99" w14:textId="4F2B858D" w:rsidR="0008664D" w:rsidRDefault="0008664D" w:rsidP="001C19B5">
      <w:pPr>
        <w:spacing w:line="360" w:lineRule="auto"/>
        <w:rPr>
          <w:rFonts w:ascii="Arial" w:hAnsi="Arial" w:cs="Arial"/>
          <w:sz w:val="24"/>
          <w:szCs w:val="24"/>
        </w:rPr>
      </w:pPr>
      <w:r>
        <w:rPr>
          <w:rFonts w:ascii="Arial" w:hAnsi="Arial" w:cs="Arial"/>
          <w:sz w:val="24"/>
          <w:szCs w:val="24"/>
        </w:rPr>
        <w:lastRenderedPageBreak/>
        <w:t xml:space="preserve">Simmons, Nathaniel, (2014), ‘Speaking like a Queen in RuPaul’s Drag Race: Towards a Speech Code of American Drag Queens’, </w:t>
      </w:r>
      <w:r>
        <w:rPr>
          <w:rFonts w:ascii="Arial" w:hAnsi="Arial" w:cs="Arial"/>
          <w:i/>
          <w:iCs/>
          <w:sz w:val="24"/>
          <w:szCs w:val="24"/>
        </w:rPr>
        <w:t xml:space="preserve">Sexuality &amp; culture, </w:t>
      </w:r>
      <w:r>
        <w:rPr>
          <w:rFonts w:ascii="Arial" w:hAnsi="Arial" w:cs="Arial"/>
          <w:sz w:val="24"/>
          <w:szCs w:val="24"/>
        </w:rPr>
        <w:t>2014, 18 (3), pp.630-648</w:t>
      </w:r>
    </w:p>
    <w:p w14:paraId="53AF63D0" w14:textId="6FAAA528" w:rsidR="008906DF" w:rsidRPr="008906DF" w:rsidRDefault="008906DF" w:rsidP="001C19B5">
      <w:pPr>
        <w:spacing w:line="360" w:lineRule="auto"/>
        <w:rPr>
          <w:rFonts w:ascii="Arial" w:hAnsi="Arial" w:cs="Arial"/>
          <w:sz w:val="24"/>
          <w:szCs w:val="24"/>
        </w:rPr>
      </w:pPr>
      <w:r>
        <w:rPr>
          <w:rFonts w:ascii="Arial" w:hAnsi="Arial" w:cs="Arial"/>
          <w:sz w:val="24"/>
          <w:szCs w:val="24"/>
        </w:rPr>
        <w:t xml:space="preserve">Stein, Marc, (2023), </w:t>
      </w:r>
      <w:r>
        <w:rPr>
          <w:rFonts w:ascii="Arial" w:hAnsi="Arial" w:cs="Arial"/>
          <w:i/>
          <w:iCs/>
          <w:sz w:val="24"/>
          <w:szCs w:val="24"/>
        </w:rPr>
        <w:t xml:space="preserve">Rethinking the Gay and Lesbian Movement (second edition), </w:t>
      </w:r>
      <w:r>
        <w:rPr>
          <w:rFonts w:ascii="Arial" w:hAnsi="Arial" w:cs="Arial"/>
          <w:sz w:val="24"/>
          <w:szCs w:val="24"/>
        </w:rPr>
        <w:t>New York: Routledge</w:t>
      </w:r>
    </w:p>
    <w:p w14:paraId="4BE04374" w14:textId="3E1708CA" w:rsidR="00341943" w:rsidRDefault="00341943" w:rsidP="001C19B5">
      <w:pPr>
        <w:spacing w:line="360" w:lineRule="auto"/>
        <w:rPr>
          <w:rFonts w:ascii="Arial" w:hAnsi="Arial" w:cs="Arial"/>
          <w:sz w:val="24"/>
          <w:szCs w:val="24"/>
        </w:rPr>
      </w:pPr>
      <w:r w:rsidRPr="00291CE9">
        <w:rPr>
          <w:rFonts w:ascii="Arial" w:hAnsi="Arial" w:cs="Arial"/>
          <w:sz w:val="24"/>
          <w:szCs w:val="24"/>
        </w:rPr>
        <w:t>Stryker, S.</w:t>
      </w:r>
      <w:r>
        <w:rPr>
          <w:rFonts w:ascii="Arial" w:hAnsi="Arial" w:cs="Arial"/>
          <w:sz w:val="24"/>
          <w:szCs w:val="24"/>
        </w:rPr>
        <w:t>,</w:t>
      </w:r>
      <w:r w:rsidRPr="00291CE9">
        <w:rPr>
          <w:rFonts w:ascii="Arial" w:hAnsi="Arial" w:cs="Arial"/>
          <w:sz w:val="24"/>
          <w:szCs w:val="24"/>
        </w:rPr>
        <w:t xml:space="preserve"> </w:t>
      </w:r>
      <w:r>
        <w:rPr>
          <w:rFonts w:ascii="Arial" w:hAnsi="Arial" w:cs="Arial"/>
          <w:sz w:val="24"/>
          <w:szCs w:val="24"/>
        </w:rPr>
        <w:t>(</w:t>
      </w:r>
      <w:r w:rsidRPr="00291CE9">
        <w:rPr>
          <w:rFonts w:ascii="Arial" w:hAnsi="Arial" w:cs="Arial"/>
          <w:sz w:val="24"/>
          <w:szCs w:val="24"/>
        </w:rPr>
        <w:t>1980</w:t>
      </w:r>
      <w:r>
        <w:rPr>
          <w:rFonts w:ascii="Arial" w:hAnsi="Arial" w:cs="Arial"/>
          <w:sz w:val="24"/>
          <w:szCs w:val="24"/>
        </w:rPr>
        <w:t>),</w:t>
      </w:r>
      <w:r w:rsidRPr="00291CE9">
        <w:rPr>
          <w:rFonts w:ascii="Arial" w:hAnsi="Arial" w:cs="Arial"/>
          <w:sz w:val="24"/>
          <w:szCs w:val="24"/>
        </w:rPr>
        <w:t xml:space="preserve"> </w:t>
      </w:r>
      <w:r w:rsidRPr="00897C65">
        <w:rPr>
          <w:rFonts w:ascii="Arial" w:hAnsi="Arial" w:cs="Arial"/>
          <w:i/>
          <w:iCs/>
          <w:sz w:val="24"/>
          <w:szCs w:val="24"/>
        </w:rPr>
        <w:t>Symbolic interactionism: A social structural version</w:t>
      </w:r>
      <w:r>
        <w:rPr>
          <w:rFonts w:ascii="Arial" w:hAnsi="Arial" w:cs="Arial"/>
          <w:sz w:val="24"/>
          <w:szCs w:val="24"/>
        </w:rPr>
        <w:t>, California</w:t>
      </w:r>
      <w:r w:rsidRPr="00291CE9">
        <w:rPr>
          <w:rFonts w:ascii="Arial" w:hAnsi="Arial" w:cs="Arial"/>
          <w:sz w:val="24"/>
          <w:szCs w:val="24"/>
        </w:rPr>
        <w:t>: Benjamin Cummings</w:t>
      </w:r>
    </w:p>
    <w:p w14:paraId="72FD00EF" w14:textId="4CB6E864" w:rsidR="00CA7BA1" w:rsidRDefault="00CA7BA1" w:rsidP="001C19B5">
      <w:pPr>
        <w:spacing w:line="360" w:lineRule="auto"/>
        <w:rPr>
          <w:rFonts w:ascii="Arial" w:hAnsi="Arial" w:cs="Arial"/>
          <w:sz w:val="24"/>
          <w:szCs w:val="24"/>
        </w:rPr>
      </w:pPr>
      <w:r>
        <w:rPr>
          <w:rFonts w:ascii="Arial" w:hAnsi="Arial" w:cs="Arial"/>
          <w:sz w:val="24"/>
          <w:szCs w:val="24"/>
        </w:rPr>
        <w:t xml:space="preserve">Stryker, S., and Whittle, S., (2006), </w:t>
      </w:r>
      <w:r>
        <w:rPr>
          <w:rFonts w:ascii="Arial" w:hAnsi="Arial" w:cs="Arial"/>
          <w:i/>
          <w:iCs/>
          <w:sz w:val="24"/>
          <w:szCs w:val="24"/>
        </w:rPr>
        <w:t xml:space="preserve">The transgender studies reader, </w:t>
      </w:r>
      <w:r>
        <w:rPr>
          <w:rFonts w:ascii="Arial" w:hAnsi="Arial" w:cs="Arial"/>
          <w:sz w:val="24"/>
          <w:szCs w:val="24"/>
        </w:rPr>
        <w:t>New York: Routledge</w:t>
      </w:r>
    </w:p>
    <w:p w14:paraId="075F9781" w14:textId="7F9F036B" w:rsidR="00604521" w:rsidRDefault="00604521" w:rsidP="001C19B5">
      <w:pPr>
        <w:spacing w:line="360" w:lineRule="auto"/>
        <w:rPr>
          <w:rFonts w:ascii="Arial" w:hAnsi="Arial" w:cs="Arial"/>
          <w:sz w:val="24"/>
          <w:szCs w:val="24"/>
        </w:rPr>
      </w:pPr>
      <w:r w:rsidRPr="00897C65">
        <w:rPr>
          <w:rFonts w:ascii="Arial" w:hAnsi="Arial" w:cs="Arial"/>
          <w:sz w:val="24"/>
          <w:szCs w:val="24"/>
        </w:rPr>
        <w:t>Taylor, V., and Rupp</w:t>
      </w:r>
      <w:r>
        <w:rPr>
          <w:rFonts w:ascii="Arial" w:hAnsi="Arial" w:cs="Arial"/>
          <w:sz w:val="24"/>
          <w:szCs w:val="24"/>
        </w:rPr>
        <w:t>, L. J.,</w:t>
      </w:r>
      <w:r w:rsidRPr="00897C65">
        <w:rPr>
          <w:rFonts w:ascii="Arial" w:hAnsi="Arial" w:cs="Arial"/>
          <w:sz w:val="24"/>
          <w:szCs w:val="24"/>
        </w:rPr>
        <w:t xml:space="preserve"> </w:t>
      </w:r>
      <w:r>
        <w:rPr>
          <w:rFonts w:ascii="Arial" w:hAnsi="Arial" w:cs="Arial"/>
          <w:sz w:val="24"/>
          <w:szCs w:val="24"/>
        </w:rPr>
        <w:t>(</w:t>
      </w:r>
      <w:r w:rsidRPr="00897C65">
        <w:rPr>
          <w:rFonts w:ascii="Arial" w:hAnsi="Arial" w:cs="Arial"/>
          <w:sz w:val="24"/>
          <w:szCs w:val="24"/>
        </w:rPr>
        <w:t>2005</w:t>
      </w:r>
      <w:r>
        <w:rPr>
          <w:rFonts w:ascii="Arial" w:hAnsi="Arial" w:cs="Arial"/>
          <w:sz w:val="24"/>
          <w:szCs w:val="24"/>
        </w:rPr>
        <w:t>),</w:t>
      </w:r>
      <w:r w:rsidRPr="00897C65">
        <w:rPr>
          <w:rFonts w:ascii="Arial" w:hAnsi="Arial" w:cs="Arial"/>
          <w:sz w:val="24"/>
          <w:szCs w:val="24"/>
        </w:rPr>
        <w:t xml:space="preserve"> </w:t>
      </w:r>
      <w:r>
        <w:rPr>
          <w:rFonts w:ascii="Arial" w:hAnsi="Arial" w:cs="Arial"/>
          <w:sz w:val="24"/>
          <w:szCs w:val="24"/>
        </w:rPr>
        <w:t>‘</w:t>
      </w:r>
      <w:r w:rsidRPr="00897C65">
        <w:rPr>
          <w:rFonts w:ascii="Arial" w:hAnsi="Arial" w:cs="Arial"/>
          <w:sz w:val="24"/>
          <w:szCs w:val="24"/>
        </w:rPr>
        <w:t>When the girls are men: Negotiating gender and sexual dynamics in a study of drag queens</w:t>
      </w:r>
      <w:r>
        <w:rPr>
          <w:rFonts w:ascii="Arial" w:hAnsi="Arial" w:cs="Arial"/>
          <w:sz w:val="24"/>
          <w:szCs w:val="24"/>
        </w:rPr>
        <w:t>’,</w:t>
      </w:r>
      <w:r w:rsidRPr="00897C65">
        <w:rPr>
          <w:rFonts w:ascii="Arial" w:hAnsi="Arial" w:cs="Arial"/>
          <w:sz w:val="24"/>
          <w:szCs w:val="24"/>
        </w:rPr>
        <w:t xml:space="preserve"> </w:t>
      </w:r>
      <w:r w:rsidRPr="00897C65">
        <w:rPr>
          <w:rFonts w:ascii="Arial" w:hAnsi="Arial" w:cs="Arial"/>
          <w:i/>
          <w:iCs/>
          <w:sz w:val="24"/>
          <w:szCs w:val="24"/>
        </w:rPr>
        <w:t>Signs: Journal of Women in Culture and Society</w:t>
      </w:r>
      <w:r>
        <w:rPr>
          <w:rFonts w:ascii="Arial" w:hAnsi="Arial" w:cs="Arial"/>
          <w:i/>
          <w:iCs/>
          <w:sz w:val="24"/>
          <w:szCs w:val="24"/>
        </w:rPr>
        <w:t>,</w:t>
      </w:r>
      <w:r w:rsidRPr="00897C65">
        <w:rPr>
          <w:rFonts w:ascii="Arial" w:hAnsi="Arial" w:cs="Arial"/>
          <w:i/>
          <w:iCs/>
          <w:sz w:val="24"/>
          <w:szCs w:val="24"/>
        </w:rPr>
        <w:t xml:space="preserve"> </w:t>
      </w:r>
      <w:r w:rsidRPr="00897C65">
        <w:rPr>
          <w:rFonts w:ascii="Arial" w:hAnsi="Arial" w:cs="Arial"/>
          <w:sz w:val="24"/>
          <w:szCs w:val="24"/>
        </w:rPr>
        <w:t>30 (4)</w:t>
      </w:r>
      <w:r>
        <w:rPr>
          <w:rFonts w:ascii="Arial" w:hAnsi="Arial" w:cs="Arial"/>
          <w:sz w:val="24"/>
          <w:szCs w:val="24"/>
        </w:rPr>
        <w:t>,</w:t>
      </w:r>
      <w:r w:rsidRPr="00897C65">
        <w:rPr>
          <w:rFonts w:ascii="Arial" w:hAnsi="Arial" w:cs="Arial"/>
          <w:sz w:val="24"/>
          <w:szCs w:val="24"/>
        </w:rPr>
        <w:t xml:space="preserve"> </w:t>
      </w:r>
      <w:r>
        <w:rPr>
          <w:rFonts w:ascii="Arial" w:hAnsi="Arial" w:cs="Arial"/>
          <w:sz w:val="24"/>
          <w:szCs w:val="24"/>
        </w:rPr>
        <w:t>pp.</w:t>
      </w:r>
      <w:r w:rsidRPr="00897C65">
        <w:rPr>
          <w:rFonts w:ascii="Arial" w:hAnsi="Arial" w:cs="Arial"/>
          <w:sz w:val="24"/>
          <w:szCs w:val="24"/>
        </w:rPr>
        <w:t>2115-39</w:t>
      </w:r>
    </w:p>
    <w:p w14:paraId="12531E95" w14:textId="4AE5F546" w:rsidR="00373D82" w:rsidRDefault="00373D82" w:rsidP="001C19B5">
      <w:pPr>
        <w:spacing w:line="360" w:lineRule="auto"/>
        <w:rPr>
          <w:rFonts w:ascii="Arial" w:hAnsi="Arial" w:cs="Arial"/>
          <w:sz w:val="24"/>
          <w:szCs w:val="24"/>
        </w:rPr>
      </w:pPr>
      <w:r w:rsidRPr="000E21C9">
        <w:rPr>
          <w:rFonts w:ascii="Arial" w:hAnsi="Arial" w:cs="Arial"/>
          <w:sz w:val="24"/>
          <w:szCs w:val="24"/>
        </w:rPr>
        <w:t xml:space="preserve">Tewksbury, R., (1993), ‘Gender construction and the female impersonator: The process of transforming “he” to “she”’, </w:t>
      </w:r>
      <w:r w:rsidRPr="000E21C9">
        <w:rPr>
          <w:rFonts w:ascii="Arial" w:hAnsi="Arial" w:cs="Arial"/>
          <w:i/>
          <w:iCs/>
          <w:sz w:val="24"/>
          <w:szCs w:val="24"/>
        </w:rPr>
        <w:t>Deviant Behavior</w:t>
      </w:r>
      <w:r w:rsidRPr="000E21C9">
        <w:rPr>
          <w:rFonts w:ascii="Arial" w:hAnsi="Arial" w:cs="Arial"/>
          <w:sz w:val="24"/>
          <w:szCs w:val="24"/>
        </w:rPr>
        <w:t>, 15, pp.27–43</w:t>
      </w:r>
    </w:p>
    <w:p w14:paraId="0663E1A3" w14:textId="4EABB81B" w:rsidR="006F4CA5" w:rsidRDefault="006F4CA5" w:rsidP="001C19B5">
      <w:pPr>
        <w:spacing w:line="360" w:lineRule="auto"/>
        <w:rPr>
          <w:rFonts w:ascii="Arial" w:hAnsi="Arial" w:cs="Arial"/>
          <w:sz w:val="24"/>
          <w:szCs w:val="24"/>
        </w:rPr>
      </w:pPr>
      <w:r w:rsidRPr="002738CA">
        <w:rPr>
          <w:rFonts w:ascii="Arial" w:hAnsi="Arial" w:cs="Arial"/>
          <w:sz w:val="24"/>
          <w:szCs w:val="24"/>
        </w:rPr>
        <w:t xml:space="preserve">Tewksbury, R., (1994), ‘Men performing as women: Explorations in the world of female impersonators’, </w:t>
      </w:r>
      <w:r w:rsidRPr="002738CA">
        <w:rPr>
          <w:rFonts w:ascii="Arial" w:hAnsi="Arial" w:cs="Arial"/>
          <w:i/>
          <w:iCs/>
          <w:sz w:val="24"/>
          <w:szCs w:val="24"/>
        </w:rPr>
        <w:t>Sociological Spectrum</w:t>
      </w:r>
      <w:r w:rsidRPr="002738CA">
        <w:rPr>
          <w:rFonts w:ascii="Arial" w:hAnsi="Arial" w:cs="Arial"/>
          <w:sz w:val="24"/>
          <w:szCs w:val="24"/>
        </w:rPr>
        <w:t>, 13, pp.465–486</w:t>
      </w:r>
    </w:p>
    <w:p w14:paraId="2CC2BA94" w14:textId="54520CB1" w:rsidR="00B11C0F" w:rsidRPr="0008664D" w:rsidRDefault="00B11C0F" w:rsidP="001C19B5">
      <w:pPr>
        <w:spacing w:line="360" w:lineRule="auto"/>
        <w:rPr>
          <w:rFonts w:ascii="Arial" w:hAnsi="Arial" w:cs="Arial"/>
          <w:sz w:val="24"/>
          <w:szCs w:val="24"/>
        </w:rPr>
      </w:pPr>
      <w:r>
        <w:rPr>
          <w:rFonts w:ascii="Arial" w:hAnsi="Arial" w:cs="Arial"/>
          <w:sz w:val="24"/>
          <w:szCs w:val="24"/>
        </w:rPr>
        <w:t xml:space="preserve">Valentine, D., (2007), </w:t>
      </w:r>
      <w:r>
        <w:rPr>
          <w:rFonts w:ascii="Arial" w:hAnsi="Arial" w:cs="Arial"/>
          <w:i/>
          <w:iCs/>
          <w:sz w:val="24"/>
          <w:szCs w:val="24"/>
        </w:rPr>
        <w:t xml:space="preserve">Imagining transgender: An ethnography of category, </w:t>
      </w:r>
      <w:r>
        <w:rPr>
          <w:rFonts w:ascii="Arial" w:hAnsi="Arial" w:cs="Arial"/>
          <w:sz w:val="24"/>
          <w:szCs w:val="24"/>
        </w:rPr>
        <w:t>Durham: Duke University Press</w:t>
      </w:r>
    </w:p>
    <w:p w14:paraId="7ADBD95C" w14:textId="55603E93" w:rsidR="0008664D" w:rsidRDefault="0008664D" w:rsidP="0008664D">
      <w:pPr>
        <w:spacing w:line="360" w:lineRule="auto"/>
        <w:rPr>
          <w:rFonts w:ascii="Arial" w:hAnsi="Arial" w:cs="Arial"/>
          <w:sz w:val="24"/>
          <w:szCs w:val="24"/>
        </w:rPr>
      </w:pPr>
      <w:r>
        <w:rPr>
          <w:rFonts w:ascii="Arial" w:hAnsi="Arial" w:cs="Arial"/>
          <w:sz w:val="24"/>
          <w:szCs w:val="24"/>
        </w:rPr>
        <w:t xml:space="preserve">Vidal-Ortiz, S., (2008), ‘Transgender and transsexual studies: Sociology’s influence and future steps’, </w:t>
      </w:r>
      <w:r>
        <w:rPr>
          <w:rFonts w:ascii="Arial" w:hAnsi="Arial" w:cs="Arial"/>
          <w:i/>
          <w:iCs/>
          <w:sz w:val="24"/>
          <w:szCs w:val="24"/>
        </w:rPr>
        <w:t xml:space="preserve">Sociology Compass, </w:t>
      </w:r>
      <w:r>
        <w:rPr>
          <w:rFonts w:ascii="Arial" w:hAnsi="Arial" w:cs="Arial"/>
          <w:sz w:val="24"/>
          <w:szCs w:val="24"/>
        </w:rPr>
        <w:t>2 (2), pp.433-450</w:t>
      </w:r>
    </w:p>
    <w:p w14:paraId="684D6E0F" w14:textId="5FCE0F1E" w:rsidR="00341460" w:rsidRPr="003F1206" w:rsidRDefault="00341460" w:rsidP="0008664D">
      <w:pPr>
        <w:spacing w:line="360" w:lineRule="auto"/>
        <w:rPr>
          <w:rFonts w:ascii="Arial" w:hAnsi="Arial" w:cs="Arial"/>
          <w:sz w:val="24"/>
          <w:szCs w:val="24"/>
        </w:rPr>
      </w:pPr>
      <w:r>
        <w:rPr>
          <w:rFonts w:ascii="Arial" w:hAnsi="Arial" w:cs="Arial"/>
          <w:sz w:val="24"/>
          <w:szCs w:val="24"/>
        </w:rPr>
        <w:t xml:space="preserve">Vincent, </w:t>
      </w:r>
      <w:r w:rsidR="003F1206">
        <w:rPr>
          <w:rFonts w:ascii="Arial" w:hAnsi="Arial" w:cs="Arial"/>
          <w:sz w:val="24"/>
          <w:szCs w:val="24"/>
        </w:rPr>
        <w:t xml:space="preserve">Ben, and Manzano, Ana, (2017), ‘History and Cultural Diversity’, in Christina Richards, Walter Pierre Bouman and Meg-John Barker (Eds.), </w:t>
      </w:r>
      <w:r w:rsidR="003F1206">
        <w:rPr>
          <w:rFonts w:ascii="Arial" w:hAnsi="Arial" w:cs="Arial"/>
          <w:i/>
          <w:iCs/>
          <w:sz w:val="24"/>
          <w:szCs w:val="24"/>
        </w:rPr>
        <w:t xml:space="preserve">Genderqueer and non-binary genders, </w:t>
      </w:r>
      <w:r w:rsidR="003F1206">
        <w:rPr>
          <w:rFonts w:ascii="Arial" w:hAnsi="Arial" w:cs="Arial"/>
          <w:sz w:val="24"/>
          <w:szCs w:val="24"/>
        </w:rPr>
        <w:t>London: Palgrave Macmillan, pp.11-30</w:t>
      </w:r>
    </w:p>
    <w:p w14:paraId="75927599" w14:textId="03C8749B" w:rsidR="0096098F" w:rsidRDefault="0096098F" w:rsidP="0008664D">
      <w:pPr>
        <w:spacing w:line="360" w:lineRule="auto"/>
        <w:rPr>
          <w:rFonts w:ascii="Arial" w:hAnsi="Arial" w:cs="Arial"/>
          <w:sz w:val="24"/>
          <w:szCs w:val="24"/>
        </w:rPr>
      </w:pPr>
      <w:r w:rsidRPr="00C3125E">
        <w:rPr>
          <w:rFonts w:ascii="Arial" w:hAnsi="Arial" w:cs="Arial"/>
          <w:sz w:val="24"/>
          <w:szCs w:val="24"/>
        </w:rPr>
        <w:t xml:space="preserve">West, C., and Zimmerman, D. H., (1987), ‘Doing gender’, </w:t>
      </w:r>
      <w:r w:rsidRPr="00C3125E">
        <w:rPr>
          <w:rFonts w:ascii="Arial" w:hAnsi="Arial" w:cs="Arial"/>
          <w:i/>
          <w:iCs/>
          <w:sz w:val="24"/>
          <w:szCs w:val="24"/>
        </w:rPr>
        <w:t>Gender &amp; Society</w:t>
      </w:r>
      <w:r w:rsidRPr="00C3125E">
        <w:rPr>
          <w:rFonts w:ascii="Arial" w:hAnsi="Arial" w:cs="Arial"/>
          <w:sz w:val="24"/>
          <w:szCs w:val="24"/>
        </w:rPr>
        <w:t>, 1, pp.125–151</w:t>
      </w:r>
    </w:p>
    <w:p w14:paraId="3230BF4A" w14:textId="0D39BC67" w:rsidR="003C55E7" w:rsidRDefault="003C55E7" w:rsidP="0008664D">
      <w:pPr>
        <w:spacing w:line="360" w:lineRule="auto"/>
        <w:rPr>
          <w:rFonts w:ascii="Arial" w:hAnsi="Arial" w:cs="Arial"/>
          <w:sz w:val="24"/>
          <w:szCs w:val="24"/>
        </w:rPr>
      </w:pPr>
      <w:r w:rsidRPr="00291CE9">
        <w:rPr>
          <w:rFonts w:ascii="Arial" w:hAnsi="Arial" w:cs="Arial"/>
          <w:sz w:val="24"/>
          <w:szCs w:val="24"/>
        </w:rPr>
        <w:t>Williams, C.</w:t>
      </w:r>
      <w:r>
        <w:rPr>
          <w:rFonts w:ascii="Arial" w:hAnsi="Arial" w:cs="Arial"/>
          <w:sz w:val="24"/>
          <w:szCs w:val="24"/>
        </w:rPr>
        <w:t>,</w:t>
      </w:r>
      <w:r w:rsidRPr="00291CE9">
        <w:rPr>
          <w:rFonts w:ascii="Arial" w:hAnsi="Arial" w:cs="Arial"/>
          <w:sz w:val="24"/>
          <w:szCs w:val="24"/>
        </w:rPr>
        <w:t xml:space="preserve"> </w:t>
      </w:r>
      <w:r>
        <w:rPr>
          <w:rFonts w:ascii="Arial" w:hAnsi="Arial" w:cs="Arial"/>
          <w:sz w:val="24"/>
          <w:szCs w:val="24"/>
        </w:rPr>
        <w:t>(</w:t>
      </w:r>
      <w:r w:rsidRPr="00291CE9">
        <w:rPr>
          <w:rFonts w:ascii="Arial" w:hAnsi="Arial" w:cs="Arial"/>
          <w:sz w:val="24"/>
          <w:szCs w:val="24"/>
        </w:rPr>
        <w:t>1995</w:t>
      </w:r>
      <w:r>
        <w:rPr>
          <w:rFonts w:ascii="Arial" w:hAnsi="Arial" w:cs="Arial"/>
          <w:sz w:val="24"/>
          <w:szCs w:val="24"/>
        </w:rPr>
        <w:t>),</w:t>
      </w:r>
      <w:r w:rsidRPr="00291CE9">
        <w:rPr>
          <w:rFonts w:ascii="Arial" w:hAnsi="Arial" w:cs="Arial"/>
          <w:sz w:val="24"/>
          <w:szCs w:val="24"/>
        </w:rPr>
        <w:t xml:space="preserve"> </w:t>
      </w:r>
      <w:r w:rsidRPr="00291CE9">
        <w:rPr>
          <w:rFonts w:ascii="Arial" w:hAnsi="Arial" w:cs="Arial"/>
          <w:i/>
          <w:iCs/>
          <w:sz w:val="24"/>
          <w:szCs w:val="24"/>
        </w:rPr>
        <w:t>Still a man’s world:  Men who do “women’s work”</w:t>
      </w:r>
      <w:r>
        <w:rPr>
          <w:rFonts w:ascii="Arial" w:hAnsi="Arial" w:cs="Arial"/>
          <w:i/>
          <w:iCs/>
          <w:sz w:val="24"/>
          <w:szCs w:val="24"/>
        </w:rPr>
        <w:t>,</w:t>
      </w:r>
      <w:r w:rsidRPr="00291CE9">
        <w:rPr>
          <w:rFonts w:ascii="Arial" w:hAnsi="Arial" w:cs="Arial"/>
          <w:sz w:val="24"/>
          <w:szCs w:val="24"/>
        </w:rPr>
        <w:t xml:space="preserve"> Berkeley: University of California Press</w:t>
      </w:r>
    </w:p>
    <w:p w14:paraId="7AFD6E5E" w14:textId="339DCA84" w:rsidR="00F206F5" w:rsidRPr="00F206F5" w:rsidRDefault="00F206F5" w:rsidP="0008664D">
      <w:pPr>
        <w:spacing w:line="360" w:lineRule="auto"/>
        <w:rPr>
          <w:rFonts w:ascii="Arial" w:hAnsi="Arial" w:cs="Arial"/>
          <w:sz w:val="28"/>
          <w:szCs w:val="28"/>
        </w:rPr>
      </w:pPr>
      <w:r w:rsidRPr="00405216">
        <w:rPr>
          <w:rFonts w:ascii="Arial" w:hAnsi="Arial" w:cs="Arial"/>
          <w:sz w:val="24"/>
          <w:szCs w:val="24"/>
        </w:rPr>
        <w:lastRenderedPageBreak/>
        <w:t>Wiseman, M. C., and Moradi, B., (2010), ‘Body image and eating disorder symptoms in sexual minority men: A test and extension of objectification theory’</w:t>
      </w:r>
      <w:r w:rsidRPr="00405216">
        <w:rPr>
          <w:rFonts w:ascii="Arial" w:hAnsi="Arial" w:cs="Arial"/>
          <w:i/>
          <w:iCs/>
          <w:sz w:val="24"/>
          <w:szCs w:val="24"/>
        </w:rPr>
        <w:t>, Journal of Counseling Psychology</w:t>
      </w:r>
      <w:r w:rsidRPr="00405216">
        <w:rPr>
          <w:rFonts w:ascii="Arial" w:hAnsi="Arial" w:cs="Arial"/>
          <w:sz w:val="24"/>
          <w:szCs w:val="24"/>
        </w:rPr>
        <w:t>, 57, pp.154–166</w:t>
      </w:r>
    </w:p>
    <w:p w14:paraId="192981A7" w14:textId="77777777" w:rsidR="0008664D" w:rsidRPr="00BB6450" w:rsidRDefault="0008664D" w:rsidP="0008664D">
      <w:pPr>
        <w:spacing w:line="360" w:lineRule="auto"/>
        <w:rPr>
          <w:rFonts w:ascii="Arial" w:hAnsi="Arial" w:cs="Arial"/>
          <w:sz w:val="24"/>
          <w:szCs w:val="24"/>
        </w:rPr>
      </w:pPr>
      <w:r>
        <w:rPr>
          <w:rFonts w:ascii="Arial" w:hAnsi="Arial" w:cs="Arial"/>
          <w:sz w:val="24"/>
          <w:szCs w:val="24"/>
        </w:rPr>
        <w:t xml:space="preserve">Zervigon, A. M., (2009), ‘Drag shows: Drag queens and female impersonators’, </w:t>
      </w:r>
      <w:r>
        <w:rPr>
          <w:rFonts w:ascii="Arial" w:hAnsi="Arial" w:cs="Arial"/>
          <w:i/>
          <w:iCs/>
          <w:sz w:val="24"/>
          <w:szCs w:val="24"/>
        </w:rPr>
        <w:t xml:space="preserve">GLBTQ Arts, </w:t>
      </w:r>
      <w:r>
        <w:rPr>
          <w:rFonts w:ascii="Arial" w:hAnsi="Arial" w:cs="Arial"/>
          <w:sz w:val="24"/>
          <w:szCs w:val="24"/>
        </w:rPr>
        <w:t>2, pp.1-4</w:t>
      </w:r>
    </w:p>
    <w:p w14:paraId="2AE83238" w14:textId="28DB6603" w:rsidR="001C19B5" w:rsidRDefault="001C19B5" w:rsidP="001215F9">
      <w:pPr>
        <w:spacing w:line="360" w:lineRule="auto"/>
        <w:rPr>
          <w:rFonts w:ascii="Arial" w:hAnsi="Arial" w:cs="Arial"/>
          <w:b/>
          <w:bCs/>
          <w:sz w:val="24"/>
          <w:szCs w:val="24"/>
        </w:rPr>
      </w:pPr>
    </w:p>
    <w:p w14:paraId="03E54880" w14:textId="0E1B0DF3" w:rsidR="001C19B5" w:rsidRDefault="001C19B5" w:rsidP="001215F9">
      <w:pPr>
        <w:spacing w:line="360" w:lineRule="auto"/>
        <w:rPr>
          <w:rFonts w:ascii="Arial" w:hAnsi="Arial" w:cs="Arial"/>
          <w:b/>
          <w:bCs/>
          <w:sz w:val="24"/>
          <w:szCs w:val="24"/>
        </w:rPr>
      </w:pPr>
    </w:p>
    <w:p w14:paraId="3EF2E6A3" w14:textId="0786E05F" w:rsidR="001C19B5" w:rsidRDefault="001C19B5" w:rsidP="001215F9">
      <w:pPr>
        <w:spacing w:line="360" w:lineRule="auto"/>
        <w:rPr>
          <w:rFonts w:ascii="Arial" w:hAnsi="Arial" w:cs="Arial"/>
          <w:b/>
          <w:bCs/>
          <w:sz w:val="24"/>
          <w:szCs w:val="24"/>
        </w:rPr>
      </w:pPr>
    </w:p>
    <w:p w14:paraId="5C5A583A" w14:textId="10F7A05C" w:rsidR="001C19B5" w:rsidRDefault="001C19B5" w:rsidP="001215F9">
      <w:pPr>
        <w:spacing w:line="360" w:lineRule="auto"/>
        <w:rPr>
          <w:rFonts w:ascii="Arial" w:hAnsi="Arial" w:cs="Arial"/>
          <w:b/>
          <w:bCs/>
          <w:sz w:val="24"/>
          <w:szCs w:val="24"/>
        </w:rPr>
      </w:pPr>
    </w:p>
    <w:p w14:paraId="06CFA37F" w14:textId="66BFE9D8" w:rsidR="001C19B5" w:rsidRDefault="001C19B5" w:rsidP="001215F9">
      <w:pPr>
        <w:spacing w:line="360" w:lineRule="auto"/>
        <w:rPr>
          <w:rFonts w:ascii="Arial" w:hAnsi="Arial" w:cs="Arial"/>
          <w:b/>
          <w:bCs/>
          <w:sz w:val="24"/>
          <w:szCs w:val="24"/>
        </w:rPr>
      </w:pPr>
    </w:p>
    <w:p w14:paraId="6F44CA3E" w14:textId="3D0FAD7A" w:rsidR="001C19B5" w:rsidRDefault="001C19B5" w:rsidP="001215F9">
      <w:pPr>
        <w:spacing w:line="360" w:lineRule="auto"/>
        <w:rPr>
          <w:rFonts w:ascii="Arial" w:hAnsi="Arial" w:cs="Arial"/>
          <w:b/>
          <w:bCs/>
          <w:sz w:val="24"/>
          <w:szCs w:val="24"/>
        </w:rPr>
      </w:pPr>
    </w:p>
    <w:p w14:paraId="1A0AF212" w14:textId="30F56E36" w:rsidR="006310B1" w:rsidRDefault="006310B1" w:rsidP="00B21D99">
      <w:pPr>
        <w:spacing w:line="360" w:lineRule="auto"/>
        <w:jc w:val="center"/>
        <w:rPr>
          <w:rFonts w:ascii="Arial" w:hAnsi="Arial" w:cs="Arial"/>
          <w:sz w:val="24"/>
          <w:szCs w:val="24"/>
        </w:rPr>
      </w:pPr>
    </w:p>
    <w:p w14:paraId="34F0C093" w14:textId="57873180" w:rsidR="003213B9" w:rsidRDefault="003213B9" w:rsidP="001215F9">
      <w:pPr>
        <w:spacing w:line="360" w:lineRule="auto"/>
        <w:rPr>
          <w:rFonts w:ascii="Arial" w:hAnsi="Arial" w:cs="Arial"/>
          <w:sz w:val="24"/>
          <w:szCs w:val="24"/>
        </w:rPr>
      </w:pPr>
    </w:p>
    <w:p w14:paraId="7882D2DD" w14:textId="77777777" w:rsidR="001215F9" w:rsidRPr="003213B9" w:rsidRDefault="001215F9" w:rsidP="001215F9">
      <w:pPr>
        <w:spacing w:line="360" w:lineRule="auto"/>
        <w:rPr>
          <w:rFonts w:ascii="Arial" w:hAnsi="Arial" w:cs="Arial"/>
          <w:sz w:val="24"/>
          <w:szCs w:val="24"/>
        </w:rPr>
      </w:pPr>
    </w:p>
    <w:sectPr w:rsidR="001215F9" w:rsidRPr="003213B9" w:rsidSect="00BF35D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A80B6A"/>
    <w:multiLevelType w:val="hybridMultilevel"/>
    <w:tmpl w:val="DFD228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270DAE"/>
    <w:multiLevelType w:val="hybridMultilevel"/>
    <w:tmpl w:val="26502732"/>
    <w:lvl w:ilvl="0" w:tplc="9B38200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C62EEE"/>
    <w:multiLevelType w:val="hybridMultilevel"/>
    <w:tmpl w:val="B11022C4"/>
    <w:lvl w:ilvl="0" w:tplc="2A0A289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AC40830"/>
    <w:multiLevelType w:val="hybridMultilevel"/>
    <w:tmpl w:val="8C1A5B88"/>
    <w:lvl w:ilvl="0" w:tplc="3F3E86AA">
      <w:numFmt w:val="bullet"/>
      <w:lvlText w:val="-"/>
      <w:lvlJc w:val="left"/>
      <w:pPr>
        <w:ind w:left="720" w:hanging="360"/>
      </w:pPr>
      <w:rPr>
        <w:rFonts w:ascii="Arial" w:eastAsiaTheme="minorHAnsi" w:hAnsi="Arial" w:cs="Aria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D806A8C"/>
    <w:multiLevelType w:val="hybridMultilevel"/>
    <w:tmpl w:val="BA9C94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0E349EA"/>
    <w:multiLevelType w:val="hybridMultilevel"/>
    <w:tmpl w:val="D08AD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5117FD2"/>
    <w:multiLevelType w:val="hybridMultilevel"/>
    <w:tmpl w:val="D66EE6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9AD4354"/>
    <w:multiLevelType w:val="hybridMultilevel"/>
    <w:tmpl w:val="FD2074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C7C68AC"/>
    <w:multiLevelType w:val="hybridMultilevel"/>
    <w:tmpl w:val="D62AB8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91209D"/>
    <w:multiLevelType w:val="hybridMultilevel"/>
    <w:tmpl w:val="CE8A2C76"/>
    <w:lvl w:ilvl="0" w:tplc="3F3E86AA">
      <w:numFmt w:val="bullet"/>
      <w:lvlText w:val="-"/>
      <w:lvlJc w:val="left"/>
      <w:pPr>
        <w:ind w:left="720" w:hanging="360"/>
      </w:pPr>
      <w:rPr>
        <w:rFonts w:ascii="Arial" w:eastAsiaTheme="minorHAnsi" w:hAnsi="Arial" w:cs="Aria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19699581">
    <w:abstractNumId w:val="0"/>
  </w:num>
  <w:num w:numId="2" w16cid:durableId="747774659">
    <w:abstractNumId w:val="4"/>
  </w:num>
  <w:num w:numId="3" w16cid:durableId="693111286">
    <w:abstractNumId w:val="5"/>
  </w:num>
  <w:num w:numId="4" w16cid:durableId="1473064221">
    <w:abstractNumId w:val="7"/>
  </w:num>
  <w:num w:numId="5" w16cid:durableId="910386995">
    <w:abstractNumId w:val="6"/>
  </w:num>
  <w:num w:numId="6" w16cid:durableId="946696039">
    <w:abstractNumId w:val="9"/>
  </w:num>
  <w:num w:numId="7" w16cid:durableId="167405593">
    <w:abstractNumId w:val="3"/>
  </w:num>
  <w:num w:numId="8" w16cid:durableId="813761645">
    <w:abstractNumId w:val="8"/>
  </w:num>
  <w:num w:numId="9" w16cid:durableId="23603784">
    <w:abstractNumId w:val="1"/>
  </w:num>
  <w:num w:numId="10" w16cid:durableId="196958325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13B9"/>
    <w:rsid w:val="00006727"/>
    <w:rsid w:val="00051312"/>
    <w:rsid w:val="00054127"/>
    <w:rsid w:val="00056396"/>
    <w:rsid w:val="000602FC"/>
    <w:rsid w:val="000618AF"/>
    <w:rsid w:val="00065550"/>
    <w:rsid w:val="00071D83"/>
    <w:rsid w:val="00072473"/>
    <w:rsid w:val="00074F11"/>
    <w:rsid w:val="0008664D"/>
    <w:rsid w:val="000A68AE"/>
    <w:rsid w:val="000D6AB1"/>
    <w:rsid w:val="000E1BA4"/>
    <w:rsid w:val="000E21C9"/>
    <w:rsid w:val="000E7688"/>
    <w:rsid w:val="001215F9"/>
    <w:rsid w:val="001300F8"/>
    <w:rsid w:val="00152AAC"/>
    <w:rsid w:val="00167027"/>
    <w:rsid w:val="00167915"/>
    <w:rsid w:val="00171406"/>
    <w:rsid w:val="00187E8F"/>
    <w:rsid w:val="001A4AED"/>
    <w:rsid w:val="001B01AC"/>
    <w:rsid w:val="001C19B5"/>
    <w:rsid w:val="001C7009"/>
    <w:rsid w:val="001F1C1B"/>
    <w:rsid w:val="00207D68"/>
    <w:rsid w:val="00226D36"/>
    <w:rsid w:val="00253D8F"/>
    <w:rsid w:val="002738CA"/>
    <w:rsid w:val="002912D8"/>
    <w:rsid w:val="00291CE9"/>
    <w:rsid w:val="00291E06"/>
    <w:rsid w:val="002933E7"/>
    <w:rsid w:val="002961AA"/>
    <w:rsid w:val="002A0046"/>
    <w:rsid w:val="003213B9"/>
    <w:rsid w:val="00333449"/>
    <w:rsid w:val="00341460"/>
    <w:rsid w:val="00341943"/>
    <w:rsid w:val="00347926"/>
    <w:rsid w:val="00373D82"/>
    <w:rsid w:val="00393840"/>
    <w:rsid w:val="00395BAD"/>
    <w:rsid w:val="003C55E7"/>
    <w:rsid w:val="003D6168"/>
    <w:rsid w:val="003F1206"/>
    <w:rsid w:val="003F20B0"/>
    <w:rsid w:val="00405216"/>
    <w:rsid w:val="00416BCE"/>
    <w:rsid w:val="00420608"/>
    <w:rsid w:val="00434CC9"/>
    <w:rsid w:val="00457B05"/>
    <w:rsid w:val="00474D13"/>
    <w:rsid w:val="00480FFB"/>
    <w:rsid w:val="00497A37"/>
    <w:rsid w:val="004C0C33"/>
    <w:rsid w:val="004E2938"/>
    <w:rsid w:val="0051085C"/>
    <w:rsid w:val="005110D2"/>
    <w:rsid w:val="00520152"/>
    <w:rsid w:val="00530F7C"/>
    <w:rsid w:val="005451CB"/>
    <w:rsid w:val="005457DE"/>
    <w:rsid w:val="00546C48"/>
    <w:rsid w:val="00553CBD"/>
    <w:rsid w:val="005675C6"/>
    <w:rsid w:val="00584C65"/>
    <w:rsid w:val="00595408"/>
    <w:rsid w:val="005B64C3"/>
    <w:rsid w:val="005B73D6"/>
    <w:rsid w:val="00604521"/>
    <w:rsid w:val="00614418"/>
    <w:rsid w:val="006234EF"/>
    <w:rsid w:val="00626746"/>
    <w:rsid w:val="006310B1"/>
    <w:rsid w:val="00642213"/>
    <w:rsid w:val="00642B5A"/>
    <w:rsid w:val="00654610"/>
    <w:rsid w:val="00685510"/>
    <w:rsid w:val="00692B3F"/>
    <w:rsid w:val="006A468C"/>
    <w:rsid w:val="006C5F7D"/>
    <w:rsid w:val="006C765E"/>
    <w:rsid w:val="006E3BC3"/>
    <w:rsid w:val="006F4CA5"/>
    <w:rsid w:val="007164C2"/>
    <w:rsid w:val="007307FC"/>
    <w:rsid w:val="00736F6A"/>
    <w:rsid w:val="007471FE"/>
    <w:rsid w:val="0075764E"/>
    <w:rsid w:val="007825E4"/>
    <w:rsid w:val="007A46EE"/>
    <w:rsid w:val="007A76B1"/>
    <w:rsid w:val="007B0F05"/>
    <w:rsid w:val="007B77CC"/>
    <w:rsid w:val="007E2B8A"/>
    <w:rsid w:val="007E65E9"/>
    <w:rsid w:val="007F2808"/>
    <w:rsid w:val="008121A7"/>
    <w:rsid w:val="008602AC"/>
    <w:rsid w:val="00871980"/>
    <w:rsid w:val="0087654B"/>
    <w:rsid w:val="008906DF"/>
    <w:rsid w:val="00897C65"/>
    <w:rsid w:val="00940F69"/>
    <w:rsid w:val="00950520"/>
    <w:rsid w:val="00955EB4"/>
    <w:rsid w:val="0096098F"/>
    <w:rsid w:val="00960E28"/>
    <w:rsid w:val="00970856"/>
    <w:rsid w:val="0099192B"/>
    <w:rsid w:val="009A477E"/>
    <w:rsid w:val="009F154B"/>
    <w:rsid w:val="009F65AF"/>
    <w:rsid w:val="009F7CC9"/>
    <w:rsid w:val="00A01F38"/>
    <w:rsid w:val="00A24C83"/>
    <w:rsid w:val="00A36B42"/>
    <w:rsid w:val="00A47373"/>
    <w:rsid w:val="00A54E0C"/>
    <w:rsid w:val="00A65A4A"/>
    <w:rsid w:val="00A70B22"/>
    <w:rsid w:val="00A70E15"/>
    <w:rsid w:val="00A94DBF"/>
    <w:rsid w:val="00AB57D5"/>
    <w:rsid w:val="00AC0511"/>
    <w:rsid w:val="00AC3FC3"/>
    <w:rsid w:val="00B021B5"/>
    <w:rsid w:val="00B077E0"/>
    <w:rsid w:val="00B11C0F"/>
    <w:rsid w:val="00B14913"/>
    <w:rsid w:val="00B151EB"/>
    <w:rsid w:val="00B21D99"/>
    <w:rsid w:val="00B4106F"/>
    <w:rsid w:val="00B45888"/>
    <w:rsid w:val="00B52273"/>
    <w:rsid w:val="00B5460B"/>
    <w:rsid w:val="00B66260"/>
    <w:rsid w:val="00B668BF"/>
    <w:rsid w:val="00B76C21"/>
    <w:rsid w:val="00B85560"/>
    <w:rsid w:val="00B93F5A"/>
    <w:rsid w:val="00B943A1"/>
    <w:rsid w:val="00BB6450"/>
    <w:rsid w:val="00BB7491"/>
    <w:rsid w:val="00BC19F9"/>
    <w:rsid w:val="00BC1D12"/>
    <w:rsid w:val="00BD556C"/>
    <w:rsid w:val="00BE5AB5"/>
    <w:rsid w:val="00BF35D1"/>
    <w:rsid w:val="00C001AA"/>
    <w:rsid w:val="00C1469A"/>
    <w:rsid w:val="00C22D8A"/>
    <w:rsid w:val="00C25E64"/>
    <w:rsid w:val="00C268B5"/>
    <w:rsid w:val="00C3125E"/>
    <w:rsid w:val="00C313C1"/>
    <w:rsid w:val="00C405C3"/>
    <w:rsid w:val="00C54103"/>
    <w:rsid w:val="00C77EA6"/>
    <w:rsid w:val="00C80B37"/>
    <w:rsid w:val="00C90572"/>
    <w:rsid w:val="00C91234"/>
    <w:rsid w:val="00C962E4"/>
    <w:rsid w:val="00CA2C3B"/>
    <w:rsid w:val="00CA7A5C"/>
    <w:rsid w:val="00CA7BA1"/>
    <w:rsid w:val="00CD45EF"/>
    <w:rsid w:val="00CE0578"/>
    <w:rsid w:val="00D1126A"/>
    <w:rsid w:val="00D16C4B"/>
    <w:rsid w:val="00D25D63"/>
    <w:rsid w:val="00D27405"/>
    <w:rsid w:val="00D427F0"/>
    <w:rsid w:val="00D6147E"/>
    <w:rsid w:val="00D622F6"/>
    <w:rsid w:val="00D67972"/>
    <w:rsid w:val="00D84F04"/>
    <w:rsid w:val="00D93F3E"/>
    <w:rsid w:val="00D96C58"/>
    <w:rsid w:val="00DA3D7A"/>
    <w:rsid w:val="00DC748F"/>
    <w:rsid w:val="00DD0D11"/>
    <w:rsid w:val="00DD216A"/>
    <w:rsid w:val="00E03CB1"/>
    <w:rsid w:val="00E330C1"/>
    <w:rsid w:val="00E42023"/>
    <w:rsid w:val="00E43D2C"/>
    <w:rsid w:val="00E74564"/>
    <w:rsid w:val="00EA3CE9"/>
    <w:rsid w:val="00EB0887"/>
    <w:rsid w:val="00ED2A6A"/>
    <w:rsid w:val="00F05D60"/>
    <w:rsid w:val="00F114A2"/>
    <w:rsid w:val="00F206F5"/>
    <w:rsid w:val="00F24610"/>
    <w:rsid w:val="00F40A5F"/>
    <w:rsid w:val="00F45778"/>
    <w:rsid w:val="00F523B2"/>
    <w:rsid w:val="00F7628D"/>
    <w:rsid w:val="00F91002"/>
    <w:rsid w:val="00FA2095"/>
    <w:rsid w:val="00FA36ED"/>
    <w:rsid w:val="00FD006F"/>
    <w:rsid w:val="00FD5A52"/>
    <w:rsid w:val="00FD772E"/>
    <w:rsid w:val="00FF0F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866864"/>
  <w15:chartTrackingRefBased/>
  <w15:docId w15:val="{1881080C-FFA2-4795-B010-85BF88CA8C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7B77CC"/>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310B1"/>
    <w:pPr>
      <w:ind w:left="720"/>
      <w:contextualSpacing/>
    </w:pPr>
  </w:style>
  <w:style w:type="character" w:customStyle="1" w:styleId="Heading4Char">
    <w:name w:val="Heading 4 Char"/>
    <w:basedOn w:val="DefaultParagraphFont"/>
    <w:link w:val="Heading4"/>
    <w:uiPriority w:val="9"/>
    <w:rsid w:val="007B77CC"/>
    <w:rPr>
      <w:rFonts w:ascii="Times New Roman" w:eastAsia="Times New Roman" w:hAnsi="Times New Roman" w:cs="Times New Roman"/>
      <w:b/>
      <w:bCs/>
      <w:sz w:val="24"/>
      <w:szCs w:val="24"/>
      <w:lang w:eastAsia="en-GB"/>
    </w:rPr>
  </w:style>
  <w:style w:type="character" w:styleId="Emphasis">
    <w:name w:val="Emphasis"/>
    <w:basedOn w:val="DefaultParagraphFont"/>
    <w:uiPriority w:val="20"/>
    <w:qFormat/>
    <w:rsid w:val="00291E06"/>
    <w:rPr>
      <w:i/>
      <w:iCs/>
    </w:rPr>
  </w:style>
  <w:style w:type="character" w:styleId="Hyperlink">
    <w:name w:val="Hyperlink"/>
    <w:basedOn w:val="DefaultParagraphFont"/>
    <w:uiPriority w:val="99"/>
    <w:semiHidden/>
    <w:unhideWhenUsed/>
    <w:rsid w:val="00291E06"/>
    <w:rPr>
      <w:color w:val="0000FF"/>
      <w:u w:val="single"/>
    </w:rPr>
  </w:style>
  <w:style w:type="character" w:styleId="FollowedHyperlink">
    <w:name w:val="FollowedHyperlink"/>
    <w:basedOn w:val="DefaultParagraphFont"/>
    <w:uiPriority w:val="99"/>
    <w:semiHidden/>
    <w:unhideWhenUsed/>
    <w:rsid w:val="00291E06"/>
    <w:rPr>
      <w:color w:val="954F72" w:themeColor="followedHyperlink"/>
      <w:u w:val="single"/>
    </w:rPr>
  </w:style>
  <w:style w:type="character" w:styleId="CommentReference">
    <w:name w:val="annotation reference"/>
    <w:basedOn w:val="DefaultParagraphFont"/>
    <w:uiPriority w:val="99"/>
    <w:semiHidden/>
    <w:unhideWhenUsed/>
    <w:rsid w:val="00D427F0"/>
    <w:rPr>
      <w:sz w:val="16"/>
      <w:szCs w:val="16"/>
    </w:rPr>
  </w:style>
  <w:style w:type="paragraph" w:styleId="CommentText">
    <w:name w:val="annotation text"/>
    <w:basedOn w:val="Normal"/>
    <w:link w:val="CommentTextChar"/>
    <w:uiPriority w:val="99"/>
    <w:unhideWhenUsed/>
    <w:rsid w:val="00D427F0"/>
    <w:pPr>
      <w:spacing w:line="240" w:lineRule="auto"/>
    </w:pPr>
    <w:rPr>
      <w:sz w:val="20"/>
      <w:szCs w:val="20"/>
    </w:rPr>
  </w:style>
  <w:style w:type="character" w:customStyle="1" w:styleId="CommentTextChar">
    <w:name w:val="Comment Text Char"/>
    <w:basedOn w:val="DefaultParagraphFont"/>
    <w:link w:val="CommentText"/>
    <w:uiPriority w:val="99"/>
    <w:rsid w:val="00D427F0"/>
    <w:rPr>
      <w:sz w:val="20"/>
      <w:szCs w:val="20"/>
    </w:rPr>
  </w:style>
  <w:style w:type="paragraph" w:styleId="CommentSubject">
    <w:name w:val="annotation subject"/>
    <w:basedOn w:val="CommentText"/>
    <w:next w:val="CommentText"/>
    <w:link w:val="CommentSubjectChar"/>
    <w:uiPriority w:val="99"/>
    <w:semiHidden/>
    <w:unhideWhenUsed/>
    <w:rsid w:val="00D427F0"/>
    <w:rPr>
      <w:b/>
      <w:bCs/>
    </w:rPr>
  </w:style>
  <w:style w:type="character" w:customStyle="1" w:styleId="CommentSubjectChar">
    <w:name w:val="Comment Subject Char"/>
    <w:basedOn w:val="CommentTextChar"/>
    <w:link w:val="CommentSubject"/>
    <w:uiPriority w:val="99"/>
    <w:semiHidden/>
    <w:rsid w:val="00D427F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0121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hyperlink" Target="https://www.wussymag.com/all/its-still-the-age-of-aquaria-an-interview-with-the-rupauls-drag-race-season-10-winne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adamgcarver.com/about/fatt-butcher/" TargetMode="External"/><Relationship Id="rId5" Type="http://schemas.openxmlformats.org/officeDocument/2006/relationships/webSettings" Target="webSettings.xml"/><Relationship Id="rId10" Type="http://schemas.openxmlformats.org/officeDocument/2006/relationships/hyperlink" Target="https://trixiemattel.com/about/" TargetMode="External"/><Relationship Id="rId4" Type="http://schemas.openxmlformats.org/officeDocument/2006/relationships/settings" Target="settings.xml"/><Relationship Id="rId9" Type="http://schemas.openxmlformats.org/officeDocument/2006/relationships/hyperlink" Target="https://www.theguardian.com/lifeandstyle/2021/jun/06/sunday-with-trixie-mattel-i-refuse-to-stop-every-day-is-a-monday"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B24502-2D93-41F0-9D91-1EF10F39C0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792</TotalTime>
  <Pages>17</Pages>
  <Words>4663</Words>
  <Characters>26580</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SALMON, Rachel (SHEFFIELD TEACHING HOSPITALS NHS FOUNDATION TRUST)</dc:creator>
  <cp:keywords/>
  <dc:description/>
  <cp:lastModifiedBy>SALMON, Rachel (SHEFFIELD TEACHING HOSPITALS NHS FOUNDATION TRUST)</cp:lastModifiedBy>
  <cp:revision>54</cp:revision>
  <dcterms:created xsi:type="dcterms:W3CDTF">2022-12-17T20:27:00Z</dcterms:created>
  <dcterms:modified xsi:type="dcterms:W3CDTF">2023-01-31T15:36:00Z</dcterms:modified>
</cp:coreProperties>
</file>