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Student Name - Ataa Sarpong</w:t>
      </w:r>
    </w:p>
    <w:p w:rsidR="00000000" w:rsidDel="00000000" w:rsidP="00000000" w:rsidRDefault="00000000" w:rsidRPr="00000000" w14:paraId="00000002">
      <w:pPr>
        <w:jc w:val="center"/>
        <w:rPr>
          <w:b w:val="1"/>
        </w:rPr>
      </w:pPr>
      <w:r w:rsidDel="00000000" w:rsidR="00000000" w:rsidRPr="00000000">
        <w:rPr>
          <w:b w:val="1"/>
          <w:rtl w:val="0"/>
        </w:rPr>
        <w:t xml:space="preserve"> </w:t>
      </w:r>
    </w:p>
    <w:p w:rsidR="00000000" w:rsidDel="00000000" w:rsidP="00000000" w:rsidRDefault="00000000" w:rsidRPr="00000000" w14:paraId="00000003">
      <w:pPr>
        <w:jc w:val="center"/>
        <w:rPr>
          <w:b w:val="1"/>
        </w:rPr>
      </w:pPr>
      <w:r w:rsidDel="00000000" w:rsidR="00000000" w:rsidRPr="00000000">
        <w:rPr>
          <w:b w:val="1"/>
          <w:rtl w:val="0"/>
        </w:rPr>
        <w:t xml:space="preserve">Student ID number -  2027066</w:t>
      </w:r>
    </w:p>
    <w:p w:rsidR="00000000" w:rsidDel="00000000" w:rsidP="00000000" w:rsidRDefault="00000000" w:rsidRPr="00000000" w14:paraId="00000004">
      <w:pPr>
        <w:jc w:val="center"/>
        <w:rPr>
          <w:b w:val="1"/>
        </w:rPr>
      </w:pPr>
      <w:r w:rsidDel="00000000" w:rsidR="00000000" w:rsidRPr="00000000">
        <w:rPr>
          <w:b w:val="1"/>
          <w:rtl w:val="0"/>
        </w:rPr>
        <w:t xml:space="preserve"> </w:t>
      </w:r>
    </w:p>
    <w:p w:rsidR="00000000" w:rsidDel="00000000" w:rsidP="00000000" w:rsidRDefault="00000000" w:rsidRPr="00000000" w14:paraId="00000005">
      <w:pPr>
        <w:jc w:val="center"/>
        <w:rPr>
          <w:b w:val="1"/>
        </w:rPr>
      </w:pPr>
      <w:r w:rsidDel="00000000" w:rsidR="00000000" w:rsidRPr="00000000">
        <w:rPr>
          <w:b w:val="1"/>
          <w:rtl w:val="0"/>
        </w:rPr>
        <w:t xml:space="preserve">Module introduction to public health</w:t>
      </w:r>
    </w:p>
    <w:p w:rsidR="00000000" w:rsidDel="00000000" w:rsidP="00000000" w:rsidRDefault="00000000" w:rsidRPr="00000000" w14:paraId="00000006">
      <w:pPr>
        <w:jc w:val="center"/>
        <w:rPr>
          <w:b w:val="1"/>
        </w:rPr>
      </w:pPr>
      <w:r w:rsidDel="00000000" w:rsidR="00000000" w:rsidRPr="00000000">
        <w:rPr>
          <w:b w:val="1"/>
          <w:rtl w:val="0"/>
        </w:rPr>
        <w:t xml:space="preserve"> </w:t>
      </w:r>
    </w:p>
    <w:p w:rsidR="00000000" w:rsidDel="00000000" w:rsidP="00000000" w:rsidRDefault="00000000" w:rsidRPr="00000000" w14:paraId="00000007">
      <w:pPr>
        <w:jc w:val="center"/>
        <w:rPr>
          <w:b w:val="1"/>
        </w:rPr>
      </w:pPr>
      <w:r w:rsidDel="00000000" w:rsidR="00000000" w:rsidRPr="00000000">
        <w:rPr>
          <w:b w:val="1"/>
          <w:rtl w:val="0"/>
        </w:rPr>
        <w:t xml:space="preserve">Module code LCHS4004</w:t>
      </w:r>
    </w:p>
    <w:p w:rsidR="00000000" w:rsidDel="00000000" w:rsidP="00000000" w:rsidRDefault="00000000" w:rsidRPr="00000000" w14:paraId="00000008">
      <w:pPr>
        <w:jc w:val="center"/>
        <w:rPr>
          <w:b w:val="1"/>
        </w:rPr>
      </w:pPr>
      <w:r w:rsidDel="00000000" w:rsidR="00000000" w:rsidRPr="00000000">
        <w:rPr>
          <w:b w:val="1"/>
          <w:rtl w:val="0"/>
        </w:rPr>
        <w:t xml:space="preserve"> </w:t>
      </w:r>
    </w:p>
    <w:p w:rsidR="00000000" w:rsidDel="00000000" w:rsidP="00000000" w:rsidRDefault="00000000" w:rsidRPr="00000000" w14:paraId="00000009">
      <w:pPr>
        <w:jc w:val="center"/>
        <w:rPr>
          <w:b w:val="1"/>
        </w:rPr>
      </w:pPr>
      <w:r w:rsidDel="00000000" w:rsidR="00000000" w:rsidRPr="00000000">
        <w:rPr>
          <w:b w:val="1"/>
          <w:rtl w:val="0"/>
        </w:rPr>
        <w:t xml:space="preserve">Lecturer Dr Aishath Baker</w:t>
      </w:r>
    </w:p>
    <w:p w:rsidR="00000000" w:rsidDel="00000000" w:rsidP="00000000" w:rsidRDefault="00000000" w:rsidRPr="00000000" w14:paraId="0000000A">
      <w:pPr>
        <w:jc w:val="center"/>
        <w:rPr>
          <w:b w:val="1"/>
        </w:rPr>
      </w:pPr>
      <w:r w:rsidDel="00000000" w:rsidR="00000000" w:rsidRPr="00000000">
        <w:rPr>
          <w:b w:val="1"/>
          <w:rtl w:val="0"/>
        </w:rPr>
        <w:t xml:space="preserve"> </w:t>
      </w:r>
    </w:p>
    <w:p w:rsidR="00000000" w:rsidDel="00000000" w:rsidP="00000000" w:rsidRDefault="00000000" w:rsidRPr="00000000" w14:paraId="0000000B">
      <w:pPr>
        <w:jc w:val="center"/>
        <w:rPr>
          <w:b w:val="1"/>
        </w:rPr>
      </w:pPr>
      <w:r w:rsidDel="00000000" w:rsidR="00000000" w:rsidRPr="00000000">
        <w:rPr>
          <w:b w:val="1"/>
          <w:rtl w:val="0"/>
        </w:rPr>
        <w:t xml:space="preserve">Assignment Title -Infectious Diseases</w:t>
      </w:r>
    </w:p>
    <w:p w:rsidR="00000000" w:rsidDel="00000000" w:rsidP="00000000" w:rsidRDefault="00000000" w:rsidRPr="00000000" w14:paraId="0000000C">
      <w:pPr>
        <w:rPr/>
      </w:pPr>
      <w:r w:rsidDel="00000000" w:rsidR="00000000" w:rsidRPr="00000000">
        <w:rPr>
          <w:rtl w:val="0"/>
        </w:rPr>
        <w:t xml:space="preserve"> </w:t>
      </w:r>
    </w:p>
    <w:p w:rsidR="00000000" w:rsidDel="00000000" w:rsidP="00000000" w:rsidRDefault="00000000" w:rsidRPr="00000000" w14:paraId="0000000D">
      <w:pPr>
        <w:rPr/>
      </w:pPr>
      <w:r w:rsidDel="00000000" w:rsidR="00000000" w:rsidRPr="00000000">
        <w:rPr>
          <w:rtl w:val="0"/>
        </w:rPr>
        <w:t xml:space="preserve">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b w:val="1"/>
          <w:u w:val="single"/>
        </w:rPr>
      </w:pPr>
      <w:r w:rsidDel="00000000" w:rsidR="00000000" w:rsidRPr="00000000">
        <w:rPr>
          <w:b w:val="1"/>
          <w:u w:val="single"/>
          <w:rtl w:val="0"/>
        </w:rPr>
        <w:t xml:space="preserve">Table of Contents</w:t>
      </w:r>
    </w:p>
    <w:p w:rsidR="00000000" w:rsidDel="00000000" w:rsidP="00000000" w:rsidRDefault="00000000" w:rsidRPr="00000000" w14:paraId="00000010">
      <w:pPr>
        <w:rPr>
          <w:color w:val="0000ff"/>
        </w:rPr>
      </w:pPr>
      <w:r w:rsidDel="00000000" w:rsidR="00000000" w:rsidRPr="00000000">
        <w:rPr>
          <w:color w:val="0000ff"/>
          <w:rtl w:val="0"/>
        </w:rPr>
        <w:t xml:space="preserve">​Introduction​</w:t>
      </w:r>
    </w:p>
    <w:p w:rsidR="00000000" w:rsidDel="00000000" w:rsidP="00000000" w:rsidRDefault="00000000" w:rsidRPr="00000000" w14:paraId="00000011">
      <w:pPr>
        <w:numPr>
          <w:ilvl w:val="0"/>
          <w:numId w:val="1"/>
        </w:numPr>
        <w:ind w:left="720" w:hanging="360"/>
        <w:rPr>
          <w:color w:val="0000ff"/>
          <w:u w:val="none"/>
        </w:rPr>
      </w:pPr>
      <w:r w:rsidDel="00000000" w:rsidR="00000000" w:rsidRPr="00000000">
        <w:rPr>
          <w:color w:val="0000ff"/>
          <w:rtl w:val="0"/>
        </w:rPr>
        <w:t xml:space="preserve">​Available public health measures​</w:t>
      </w:r>
    </w:p>
    <w:p w:rsidR="00000000" w:rsidDel="00000000" w:rsidP="00000000" w:rsidRDefault="00000000" w:rsidRPr="00000000" w14:paraId="00000012">
      <w:pPr>
        <w:numPr>
          <w:ilvl w:val="0"/>
          <w:numId w:val="1"/>
        </w:numPr>
        <w:ind w:left="720" w:hanging="360"/>
        <w:rPr>
          <w:color w:val="0000ff"/>
          <w:u w:val="none"/>
        </w:rPr>
      </w:pPr>
      <w:r w:rsidDel="00000000" w:rsidR="00000000" w:rsidRPr="00000000">
        <w:rPr>
          <w:color w:val="0000ff"/>
          <w:rtl w:val="0"/>
        </w:rPr>
        <w:t xml:space="preserve">Key risk factors of the disease​</w:t>
      </w:r>
    </w:p>
    <w:p w:rsidR="00000000" w:rsidDel="00000000" w:rsidP="00000000" w:rsidRDefault="00000000" w:rsidRPr="00000000" w14:paraId="00000013">
      <w:pPr>
        <w:numPr>
          <w:ilvl w:val="0"/>
          <w:numId w:val="1"/>
        </w:numPr>
        <w:ind w:left="720" w:hanging="360"/>
        <w:rPr>
          <w:color w:val="0000ff"/>
          <w:u w:val="none"/>
        </w:rPr>
      </w:pPr>
      <w:r w:rsidDel="00000000" w:rsidR="00000000" w:rsidRPr="00000000">
        <w:rPr>
          <w:color w:val="0000ff"/>
          <w:rtl w:val="0"/>
        </w:rPr>
        <w:t xml:space="preserve">​Short-term public health consequences of COVID-19​</w:t>
      </w:r>
    </w:p>
    <w:p w:rsidR="00000000" w:rsidDel="00000000" w:rsidP="00000000" w:rsidRDefault="00000000" w:rsidRPr="00000000" w14:paraId="00000014">
      <w:pPr>
        <w:numPr>
          <w:ilvl w:val="0"/>
          <w:numId w:val="1"/>
        </w:numPr>
        <w:ind w:left="720" w:hanging="360"/>
        <w:rPr>
          <w:color w:val="0000ff"/>
          <w:u w:val="none"/>
        </w:rPr>
      </w:pPr>
      <w:r w:rsidDel="00000000" w:rsidR="00000000" w:rsidRPr="00000000">
        <w:rPr>
          <w:color w:val="0000ff"/>
          <w:rtl w:val="0"/>
        </w:rPr>
        <w:t xml:space="preserve">Long-term public health consequences of COVID-19​</w:t>
      </w:r>
    </w:p>
    <w:p w:rsidR="00000000" w:rsidDel="00000000" w:rsidP="00000000" w:rsidRDefault="00000000" w:rsidRPr="00000000" w14:paraId="00000015">
      <w:pPr>
        <w:numPr>
          <w:ilvl w:val="0"/>
          <w:numId w:val="1"/>
        </w:numPr>
        <w:ind w:left="720" w:hanging="360"/>
        <w:rPr>
          <w:color w:val="0000ff"/>
          <w:u w:val="none"/>
        </w:rPr>
      </w:pPr>
      <w:r w:rsidDel="00000000" w:rsidR="00000000" w:rsidRPr="00000000">
        <w:rPr>
          <w:color w:val="0000ff"/>
          <w:rtl w:val="0"/>
        </w:rPr>
        <w:t xml:space="preserve">Conclusion​</w:t>
      </w:r>
    </w:p>
    <w:p w:rsidR="00000000" w:rsidDel="00000000" w:rsidP="00000000" w:rsidRDefault="00000000" w:rsidRPr="00000000" w14:paraId="00000016">
      <w:pPr>
        <w:numPr>
          <w:ilvl w:val="0"/>
          <w:numId w:val="1"/>
        </w:numPr>
        <w:ind w:left="720" w:hanging="360"/>
        <w:rPr>
          <w:color w:val="0000ff"/>
          <w:u w:val="none"/>
        </w:rPr>
      </w:pPr>
      <w:r w:rsidDel="00000000" w:rsidR="00000000" w:rsidRPr="00000000">
        <w:rPr>
          <w:color w:val="0000ff"/>
          <w:rtl w:val="0"/>
        </w:rPr>
        <w:t xml:space="preserve">References​</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Coronavirus disease 2019 (COVID-19) is a respiratory disease caused by SARS-CoV-2. The disease is transmitted through respiratory droplets from coughing or sneezing. The World Health Organization estimates the incubation period of the disease is 1 to 14 days, and transmission is possible during this time. On 30 January 2020, the World Health Organization declared the disease a public health emergency, and then on 11 March 2020 declared it a pandemic. Since then, 24 million cases have been reported in the UK, with 211,000 deaths (Wang et al., 2022). According to the Health Department in the UK, 24,127 tested positive for the disease from 30th October to 5th November, and 632 people were reported dead in the same period. Globally, 636 million cases have been reported since it was declared a pandemic, and 6.61 million people have died from the disease. The most common clinical signs and symptoms of this highly infectious respiratory disease can range from the mild common cold to severe viral pneumonia that can lead to respiratory distress. Other signs and symptoms of the disease include cough, tiredness, loss of taste, headache, sore throat, loss of taste or smell, and chest pain. This report aims to present the public health measures available for the disease, and also identify the short and long-term consequences in a health or social care setting.</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b w:val="1"/>
          <w:u w:val="single"/>
        </w:rPr>
      </w:pPr>
      <w:r w:rsidDel="00000000" w:rsidR="00000000" w:rsidRPr="00000000">
        <w:rPr>
          <w:b w:val="1"/>
          <w:u w:val="single"/>
          <w:rtl w:val="0"/>
        </w:rPr>
        <w:t xml:space="preserve">1. Available public health measures</w:t>
      </w:r>
    </w:p>
    <w:p w:rsidR="00000000" w:rsidDel="00000000" w:rsidP="00000000" w:rsidRDefault="00000000" w:rsidRPr="00000000" w14:paraId="0000001C">
      <w:pPr>
        <w:rPr/>
      </w:pPr>
      <w:r w:rsidDel="00000000" w:rsidR="00000000" w:rsidRPr="00000000">
        <w:rPr>
          <w:rtl w:val="0"/>
        </w:rPr>
        <w:t xml:space="preserve">The implementation of public health measures against the disease have had a significant impact in reducing the number of cases reported. Furthermore, the seasonal peaks of the disease which were witnessed in 2020 and 2021 have disappeared because of the public health measures put in place since the disease was declared a pandemic. The 3P's model of public health (prevention, protection and promotion) can be used as a framework to help decode and understand the public health measures put in place in the UK.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b w:val="1"/>
          <w:i w:val="1"/>
        </w:rPr>
      </w:pPr>
      <w:r w:rsidDel="00000000" w:rsidR="00000000" w:rsidRPr="00000000">
        <w:rPr>
          <w:b w:val="1"/>
          <w:i w:val="1"/>
          <w:rtl w:val="0"/>
        </w:rPr>
        <w:t xml:space="preserve">Prevention</w:t>
      </w:r>
    </w:p>
    <w:p w:rsidR="00000000" w:rsidDel="00000000" w:rsidP="00000000" w:rsidRDefault="00000000" w:rsidRPr="00000000" w14:paraId="0000001F">
      <w:pPr>
        <w:rPr/>
      </w:pPr>
      <w:r w:rsidDel="00000000" w:rsidR="00000000" w:rsidRPr="00000000">
        <w:rPr>
          <w:rtl w:val="0"/>
        </w:rPr>
        <w:t xml:space="preserve">To prevent the spread of the disease, numerous public health measures have been put in place for the public. One of the measures is wearing properly fitted masks in public places, especially when physical distancing is impossible indoors. Some other preventive measures include maintaining social distancing in public places, maintaining hand hygiene, and keeping public houses well-ventilated. Currently, vaccines are the most widely used preventive public health measures, and the public is encouraged to be vaccinated (Patel et al., 2022). According to the latest figures from the UK government, by 10 November 2022 a total of 151,248,820 vaccinations will have been administered, with at least 92% of the population receiving at least one dose. However, even after getting vaccinated, it is still encouraged for people to follow preventive measures. This is because vaccinations are not one hundred percent effective.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b w:val="1"/>
          <w:i w:val="1"/>
        </w:rPr>
      </w:pPr>
      <w:r w:rsidDel="00000000" w:rsidR="00000000" w:rsidRPr="00000000">
        <w:rPr>
          <w:b w:val="1"/>
          <w:i w:val="1"/>
          <w:rtl w:val="0"/>
        </w:rPr>
        <w:t xml:space="preserve">Protection</w:t>
      </w:r>
    </w:p>
    <w:p w:rsidR="00000000" w:rsidDel="00000000" w:rsidP="00000000" w:rsidRDefault="00000000" w:rsidRPr="00000000" w14:paraId="00000022">
      <w:pPr>
        <w:rPr/>
      </w:pPr>
      <w:r w:rsidDel="00000000" w:rsidR="00000000" w:rsidRPr="00000000">
        <w:rPr>
          <w:rtl w:val="0"/>
        </w:rPr>
        <w:t xml:space="preserve">Since the disease was declared in the UK, the government has implemented several measures to protect public health. However, as the number of cases reported has fallen significantly, some measures have been relaxed. According to Patel et al., (2022), quarantine and self-isolation are some of the measures that still apply in the UK. They are intended to restrict the movement of people with signs and symptoms to protect others who are not infected. In this case, people who show signs of the disease must stay safe, but not in public places. To protect health professionals from the disease, they must use appropriate personal protective equipment (PPEs) to protect them from the disease.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b w:val="1"/>
          <w:i w:val="1"/>
        </w:rPr>
      </w:pPr>
      <w:r w:rsidDel="00000000" w:rsidR="00000000" w:rsidRPr="00000000">
        <w:rPr>
          <w:b w:val="1"/>
          <w:i w:val="1"/>
          <w:rtl w:val="0"/>
        </w:rPr>
        <w:t xml:space="preserve">Promotion</w:t>
      </w:r>
    </w:p>
    <w:p w:rsidR="00000000" w:rsidDel="00000000" w:rsidP="00000000" w:rsidRDefault="00000000" w:rsidRPr="00000000" w14:paraId="00000025">
      <w:pPr>
        <w:rPr/>
      </w:pPr>
      <w:r w:rsidDel="00000000" w:rsidR="00000000" w:rsidRPr="00000000">
        <w:rPr>
          <w:rtl w:val="0"/>
        </w:rPr>
        <w:t xml:space="preserve">In recent years, the UK Government has introduced many public health campaigns to improve the nation's wellbeing. First, through various media outlets, the public receives timely, accurate and frequent information about the severity of the disease, as well as new prevention and protection measures to ensure high compliance among the public (Pennycook et al., 2022). Furthermore, the public is given the appropriate contact information from health officials to help them know what to do if they encounter or come into contact with a person suspected of being infected with the disease.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b w:val="1"/>
          <w:u w:val="single"/>
        </w:rPr>
      </w:pPr>
      <w:r w:rsidDel="00000000" w:rsidR="00000000" w:rsidRPr="00000000">
        <w:rPr>
          <w:b w:val="1"/>
          <w:u w:val="single"/>
          <w:rtl w:val="0"/>
        </w:rPr>
        <w:t xml:space="preserve">2. Key risk factors of the disease</w:t>
      </w:r>
    </w:p>
    <w:p w:rsidR="00000000" w:rsidDel="00000000" w:rsidP="00000000" w:rsidRDefault="00000000" w:rsidRPr="00000000" w14:paraId="00000028">
      <w:pPr>
        <w:rPr/>
      </w:pPr>
      <w:r w:rsidDel="00000000" w:rsidR="00000000" w:rsidRPr="00000000">
        <w:rPr>
          <w:rtl w:val="0"/>
        </w:rPr>
        <w:t xml:space="preserve">The World Health Organisation has stated that the novel coronavirus, COVID-19, can affect people of all ages. However, there are some people with underlying risk factors who can be seriously affected by the virus. According to the Centers for Disease Control and Prevention (CDC), some risk factors for the disease include age, some diseases, certain professions and pregnancy. However, the CDC states that anyone can catch the disease if they are not careful.</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According to Patel et al., (2022), most people who have died from the disease in the UK are people over 54, which means older adults are more likely to be affected. In addition, the age group most likely to be hospitalised in cases like this is people in this age group. Derrer-Merk et al., (2022), found that this is likely because older adults usually have one or more underlying health conditions that puts them at a greater risk for developing serious complications from the disease. In addition, the immune system usually becomes weaker as we age, so it would be more difficult for the immune system to fight the disease.</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If a person contracts the disease and also has other underlying conditions such as diabetes, lung disease and high blood pressure, these diseases can work together to create more severe effects. Research conducted in the United Kingdom has discovered that people with pre-existing lung conditions, such as lung cancer, are more likely to be impacted by coronavirus. For example, a study done by Blundell et al., in 2022, showed that people with diabetes were four to six times more likely to be severely affected by the virus than people without any underlying medical conditions.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Pregnant women or women who have recently given birth and contracted the disease are at greater risk of developing severe symptoms of the disease, which can lead to further complications or even death. Nguyen et al., (2022), point out that the disease can harm pregnancy, and some reported cases include stillbirth and premature birth. They continue to state that more research is needed in this area. Pregnant women are more vulnerable to COVID-19, because pregnancy can also weaken the immune system of the mother. Additionally, pregnant women are also more likely to have other underlying medical conditions, which can increase the severity of the virus.</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u w:val="single"/>
        </w:rPr>
      </w:pPr>
      <w:r w:rsidDel="00000000" w:rsidR="00000000" w:rsidRPr="00000000">
        <w:rPr>
          <w:b w:val="1"/>
          <w:u w:val="single"/>
          <w:rtl w:val="0"/>
        </w:rPr>
        <w:t xml:space="preserve">3. Short-term public health consequences of COVID-19</w:t>
      </w:r>
    </w:p>
    <w:p w:rsidR="00000000" w:rsidDel="00000000" w:rsidP="00000000" w:rsidRDefault="00000000" w:rsidRPr="00000000" w14:paraId="00000031">
      <w:pPr>
        <w:rPr/>
      </w:pPr>
      <w:r w:rsidDel="00000000" w:rsidR="00000000" w:rsidRPr="00000000">
        <w:rPr>
          <w:rtl w:val="0"/>
        </w:rPr>
        <w:t xml:space="preserve">Some short-term negative impacts of the disease have been discovered, while others remain unknown. So far, some of the discovered impacts include dizziness, anxiety, exhaustion, headaches, difficulty breathing, and loss of taste and smell. According to Pennycook et al., (2022), these can last for up to 100 days. In addition, survivors of the disease are likely to still have the signs and symptoms of the disease, including persistent cough, problems with memory and difficulties, not enough energy to exercise, and mental health problems. However, the time for these negative impacts depends on an individual, and while others can have them for a short while, others can have a little extended recovery.</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b w:val="1"/>
          <w:i w:val="1"/>
        </w:rPr>
      </w:pPr>
      <w:r w:rsidDel="00000000" w:rsidR="00000000" w:rsidRPr="00000000">
        <w:rPr>
          <w:b w:val="1"/>
          <w:i w:val="1"/>
          <w:rtl w:val="0"/>
        </w:rPr>
        <w:t xml:space="preserve">Adverse mental-health outcomes</w:t>
      </w:r>
    </w:p>
    <w:p w:rsidR="00000000" w:rsidDel="00000000" w:rsidP="00000000" w:rsidRDefault="00000000" w:rsidRPr="00000000" w14:paraId="00000034">
      <w:pPr>
        <w:rPr/>
      </w:pPr>
      <w:r w:rsidDel="00000000" w:rsidR="00000000" w:rsidRPr="00000000">
        <w:rPr>
          <w:rtl w:val="0"/>
        </w:rPr>
        <w:t xml:space="preserve">The disease could have negative long-term mental health impacts. Patel et al. (2022) found that most UK COVID-19 survivors experience post-traumatic stress disorder, anxiety, and depression. Besides, patients also face the challenges of insomnia, impaired memory, and impaired attention during the acute phase stages of the disease. Similar findings were observed in a review by Blundell et al., (2022), in the Manchester region. They found that the prevalence of mental disorders among survivors was high, with 63% showing signs of depressive disorder. The reason why most survivors are likely to face these mental health challenges is because of the trauma of damaged organs and loss of financial positions. </w:t>
      </w:r>
    </w:p>
    <w:p w:rsidR="00000000" w:rsidDel="00000000" w:rsidP="00000000" w:rsidRDefault="00000000" w:rsidRPr="00000000" w14:paraId="00000035">
      <w:pPr>
        <w:rPr/>
      </w:pPr>
      <w:r w:rsidDel="00000000" w:rsidR="00000000" w:rsidRPr="00000000">
        <w:rPr>
          <w:rtl w:val="0"/>
        </w:rPr>
        <w:t xml:space="preserve">The disease has also had short-term impacts on health service provision, and one noticeable impact is the reassignment of health staff and postponement of medical services. According to Li and Wang, (2020), many public health professionals have been reassigned from their duties to meet the pressing needs of COVID-19 patients. This hampers the delivery of health services to other patients who are not suffering from the disease. Apart from the workforce being reassigned, most medical services given to other patients are delayed. For instance, there have been postponements in the screening programs for other diseases. Besides, there have been cancellations for appointments and planned treatments because the disease overwhelmed the workforce.</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b w:val="1"/>
          <w:u w:val="single"/>
        </w:rPr>
      </w:pPr>
      <w:r w:rsidDel="00000000" w:rsidR="00000000" w:rsidRPr="00000000">
        <w:rPr>
          <w:b w:val="1"/>
          <w:u w:val="single"/>
          <w:rtl w:val="0"/>
        </w:rPr>
        <w:t xml:space="preserve">4. Long-term public health consequences of COVID-19</w:t>
      </w:r>
    </w:p>
    <w:p w:rsidR="00000000" w:rsidDel="00000000" w:rsidP="00000000" w:rsidRDefault="00000000" w:rsidRPr="00000000" w14:paraId="00000038">
      <w:pPr>
        <w:rPr/>
      </w:pPr>
      <w:r w:rsidDel="00000000" w:rsidR="00000000" w:rsidRPr="00000000">
        <w:rPr>
          <w:rtl w:val="0"/>
        </w:rPr>
        <w:t xml:space="preserve">Because this is such a new disease, the long-term effects of the disease are still largely unknown. Scientists still discover new information about the disease and its effects every day. However, below are some of the long-term negative impacts discovered so far.</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b w:val="1"/>
          <w:i w:val="1"/>
        </w:rPr>
      </w:pPr>
      <w:r w:rsidDel="00000000" w:rsidR="00000000" w:rsidRPr="00000000">
        <w:rPr>
          <w:b w:val="1"/>
          <w:i w:val="1"/>
          <w:rtl w:val="0"/>
        </w:rPr>
        <w:t xml:space="preserve">Organ damages</w:t>
      </w:r>
    </w:p>
    <w:p w:rsidR="00000000" w:rsidDel="00000000" w:rsidP="00000000" w:rsidRDefault="00000000" w:rsidRPr="00000000" w14:paraId="0000003B">
      <w:pPr>
        <w:rPr/>
      </w:pPr>
      <w:r w:rsidDel="00000000" w:rsidR="00000000" w:rsidRPr="00000000">
        <w:rPr>
          <w:rtl w:val="0"/>
        </w:rPr>
        <w:t xml:space="preserve">Usually, some negative short-term impacts of the disease can escalate to long-term impacts. Organ damage is one of the negative long-term impacts of the disease, even though the virus may not directly cause the organ damage. The lungs are some of the most damaged organs, since the disease is a respiratory disease. According to a study by Ogueji et al., (2022), patients with COVID-19 are always at a higher risk of developing lung complications, such as pneumonia, sepsis, and acute respiratory distress syndrome (ARDS), which can take months and sometimes years before the lung functions return to normal. The heart is another organ likely to be damaged. According to a study by Jallow et al., (2020), 78 of the 100 patients recovering from the disease had heart-related problems, such as scarring and inflammation, which could lead to serious negative health outcomes. Other studies in the UK have also reported that the brain and kidney are other organs likely to be damaged.</w:t>
      </w:r>
    </w:p>
    <w:p w:rsidR="00000000" w:rsidDel="00000000" w:rsidP="00000000" w:rsidRDefault="00000000" w:rsidRPr="00000000" w14:paraId="0000003C">
      <w:pPr>
        <w:rPr/>
      </w:pPr>
      <w:r w:rsidDel="00000000" w:rsidR="00000000" w:rsidRPr="00000000">
        <w:rPr>
          <w:rtl w:val="0"/>
        </w:rPr>
        <w:t xml:space="preserve">The disease has also had long-term impacts on the health service provision, and one noticeable long-term impact of the disease is the high patient-to-doctor ratio due to the death of medical professionals. According to a survey by Derrer‐Merk et al., (2022), the UK had lost approximately 50 doctors to the disease by April 2022, and the number is likely to have increased to date. Besides, other medical professionals have died because of the illness, and this decline in health professionals has led to a significant decline in healthcare service providers. Besides, the results of the survey reveal what has been happening in the UK, and many cancer, diabetes, and cardiovascular patients have not been able to receive prompt health services.</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b w:val="1"/>
          <w:u w:val="single"/>
        </w:rPr>
      </w:pPr>
      <w:r w:rsidDel="00000000" w:rsidR="00000000" w:rsidRPr="00000000">
        <w:rPr>
          <w:b w:val="1"/>
          <w:u w:val="single"/>
          <w:rtl w:val="0"/>
        </w:rPr>
        <w:t xml:space="preserve">5. Conclusion</w:t>
      </w:r>
    </w:p>
    <w:p w:rsidR="00000000" w:rsidDel="00000000" w:rsidP="00000000" w:rsidRDefault="00000000" w:rsidRPr="00000000" w14:paraId="0000003F">
      <w:pPr>
        <w:rPr/>
      </w:pPr>
      <w:r w:rsidDel="00000000" w:rsidR="00000000" w:rsidRPr="00000000">
        <w:rPr>
          <w:rtl w:val="0"/>
        </w:rPr>
        <w:t xml:space="preserve">In short, COVID-19 is one of the infectious diseases that has brought unprecedented public health challenges to the UK and the world. This pandemic has forced us to change the way we live and work, and has had a profound impact on our mental and physical health. As the disease continues to spread at an alarming rate, several public health measures have been put in place to protect the public and prevent the disease from spreading further, as well as to promote public awareness of the disease and how it can be contracted. Some ways to protect ourselves and others from the virus include wearing a well-fitting mask, getting vaccinated, social distancing, quarantine, self-isolation, and wearing personal protective equipment. Besides, the UK government has ensured that the public receives adequate and on-time information about the disease. Furthermore, age, pregnancy, and other pre-existing medical conditions are also risk factors that can contribute to the disease. The disease not only has short-term effects on the person affected, but also long-term consequences, including mental health problems and damage to vital organs.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b w:val="1"/>
          <w:i w:val="1"/>
        </w:rPr>
      </w:pPr>
      <w:r w:rsidDel="00000000" w:rsidR="00000000" w:rsidRPr="00000000">
        <w:rPr>
          <w:b w:val="1"/>
          <w:i w:val="1"/>
          <w:rtl w:val="0"/>
        </w:rPr>
        <w:t xml:space="preserve">Recommendation</w:t>
      </w:r>
    </w:p>
    <w:p w:rsidR="00000000" w:rsidDel="00000000" w:rsidP="00000000" w:rsidRDefault="00000000" w:rsidRPr="00000000" w14:paraId="00000042">
      <w:pPr>
        <w:rPr/>
      </w:pPr>
      <w:r w:rsidDel="00000000" w:rsidR="00000000" w:rsidRPr="00000000">
        <w:rPr>
          <w:rtl w:val="0"/>
        </w:rPr>
        <w:t xml:space="preserve">Currently, public health practices about the disease should move from the knowledge of the disease to the identification of the long and short-term effects of the disease, and therefore design appropriate actions to contain the effects. Arguably, the current public health measures are geared toward the pre-infection and infection phases. This means there is still a long way to go in terms of alleviating the impacts of the disease. Therefore, to gain a more accurate understanding of the disease and its effects, it is recommended that most scientific research should focus on investigating the impact of the disease on individual victims.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b w:val="1"/>
          <w:u w:val="single"/>
        </w:rPr>
      </w:pPr>
      <w:r w:rsidDel="00000000" w:rsidR="00000000" w:rsidRPr="00000000">
        <w:rPr>
          <w:b w:val="1"/>
          <w:u w:val="single"/>
          <w:rtl w:val="0"/>
        </w:rPr>
        <w:t xml:space="preserve">6. References</w:t>
      </w:r>
    </w:p>
    <w:p w:rsidR="00000000" w:rsidDel="00000000" w:rsidP="00000000" w:rsidRDefault="00000000" w:rsidRPr="00000000" w14:paraId="00000045">
      <w:pPr>
        <w:rPr/>
      </w:pPr>
      <w:r w:rsidDel="00000000" w:rsidR="00000000" w:rsidRPr="00000000">
        <w:rPr>
          <w:rtl w:val="0"/>
        </w:rPr>
        <w:t xml:space="preserve">Blundell, R., Costa Dias, M., Cribb, J., Joyce, R., Waters, T., Wernham, T. and Xu, X., 2022. Inequality and the COVID-19 crisis in the United Kingdom. Annual Review of Economics, 14, pp.607-636.</w:t>
      </w:r>
    </w:p>
    <w:p w:rsidR="00000000" w:rsidDel="00000000" w:rsidP="00000000" w:rsidRDefault="00000000" w:rsidRPr="00000000" w14:paraId="00000046">
      <w:pPr>
        <w:rPr/>
      </w:pPr>
      <w:r w:rsidDel="00000000" w:rsidR="00000000" w:rsidRPr="00000000">
        <w:rPr>
          <w:rtl w:val="0"/>
        </w:rPr>
        <w:t xml:space="preserve">Derrer‐Merk, E., Reyes‐Rodriguez, M.F., Salazar, A.M., Guevara, M., Rodríguez, G., Fonseca, A.M., Camacho, N., Ferson, S., Mannis, A., Bentall, R.P. and Bennett, K.M., 2022. Is protecting older adults from COVID‐19 ageism? A comparative cross‐cultural constructive grounded theory from the United Kingdom and Colombia. Journal of Social Issues.</w:t>
      </w:r>
    </w:p>
    <w:p w:rsidR="00000000" w:rsidDel="00000000" w:rsidP="00000000" w:rsidRDefault="00000000" w:rsidRPr="00000000" w14:paraId="00000047">
      <w:pPr>
        <w:rPr/>
      </w:pPr>
      <w:r w:rsidDel="00000000" w:rsidR="00000000" w:rsidRPr="00000000">
        <w:rPr>
          <w:rtl w:val="0"/>
        </w:rPr>
        <w:t xml:space="preserve">Jallow, H., Renukappa, S. and Suresh, S., 2020. The impact of COVID-19 outbreak on United Kingdom infrastructure sector. Smart and Sustainable Built Environment.</w:t>
      </w:r>
    </w:p>
    <w:p w:rsidR="00000000" w:rsidDel="00000000" w:rsidP="00000000" w:rsidRDefault="00000000" w:rsidRPr="00000000" w14:paraId="00000048">
      <w:pPr>
        <w:rPr/>
      </w:pPr>
      <w:r w:rsidDel="00000000" w:rsidR="00000000" w:rsidRPr="00000000">
        <w:rPr>
          <w:rtl w:val="0"/>
        </w:rPr>
        <w:t xml:space="preserve">Li, L.Z. and Wang, S., 2020. Prevalence and predictors of general psychiatric disorders and loneliness during COVID-19 in the United Kingdom. Psychiatry research, 291, p.113267.</w:t>
      </w:r>
    </w:p>
    <w:p w:rsidR="00000000" w:rsidDel="00000000" w:rsidP="00000000" w:rsidRDefault="00000000" w:rsidRPr="00000000" w14:paraId="00000049">
      <w:pPr>
        <w:rPr/>
      </w:pPr>
      <w:r w:rsidDel="00000000" w:rsidR="00000000" w:rsidRPr="00000000">
        <w:rPr>
          <w:rtl w:val="0"/>
        </w:rPr>
        <w:t xml:space="preserve">Nguyen, L.H., Joshi, A.D., Drew, D.A., Merino, J., Ma, W., Lo, C.H., Kwon, S., Wang, K., Graham, M.S., Polidori, L. and Menni, C., 2022. Self-reported COVID-19 vaccine hesitancy and uptake among participants from different racial and ethnic groups in the United States and United Kingdom. Nature communications, 13(1), pp.1-9.</w:t>
      </w:r>
    </w:p>
    <w:p w:rsidR="00000000" w:rsidDel="00000000" w:rsidP="00000000" w:rsidRDefault="00000000" w:rsidRPr="00000000" w14:paraId="0000004A">
      <w:pPr>
        <w:rPr/>
      </w:pPr>
      <w:r w:rsidDel="00000000" w:rsidR="00000000" w:rsidRPr="00000000">
        <w:rPr>
          <w:rtl w:val="0"/>
        </w:rPr>
        <w:t xml:space="preserve">Ogueji, I.A., Okoloba, M.M. and Demoko Ceccaldi, B.M., 2022. Coping strategies of individuals in the United Kingdom during the COVID-19 pandemic. Current Psychology, 41(11), pp.7493-7499.</w:t>
      </w:r>
    </w:p>
    <w:p w:rsidR="00000000" w:rsidDel="00000000" w:rsidP="00000000" w:rsidRDefault="00000000" w:rsidRPr="00000000" w14:paraId="0000004B">
      <w:pPr>
        <w:rPr/>
      </w:pPr>
      <w:r w:rsidDel="00000000" w:rsidR="00000000" w:rsidRPr="00000000">
        <w:rPr>
          <w:rtl w:val="0"/>
        </w:rPr>
        <w:t xml:space="preserve">Patel, K., Robertson, E., Kwong, A.S., Griffith, G.J., Willan, K., Green, M.J., Di Gessa, G., Huggins, C.F., McElroy, E., Thompson, E.J. and Maddock, J., 2022. Psychological distress before and during the COVID-19 pandemic among adults in the United Kingdom based on coordinated analyses of 11 longitudinal studies. JAMA Network open, 5(4), pp.e227629-e227629.</w:t>
      </w:r>
    </w:p>
    <w:p w:rsidR="00000000" w:rsidDel="00000000" w:rsidP="00000000" w:rsidRDefault="00000000" w:rsidRPr="00000000" w14:paraId="0000004C">
      <w:pPr>
        <w:rPr/>
      </w:pPr>
      <w:r w:rsidDel="00000000" w:rsidR="00000000" w:rsidRPr="00000000">
        <w:rPr>
          <w:rtl w:val="0"/>
        </w:rPr>
        <w:t xml:space="preserve">Pennycook, G., McPhetres, J., Bago, B. and Rand, D.G., 2022. Beliefs about COVID-19 in Canada, the United Kingdom, and the United States: A novel test of political polarization and motivated reasoning. Personality and Social Psychology Bulletin, 48(5), pp.750-765.</w:t>
      </w:r>
    </w:p>
    <w:p w:rsidR="00000000" w:rsidDel="00000000" w:rsidP="00000000" w:rsidRDefault="00000000" w:rsidRPr="00000000" w14:paraId="0000004D">
      <w:pPr>
        <w:rPr/>
      </w:pPr>
      <w:r w:rsidDel="00000000" w:rsidR="00000000" w:rsidRPr="00000000">
        <w:rPr>
          <w:rtl w:val="0"/>
        </w:rPr>
        <w:t xml:space="preserve">Wang, X., Dong, Y., Thompson, W.D., Nair, H. and Li, Y., 2022. Short-term local predictions of COVID-19 in the United Kingdom using dynamic supervised machine learning algorithms. Communications medicine, 2(1), pp.1-8.</w:t>
      </w:r>
    </w:p>
    <w:p w:rsidR="00000000" w:rsidDel="00000000" w:rsidP="00000000" w:rsidRDefault="00000000" w:rsidRPr="00000000" w14:paraId="0000004E">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