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7F9E0" w14:textId="36B45FB8" w:rsidR="00DF0DCD" w:rsidRDefault="00000000">
      <w:pPr>
        <w:rPr>
          <w:rFonts w:cstheme="minorHAnsi"/>
          <w:color w:val="000000" w:themeColor="text1"/>
        </w:rPr>
      </w:pPr>
      <w:r w:rsidRPr="002D1261">
        <w:rPr>
          <w:rFonts w:cstheme="minorHAnsi"/>
          <w:b/>
          <w:bCs/>
          <w:color w:val="000000" w:themeColor="text1"/>
          <w:u w:val="single"/>
        </w:rPr>
        <w:t>The Role of Henry Skinner and His Testimony in Medieval Swansea</w:t>
      </w:r>
      <w:r>
        <w:rPr>
          <w:rFonts w:cstheme="minorHAnsi"/>
          <w:color w:val="000000" w:themeColor="text1"/>
        </w:rPr>
        <w:br/>
      </w:r>
      <w:r>
        <w:rPr>
          <w:rFonts w:cstheme="minorHAnsi"/>
          <w:color w:val="000000" w:themeColor="text1"/>
        </w:rPr>
        <w:br/>
        <w:t xml:space="preserve">The testimony of Henry Skinner as part of the 1307 church inquiry into the purported “miracle of the resuscitation of the twice-hanged William </w:t>
      </w:r>
      <w:proofErr w:type="spellStart"/>
      <w:r>
        <w:rPr>
          <w:rFonts w:cstheme="minorHAnsi"/>
          <w:color w:val="000000" w:themeColor="text1"/>
        </w:rPr>
        <w:t>Cragh</w:t>
      </w:r>
      <w:proofErr w:type="spellEnd"/>
      <w:r>
        <w:rPr>
          <w:rFonts w:cstheme="minorHAnsi"/>
          <w:color w:val="000000" w:themeColor="text1"/>
        </w:rPr>
        <w:t>” gives unique insight into social status, justice, and the perception of miracles in medieval Swansea. As a witness in this 13th-century legal inquiry, Skinner provided a detailed account of a local hanging and the events surrounding it, which later led to rumours of a miraculous resurrection.</w:t>
      </w:r>
      <w:r>
        <w:rPr>
          <w:rFonts w:cstheme="minorHAnsi"/>
          <w:color w:val="000000" w:themeColor="text1"/>
          <w:shd w:val="clear" w:color="auto" w:fill="FFFFFF"/>
        </w:rPr>
        <w:t xml:space="preserve"> Through his testimony, we gain insight into his occupation, his relationship to the “hanged man,” and his key role in observing the events</w:t>
      </w:r>
      <w:r w:rsidR="002F1412">
        <w:rPr>
          <w:rFonts w:cstheme="minorHAnsi"/>
          <w:color w:val="000000" w:themeColor="text1"/>
          <w:shd w:val="clear" w:color="auto" w:fill="FFFFFF"/>
        </w:rPr>
        <w:t xml:space="preserve"> while offering</w:t>
      </w:r>
      <w:r>
        <w:rPr>
          <w:rFonts w:cstheme="minorHAnsi"/>
          <w:color w:val="000000" w:themeColor="text1"/>
          <w:shd w:val="clear" w:color="auto" w:fill="FFFFFF"/>
        </w:rPr>
        <w:t xml:space="preserve"> valuable historical insight into the culture and legal practices of the time.</w:t>
      </w:r>
      <w:r>
        <w:rPr>
          <w:rFonts w:cstheme="minorHAnsi"/>
          <w:color w:val="000000" w:themeColor="text1"/>
        </w:rPr>
        <w:br/>
      </w:r>
      <w:r>
        <w:rPr>
          <w:rFonts w:cstheme="minorHAnsi"/>
          <w:color w:val="000000" w:themeColor="text1"/>
        </w:rPr>
        <w:br/>
        <w:t>Henry Skinner identified himself as a “free man” of 34 years, a status significant in medieval English society. In contrast to serfs or villeins, bound to the land and their lords, free men had personal liberties, allowing them to own property and live without feudal obligations to a lord</w:t>
      </w:r>
      <w:r>
        <w:rPr>
          <w:rFonts w:cstheme="minorHAnsi"/>
          <w:color w:val="000000" w:themeColor="text1"/>
          <w:shd w:val="clear" w:color="auto" w:fill="FFFFFF"/>
        </w:rPr>
        <w:t xml:space="preserve">, although Skinner’s reference to living as a tenant under “the temporal lordship of Lord William de </w:t>
      </w:r>
      <w:proofErr w:type="spellStart"/>
      <w:r>
        <w:rPr>
          <w:rFonts w:cstheme="minorHAnsi"/>
          <w:color w:val="000000" w:themeColor="text1"/>
          <w:shd w:val="clear" w:color="auto" w:fill="FFFFFF"/>
        </w:rPr>
        <w:t>Briouze</w:t>
      </w:r>
      <w:proofErr w:type="spellEnd"/>
      <w:r>
        <w:rPr>
          <w:rFonts w:cstheme="minorHAnsi"/>
          <w:color w:val="000000" w:themeColor="text1"/>
          <w:shd w:val="clear" w:color="auto" w:fill="FFFFFF"/>
        </w:rPr>
        <w:t>”</w:t>
      </w:r>
      <w:r w:rsidR="00BE74D2">
        <w:rPr>
          <w:rStyle w:val="FootnoteReference"/>
          <w:rFonts w:cstheme="minorHAnsi"/>
          <w:color w:val="000000" w:themeColor="text1"/>
          <w:shd w:val="clear" w:color="auto" w:fill="FFFFFF"/>
        </w:rPr>
        <w:footnoteReference w:id="1"/>
      </w:r>
      <w:r>
        <w:rPr>
          <w:rFonts w:cstheme="minorHAnsi"/>
          <w:color w:val="000000" w:themeColor="text1"/>
          <w:shd w:val="clear" w:color="auto" w:fill="FFFFFF"/>
        </w:rPr>
        <w:t xml:space="preserve"> implies that while he retained some independence, his property was under de </w:t>
      </w:r>
      <w:proofErr w:type="spellStart"/>
      <w:r>
        <w:rPr>
          <w:rFonts w:cstheme="minorHAnsi"/>
          <w:color w:val="000000" w:themeColor="text1"/>
          <w:shd w:val="clear" w:color="auto" w:fill="FFFFFF"/>
        </w:rPr>
        <w:t>Briouze’s</w:t>
      </w:r>
      <w:proofErr w:type="spellEnd"/>
      <w:r>
        <w:rPr>
          <w:rFonts w:cstheme="minorHAnsi"/>
          <w:color w:val="000000" w:themeColor="text1"/>
          <w:shd w:val="clear" w:color="auto" w:fill="FFFFFF"/>
        </w:rPr>
        <w:t xml:space="preserve"> jurisdiction.</w:t>
      </w:r>
      <w:r>
        <w:rPr>
          <w:rFonts w:cstheme="minorHAnsi"/>
          <w:color w:val="000000" w:themeColor="text1"/>
        </w:rPr>
        <w:t xml:space="preserve"> This autonomy and ownership of property </w:t>
      </w:r>
      <w:r w:rsidR="00DF0DCD">
        <w:rPr>
          <w:rFonts w:cstheme="minorHAnsi"/>
          <w:color w:val="000000" w:themeColor="text1"/>
        </w:rPr>
        <w:t>probably</w:t>
      </w:r>
      <w:r w:rsidR="00DF0DCD">
        <w:rPr>
          <w:rFonts w:cstheme="minorHAnsi"/>
          <w:color w:val="000000" w:themeColor="text1"/>
        </w:rPr>
        <w:t xml:space="preserve"> </w:t>
      </w:r>
      <w:r>
        <w:rPr>
          <w:rFonts w:cstheme="minorHAnsi"/>
          <w:color w:val="000000" w:themeColor="text1"/>
        </w:rPr>
        <w:t>positioned Skinner as part of the tradesman or craftsman class, who enjoyed more freedom than other classes</w:t>
      </w:r>
      <w:r w:rsidR="00C8466A">
        <w:rPr>
          <w:rFonts w:cstheme="minorHAnsi"/>
          <w:color w:val="000000" w:themeColor="text1"/>
        </w:rPr>
        <w:t xml:space="preserve"> in </w:t>
      </w:r>
      <w:r w:rsidR="002F1412">
        <w:rPr>
          <w:rFonts w:cstheme="minorHAnsi"/>
          <w:color w:val="000000" w:themeColor="text1"/>
        </w:rPr>
        <w:t xml:space="preserve">these </w:t>
      </w:r>
      <w:r w:rsidR="00C8466A">
        <w:rPr>
          <w:rFonts w:cstheme="minorHAnsi"/>
          <w:color w:val="000000" w:themeColor="text1"/>
        </w:rPr>
        <w:t>towns, as discussed by Rodney Hilton:</w:t>
      </w:r>
    </w:p>
    <w:p w14:paraId="402B8E94" w14:textId="77777777" w:rsidR="00DF0DCD" w:rsidRDefault="00DF0DCD">
      <w:pPr>
        <w:rPr>
          <w:rFonts w:cstheme="minorHAnsi"/>
          <w:color w:val="000000" w:themeColor="text1"/>
        </w:rPr>
      </w:pPr>
    </w:p>
    <w:p w14:paraId="7FB4BF7F" w14:textId="3A153D44" w:rsidR="00D67682" w:rsidRDefault="00D42201" w:rsidP="00DF0DCD">
      <w:pPr>
        <w:rPr>
          <w:rFonts w:cstheme="minorHAnsi"/>
          <w:color w:val="000000" w:themeColor="text1"/>
        </w:rPr>
      </w:pPr>
      <w:r>
        <w:rPr>
          <w:rFonts w:cstheme="minorHAnsi"/>
          <w:color w:val="000000" w:themeColor="text1"/>
        </w:rPr>
        <w:t>T</w:t>
      </w:r>
      <w:r w:rsidR="007A5D6E">
        <w:rPr>
          <w:rFonts w:cstheme="minorHAnsi"/>
          <w:color w:val="000000" w:themeColor="text1"/>
        </w:rPr>
        <w:t>he</w:t>
      </w:r>
      <w:r w:rsidR="007A5D6E" w:rsidRPr="007A5D6E">
        <w:rPr>
          <w:rFonts w:cstheme="minorHAnsi"/>
          <w:color w:val="000000" w:themeColor="text1"/>
        </w:rPr>
        <w:t xml:space="preserve">y were peopled by </w:t>
      </w:r>
      <w:proofErr w:type="gramStart"/>
      <w:r w:rsidR="007A5D6E" w:rsidRPr="007A5D6E">
        <w:rPr>
          <w:rFonts w:cstheme="minorHAnsi"/>
          <w:color w:val="000000" w:themeColor="text1"/>
        </w:rPr>
        <w:t>a majority of</w:t>
      </w:r>
      <w:proofErr w:type="gramEnd"/>
      <w:r w:rsidR="007A5D6E" w:rsidRPr="007A5D6E">
        <w:rPr>
          <w:rFonts w:cstheme="minorHAnsi"/>
          <w:color w:val="000000" w:themeColor="text1"/>
        </w:rPr>
        <w:t xml:space="preserve"> men and women who did not</w:t>
      </w:r>
      <w:r>
        <w:rPr>
          <w:rFonts w:cstheme="minorHAnsi"/>
          <w:color w:val="000000" w:themeColor="text1"/>
        </w:rPr>
        <w:t xml:space="preserve"> </w:t>
      </w:r>
      <w:r w:rsidR="007A5D6E" w:rsidRPr="007A5D6E">
        <w:rPr>
          <w:rFonts w:cstheme="minorHAnsi"/>
          <w:color w:val="000000" w:themeColor="text1"/>
        </w:rPr>
        <w:t>produce, totally, their own subsistence, but were engaged primarily</w:t>
      </w:r>
      <w:r>
        <w:rPr>
          <w:rFonts w:cstheme="minorHAnsi"/>
          <w:color w:val="000000" w:themeColor="text1"/>
        </w:rPr>
        <w:t xml:space="preserve"> </w:t>
      </w:r>
      <w:r w:rsidR="007A5D6E" w:rsidRPr="007A5D6E">
        <w:rPr>
          <w:rFonts w:cstheme="minorHAnsi"/>
          <w:color w:val="000000" w:themeColor="text1"/>
        </w:rPr>
        <w:t>in manufacture, food processing and</w:t>
      </w:r>
      <w:r w:rsidR="002F1412">
        <w:rPr>
          <w:rFonts w:cstheme="minorHAnsi"/>
          <w:color w:val="000000" w:themeColor="text1"/>
        </w:rPr>
        <w:t>…</w:t>
      </w:r>
      <w:r w:rsidR="007A5D6E" w:rsidRPr="007A5D6E">
        <w:rPr>
          <w:rFonts w:cstheme="minorHAnsi"/>
          <w:color w:val="000000" w:themeColor="text1"/>
        </w:rPr>
        <w:t>trade. Certain</w:t>
      </w:r>
      <w:r>
        <w:rPr>
          <w:rFonts w:cstheme="minorHAnsi"/>
          <w:color w:val="000000" w:themeColor="text1"/>
        </w:rPr>
        <w:t xml:space="preserve"> </w:t>
      </w:r>
      <w:r w:rsidR="007A5D6E" w:rsidRPr="007A5D6E">
        <w:rPr>
          <w:rFonts w:cstheme="minorHAnsi"/>
          <w:color w:val="000000" w:themeColor="text1"/>
        </w:rPr>
        <w:t>institutional features were normally</w:t>
      </w:r>
      <w:r w:rsidR="006C2093">
        <w:rPr>
          <w:rFonts w:cstheme="minorHAnsi"/>
          <w:color w:val="000000" w:themeColor="text1"/>
        </w:rPr>
        <w:t>…</w:t>
      </w:r>
      <w:r w:rsidR="007A5D6E" w:rsidRPr="007A5D6E">
        <w:rPr>
          <w:rFonts w:cstheme="minorHAnsi"/>
          <w:color w:val="000000" w:themeColor="text1"/>
        </w:rPr>
        <w:t>linked</w:t>
      </w:r>
      <w:r>
        <w:rPr>
          <w:rFonts w:cstheme="minorHAnsi"/>
          <w:color w:val="000000" w:themeColor="text1"/>
        </w:rPr>
        <w:t xml:space="preserve"> </w:t>
      </w:r>
      <w:r w:rsidR="007A5D6E" w:rsidRPr="007A5D6E">
        <w:rPr>
          <w:rFonts w:cstheme="minorHAnsi"/>
          <w:color w:val="000000" w:themeColor="text1"/>
        </w:rPr>
        <w:t>with such an economy - freedom of tenure and status, privileged</w:t>
      </w:r>
      <w:r>
        <w:rPr>
          <w:rFonts w:cstheme="minorHAnsi"/>
          <w:color w:val="000000" w:themeColor="text1"/>
        </w:rPr>
        <w:t xml:space="preserve"> </w:t>
      </w:r>
      <w:r w:rsidR="007A5D6E" w:rsidRPr="007A5D6E">
        <w:rPr>
          <w:rFonts w:cstheme="minorHAnsi"/>
          <w:color w:val="000000" w:themeColor="text1"/>
        </w:rPr>
        <w:t>access to the market, some</w:t>
      </w:r>
      <w:r>
        <w:rPr>
          <w:rFonts w:cstheme="minorHAnsi"/>
          <w:color w:val="000000" w:themeColor="text1"/>
        </w:rPr>
        <w:t xml:space="preserve"> </w:t>
      </w:r>
      <w:r w:rsidR="007A5D6E" w:rsidRPr="007A5D6E">
        <w:rPr>
          <w:rFonts w:cstheme="minorHAnsi"/>
          <w:color w:val="000000" w:themeColor="text1"/>
        </w:rPr>
        <w:t>administrative and even jurisdictional</w:t>
      </w:r>
      <w:r>
        <w:rPr>
          <w:rFonts w:cstheme="minorHAnsi"/>
          <w:color w:val="000000" w:themeColor="text1"/>
        </w:rPr>
        <w:t xml:space="preserve"> </w:t>
      </w:r>
      <w:r w:rsidR="007A5D6E" w:rsidRPr="007A5D6E">
        <w:rPr>
          <w:rFonts w:cstheme="minorHAnsi"/>
          <w:color w:val="000000" w:themeColor="text1"/>
        </w:rPr>
        <w:t>autonomy, as implied by borough status.</w:t>
      </w:r>
      <w:r w:rsidR="007A5D6E">
        <w:rPr>
          <w:rStyle w:val="FootnoteReference"/>
          <w:rFonts w:cstheme="minorHAnsi"/>
          <w:color w:val="000000" w:themeColor="text1"/>
        </w:rPr>
        <w:footnoteReference w:id="2"/>
      </w:r>
      <w:r w:rsidR="00000000">
        <w:rPr>
          <w:rFonts w:cstheme="minorHAnsi"/>
          <w:color w:val="000000" w:themeColor="text1"/>
        </w:rPr>
        <w:br/>
      </w:r>
      <w:r w:rsidR="00000000">
        <w:rPr>
          <w:rFonts w:cstheme="minorHAnsi"/>
          <w:color w:val="000000" w:themeColor="text1"/>
        </w:rPr>
        <w:br/>
        <w:t>Skinner’s economic standing</w:t>
      </w:r>
      <w:r w:rsidR="00BE74D2">
        <w:rPr>
          <w:rFonts w:cstheme="minorHAnsi"/>
          <w:color w:val="000000" w:themeColor="text1"/>
        </w:rPr>
        <w:t xml:space="preserve"> is</w:t>
      </w:r>
      <w:r w:rsidR="00000000">
        <w:rPr>
          <w:rFonts w:cstheme="minorHAnsi"/>
          <w:color w:val="000000" w:themeColor="text1"/>
        </w:rPr>
        <w:t xml:space="preserve"> inferred from his self-identification as a property holder</w:t>
      </w:r>
      <w:r w:rsidR="00BE74D2">
        <w:rPr>
          <w:rFonts w:cstheme="minorHAnsi"/>
          <w:color w:val="000000" w:themeColor="text1"/>
        </w:rPr>
        <w:t>, with many traders investing “</w:t>
      </w:r>
      <w:r w:rsidR="00BE74D2" w:rsidRPr="007A5D6E">
        <w:rPr>
          <w:rFonts w:cstheme="minorHAnsi"/>
          <w:color w:val="000000" w:themeColor="text1"/>
        </w:rPr>
        <w:t>trading profits in landed property, both for status</w:t>
      </w:r>
      <w:r w:rsidR="00BE74D2">
        <w:rPr>
          <w:rFonts w:cstheme="minorHAnsi"/>
          <w:color w:val="000000" w:themeColor="text1"/>
        </w:rPr>
        <w:t xml:space="preserve"> </w:t>
      </w:r>
      <w:r w:rsidR="00BE74D2" w:rsidRPr="007A5D6E">
        <w:rPr>
          <w:rFonts w:cstheme="minorHAnsi"/>
          <w:color w:val="000000" w:themeColor="text1"/>
        </w:rPr>
        <w:t>and security</w:t>
      </w:r>
      <w:r w:rsidR="00BE74D2">
        <w:rPr>
          <w:rStyle w:val="FootnoteReference"/>
          <w:rFonts w:cstheme="minorHAnsi"/>
          <w:color w:val="000000" w:themeColor="text1"/>
        </w:rPr>
        <w:footnoteReference w:id="3"/>
      </w:r>
      <w:r w:rsidR="00BE74D2">
        <w:rPr>
          <w:rFonts w:cstheme="minorHAnsi"/>
          <w:color w:val="000000" w:themeColor="text1"/>
        </w:rPr>
        <w:t>”</w:t>
      </w:r>
      <w:r w:rsidR="00000000">
        <w:rPr>
          <w:rFonts w:cstheme="minorHAnsi"/>
          <w:color w:val="000000" w:themeColor="text1"/>
        </w:rPr>
        <w:t xml:space="preserve">, </w:t>
      </w:r>
      <w:r w:rsidR="00BE74D2">
        <w:rPr>
          <w:rFonts w:cstheme="minorHAnsi"/>
          <w:color w:val="000000" w:themeColor="text1"/>
        </w:rPr>
        <w:t xml:space="preserve">which </w:t>
      </w:r>
      <w:r w:rsidR="00000000">
        <w:rPr>
          <w:rFonts w:cstheme="minorHAnsi"/>
          <w:color w:val="000000" w:themeColor="text1"/>
        </w:rPr>
        <w:t xml:space="preserve">may have also afforded him respect within Swansea </w:t>
      </w:r>
      <w:r w:rsidR="00000000">
        <w:t>–</w:t>
      </w:r>
      <w:r w:rsidR="00000000">
        <w:rPr>
          <w:rFonts w:cstheme="minorHAnsi"/>
          <w:color w:val="000000" w:themeColor="text1"/>
        </w:rPr>
        <w:t xml:space="preserve"> his freedom to testify in an official inquiry certainly supports the idea that he was not only a property owner but one who had gained recognition, enough to be considered a reliable witness by the court. </w:t>
      </w:r>
      <w:r w:rsidR="00BE74D2">
        <w:rPr>
          <w:rFonts w:cstheme="minorHAnsi"/>
          <w:color w:val="000000" w:themeColor="text1"/>
        </w:rPr>
        <w:t>His</w:t>
      </w:r>
      <w:r w:rsidR="00000000">
        <w:rPr>
          <w:rFonts w:cstheme="minorHAnsi"/>
          <w:color w:val="000000" w:themeColor="text1"/>
        </w:rPr>
        <w:t xml:space="preserve"> social position </w:t>
      </w:r>
      <w:r w:rsidR="00BE74D2">
        <w:rPr>
          <w:rFonts w:cstheme="minorHAnsi"/>
          <w:color w:val="000000" w:themeColor="text1"/>
        </w:rPr>
        <w:t xml:space="preserve">certainly </w:t>
      </w:r>
      <w:r w:rsidR="00000000">
        <w:rPr>
          <w:rFonts w:cstheme="minorHAnsi"/>
          <w:color w:val="000000" w:themeColor="text1"/>
        </w:rPr>
        <w:t xml:space="preserve">allowed him to move about freely and to witness </w:t>
      </w:r>
      <w:r w:rsidR="006C2093">
        <w:rPr>
          <w:rFonts w:cstheme="minorHAnsi"/>
          <w:color w:val="000000" w:themeColor="text1"/>
        </w:rPr>
        <w:t xml:space="preserve">such </w:t>
      </w:r>
      <w:r w:rsidR="00000000">
        <w:rPr>
          <w:rFonts w:cstheme="minorHAnsi"/>
          <w:color w:val="000000" w:themeColor="text1"/>
        </w:rPr>
        <w:t>public events.</w:t>
      </w:r>
    </w:p>
    <w:p w14:paraId="542366FE" w14:textId="52CD2878" w:rsidR="00D67682" w:rsidRDefault="00000000">
      <w:pPr>
        <w:rPr>
          <w:rFonts w:cstheme="minorHAnsi"/>
          <w:color w:val="000000" w:themeColor="text1"/>
        </w:rPr>
      </w:pPr>
      <w:r>
        <w:rPr>
          <w:rFonts w:cstheme="minorHAnsi"/>
          <w:color w:val="000000" w:themeColor="text1"/>
        </w:rPr>
        <w:br/>
        <w:t xml:space="preserve">In his testimony, Skinner made it clear he had no personal connection to William </w:t>
      </w:r>
      <w:proofErr w:type="spellStart"/>
      <w:r>
        <w:rPr>
          <w:rFonts w:cstheme="minorHAnsi"/>
          <w:color w:val="000000" w:themeColor="text1"/>
        </w:rPr>
        <w:t>Cragh</w:t>
      </w:r>
      <w:proofErr w:type="spellEnd"/>
      <w:r>
        <w:rPr>
          <w:rFonts w:cstheme="minorHAnsi"/>
          <w:color w:val="000000" w:themeColor="text1"/>
        </w:rPr>
        <w:t xml:space="preserve">, the man who was hanged, stating explicitly that he was neither related to </w:t>
      </w:r>
      <w:proofErr w:type="spellStart"/>
      <w:r>
        <w:rPr>
          <w:rFonts w:cstheme="minorHAnsi"/>
          <w:color w:val="000000" w:themeColor="text1"/>
        </w:rPr>
        <w:t>Cragh</w:t>
      </w:r>
      <w:proofErr w:type="spellEnd"/>
      <w:r>
        <w:rPr>
          <w:rFonts w:cstheme="minorHAnsi"/>
          <w:color w:val="000000" w:themeColor="text1"/>
        </w:rPr>
        <w:t xml:space="preserve"> nor knew him prior to the day of his execution.</w:t>
      </w:r>
    </w:p>
    <w:p w14:paraId="6D3301DA" w14:textId="77777777" w:rsidR="00D67682" w:rsidRDefault="00D67682">
      <w:pPr>
        <w:rPr>
          <w:rFonts w:cstheme="minorHAnsi"/>
          <w:color w:val="000000" w:themeColor="text1"/>
        </w:rPr>
      </w:pPr>
    </w:p>
    <w:p w14:paraId="58DAF165" w14:textId="77777777" w:rsidR="00D67682" w:rsidRDefault="00000000">
      <w:pPr>
        <w:rPr>
          <w:rFonts w:cstheme="minorHAnsi"/>
          <w:color w:val="000000" w:themeColor="text1"/>
        </w:rPr>
      </w:pPr>
      <w:r>
        <w:rPr>
          <w:rFonts w:cstheme="minorHAnsi"/>
          <w:color w:val="000000" w:themeColor="text1"/>
        </w:rPr>
        <w:t xml:space="preserve">This distance serves to underscore the objectivity in Skinner’s account. He observes </w:t>
      </w:r>
      <w:proofErr w:type="spellStart"/>
      <w:r>
        <w:rPr>
          <w:rFonts w:cstheme="minorHAnsi"/>
          <w:color w:val="000000" w:themeColor="text1"/>
        </w:rPr>
        <w:t>Cragh</w:t>
      </w:r>
      <w:proofErr w:type="spellEnd"/>
      <w:r>
        <w:rPr>
          <w:rFonts w:cstheme="minorHAnsi"/>
          <w:color w:val="000000" w:themeColor="text1"/>
        </w:rPr>
        <w:t xml:space="preserve"> without personal bias, merely as a townsman witnessing the event, and his impartiality in </w:t>
      </w:r>
      <w:r>
        <w:rPr>
          <w:rFonts w:cstheme="minorHAnsi"/>
          <w:color w:val="000000" w:themeColor="text1"/>
        </w:rPr>
        <w:lastRenderedPageBreak/>
        <w:t>the account suggests that his observations could be taken at face value, free from personal involvement or ulterior motives, strengthening the credibility of his testimony.</w:t>
      </w:r>
    </w:p>
    <w:p w14:paraId="626B8A6E" w14:textId="77777777" w:rsidR="00D67682" w:rsidRDefault="00D67682">
      <w:pPr>
        <w:rPr>
          <w:rFonts w:cstheme="minorHAnsi"/>
          <w:color w:val="000000" w:themeColor="text1"/>
        </w:rPr>
      </w:pPr>
    </w:p>
    <w:p w14:paraId="4FF6A922" w14:textId="785688C3" w:rsidR="00D42201" w:rsidRDefault="00000000">
      <w:pPr>
        <w:rPr>
          <w:rFonts w:cstheme="minorHAnsi"/>
          <w:color w:val="000000" w:themeColor="text1"/>
        </w:rPr>
      </w:pPr>
      <w:r>
        <w:rPr>
          <w:rFonts w:cstheme="minorHAnsi"/>
          <w:color w:val="000000" w:themeColor="text1"/>
        </w:rPr>
        <w:t xml:space="preserve">The circumstances surrounding </w:t>
      </w:r>
      <w:proofErr w:type="spellStart"/>
      <w:r>
        <w:rPr>
          <w:rFonts w:cstheme="minorHAnsi"/>
          <w:color w:val="000000" w:themeColor="text1"/>
        </w:rPr>
        <w:t>Cragh’s</w:t>
      </w:r>
      <w:proofErr w:type="spellEnd"/>
      <w:r>
        <w:rPr>
          <w:rFonts w:cstheme="minorHAnsi"/>
          <w:color w:val="000000" w:themeColor="text1"/>
        </w:rPr>
        <w:t xml:space="preserve"> hanging, however, must have left an impression on Skinner, especially given the subsequent rumours of </w:t>
      </w:r>
      <w:proofErr w:type="spellStart"/>
      <w:r>
        <w:rPr>
          <w:rFonts w:cstheme="minorHAnsi"/>
          <w:color w:val="000000" w:themeColor="text1"/>
        </w:rPr>
        <w:t>Cragh’s</w:t>
      </w:r>
      <w:proofErr w:type="spellEnd"/>
      <w:r>
        <w:rPr>
          <w:rFonts w:cstheme="minorHAnsi"/>
          <w:color w:val="000000" w:themeColor="text1"/>
        </w:rPr>
        <w:t xml:space="preserve"> survival and miraculous revival being recalled 20 years after the incident. Skinner reports hearing accounts that the lady of the castle had intervened with a religious act involving the revered St. Thomas of </w:t>
      </w:r>
      <w:proofErr w:type="spellStart"/>
      <w:r>
        <w:rPr>
          <w:rFonts w:cstheme="minorHAnsi"/>
          <w:color w:val="000000" w:themeColor="text1"/>
        </w:rPr>
        <w:t>Cantilupe</w:t>
      </w:r>
      <w:proofErr w:type="spellEnd"/>
      <w:r>
        <w:rPr>
          <w:rFonts w:cstheme="minorHAnsi"/>
          <w:color w:val="000000" w:themeColor="text1"/>
        </w:rPr>
        <w:t xml:space="preserve">, which was credited with </w:t>
      </w:r>
      <w:proofErr w:type="spellStart"/>
      <w:r>
        <w:rPr>
          <w:rFonts w:cstheme="minorHAnsi"/>
          <w:color w:val="000000" w:themeColor="text1"/>
        </w:rPr>
        <w:t>Cragh’s</w:t>
      </w:r>
      <w:proofErr w:type="spellEnd"/>
      <w:r>
        <w:rPr>
          <w:rFonts w:cstheme="minorHAnsi"/>
          <w:color w:val="000000" w:themeColor="text1"/>
        </w:rPr>
        <w:t xml:space="preserve"> “miraculous resurrection.” This level of detachment yet personal witness provides a unique lens through which he records both the actual hanging and the supposed divine intercession.</w:t>
      </w:r>
      <w:r w:rsidRPr="002D1261">
        <w:rPr>
          <w:rFonts w:cstheme="minorHAnsi"/>
          <w:b/>
          <w:bCs/>
          <w:color w:val="000000" w:themeColor="text1"/>
        </w:rPr>
        <w:br/>
      </w:r>
      <w:r>
        <w:rPr>
          <w:rFonts w:cstheme="minorHAnsi"/>
          <w:color w:val="000000" w:themeColor="text1"/>
        </w:rPr>
        <w:br/>
        <w:t xml:space="preserve">Skinner’s role in the events was limited to that of </w:t>
      </w:r>
      <w:r w:rsidR="002D1261">
        <w:rPr>
          <w:rFonts w:cstheme="minorHAnsi"/>
          <w:color w:val="000000" w:themeColor="text1"/>
        </w:rPr>
        <w:t>a</w:t>
      </w:r>
      <w:r>
        <w:rPr>
          <w:rFonts w:cstheme="minorHAnsi"/>
          <w:color w:val="000000" w:themeColor="text1"/>
        </w:rPr>
        <w:t xml:space="preserve"> passive observer </w:t>
      </w:r>
      <w:r>
        <w:t>–</w:t>
      </w:r>
      <w:r>
        <w:rPr>
          <w:rFonts w:cstheme="minorHAnsi"/>
          <w:color w:val="000000" w:themeColor="text1"/>
        </w:rPr>
        <w:t xml:space="preserve"> on the day of the execution, he stood near the gallows, witnessing the sequence of events, and these observations provide specific details about the hanging. For instance, he noted that </w:t>
      </w:r>
      <w:proofErr w:type="spellStart"/>
      <w:r>
        <w:rPr>
          <w:rFonts w:cstheme="minorHAnsi"/>
          <w:color w:val="000000" w:themeColor="text1"/>
        </w:rPr>
        <w:t>Cragh</w:t>
      </w:r>
      <w:proofErr w:type="spellEnd"/>
      <w:r>
        <w:rPr>
          <w:rFonts w:cstheme="minorHAnsi"/>
          <w:color w:val="000000" w:themeColor="text1"/>
        </w:rPr>
        <w:t xml:space="preserve"> emitted bodily waste </w:t>
      </w:r>
      <w:r>
        <w:t>–</w:t>
      </w:r>
      <w:r>
        <w:rPr>
          <w:rFonts w:cstheme="minorHAnsi"/>
          <w:color w:val="000000" w:themeColor="text1"/>
        </w:rPr>
        <w:t xml:space="preserve"> a detail often seen as a confirmation of death in medieval executions. Skinner’s attention to detail extended to the second condemned man, </w:t>
      </w:r>
      <w:proofErr w:type="spellStart"/>
      <w:r>
        <w:rPr>
          <w:rFonts w:cstheme="minorHAnsi"/>
          <w:color w:val="000000" w:themeColor="text1"/>
        </w:rPr>
        <w:t>Trahaearn</w:t>
      </w:r>
      <w:proofErr w:type="spellEnd"/>
      <w:r>
        <w:rPr>
          <w:rFonts w:cstheme="minorHAnsi"/>
          <w:color w:val="000000" w:themeColor="text1"/>
        </w:rPr>
        <w:t xml:space="preserve"> ap Hywel, whose hanging attempt caused the gallows to break due to his size. When the beam snapped, </w:t>
      </w:r>
      <w:proofErr w:type="spellStart"/>
      <w:r>
        <w:rPr>
          <w:rFonts w:cstheme="minorHAnsi"/>
          <w:color w:val="000000" w:themeColor="text1"/>
        </w:rPr>
        <w:t>Cragh’s</w:t>
      </w:r>
      <w:proofErr w:type="spellEnd"/>
      <w:r>
        <w:rPr>
          <w:rFonts w:cstheme="minorHAnsi"/>
          <w:color w:val="000000" w:themeColor="text1"/>
        </w:rPr>
        <w:t xml:space="preserve"> body fell to the ground, fuelling rumours of his miraculous revival.</w:t>
      </w:r>
      <w:r>
        <w:rPr>
          <w:rFonts w:cstheme="minorHAnsi"/>
          <w:color w:val="000000" w:themeColor="text1"/>
        </w:rPr>
        <w:br/>
      </w:r>
      <w:r>
        <w:rPr>
          <w:rFonts w:cstheme="minorHAnsi"/>
          <w:color w:val="000000" w:themeColor="text1"/>
        </w:rPr>
        <w:br/>
        <w:t>Though Skinner did not directly intervene, he was one of the primary witnesses to the events that ultimately led people to believe a miracle had occurred. He recounted leaving the scene only after observing that both men appeared dead and were left hanging on the broken gallows, and his accurate, consistent retelling of the details adds weight to his testimony.</w:t>
      </w:r>
      <w:r>
        <w:rPr>
          <w:rFonts w:cstheme="minorHAnsi"/>
          <w:color w:val="000000" w:themeColor="text1"/>
        </w:rPr>
        <w:br/>
      </w:r>
      <w:r>
        <w:rPr>
          <w:rFonts w:cstheme="minorHAnsi"/>
          <w:color w:val="000000" w:themeColor="text1"/>
        </w:rPr>
        <w:br/>
        <w:t>Skinner’s movements near the gallows reveal insights into the use of public spaces in medieval towns, especially for public punishment. In many medieval towns, executions took place in open common spaces, like castles or market squares, to act as both a deterrent and</w:t>
      </w:r>
      <w:r w:rsidR="006C2093">
        <w:rPr>
          <w:rFonts w:cstheme="minorHAnsi"/>
          <w:color w:val="000000" w:themeColor="text1"/>
        </w:rPr>
        <w:t>,</w:t>
      </w:r>
      <w:r>
        <w:rPr>
          <w:rFonts w:cstheme="minorHAnsi"/>
          <w:color w:val="000000" w:themeColor="text1"/>
        </w:rPr>
        <w:t xml:space="preserve"> to some degree</w:t>
      </w:r>
      <w:r w:rsidR="006C2093">
        <w:rPr>
          <w:rFonts w:cstheme="minorHAnsi"/>
          <w:color w:val="000000" w:themeColor="text1"/>
        </w:rPr>
        <w:t>,</w:t>
      </w:r>
      <w:r>
        <w:rPr>
          <w:rFonts w:cstheme="minorHAnsi"/>
          <w:color w:val="000000" w:themeColor="text1"/>
        </w:rPr>
        <w:t xml:space="preserve"> entertainment. </w:t>
      </w:r>
      <w:r w:rsidR="00BE74D2">
        <w:rPr>
          <w:rFonts w:cstheme="minorHAnsi"/>
          <w:color w:val="000000" w:themeColor="text1"/>
        </w:rPr>
        <w:t xml:space="preserve">Professor </w:t>
      </w:r>
      <w:r w:rsidR="00D42201">
        <w:rPr>
          <w:rFonts w:cstheme="minorHAnsi"/>
          <w:color w:val="000000" w:themeColor="text1"/>
        </w:rPr>
        <w:t>James Davis argues</w:t>
      </w:r>
      <w:r w:rsidR="00D42201" w:rsidRPr="00D42201">
        <w:rPr>
          <w:rFonts w:cstheme="minorHAnsi"/>
          <w:color w:val="000000" w:themeColor="text1"/>
        </w:rPr>
        <w:t xml:space="preserve"> that while public executions were violent, they </w:t>
      </w:r>
      <w:r w:rsidR="00D42201">
        <w:rPr>
          <w:rFonts w:cstheme="minorHAnsi"/>
          <w:color w:val="000000" w:themeColor="text1"/>
        </w:rPr>
        <w:t xml:space="preserve">also </w:t>
      </w:r>
      <w:r w:rsidR="00D42201" w:rsidRPr="00D42201">
        <w:rPr>
          <w:rFonts w:cstheme="minorHAnsi"/>
          <w:color w:val="000000" w:themeColor="text1"/>
        </w:rPr>
        <w:t xml:space="preserve">served complex social, religious, and political purposes beyond </w:t>
      </w:r>
      <w:r w:rsidR="00D42201">
        <w:rPr>
          <w:rFonts w:cstheme="minorHAnsi"/>
          <w:color w:val="000000" w:themeColor="text1"/>
        </w:rPr>
        <w:t>simp</w:t>
      </w:r>
      <w:r w:rsidR="002D1261">
        <w:rPr>
          <w:rFonts w:cstheme="minorHAnsi"/>
          <w:color w:val="000000" w:themeColor="text1"/>
        </w:rPr>
        <w:t>le</w:t>
      </w:r>
      <w:r w:rsidR="00D42201" w:rsidRPr="00D42201">
        <w:rPr>
          <w:rFonts w:cstheme="minorHAnsi"/>
          <w:color w:val="000000" w:themeColor="text1"/>
        </w:rPr>
        <w:t xml:space="preserve"> retribution</w:t>
      </w:r>
      <w:r w:rsidR="00BE74D2">
        <w:rPr>
          <w:rFonts w:cstheme="minorHAnsi"/>
          <w:color w:val="000000" w:themeColor="text1"/>
        </w:rPr>
        <w:t>,</w:t>
      </w:r>
      <w:r w:rsidR="00D42201">
        <w:rPr>
          <w:rStyle w:val="FootnoteReference"/>
          <w:rFonts w:cstheme="minorHAnsi"/>
          <w:color w:val="000000" w:themeColor="text1"/>
        </w:rPr>
        <w:footnoteReference w:id="4"/>
      </w:r>
      <w:r w:rsidR="00BE74D2">
        <w:rPr>
          <w:rFonts w:cstheme="minorHAnsi"/>
          <w:color w:val="000000" w:themeColor="text1"/>
        </w:rPr>
        <w:t xml:space="preserve"> </w:t>
      </w:r>
      <w:r w:rsidR="002D1261">
        <w:rPr>
          <w:rFonts w:cstheme="minorHAnsi"/>
          <w:color w:val="000000" w:themeColor="text1"/>
        </w:rPr>
        <w:t xml:space="preserve">reinforcing ideas of divinity in this example of a miraculous event. </w:t>
      </w:r>
    </w:p>
    <w:p w14:paraId="178BCD45" w14:textId="77777777" w:rsidR="00D42201" w:rsidRDefault="00D42201">
      <w:pPr>
        <w:rPr>
          <w:rFonts w:cstheme="minorHAnsi"/>
          <w:color w:val="000000" w:themeColor="text1"/>
        </w:rPr>
      </w:pPr>
    </w:p>
    <w:p w14:paraId="7091E757" w14:textId="4B0CD35D" w:rsidR="00D67682" w:rsidRDefault="00000000">
      <w:pPr>
        <w:rPr>
          <w:rFonts w:cstheme="minorHAnsi"/>
          <w:color w:val="000000" w:themeColor="text1"/>
        </w:rPr>
      </w:pPr>
      <w:r>
        <w:rPr>
          <w:rFonts w:cstheme="minorHAnsi"/>
          <w:color w:val="000000" w:themeColor="text1"/>
        </w:rPr>
        <w:t xml:space="preserve">Skinner </w:t>
      </w:r>
      <w:r w:rsidR="006C2093">
        <w:rPr>
          <w:rFonts w:cstheme="minorHAnsi"/>
          <w:color w:val="000000" w:themeColor="text1"/>
        </w:rPr>
        <w:t>also recounts</w:t>
      </w:r>
      <w:r>
        <w:rPr>
          <w:rFonts w:cstheme="minorHAnsi"/>
          <w:color w:val="000000" w:themeColor="text1"/>
        </w:rPr>
        <w:t xml:space="preserve"> the gallows were situated close to the castle, within "two good direct shots of a crossbow," which is notable as being in </w:t>
      </w:r>
      <w:proofErr w:type="gramStart"/>
      <w:r>
        <w:rPr>
          <w:rFonts w:cstheme="minorHAnsi"/>
          <w:color w:val="000000" w:themeColor="text1"/>
        </w:rPr>
        <w:t>close proximity</w:t>
      </w:r>
      <w:proofErr w:type="gramEnd"/>
      <w:r>
        <w:rPr>
          <w:rFonts w:cstheme="minorHAnsi"/>
          <w:color w:val="000000" w:themeColor="text1"/>
        </w:rPr>
        <w:t xml:space="preserve"> of the scene of the crime for which he was being punished for.</w:t>
      </w:r>
      <w:r>
        <w:rPr>
          <w:rFonts w:cstheme="minorHAnsi"/>
          <w:color w:val="000000" w:themeColor="text1"/>
          <w:shd w:val="clear" w:color="auto" w:fill="FFFFFF"/>
        </w:rPr>
        <w:t xml:space="preserve"> Skinner’s presence near the gallows suggests that he, along with others, participated in witnessing justice willingly, reinforcing the prevailing legal and social order.</w:t>
      </w:r>
      <w:r>
        <w:rPr>
          <w:rFonts w:cstheme="minorHAnsi"/>
          <w:color w:val="000000" w:themeColor="text1"/>
          <w:shd w:val="clear" w:color="auto" w:fill="FFFFFF"/>
        </w:rPr>
        <w:br/>
      </w:r>
      <w:r>
        <w:rPr>
          <w:rFonts w:cstheme="minorHAnsi"/>
          <w:color w:val="000000" w:themeColor="text1"/>
          <w:shd w:val="clear" w:color="auto" w:fill="FFFFFF"/>
        </w:rPr>
        <w:br/>
        <w:t>In Skinner’s account, public spaces in Swansea served various purposes: they were not only gathering places but also locations for enforcing laws,</w:t>
      </w:r>
      <w:r>
        <w:rPr>
          <w:rFonts w:cstheme="minorHAnsi"/>
          <w:color w:val="000000" w:themeColor="text1"/>
        </w:rPr>
        <w:t xml:space="preserve"> allowing townsfolk to observe, discuss, and engage in communal events (including public executions), creating shared experiences and, in this case, sparking the notion of a miraculous event.</w:t>
      </w:r>
      <w:r w:rsidR="00D42201">
        <w:rPr>
          <w:rFonts w:cstheme="minorHAnsi"/>
          <w:color w:val="000000" w:themeColor="text1"/>
        </w:rPr>
        <w:t xml:space="preserve"> </w:t>
      </w:r>
      <w:r>
        <w:rPr>
          <w:rFonts w:cstheme="minorHAnsi"/>
          <w:color w:val="000000" w:themeColor="text1"/>
        </w:rPr>
        <w:br/>
      </w:r>
      <w:r>
        <w:rPr>
          <w:rFonts w:cstheme="minorHAnsi"/>
          <w:color w:val="000000" w:themeColor="text1"/>
          <w:shd w:val="clear" w:color="auto" w:fill="FFFFFF"/>
        </w:rPr>
        <w:br/>
        <w:t xml:space="preserve">Interestingly, Skinner’s testimony being given in English </w:t>
      </w:r>
      <w:r>
        <w:t xml:space="preserve">– </w:t>
      </w:r>
      <w:r>
        <w:rPr>
          <w:rFonts w:cstheme="minorHAnsi"/>
          <w:color w:val="000000" w:themeColor="text1"/>
          <w:shd w:val="clear" w:color="auto" w:fill="FFFFFF"/>
        </w:rPr>
        <w:t xml:space="preserve">since he could not speak Latin or </w:t>
      </w:r>
      <w:r>
        <w:rPr>
          <w:rFonts w:cstheme="minorHAnsi"/>
          <w:color w:val="000000" w:themeColor="text1"/>
          <w:shd w:val="clear" w:color="auto" w:fill="FFFFFF"/>
        </w:rPr>
        <w:lastRenderedPageBreak/>
        <w:t xml:space="preserve">French </w:t>
      </w:r>
      <w:r>
        <w:t xml:space="preserve">– </w:t>
      </w:r>
      <w:r>
        <w:rPr>
          <w:rFonts w:cstheme="minorHAnsi"/>
          <w:color w:val="000000" w:themeColor="text1"/>
          <w:shd w:val="clear" w:color="auto" w:fill="FFFFFF"/>
        </w:rPr>
        <w:t>indicates that he represented a segment of the population with limited education in these official languages.</w:t>
      </w:r>
      <w:r>
        <w:rPr>
          <w:rFonts w:cstheme="minorHAnsi"/>
          <w:color w:val="000000" w:themeColor="text1"/>
        </w:rPr>
        <w:t xml:space="preserve"> His testimony provides a more local, lay perspective rather than an elite or ecclesiastical one, making it an important cultural document. </w:t>
      </w:r>
      <w:r>
        <w:rPr>
          <w:rFonts w:cstheme="minorHAnsi"/>
          <w:color w:val="000000" w:themeColor="text1"/>
        </w:rPr>
        <w:br/>
      </w:r>
      <w:r>
        <w:rPr>
          <w:rFonts w:cstheme="minorHAnsi"/>
          <w:color w:val="000000" w:themeColor="text1"/>
        </w:rPr>
        <w:br/>
        <w:t>Overall, Henry Skinner’s testimony provides a valuable historical record as part of the wider City Witness manuscript. His observations reveal medieval practices around punishment, public beliefs in miracles, and the ways people interacted with communal spaces of justice. By acting as an objective and careful witness, Skinner captured a rare view into how justice, religion, and public spectacle were intertwined in medieval society and his account serves as both a record of an extraordinary event and a reflection of the values and beliefs held by people in medieval Swansea.</w:t>
      </w:r>
    </w:p>
    <w:p w14:paraId="6F97266F" w14:textId="77777777" w:rsidR="002F1412" w:rsidRDefault="002F1412" w:rsidP="002F1412">
      <w:pPr>
        <w:rPr>
          <w:rFonts w:cstheme="minorHAnsi"/>
          <w:color w:val="000000" w:themeColor="text1"/>
        </w:rPr>
      </w:pPr>
    </w:p>
    <w:p w14:paraId="0BCBB1AE" w14:textId="77777777" w:rsidR="006C2093" w:rsidRPr="002F1412" w:rsidRDefault="006C2093" w:rsidP="006C2093">
      <w:pPr>
        <w:rPr>
          <w:rFonts w:cstheme="minorHAnsi"/>
          <w:b/>
          <w:bCs/>
          <w:color w:val="000000" w:themeColor="text1"/>
        </w:rPr>
      </w:pPr>
      <w:r w:rsidRPr="002F1412">
        <w:rPr>
          <w:rFonts w:cstheme="minorHAnsi"/>
          <w:b/>
          <w:bCs/>
          <w:color w:val="000000" w:themeColor="text1"/>
        </w:rPr>
        <w:t xml:space="preserve">Bibliography </w:t>
      </w:r>
    </w:p>
    <w:p w14:paraId="206C1364" w14:textId="77777777" w:rsidR="006C2093" w:rsidRDefault="006C2093" w:rsidP="006C2093">
      <w:pPr>
        <w:rPr>
          <w:rFonts w:cstheme="minorHAnsi"/>
          <w:color w:val="000000" w:themeColor="text1"/>
        </w:rPr>
      </w:pPr>
    </w:p>
    <w:p w14:paraId="6D309920" w14:textId="77777777" w:rsidR="006C2093" w:rsidRPr="006E6B80" w:rsidRDefault="006C2093" w:rsidP="006C2093">
      <w:pPr>
        <w:rPr>
          <w:rFonts w:cstheme="minorHAnsi"/>
        </w:rPr>
      </w:pPr>
      <w:r w:rsidRPr="006E6B80">
        <w:rPr>
          <w:rFonts w:cstheme="minorHAnsi"/>
        </w:rPr>
        <w:t xml:space="preserve">Cantor, Norman, </w:t>
      </w:r>
      <w:r w:rsidRPr="006E6B80">
        <w:rPr>
          <w:rFonts w:cstheme="minorHAnsi"/>
          <w:i/>
          <w:iCs/>
        </w:rPr>
        <w:t xml:space="preserve">Civilization of the Middle Ages: A Completely Revised and Expanded Edition of Medieval History, the Life and Death of a Civilization, </w:t>
      </w:r>
      <w:r w:rsidRPr="006E6B80">
        <w:rPr>
          <w:rFonts w:cstheme="minorHAnsi"/>
          <w:color w:val="0F1111"/>
          <w:shd w:val="clear" w:color="auto" w:fill="FFFFFF"/>
        </w:rPr>
        <w:t>Revised Edition,</w:t>
      </w:r>
      <w:r w:rsidRPr="006E6B80">
        <w:rPr>
          <w:rFonts w:cstheme="minorHAnsi"/>
        </w:rPr>
        <w:t xml:space="preserve"> (New </w:t>
      </w:r>
      <w:proofErr w:type="gramStart"/>
      <w:r w:rsidRPr="006E6B80">
        <w:rPr>
          <w:rFonts w:cstheme="minorHAnsi"/>
        </w:rPr>
        <w:t>York :</w:t>
      </w:r>
      <w:proofErr w:type="gramEnd"/>
      <w:r w:rsidRPr="006E6B80">
        <w:rPr>
          <w:rFonts w:cstheme="minorHAnsi"/>
        </w:rPr>
        <w:t xml:space="preserve"> </w:t>
      </w:r>
      <w:r w:rsidRPr="006E6B80">
        <w:rPr>
          <w:rFonts w:cstheme="minorHAnsi"/>
          <w:color w:val="0F1111"/>
          <w:shd w:val="clear" w:color="auto" w:fill="FFFFFF"/>
        </w:rPr>
        <w:t>Harper Perennial, 2020)</w:t>
      </w:r>
    </w:p>
    <w:p w14:paraId="7C6F4A7F" w14:textId="77777777" w:rsidR="006C2093" w:rsidRDefault="006C2093" w:rsidP="006C2093">
      <w:pPr>
        <w:rPr>
          <w:rFonts w:cstheme="minorHAnsi"/>
          <w:color w:val="000000" w:themeColor="text1"/>
        </w:rPr>
      </w:pPr>
    </w:p>
    <w:p w14:paraId="5489DD4D" w14:textId="77777777" w:rsidR="006C2093" w:rsidRPr="006E6B80" w:rsidRDefault="006C2093" w:rsidP="006C2093">
      <w:pPr>
        <w:rPr>
          <w:rFonts w:cstheme="minorHAnsi"/>
        </w:rPr>
      </w:pPr>
      <w:r w:rsidRPr="006E6B80">
        <w:rPr>
          <w:rFonts w:cstheme="minorHAnsi"/>
        </w:rPr>
        <w:t>Davis, James</w:t>
      </w:r>
      <w:r>
        <w:rPr>
          <w:rFonts w:cstheme="minorHAnsi"/>
        </w:rPr>
        <w:t>,</w:t>
      </w:r>
      <w:r w:rsidRPr="006E6B80">
        <w:rPr>
          <w:rFonts w:cstheme="minorHAnsi"/>
        </w:rPr>
        <w:t xml:space="preserve"> ‘Spectacular death: capital punishment in medieval English towns’ in </w:t>
      </w:r>
      <w:r w:rsidRPr="006E6B80">
        <w:rPr>
          <w:rFonts w:cstheme="minorHAnsi"/>
          <w:i/>
          <w:iCs/>
        </w:rPr>
        <w:t>Death in Medieval Europe: Death Scripted and Death Choreographed</w:t>
      </w:r>
      <w:r w:rsidRPr="006E6B80">
        <w:rPr>
          <w:rFonts w:cstheme="minorHAnsi"/>
        </w:rPr>
        <w:t xml:space="preserve">. Ed. </w:t>
      </w:r>
      <w:proofErr w:type="spellStart"/>
      <w:r w:rsidRPr="006E6B80">
        <w:rPr>
          <w:rFonts w:cstheme="minorHAnsi"/>
        </w:rPr>
        <w:t>Joëlle</w:t>
      </w:r>
      <w:proofErr w:type="spellEnd"/>
      <w:r w:rsidRPr="006E6B80">
        <w:rPr>
          <w:rFonts w:cstheme="minorHAnsi"/>
        </w:rPr>
        <w:t xml:space="preserve"> Rollo-</w:t>
      </w:r>
      <w:proofErr w:type="spellStart"/>
      <w:r w:rsidRPr="006E6B80">
        <w:rPr>
          <w:rFonts w:cstheme="minorHAnsi"/>
        </w:rPr>
        <w:t>Koster</w:t>
      </w:r>
      <w:proofErr w:type="spellEnd"/>
      <w:r w:rsidRPr="006E6B80">
        <w:rPr>
          <w:rFonts w:cstheme="minorHAnsi"/>
        </w:rPr>
        <w:t>. (</w:t>
      </w:r>
      <w:proofErr w:type="gramStart"/>
      <w:r w:rsidRPr="006E6B80">
        <w:rPr>
          <w:rFonts w:cstheme="minorHAnsi"/>
        </w:rPr>
        <w:t>Abingdon :</w:t>
      </w:r>
      <w:proofErr w:type="gramEnd"/>
      <w:r w:rsidRPr="006E6B80">
        <w:rPr>
          <w:rFonts w:cstheme="minorHAnsi"/>
        </w:rPr>
        <w:t xml:space="preserve"> Routledge, 2017)</w:t>
      </w:r>
    </w:p>
    <w:p w14:paraId="47FBB3DB" w14:textId="77777777" w:rsidR="006C2093" w:rsidRPr="006E6B80" w:rsidRDefault="006C2093" w:rsidP="006C2093">
      <w:pPr>
        <w:rPr>
          <w:rFonts w:cstheme="minorHAnsi"/>
        </w:rPr>
      </w:pPr>
    </w:p>
    <w:p w14:paraId="1E2FAD15" w14:textId="77777777" w:rsidR="006C2093" w:rsidRPr="006E6B80" w:rsidRDefault="006C2093" w:rsidP="006C2093">
      <w:pPr>
        <w:rPr>
          <w:rFonts w:cstheme="minorHAnsi"/>
        </w:rPr>
      </w:pPr>
      <w:r w:rsidRPr="006E6B80">
        <w:rPr>
          <w:rFonts w:cstheme="minorHAnsi"/>
        </w:rPr>
        <w:t xml:space="preserve">Davis, James </w:t>
      </w:r>
      <w:r w:rsidRPr="006E6B80">
        <w:rPr>
          <w:rFonts w:cstheme="minorHAnsi"/>
          <w:i/>
          <w:iCs/>
        </w:rPr>
        <w:t>Medieval Market Morality: Life, Law and Ethics in the English Marketplace, 1200-1500</w:t>
      </w:r>
      <w:r w:rsidRPr="006E6B80">
        <w:rPr>
          <w:rFonts w:cstheme="minorHAnsi"/>
        </w:rPr>
        <w:t xml:space="preserve"> (</w:t>
      </w:r>
      <w:proofErr w:type="gramStart"/>
      <w:r w:rsidRPr="006E6B80">
        <w:rPr>
          <w:rFonts w:cstheme="minorHAnsi"/>
        </w:rPr>
        <w:t>Cambridge :</w:t>
      </w:r>
      <w:proofErr w:type="gramEnd"/>
      <w:r w:rsidRPr="006E6B80">
        <w:rPr>
          <w:rFonts w:cstheme="minorHAnsi"/>
        </w:rPr>
        <w:t xml:space="preserve"> Cambridge University Press, 2012)</w:t>
      </w:r>
    </w:p>
    <w:p w14:paraId="260FADE9" w14:textId="77777777" w:rsidR="006C2093" w:rsidRPr="006E6B80" w:rsidRDefault="006C2093" w:rsidP="006C2093">
      <w:pPr>
        <w:rPr>
          <w:rFonts w:cstheme="minorHAnsi"/>
        </w:rPr>
      </w:pPr>
    </w:p>
    <w:p w14:paraId="428F8EB9" w14:textId="77777777" w:rsidR="006C2093" w:rsidRPr="006E6B80" w:rsidRDefault="006C2093" w:rsidP="006C2093">
      <w:pPr>
        <w:rPr>
          <w:rFonts w:cstheme="minorHAnsi"/>
        </w:rPr>
      </w:pPr>
      <w:r w:rsidRPr="006E6B80">
        <w:rPr>
          <w:rFonts w:cstheme="minorHAnsi"/>
        </w:rPr>
        <w:t>Hilton, R. H.</w:t>
      </w:r>
      <w:r>
        <w:rPr>
          <w:rFonts w:cstheme="minorHAnsi"/>
        </w:rPr>
        <w:t>,</w:t>
      </w:r>
      <w:r w:rsidRPr="006E6B80">
        <w:rPr>
          <w:rFonts w:cstheme="minorHAnsi"/>
        </w:rPr>
        <w:t xml:space="preserve"> </w:t>
      </w:r>
      <w:r w:rsidRPr="006E6B80">
        <w:rPr>
          <w:rFonts w:cstheme="minorHAnsi"/>
          <w:i/>
          <w:iCs/>
        </w:rPr>
        <w:t>Small Town Society in England before the Black Death</w:t>
      </w:r>
      <w:r w:rsidRPr="006E6B80">
        <w:rPr>
          <w:rFonts w:cstheme="minorHAnsi"/>
        </w:rPr>
        <w:t xml:space="preserve">. (Past &amp; Present, no. 105, 1984), JSTOR, </w:t>
      </w:r>
      <w:hyperlink r:id="rId7" w:history="1">
        <w:r w:rsidRPr="006E6B80">
          <w:rPr>
            <w:rStyle w:val="Hyperlink"/>
            <w:rFonts w:cstheme="minorHAnsi"/>
          </w:rPr>
          <w:t>http://www.jstor.org/stable/650545. Accessed 8 Nov. 2024</w:t>
        </w:r>
      </w:hyperlink>
    </w:p>
    <w:p w14:paraId="18632933" w14:textId="77777777" w:rsidR="006C2093" w:rsidRPr="006E6B80" w:rsidRDefault="006C2093" w:rsidP="006C2093">
      <w:pPr>
        <w:rPr>
          <w:rFonts w:cstheme="minorHAnsi"/>
        </w:rPr>
      </w:pPr>
    </w:p>
    <w:p w14:paraId="2F3042C6" w14:textId="77777777" w:rsidR="006C2093" w:rsidRPr="006E6B80" w:rsidRDefault="006C2093" w:rsidP="006C2093">
      <w:pPr>
        <w:rPr>
          <w:rFonts w:cstheme="minorHAnsi"/>
        </w:rPr>
      </w:pPr>
      <w:r w:rsidRPr="006E6B80">
        <w:rPr>
          <w:rFonts w:cstheme="minorHAnsi"/>
        </w:rPr>
        <w:t>Hilton, R. H.</w:t>
      </w:r>
      <w:r>
        <w:rPr>
          <w:rFonts w:cstheme="minorHAnsi"/>
        </w:rPr>
        <w:t>,</w:t>
      </w:r>
      <w:r w:rsidRPr="006E6B80">
        <w:rPr>
          <w:rFonts w:cstheme="minorHAnsi"/>
        </w:rPr>
        <w:t xml:space="preserve"> </w:t>
      </w:r>
      <w:r w:rsidRPr="006E6B80">
        <w:rPr>
          <w:rFonts w:cstheme="minorHAnsi"/>
          <w:i/>
          <w:iCs/>
        </w:rPr>
        <w:t xml:space="preserve">The English Peasantry </w:t>
      </w:r>
      <w:proofErr w:type="gramStart"/>
      <w:r w:rsidRPr="006E6B80">
        <w:rPr>
          <w:rFonts w:cstheme="minorHAnsi"/>
          <w:i/>
          <w:iCs/>
        </w:rPr>
        <w:t>In</w:t>
      </w:r>
      <w:proofErr w:type="gramEnd"/>
      <w:r w:rsidRPr="006E6B80">
        <w:rPr>
          <w:rFonts w:cstheme="minorHAnsi"/>
          <w:i/>
          <w:iCs/>
        </w:rPr>
        <w:t xml:space="preserve"> the Later Middle Ages: the Ford Lectures for 1973 and Related Studies</w:t>
      </w:r>
      <w:r w:rsidRPr="006E6B80">
        <w:rPr>
          <w:rFonts w:cstheme="minorHAnsi"/>
        </w:rPr>
        <w:t xml:space="preserve">. E-book, (Oxford: Oxford University Press, 1975), </w:t>
      </w:r>
      <w:hyperlink r:id="rId8" w:history="1">
        <w:r w:rsidRPr="006E6B80">
          <w:rPr>
            <w:rStyle w:val="Hyperlink"/>
            <w:rFonts w:cstheme="minorHAnsi"/>
          </w:rPr>
          <w:t>https://hdl-handle-net.ezproxy.uwtsd.ac.uk/2027/heb01202.0001.001</w:t>
        </w:r>
      </w:hyperlink>
    </w:p>
    <w:p w14:paraId="697E7713" w14:textId="77777777" w:rsidR="006C2093" w:rsidRPr="006E6B80" w:rsidRDefault="006C2093" w:rsidP="006C2093">
      <w:pPr>
        <w:rPr>
          <w:rFonts w:cstheme="minorHAnsi"/>
          <w:color w:val="000000" w:themeColor="text1"/>
        </w:rPr>
      </w:pPr>
    </w:p>
    <w:p w14:paraId="33AB093E" w14:textId="77777777" w:rsidR="006C2093" w:rsidRPr="006E6B80" w:rsidRDefault="006C2093" w:rsidP="006C2093">
      <w:pPr>
        <w:rPr>
          <w:rFonts w:cstheme="minorHAnsi"/>
        </w:rPr>
      </w:pPr>
      <w:r w:rsidRPr="006E6B80">
        <w:rPr>
          <w:rFonts w:cstheme="minorHAnsi"/>
          <w:i/>
          <w:iCs/>
        </w:rPr>
        <w:t>The Swansea ‘City Witness’ website</w:t>
      </w:r>
      <w:r w:rsidRPr="006E6B80">
        <w:rPr>
          <w:rFonts w:cstheme="minorHAnsi"/>
        </w:rPr>
        <w:t>, (2014) &lt;https://medievalswansea.ac.uk/en/statement/8.html&gt; [accessed 25 October 2024]</w:t>
      </w:r>
    </w:p>
    <w:p w14:paraId="438E543C" w14:textId="77777777" w:rsidR="006C2093" w:rsidRDefault="006C2093" w:rsidP="006C2093">
      <w:pPr>
        <w:rPr>
          <w:rFonts w:cstheme="minorHAnsi"/>
          <w:color w:val="000000" w:themeColor="text1"/>
        </w:rPr>
      </w:pPr>
    </w:p>
    <w:p w14:paraId="28421FD3" w14:textId="77777777" w:rsidR="006C2093" w:rsidRDefault="006C2093" w:rsidP="002F1412">
      <w:pPr>
        <w:rPr>
          <w:rFonts w:cstheme="minorHAnsi"/>
          <w:color w:val="000000" w:themeColor="text1"/>
        </w:rPr>
      </w:pPr>
    </w:p>
    <w:sectPr w:rsidR="006C2093">
      <w:pgSz w:w="11906" w:h="16838"/>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AEAC6" w14:textId="77777777" w:rsidR="00511135" w:rsidRDefault="00511135" w:rsidP="007A5D6E">
      <w:r>
        <w:separator/>
      </w:r>
    </w:p>
  </w:endnote>
  <w:endnote w:type="continuationSeparator" w:id="0">
    <w:p w14:paraId="6D084739" w14:textId="77777777" w:rsidR="00511135" w:rsidRDefault="00511135" w:rsidP="007A5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PingFang SC">
    <w:panose1 w:val="020B0400000000000000"/>
    <w:charset w:val="86"/>
    <w:family w:val="swiss"/>
    <w:pitch w:val="variable"/>
    <w:sig w:usb0="A00002FF" w:usb1="7ACFFDFB" w:usb2="00000017" w:usb3="00000000" w:csb0="00040001"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82DA8" w14:textId="77777777" w:rsidR="00511135" w:rsidRDefault="00511135" w:rsidP="007A5D6E">
      <w:r>
        <w:separator/>
      </w:r>
    </w:p>
  </w:footnote>
  <w:footnote w:type="continuationSeparator" w:id="0">
    <w:p w14:paraId="3F3D0635" w14:textId="77777777" w:rsidR="00511135" w:rsidRDefault="00511135" w:rsidP="007A5D6E">
      <w:r>
        <w:continuationSeparator/>
      </w:r>
    </w:p>
  </w:footnote>
  <w:footnote w:id="1">
    <w:p w14:paraId="46C4F93B" w14:textId="3C08CAC9" w:rsidR="00BE74D2" w:rsidRDefault="00BE74D2">
      <w:pPr>
        <w:pStyle w:val="FootnoteText"/>
      </w:pPr>
      <w:r>
        <w:rPr>
          <w:rStyle w:val="FootnoteReference"/>
        </w:rPr>
        <w:footnoteRef/>
      </w:r>
      <w:r>
        <w:t xml:space="preserve"> </w:t>
      </w:r>
      <w:r w:rsidRPr="002D1261">
        <w:rPr>
          <w:i/>
          <w:iCs/>
        </w:rPr>
        <w:t>The Swansea ‘City Witness’ website</w:t>
      </w:r>
      <w:r w:rsidRPr="00BE74D2">
        <w:t>, (2014) &lt;https://medievalswansea.ac.uk/en/statement/8.html&gt; [accessed 25 October 2024]</w:t>
      </w:r>
    </w:p>
  </w:footnote>
  <w:footnote w:id="2">
    <w:p w14:paraId="356FD40B" w14:textId="42605630" w:rsidR="007A5D6E" w:rsidRDefault="007A5D6E">
      <w:pPr>
        <w:pStyle w:val="FootnoteText"/>
      </w:pPr>
      <w:r>
        <w:rPr>
          <w:rStyle w:val="FootnoteReference"/>
        </w:rPr>
        <w:footnoteRef/>
      </w:r>
      <w:r>
        <w:t xml:space="preserve"> </w:t>
      </w:r>
      <w:r w:rsidR="002D1261" w:rsidRPr="007A5D6E">
        <w:t xml:space="preserve">R. H. </w:t>
      </w:r>
      <w:r w:rsidRPr="007A5D6E">
        <w:t>Hilton, “Small Town Society in England before the Black Death.” </w:t>
      </w:r>
      <w:r w:rsidRPr="007A5D6E">
        <w:rPr>
          <w:i/>
          <w:iCs/>
        </w:rPr>
        <w:t>Past &amp; Present</w:t>
      </w:r>
      <w:r w:rsidRPr="007A5D6E">
        <w:t>, no. 105, 1984, pp. 53–78. </w:t>
      </w:r>
      <w:r w:rsidRPr="007A5D6E">
        <w:rPr>
          <w:i/>
          <w:iCs/>
        </w:rPr>
        <w:t>JSTOR</w:t>
      </w:r>
      <w:r w:rsidRPr="007A5D6E">
        <w:t xml:space="preserve">, </w:t>
      </w:r>
      <w:r w:rsidR="002D1261">
        <w:t>&lt;</w:t>
      </w:r>
      <w:r w:rsidRPr="007A5D6E">
        <w:t>http://www.jstor.org/stable/650545</w:t>
      </w:r>
      <w:r w:rsidR="002D1261">
        <w:t>&gt;</w:t>
      </w:r>
      <w:r w:rsidRPr="007A5D6E">
        <w:t xml:space="preserve">. </w:t>
      </w:r>
      <w:r w:rsidR="002D1261">
        <w:t>[</w:t>
      </w:r>
      <w:r w:rsidRPr="007A5D6E">
        <w:t>Accessed 8 Nov. 2024</w:t>
      </w:r>
      <w:r w:rsidR="002D1261">
        <w:t>]</w:t>
      </w:r>
      <w:r w:rsidRPr="007A5D6E">
        <w:t>.</w:t>
      </w:r>
    </w:p>
  </w:footnote>
  <w:footnote w:id="3">
    <w:p w14:paraId="2E444E35" w14:textId="5E56B54A" w:rsidR="002D1261" w:rsidRDefault="00BE74D2" w:rsidP="002D1261">
      <w:pPr>
        <w:pStyle w:val="FootnoteText"/>
      </w:pPr>
      <w:r>
        <w:rPr>
          <w:rStyle w:val="FootnoteReference"/>
        </w:rPr>
        <w:footnoteRef/>
      </w:r>
      <w:r>
        <w:t xml:space="preserve"> </w:t>
      </w:r>
      <w:r w:rsidR="002D1261" w:rsidRPr="007A5D6E">
        <w:t>R. H. Hilton</w:t>
      </w:r>
      <w:r w:rsidR="002D1261">
        <w:t xml:space="preserve">, </w:t>
      </w:r>
      <w:r w:rsidRPr="002D1261">
        <w:rPr>
          <w:i/>
          <w:iCs/>
        </w:rPr>
        <w:t xml:space="preserve">The English Peasantry </w:t>
      </w:r>
      <w:proofErr w:type="gramStart"/>
      <w:r w:rsidRPr="002D1261">
        <w:rPr>
          <w:i/>
          <w:iCs/>
        </w:rPr>
        <w:t>In</w:t>
      </w:r>
      <w:proofErr w:type="gramEnd"/>
      <w:r w:rsidRPr="002D1261">
        <w:rPr>
          <w:i/>
          <w:iCs/>
        </w:rPr>
        <w:t xml:space="preserve"> the Later Middle Ages: the Ford Lectures for 1973 and Related Studies. </w:t>
      </w:r>
      <w:r w:rsidRPr="007A5D6E">
        <w:t xml:space="preserve">E-book, </w:t>
      </w:r>
      <w:r w:rsidR="002D1261">
        <w:t>(</w:t>
      </w:r>
      <w:r w:rsidRPr="007A5D6E">
        <w:t>Oxford: Oxford University Press, 1975</w:t>
      </w:r>
      <w:r w:rsidR="002D1261">
        <w:t>)</w:t>
      </w:r>
      <w:r w:rsidRPr="007A5D6E">
        <w:t xml:space="preserve">, </w:t>
      </w:r>
      <w:r w:rsidR="002D1261">
        <w:t>&lt;</w:t>
      </w:r>
      <w:r w:rsidRPr="007A5D6E">
        <w:t>https://hdl-handle-net.ezproxy.uwtsd.ac.uk/2027/heb01202.0001.001</w:t>
      </w:r>
      <w:r w:rsidR="002D1261">
        <w:t xml:space="preserve">&gt; </w:t>
      </w:r>
      <w:r w:rsidR="002D1261">
        <w:t>[</w:t>
      </w:r>
      <w:r w:rsidR="002D1261" w:rsidRPr="007A5D6E">
        <w:t>Accessed 8 Nov. 2024</w:t>
      </w:r>
      <w:r w:rsidR="002D1261">
        <w:t>]</w:t>
      </w:r>
      <w:r w:rsidR="002D1261" w:rsidRPr="007A5D6E">
        <w:t>.</w:t>
      </w:r>
    </w:p>
    <w:p w14:paraId="02BE5485" w14:textId="0D7916D5" w:rsidR="00BE74D2" w:rsidRDefault="00BE74D2" w:rsidP="00BE74D2">
      <w:pPr>
        <w:pStyle w:val="FootnoteText"/>
      </w:pPr>
    </w:p>
  </w:footnote>
  <w:footnote w:id="4">
    <w:p w14:paraId="314D5B53" w14:textId="59E6D46B" w:rsidR="00D42201" w:rsidRDefault="00D42201">
      <w:pPr>
        <w:pStyle w:val="FootnoteText"/>
      </w:pPr>
      <w:r>
        <w:rPr>
          <w:rStyle w:val="FootnoteReference"/>
        </w:rPr>
        <w:footnoteRef/>
      </w:r>
      <w:r>
        <w:t xml:space="preserve"> </w:t>
      </w:r>
      <w:r w:rsidR="002D1261" w:rsidRPr="00D42201">
        <w:t>James</w:t>
      </w:r>
      <w:r w:rsidR="002D1261" w:rsidRPr="00D42201">
        <w:t xml:space="preserve"> </w:t>
      </w:r>
      <w:r w:rsidRPr="00D42201">
        <w:t xml:space="preserve">Davis. </w:t>
      </w:r>
      <w:r w:rsidR="002D1261">
        <w:t>‘</w:t>
      </w:r>
      <w:r w:rsidRPr="002D1261">
        <w:t>Spectacular death: capital punishment in medieval English towns</w:t>
      </w:r>
      <w:r w:rsidR="002D1261">
        <w:t>’ in</w:t>
      </w:r>
      <w:r w:rsidRPr="002D1261">
        <w:rPr>
          <w:i/>
          <w:iCs/>
        </w:rPr>
        <w:t xml:space="preserve"> Death in Medieval Europe: Death Scripted and Death Choreographed</w:t>
      </w:r>
      <w:r w:rsidRPr="00D42201">
        <w:t xml:space="preserve">. </w:t>
      </w:r>
      <w:r w:rsidR="002D1261" w:rsidRPr="00D42201">
        <w:t>E</w:t>
      </w:r>
      <w:r w:rsidRPr="00D42201">
        <w:t>d</w:t>
      </w:r>
      <w:r w:rsidR="002D1261">
        <w:t>.</w:t>
      </w:r>
      <w:r w:rsidRPr="00D42201">
        <w:t xml:space="preserve"> </w:t>
      </w:r>
      <w:r w:rsidR="002D1261">
        <w:t>by</w:t>
      </w:r>
      <w:r w:rsidRPr="00D42201">
        <w:t xml:space="preserve"> </w:t>
      </w:r>
      <w:proofErr w:type="spellStart"/>
      <w:r w:rsidRPr="00D42201">
        <w:t>Joëlle</w:t>
      </w:r>
      <w:proofErr w:type="spellEnd"/>
      <w:r w:rsidRPr="00D42201">
        <w:t xml:space="preserve"> Rollo-</w:t>
      </w:r>
      <w:proofErr w:type="spellStart"/>
      <w:r w:rsidRPr="00D42201">
        <w:t>Koster</w:t>
      </w:r>
      <w:proofErr w:type="spellEnd"/>
      <w:r w:rsidRPr="00D42201">
        <w:t xml:space="preserve">. </w:t>
      </w:r>
      <w:r w:rsidR="002D1261">
        <w:t>(</w:t>
      </w:r>
      <w:proofErr w:type="gramStart"/>
      <w:r w:rsidRPr="00D42201">
        <w:t>Abingdon :</w:t>
      </w:r>
      <w:proofErr w:type="gramEnd"/>
      <w:r w:rsidRPr="00D42201">
        <w:t xml:space="preserve"> Routledge, 2017</w:t>
      </w:r>
      <w:r w:rsidR="002D1261">
        <w:t>)</w:t>
      </w:r>
      <w:r w:rsidRPr="00D42201">
        <w:t>. pp. 130-148</w:t>
      </w:r>
      <w:r w:rsidR="002D1261">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682"/>
    <w:rsid w:val="00144161"/>
    <w:rsid w:val="002649DD"/>
    <w:rsid w:val="002D1261"/>
    <w:rsid w:val="002F1412"/>
    <w:rsid w:val="00511135"/>
    <w:rsid w:val="00542E79"/>
    <w:rsid w:val="00662691"/>
    <w:rsid w:val="006C2093"/>
    <w:rsid w:val="006E6B80"/>
    <w:rsid w:val="007A5D6E"/>
    <w:rsid w:val="009E783C"/>
    <w:rsid w:val="00BE74D2"/>
    <w:rsid w:val="00C8466A"/>
    <w:rsid w:val="00D42201"/>
    <w:rsid w:val="00D67682"/>
    <w:rsid w:val="00DF0DCD"/>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BB863"/>
  <w15:docId w15:val="{74C81EE0-73F9-2B4B-B7DA-9C3C29097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41722"/>
    <w:rPr>
      <w:i/>
      <w:iCs/>
    </w:rPr>
  </w:style>
  <w:style w:type="character" w:styleId="LineNumber">
    <w:name w:val="line number"/>
  </w:style>
  <w:style w:type="paragraph" w:customStyle="1" w:styleId="Heading">
    <w:name w:val="Heading"/>
    <w:basedOn w:val="Normal"/>
    <w:next w:val="BodyText"/>
    <w:qFormat/>
    <w:pPr>
      <w:keepNext/>
      <w:spacing w:before="240" w:after="120"/>
    </w:pPr>
    <w:rPr>
      <w:rFonts w:ascii="Garamond" w:eastAsia="PingFang SC" w:hAnsi="Garamond" w:cs="Lucida Sans"/>
      <w:sz w:val="28"/>
      <w:szCs w:val="28"/>
    </w:rPr>
  </w:style>
  <w:style w:type="paragraph" w:styleId="BodyText">
    <w:name w:val="Body Text"/>
    <w:basedOn w:val="Normal"/>
    <w:pPr>
      <w:spacing w:after="140" w:line="276" w:lineRule="auto"/>
    </w:pPr>
  </w:style>
  <w:style w:type="paragraph" w:styleId="List">
    <w:name w:val="List"/>
    <w:basedOn w:val="BodyText"/>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rPr>
  </w:style>
  <w:style w:type="paragraph" w:customStyle="1" w:styleId="Index">
    <w:name w:val="Index"/>
    <w:basedOn w:val="Normal"/>
    <w:qFormat/>
    <w:pPr>
      <w:suppressLineNumbers/>
    </w:pPr>
    <w:rPr>
      <w:rFonts w:ascii="Garamond" w:hAnsi="Garamond" w:cs="Lucida Sans"/>
    </w:rPr>
  </w:style>
  <w:style w:type="paragraph" w:customStyle="1" w:styleId="Comment">
    <w:name w:val="Comment"/>
    <w:basedOn w:val="Normal"/>
    <w:qFormat/>
    <w:pPr>
      <w:spacing w:before="56"/>
      <w:ind w:left="56" w:right="56"/>
    </w:pPr>
    <w:rPr>
      <w:sz w:val="20"/>
      <w:szCs w:val="20"/>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42E79"/>
    <w:pPr>
      <w:suppressAutoHyphens w:val="0"/>
    </w:pPr>
  </w:style>
  <w:style w:type="paragraph" w:styleId="FootnoteText">
    <w:name w:val="footnote text"/>
    <w:basedOn w:val="Normal"/>
    <w:link w:val="FootnoteTextChar"/>
    <w:uiPriority w:val="99"/>
    <w:semiHidden/>
    <w:unhideWhenUsed/>
    <w:rsid w:val="007A5D6E"/>
    <w:rPr>
      <w:sz w:val="20"/>
      <w:szCs w:val="20"/>
    </w:rPr>
  </w:style>
  <w:style w:type="character" w:customStyle="1" w:styleId="FootnoteTextChar">
    <w:name w:val="Footnote Text Char"/>
    <w:basedOn w:val="DefaultParagraphFont"/>
    <w:link w:val="FootnoteText"/>
    <w:uiPriority w:val="99"/>
    <w:semiHidden/>
    <w:rsid w:val="007A5D6E"/>
    <w:rPr>
      <w:sz w:val="20"/>
      <w:szCs w:val="20"/>
    </w:rPr>
  </w:style>
  <w:style w:type="character" w:styleId="FootnoteReference">
    <w:name w:val="footnote reference"/>
    <w:basedOn w:val="DefaultParagraphFont"/>
    <w:uiPriority w:val="99"/>
    <w:semiHidden/>
    <w:unhideWhenUsed/>
    <w:rsid w:val="007A5D6E"/>
    <w:rPr>
      <w:vertAlign w:val="superscript"/>
    </w:rPr>
  </w:style>
  <w:style w:type="character" w:styleId="Hyperlink">
    <w:name w:val="Hyperlink"/>
    <w:basedOn w:val="DefaultParagraphFont"/>
    <w:uiPriority w:val="99"/>
    <w:unhideWhenUsed/>
    <w:rsid w:val="002D1261"/>
    <w:rPr>
      <w:color w:val="0563C1" w:themeColor="hyperlink"/>
      <w:u w:val="single"/>
    </w:rPr>
  </w:style>
  <w:style w:type="character" w:styleId="UnresolvedMention">
    <w:name w:val="Unresolved Mention"/>
    <w:basedOn w:val="DefaultParagraphFont"/>
    <w:uiPriority w:val="99"/>
    <w:semiHidden/>
    <w:unhideWhenUsed/>
    <w:rsid w:val="002D1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351605">
      <w:bodyDiv w:val="1"/>
      <w:marLeft w:val="0"/>
      <w:marRight w:val="0"/>
      <w:marTop w:val="0"/>
      <w:marBottom w:val="0"/>
      <w:divBdr>
        <w:top w:val="none" w:sz="0" w:space="0" w:color="auto"/>
        <w:left w:val="none" w:sz="0" w:space="0" w:color="auto"/>
        <w:bottom w:val="none" w:sz="0" w:space="0" w:color="auto"/>
        <w:right w:val="none" w:sz="0" w:space="0" w:color="auto"/>
      </w:divBdr>
    </w:div>
    <w:div w:id="1644122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dl-handle-net.ezproxy.uwtsd.ac.uk/2027/heb01202.0001.001" TargetMode="External"/><Relationship Id="rId3" Type="http://schemas.openxmlformats.org/officeDocument/2006/relationships/settings" Target="settings.xml"/><Relationship Id="rId7" Type="http://schemas.openxmlformats.org/officeDocument/2006/relationships/hyperlink" Target="http://www.jstor.org/stable/650545.%20Accessed%208%20Nov.%20202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D64C4-6221-384F-90B5-AC991B8A5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1242</Words>
  <Characters>6732</Characters>
  <Application>Microsoft Office Word</Application>
  <DocSecurity>0</DocSecurity>
  <Lines>112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dc:creator>
  <dc:description/>
  <cp:lastModifiedBy>Kate Love (2321358)</cp:lastModifiedBy>
  <cp:revision>2</cp:revision>
  <dcterms:created xsi:type="dcterms:W3CDTF">2024-11-08T22:49:00Z</dcterms:created>
  <dcterms:modified xsi:type="dcterms:W3CDTF">2024-11-08T22:49:00Z</dcterms:modified>
  <dc:language>en-GB</dc:language>
</cp:coreProperties>
</file>