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7B35D28E" w:rsidR="00EB12BC" w:rsidRPr="00E43041" w:rsidRDefault="00EB12BC" w:rsidP="00C03A91">
      <w:pPr>
        <w:tabs>
          <w:tab w:val="left" w:pos="6540"/>
        </w:tabs>
        <w:spacing w:line="360" w:lineRule="auto"/>
        <w:rPr>
          <w:rFonts w:ascii="Arial" w:hAnsi="Arial" w:cs="Arial"/>
          <w:sz w:val="28"/>
          <w:szCs w:val="28"/>
        </w:rPr>
      </w:pPr>
      <w:r w:rsidRPr="00E43041">
        <w:rPr>
          <w:rFonts w:ascii="Arial" w:hAnsi="Arial" w:cs="Arial"/>
          <w:b/>
          <w:bCs/>
          <w:sz w:val="28"/>
          <w:szCs w:val="28"/>
        </w:rPr>
        <w:t>Student name</w:t>
      </w:r>
      <w:r w:rsidRPr="00E43041">
        <w:rPr>
          <w:rFonts w:ascii="Arial" w:hAnsi="Arial" w:cs="Arial"/>
          <w:sz w:val="28"/>
          <w:szCs w:val="28"/>
        </w:rPr>
        <w:t>:</w:t>
      </w:r>
      <w:r w:rsidR="00E43041" w:rsidRPr="00E43041">
        <w:rPr>
          <w:rFonts w:ascii="Arial" w:hAnsi="Arial" w:cs="Arial"/>
          <w:sz w:val="28"/>
          <w:szCs w:val="28"/>
        </w:rPr>
        <w:t xml:space="preserve"> </w:t>
      </w:r>
      <w:r w:rsidR="0000081F" w:rsidRPr="00E43041">
        <w:rPr>
          <w:rFonts w:ascii="Arial" w:hAnsi="Arial" w:cs="Arial"/>
          <w:sz w:val="28"/>
          <w:szCs w:val="28"/>
        </w:rPr>
        <w:t xml:space="preserve">Rayssa Silva </w:t>
      </w:r>
    </w:p>
    <w:p w14:paraId="3C83A8A7" w14:textId="145503EA" w:rsidR="00EB12BC" w:rsidRPr="00E43041" w:rsidRDefault="00EB12BC" w:rsidP="00C03A91">
      <w:pPr>
        <w:tabs>
          <w:tab w:val="left" w:pos="6540"/>
        </w:tabs>
        <w:spacing w:line="360" w:lineRule="auto"/>
        <w:rPr>
          <w:rFonts w:ascii="Arial" w:hAnsi="Arial" w:cs="Arial"/>
          <w:sz w:val="28"/>
          <w:szCs w:val="28"/>
        </w:rPr>
      </w:pPr>
      <w:r w:rsidRPr="00E43041">
        <w:rPr>
          <w:rFonts w:ascii="Arial" w:hAnsi="Arial" w:cs="Arial"/>
          <w:b/>
          <w:bCs/>
          <w:sz w:val="28"/>
          <w:szCs w:val="28"/>
        </w:rPr>
        <w:t>Student ID</w:t>
      </w:r>
      <w:r w:rsidRPr="00E43041">
        <w:rPr>
          <w:rFonts w:ascii="Arial" w:hAnsi="Arial" w:cs="Arial"/>
          <w:sz w:val="28"/>
          <w:szCs w:val="28"/>
        </w:rPr>
        <w:t>:</w:t>
      </w:r>
      <w:r w:rsidR="00E43041" w:rsidRPr="00E43041">
        <w:rPr>
          <w:rFonts w:ascii="Arial" w:hAnsi="Arial" w:cs="Arial"/>
          <w:color w:val="242130"/>
          <w:shd w:val="clear" w:color="auto" w:fill="FFFFFF"/>
        </w:rPr>
        <w:t xml:space="preserve"> </w:t>
      </w:r>
      <w:r w:rsidR="00E43041" w:rsidRPr="00E43041">
        <w:rPr>
          <w:rFonts w:ascii="Arial" w:hAnsi="Arial" w:cs="Arial"/>
          <w:sz w:val="28"/>
          <w:szCs w:val="28"/>
        </w:rPr>
        <w:t>2417813</w:t>
      </w:r>
    </w:p>
    <w:p w14:paraId="21E9DC72" w14:textId="77777777" w:rsidR="00EB12BC" w:rsidRPr="00E43041" w:rsidRDefault="00EB12BC" w:rsidP="00C03A91">
      <w:pPr>
        <w:tabs>
          <w:tab w:val="left" w:pos="6540"/>
        </w:tabs>
        <w:spacing w:line="360" w:lineRule="auto"/>
        <w:rPr>
          <w:rFonts w:ascii="Arial" w:hAnsi="Arial" w:cs="Arial"/>
          <w:sz w:val="28"/>
          <w:szCs w:val="28"/>
        </w:rPr>
      </w:pPr>
    </w:p>
    <w:p w14:paraId="6FA9BEBE" w14:textId="77777777" w:rsidR="00E43041" w:rsidRPr="00E43041" w:rsidRDefault="00EB12BC" w:rsidP="00E43041">
      <w:pPr>
        <w:tabs>
          <w:tab w:val="left" w:pos="6540"/>
        </w:tabs>
        <w:spacing w:line="360" w:lineRule="auto"/>
        <w:rPr>
          <w:rFonts w:cs="Arial"/>
          <w:b/>
          <w:bCs/>
          <w:sz w:val="28"/>
          <w:szCs w:val="28"/>
        </w:rPr>
      </w:pPr>
      <w:r w:rsidRPr="0000081F">
        <w:rPr>
          <w:rFonts w:ascii="Arial" w:hAnsi="Arial" w:cs="Arial"/>
          <w:b/>
          <w:bCs/>
          <w:sz w:val="28"/>
          <w:szCs w:val="28"/>
        </w:rPr>
        <w:t>Module name</w:t>
      </w:r>
      <w:r w:rsidRPr="0000081F">
        <w:rPr>
          <w:rFonts w:ascii="Arial" w:hAnsi="Arial" w:cs="Arial"/>
          <w:sz w:val="28"/>
          <w:szCs w:val="28"/>
        </w:rPr>
        <w:t xml:space="preserve">: </w:t>
      </w:r>
      <w:r w:rsidR="00E43041" w:rsidRPr="00E43041">
        <w:rPr>
          <w:rFonts w:ascii="Arial" w:hAnsi="Arial" w:cs="Arial"/>
          <w:sz w:val="28"/>
          <w:szCs w:val="28"/>
        </w:rPr>
        <w:t>Introduction to Physiology</w:t>
      </w:r>
    </w:p>
    <w:p w14:paraId="23BAC9B9" w14:textId="5E077FF9" w:rsidR="00EB12BC" w:rsidRPr="0000081F" w:rsidRDefault="00EB12BC" w:rsidP="00C03A91">
      <w:pPr>
        <w:tabs>
          <w:tab w:val="left" w:pos="6540"/>
        </w:tabs>
        <w:spacing w:line="360" w:lineRule="auto"/>
        <w:rPr>
          <w:rFonts w:ascii="Arial" w:hAnsi="Arial" w:cs="Arial"/>
          <w:sz w:val="28"/>
          <w:szCs w:val="28"/>
        </w:rPr>
      </w:pPr>
    </w:p>
    <w:p w14:paraId="1847AAA8" w14:textId="77777777" w:rsidR="00E43041" w:rsidRPr="00E43041" w:rsidRDefault="00EB12BC" w:rsidP="00E43041">
      <w:pPr>
        <w:tabs>
          <w:tab w:val="left" w:pos="6540"/>
        </w:tabs>
        <w:spacing w:line="360" w:lineRule="auto"/>
        <w:rPr>
          <w:rFonts w:cs="Arial"/>
          <w:b/>
          <w:bCs/>
          <w:sz w:val="28"/>
          <w:szCs w:val="28"/>
        </w:rPr>
      </w:pPr>
      <w:r w:rsidRPr="00C03A91">
        <w:rPr>
          <w:rFonts w:ascii="Arial" w:hAnsi="Arial" w:cs="Arial"/>
          <w:b/>
          <w:bCs/>
          <w:sz w:val="28"/>
          <w:szCs w:val="28"/>
        </w:rPr>
        <w:t>Module code</w:t>
      </w:r>
      <w:r w:rsidRPr="00C03A91">
        <w:rPr>
          <w:rFonts w:ascii="Arial" w:hAnsi="Arial" w:cs="Arial"/>
          <w:sz w:val="28"/>
          <w:szCs w:val="28"/>
        </w:rPr>
        <w:t>:</w:t>
      </w:r>
      <w:r w:rsidR="00E43041">
        <w:rPr>
          <w:rFonts w:ascii="Arial" w:hAnsi="Arial" w:cs="Arial"/>
          <w:sz w:val="28"/>
          <w:szCs w:val="28"/>
        </w:rPr>
        <w:t xml:space="preserve"> </w:t>
      </w:r>
      <w:r w:rsidR="00E43041" w:rsidRPr="00E43041">
        <w:rPr>
          <w:rFonts w:ascii="Arial" w:hAnsi="Arial" w:cs="Arial"/>
          <w:sz w:val="28"/>
          <w:szCs w:val="28"/>
        </w:rPr>
        <w:t>BMHP5023</w:t>
      </w:r>
    </w:p>
    <w:p w14:paraId="4FD97C8C" w14:textId="106A9ACB" w:rsidR="00EB12BC" w:rsidRPr="00C03A91" w:rsidRDefault="00EB12BC" w:rsidP="00C03A91">
      <w:pPr>
        <w:tabs>
          <w:tab w:val="left" w:pos="6540"/>
        </w:tabs>
        <w:spacing w:line="360" w:lineRule="auto"/>
        <w:rPr>
          <w:rFonts w:ascii="Arial" w:hAnsi="Arial" w:cs="Arial"/>
          <w:sz w:val="28"/>
          <w:szCs w:val="28"/>
        </w:rPr>
      </w:pPr>
    </w:p>
    <w:p w14:paraId="658BE57E" w14:textId="0DEB097A"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E43041" w:rsidRPr="00E43041">
        <w:rPr>
          <w:rFonts w:ascii="Segoe UI" w:hAnsi="Segoe UI" w:cs="Segoe UI"/>
          <w:color w:val="1D2125"/>
          <w:sz w:val="23"/>
          <w:szCs w:val="23"/>
          <w:shd w:val="clear" w:color="auto" w:fill="FFFFFF"/>
        </w:rPr>
        <w:t xml:space="preserve"> </w:t>
      </w:r>
      <w:r w:rsidR="00E43041" w:rsidRPr="00E43041">
        <w:rPr>
          <w:rFonts w:ascii="Arial" w:hAnsi="Arial" w:cs="Arial"/>
          <w:sz w:val="28"/>
          <w:szCs w:val="28"/>
        </w:rPr>
        <w:t> Shaila Hussain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48074F1D"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597AD6" w:rsidRPr="00597AD6">
        <w:rPr>
          <w:rFonts w:ascii="Arial" w:hAnsi="Arial" w:cs="Arial"/>
          <w:sz w:val="28"/>
          <w:szCs w:val="28"/>
        </w:rPr>
        <w:t>Case Study Diabetes</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3E979AFC" w14:textId="77777777" w:rsidR="001B6A18" w:rsidRDefault="001B6A18" w:rsidP="00C03A91">
      <w:pPr>
        <w:pStyle w:val="Ttulo1"/>
        <w:spacing w:line="360" w:lineRule="auto"/>
        <w:rPr>
          <w:rFonts w:cs="Arial"/>
        </w:rPr>
      </w:pPr>
    </w:p>
    <w:p w14:paraId="442A8432" w14:textId="6F7D8D03" w:rsidR="000C4EDA" w:rsidRPr="00C03A91" w:rsidRDefault="000C4EDA" w:rsidP="00C03A91">
      <w:pPr>
        <w:pStyle w:val="Ttulo1"/>
        <w:spacing w:line="360" w:lineRule="auto"/>
        <w:rPr>
          <w:rFonts w:cs="Arial"/>
        </w:rPr>
      </w:pPr>
      <w:r w:rsidRPr="00C03A91">
        <w:rPr>
          <w:rFonts w:cs="Arial"/>
        </w:rPr>
        <w:t>1. Introduction</w:t>
      </w:r>
      <w:r w:rsidR="00C03A91" w:rsidRPr="00C03A91">
        <w:rPr>
          <w:rFonts w:cs="Arial"/>
        </w:rPr>
        <w:t xml:space="preserve"> </w:t>
      </w:r>
    </w:p>
    <w:p w14:paraId="61F860E2" w14:textId="73745B5B" w:rsidR="00F703D0" w:rsidRDefault="00F703D0" w:rsidP="00C03A91">
      <w:pPr>
        <w:tabs>
          <w:tab w:val="left" w:pos="6540"/>
        </w:tabs>
        <w:spacing w:line="360" w:lineRule="auto"/>
        <w:rPr>
          <w:rFonts w:ascii="Arial" w:hAnsi="Arial" w:cs="Arial"/>
          <w:color w:val="000000" w:themeColor="text1"/>
          <w:sz w:val="22"/>
        </w:rPr>
      </w:pPr>
      <w:r w:rsidRPr="00F703D0">
        <w:rPr>
          <w:rFonts w:ascii="Arial" w:hAnsi="Arial" w:cs="Arial"/>
          <w:color w:val="000000" w:themeColor="text1"/>
          <w:sz w:val="22"/>
        </w:rPr>
        <w:t>Diabetes is a chronic metabolic disorder in which the body is unable to regulate blood sugar</w:t>
      </w:r>
      <w:r w:rsidR="00517182">
        <w:rPr>
          <w:rFonts w:ascii="Arial" w:hAnsi="Arial" w:cs="Arial"/>
          <w:color w:val="000000" w:themeColor="text1"/>
          <w:sz w:val="22"/>
        </w:rPr>
        <w:t xml:space="preserve"> </w:t>
      </w:r>
      <w:r w:rsidR="00517182" w:rsidRPr="00F703D0">
        <w:rPr>
          <w:rFonts w:ascii="Arial" w:hAnsi="Arial" w:cs="Arial"/>
          <w:color w:val="000000" w:themeColor="text1"/>
          <w:sz w:val="22"/>
        </w:rPr>
        <w:t>effectively</w:t>
      </w:r>
      <w:r w:rsidRPr="00F703D0">
        <w:rPr>
          <w:rFonts w:ascii="Arial" w:hAnsi="Arial" w:cs="Arial"/>
          <w:color w:val="000000" w:themeColor="text1"/>
          <w:sz w:val="22"/>
        </w:rPr>
        <w:t>. Glucose accumulates in the bloodstream and, over time, inflicts damage on the heart, kidneys, eyes, nerves, and blood vessels when insulin is insufficient or ineffective. Global health agencies have extensively documented this pattern of harm, noting that uncontrolled diabetes is a contributing factor to limb amputations, heart attacks, strokes, kidney failure, and blindness</w:t>
      </w:r>
      <w:r>
        <w:rPr>
          <w:rFonts w:ascii="Arial" w:hAnsi="Arial" w:cs="Arial"/>
          <w:color w:val="000000" w:themeColor="text1"/>
          <w:sz w:val="22"/>
        </w:rPr>
        <w:t xml:space="preserve"> (</w:t>
      </w:r>
      <w:proofErr w:type="spellStart"/>
      <w:proofErr w:type="gramStart"/>
      <w:r>
        <w:rPr>
          <w:rFonts w:ascii="Arial" w:hAnsi="Arial" w:cs="Arial"/>
          <w:color w:val="000000" w:themeColor="text1"/>
          <w:sz w:val="22"/>
        </w:rPr>
        <w:t>WHO,</w:t>
      </w:r>
      <w:r w:rsidR="00CE5B9A">
        <w:rPr>
          <w:rFonts w:ascii="Arial" w:hAnsi="Arial" w:cs="Arial"/>
          <w:color w:val="000000" w:themeColor="text1"/>
          <w:sz w:val="22"/>
        </w:rPr>
        <w:t>n.d</w:t>
      </w:r>
      <w:proofErr w:type="spellEnd"/>
      <w:r w:rsidR="00CE5B9A">
        <w:rPr>
          <w:rFonts w:ascii="Arial" w:hAnsi="Arial" w:cs="Arial"/>
          <w:color w:val="000000" w:themeColor="text1"/>
          <w:sz w:val="22"/>
        </w:rPr>
        <w:t>.</w:t>
      </w:r>
      <w:proofErr w:type="gramEnd"/>
      <w:r>
        <w:rPr>
          <w:rFonts w:ascii="Arial" w:hAnsi="Arial" w:cs="Arial"/>
          <w:color w:val="000000" w:themeColor="text1"/>
          <w:sz w:val="22"/>
        </w:rPr>
        <w:t>)</w:t>
      </w:r>
    </w:p>
    <w:p w14:paraId="681A9C0B" w14:textId="3237AAE2" w:rsidR="00F703D0" w:rsidRDefault="007211B2" w:rsidP="00C03A91">
      <w:pPr>
        <w:tabs>
          <w:tab w:val="left" w:pos="6540"/>
        </w:tabs>
        <w:spacing w:line="360" w:lineRule="auto"/>
        <w:rPr>
          <w:rFonts w:ascii="Arial" w:hAnsi="Arial" w:cs="Arial"/>
          <w:color w:val="000000" w:themeColor="text1"/>
          <w:sz w:val="22"/>
        </w:rPr>
      </w:pPr>
      <w:r w:rsidRPr="007211B2">
        <w:rPr>
          <w:rFonts w:ascii="Arial" w:hAnsi="Arial" w:cs="Arial"/>
          <w:color w:val="000000" w:themeColor="text1"/>
          <w:sz w:val="22"/>
        </w:rPr>
        <w:t xml:space="preserve">There are two main kinds of diabetes: Type 1 and Type 2. People with type 1 diabetes don't make insulin because their immune system attacks their own cells. Type 2 diabetes, on the other hand, is the most common type. It </w:t>
      </w:r>
      <w:r w:rsidR="009A31EE">
        <w:rPr>
          <w:rFonts w:ascii="Arial" w:hAnsi="Arial" w:cs="Arial"/>
          <w:color w:val="000000" w:themeColor="text1"/>
          <w:sz w:val="22"/>
        </w:rPr>
        <w:t xml:space="preserve">occurs </w:t>
      </w:r>
      <w:r w:rsidRPr="007211B2">
        <w:rPr>
          <w:rFonts w:ascii="Arial" w:hAnsi="Arial" w:cs="Arial"/>
          <w:color w:val="000000" w:themeColor="text1"/>
          <w:sz w:val="22"/>
        </w:rPr>
        <w:t>when the body stops responding to insulin or doesn't make enough of it to meet its needs</w:t>
      </w:r>
      <w:r w:rsidR="00CE5B9A">
        <w:rPr>
          <w:rFonts w:ascii="Arial" w:hAnsi="Arial" w:cs="Arial"/>
          <w:color w:val="000000" w:themeColor="text1"/>
          <w:sz w:val="22"/>
        </w:rPr>
        <w:t>.</w:t>
      </w:r>
      <w:r w:rsidR="00CE5B9A" w:rsidRPr="00CE5B9A">
        <w:t xml:space="preserve"> </w:t>
      </w:r>
      <w:r w:rsidR="00CE5B9A" w:rsidRPr="00CE5B9A">
        <w:rPr>
          <w:rFonts w:ascii="Arial" w:hAnsi="Arial" w:cs="Arial"/>
          <w:color w:val="000000" w:themeColor="text1"/>
          <w:sz w:val="22"/>
        </w:rPr>
        <w:t xml:space="preserve">Several risk factors are associated with Type 2 diabetes, including obesity, physical inactivity, unhealthy diet, and genetic </w:t>
      </w:r>
      <w:r w:rsidR="00CE5B9A" w:rsidRPr="00CE5B9A">
        <w:rPr>
          <w:rFonts w:ascii="Arial" w:hAnsi="Arial" w:cs="Arial"/>
          <w:color w:val="000000" w:themeColor="text1"/>
          <w:sz w:val="22"/>
        </w:rPr>
        <w:t>predisposition</w:t>
      </w:r>
      <w:r w:rsidR="00CE5B9A">
        <w:rPr>
          <w:rFonts w:ascii="Arial" w:hAnsi="Arial" w:cs="Arial"/>
          <w:color w:val="000000" w:themeColor="text1"/>
          <w:sz w:val="22"/>
        </w:rPr>
        <w:t xml:space="preserve"> (</w:t>
      </w:r>
      <w:r>
        <w:rPr>
          <w:rFonts w:ascii="Arial" w:hAnsi="Arial" w:cs="Arial"/>
          <w:color w:val="000000" w:themeColor="text1"/>
          <w:sz w:val="22"/>
        </w:rPr>
        <w:t>NHS</w:t>
      </w:r>
      <w:r w:rsidR="00CE5B9A">
        <w:rPr>
          <w:rFonts w:ascii="Arial" w:hAnsi="Arial" w:cs="Arial"/>
          <w:color w:val="000000" w:themeColor="text1"/>
          <w:sz w:val="22"/>
        </w:rPr>
        <w:t>, n.d.</w:t>
      </w:r>
      <w:r>
        <w:rPr>
          <w:rFonts w:ascii="Arial" w:hAnsi="Arial" w:cs="Arial"/>
          <w:color w:val="000000" w:themeColor="text1"/>
          <w:sz w:val="22"/>
        </w:rPr>
        <w:t>)</w:t>
      </w:r>
    </w:p>
    <w:p w14:paraId="6196983E" w14:textId="77777777" w:rsidR="00E43041" w:rsidRDefault="002C5F8E" w:rsidP="00826A20">
      <w:pPr>
        <w:tabs>
          <w:tab w:val="left" w:pos="6540"/>
        </w:tabs>
        <w:spacing w:line="360" w:lineRule="auto"/>
        <w:rPr>
          <w:rFonts w:ascii="Arial" w:hAnsi="Arial" w:cs="Arial"/>
          <w:color w:val="000000" w:themeColor="text1"/>
          <w:sz w:val="22"/>
        </w:rPr>
      </w:pPr>
      <w:r w:rsidRPr="002C5F8E">
        <w:rPr>
          <w:rFonts w:ascii="Arial" w:hAnsi="Arial" w:cs="Arial"/>
          <w:color w:val="000000" w:themeColor="text1"/>
          <w:sz w:val="22"/>
        </w:rPr>
        <w:t>Diabetes mellitus is closely linked to the endocrine system, which is responsible for the production and regulation of hormones that oversee a variety of bodily functions. This system is significantly influenced by the pancreas, which secretes insulin, a hormone that regulates blood glucose levels. Blood glucose levels are elevated in individuals with diabetes due to insulin production or action impairment. This disruption in endocrine function can lead to long-term health complications and negatively impact the body's capacity to maintain metabolic balance (</w:t>
      </w:r>
      <w:proofErr w:type="spellStart"/>
      <w:r w:rsidRPr="002C5F8E">
        <w:rPr>
          <w:rFonts w:ascii="Arial" w:hAnsi="Arial" w:cs="Arial"/>
          <w:color w:val="000000" w:themeColor="text1"/>
          <w:sz w:val="22"/>
        </w:rPr>
        <w:t>Alrefai</w:t>
      </w:r>
      <w:proofErr w:type="spellEnd"/>
      <w:r w:rsidRPr="002C5F8E">
        <w:rPr>
          <w:rFonts w:ascii="Arial" w:hAnsi="Arial" w:cs="Arial"/>
          <w:color w:val="000000" w:themeColor="text1"/>
          <w:sz w:val="22"/>
        </w:rPr>
        <w:t xml:space="preserve"> et al., 2002).</w:t>
      </w:r>
    </w:p>
    <w:p w14:paraId="600953C5" w14:textId="558EC7DF" w:rsidR="009A31EE" w:rsidRDefault="00826A20" w:rsidP="00826A20">
      <w:pPr>
        <w:tabs>
          <w:tab w:val="left" w:pos="6540"/>
        </w:tabs>
        <w:spacing w:line="360" w:lineRule="auto"/>
        <w:rPr>
          <w:rFonts w:ascii="Arial" w:hAnsi="Arial" w:cs="Arial"/>
          <w:color w:val="000000" w:themeColor="text1"/>
          <w:sz w:val="22"/>
        </w:rPr>
      </w:pPr>
      <w:r w:rsidRPr="00826A20">
        <w:rPr>
          <w:rFonts w:ascii="Arial" w:hAnsi="Arial" w:cs="Arial"/>
          <w:color w:val="000000" w:themeColor="text1"/>
          <w:sz w:val="22"/>
        </w:rPr>
        <w:t>There are an estimated 6.3 million people in the UK at an increased risk of type 2 diabetes based on blood sugar levels</w:t>
      </w:r>
      <w:r>
        <w:rPr>
          <w:rFonts w:ascii="Arial" w:hAnsi="Arial" w:cs="Arial"/>
          <w:color w:val="000000" w:themeColor="text1"/>
          <w:sz w:val="22"/>
        </w:rPr>
        <w:t xml:space="preserve"> (Diabetes Uk</w:t>
      </w:r>
      <w:r w:rsidR="00CE5B9A">
        <w:rPr>
          <w:rFonts w:ascii="Arial" w:hAnsi="Arial" w:cs="Arial"/>
          <w:color w:val="000000" w:themeColor="text1"/>
          <w:sz w:val="22"/>
        </w:rPr>
        <w:t>, n.d.</w:t>
      </w:r>
      <w:r>
        <w:rPr>
          <w:rFonts w:ascii="Arial" w:hAnsi="Arial" w:cs="Arial"/>
          <w:color w:val="000000" w:themeColor="text1"/>
          <w:sz w:val="22"/>
        </w:rPr>
        <w:t>).</w:t>
      </w:r>
      <w:r w:rsidR="009A31EE">
        <w:rPr>
          <w:rFonts w:ascii="Arial" w:hAnsi="Arial" w:cs="Arial"/>
          <w:color w:val="000000" w:themeColor="text1"/>
          <w:sz w:val="22"/>
        </w:rPr>
        <w:t xml:space="preserve"> This highlights the growing public health concern associated with the condition.</w:t>
      </w:r>
    </w:p>
    <w:p w14:paraId="6F7F3A5E" w14:textId="584CEDDF" w:rsidR="009B150F" w:rsidRDefault="00826A20" w:rsidP="00C03A91">
      <w:pPr>
        <w:tabs>
          <w:tab w:val="left" w:pos="6540"/>
        </w:tabs>
        <w:spacing w:line="360" w:lineRule="auto"/>
        <w:rPr>
          <w:rFonts w:ascii="Arial" w:hAnsi="Arial" w:cs="Arial"/>
          <w:color w:val="000000" w:themeColor="text1"/>
          <w:sz w:val="22"/>
        </w:rPr>
      </w:pPr>
      <w:r w:rsidRPr="00826A20">
        <w:rPr>
          <w:rFonts w:ascii="Arial" w:hAnsi="Arial" w:cs="Arial"/>
          <w:color w:val="000000" w:themeColor="text1"/>
          <w:sz w:val="22"/>
        </w:rPr>
        <w:t>This report will examine the regulation of blood glucose levels in the body, the function of cellular metabolism in energy production, and the significance of monitoring blood glucose levels in individuals with Type 2 diabetes. It will also examine evidence-based lifestyle recommendations to enhance overall health and facilitate effective diabetes management.</w:t>
      </w:r>
    </w:p>
    <w:p w14:paraId="4ED75ECF" w14:textId="77777777" w:rsidR="00D328E4" w:rsidRDefault="00D328E4" w:rsidP="00C03A91">
      <w:pPr>
        <w:tabs>
          <w:tab w:val="left" w:pos="6540"/>
        </w:tabs>
        <w:spacing w:line="360" w:lineRule="auto"/>
        <w:rPr>
          <w:rFonts w:ascii="Arial" w:hAnsi="Arial" w:cs="Arial"/>
          <w:color w:val="000000" w:themeColor="text1"/>
          <w:sz w:val="22"/>
        </w:rPr>
      </w:pPr>
    </w:p>
    <w:p w14:paraId="09BBFE19" w14:textId="77777777" w:rsidR="00D328E4" w:rsidRDefault="00D328E4" w:rsidP="00C03A91">
      <w:pPr>
        <w:tabs>
          <w:tab w:val="left" w:pos="6540"/>
        </w:tabs>
        <w:spacing w:line="360" w:lineRule="auto"/>
        <w:rPr>
          <w:rFonts w:ascii="Arial" w:hAnsi="Arial" w:cs="Arial"/>
          <w:color w:val="000000" w:themeColor="text1"/>
          <w:sz w:val="22"/>
        </w:rPr>
      </w:pPr>
    </w:p>
    <w:p w14:paraId="51A3DD92" w14:textId="77777777" w:rsidR="00D328E4" w:rsidRPr="001B487E" w:rsidRDefault="00D328E4" w:rsidP="00C03A91">
      <w:pPr>
        <w:tabs>
          <w:tab w:val="left" w:pos="6540"/>
        </w:tabs>
        <w:spacing w:line="360" w:lineRule="auto"/>
        <w:rPr>
          <w:rFonts w:ascii="Arial" w:hAnsi="Arial" w:cs="Arial"/>
          <w:color w:val="000000" w:themeColor="text1"/>
          <w:sz w:val="22"/>
        </w:rPr>
      </w:pPr>
    </w:p>
    <w:p w14:paraId="2D95E97C" w14:textId="0116D9CF" w:rsidR="00C03A91" w:rsidRPr="00C03A91" w:rsidRDefault="00C03A91" w:rsidP="00C03A91">
      <w:pPr>
        <w:pStyle w:val="Ttulo1"/>
        <w:spacing w:line="360" w:lineRule="auto"/>
        <w:rPr>
          <w:rFonts w:cs="Arial"/>
        </w:rPr>
      </w:pPr>
      <w:r w:rsidRPr="00C03A91">
        <w:rPr>
          <w:rFonts w:cs="Arial"/>
        </w:rPr>
        <w:lastRenderedPageBreak/>
        <w:t xml:space="preserve">2. </w:t>
      </w:r>
      <w:r w:rsidR="00FD7392">
        <w:rPr>
          <w:rFonts w:cs="Arial"/>
        </w:rPr>
        <w:t>Blood Sugar Regulation</w:t>
      </w:r>
    </w:p>
    <w:p w14:paraId="4EDD4CD8" w14:textId="77777777" w:rsidR="0095227B" w:rsidRDefault="0095227B" w:rsidP="0095227B"/>
    <w:p w14:paraId="41E82F7B" w14:textId="05B469EB" w:rsidR="0095227B" w:rsidRPr="0095227B" w:rsidRDefault="0095227B" w:rsidP="0095227B">
      <w:pPr>
        <w:rPr>
          <w:rFonts w:ascii="Arial" w:hAnsi="Arial" w:cs="Arial"/>
          <w:sz w:val="22"/>
        </w:rPr>
      </w:pPr>
      <w:r w:rsidRPr="0095227B">
        <w:rPr>
          <w:rFonts w:ascii="Arial" w:hAnsi="Arial" w:cs="Arial"/>
          <w:sz w:val="22"/>
        </w:rPr>
        <w:t xml:space="preserve">The regulation of blood glucose concentration is a fundamental aspect of metabolic control, ensuring the maintenance of energy balance and the proper functioning of physiological systems. This regulatory process is chiefly mediated by the </w:t>
      </w:r>
      <w:r w:rsidR="009B150F" w:rsidRPr="0095227B">
        <w:rPr>
          <w:rFonts w:ascii="Arial" w:hAnsi="Arial" w:cs="Arial"/>
          <w:sz w:val="22"/>
        </w:rPr>
        <w:t>hormone’s</w:t>
      </w:r>
      <w:r w:rsidRPr="0095227B">
        <w:rPr>
          <w:rFonts w:ascii="Arial" w:hAnsi="Arial" w:cs="Arial"/>
          <w:sz w:val="22"/>
        </w:rPr>
        <w:t xml:space="preserve"> insulin and glucagon, which operate in a complementary manner to sustain glucose homeostasis. Insulin functions to decrease circulating glucose levels by facilitating its uptake into peripheral tissues, particularly skeletal muscle and adipose tissue, where it may be </w:t>
      </w:r>
      <w:r w:rsidR="009B150F">
        <w:rPr>
          <w:rFonts w:ascii="Arial" w:hAnsi="Arial" w:cs="Arial"/>
          <w:sz w:val="22"/>
        </w:rPr>
        <w:t>oxidized</w:t>
      </w:r>
      <w:r w:rsidRPr="0095227B">
        <w:rPr>
          <w:rFonts w:ascii="Arial" w:hAnsi="Arial" w:cs="Arial"/>
          <w:sz w:val="22"/>
        </w:rPr>
        <w:t xml:space="preserve"> for energy or stored for subsequent utilisation. Conversely, glucagon exerts an antagonistic effect by increasing blood glucose levels through the mobilisation of endogenous glucose reserves, thereby securing a continuous energy supply during periods of limited glucose availability (Aronoff et al., 2004).</w:t>
      </w:r>
    </w:p>
    <w:p w14:paraId="03726724" w14:textId="77777777" w:rsidR="0095227B" w:rsidRPr="0095227B" w:rsidRDefault="0095227B" w:rsidP="0095227B">
      <w:pPr>
        <w:rPr>
          <w:rFonts w:ascii="Arial" w:hAnsi="Arial" w:cs="Arial"/>
          <w:sz w:val="22"/>
        </w:rPr>
      </w:pPr>
      <w:r w:rsidRPr="0095227B">
        <w:rPr>
          <w:rFonts w:ascii="Arial" w:hAnsi="Arial" w:cs="Arial"/>
          <w:sz w:val="22"/>
        </w:rPr>
        <w:t>Following food intake, the postprandial rise in blood glucose stimulates pancreatic β</w:t>
      </w:r>
      <w:r w:rsidRPr="0095227B">
        <w:rPr>
          <w:rFonts w:ascii="Arial" w:hAnsi="Arial" w:cs="Arial"/>
          <w:sz w:val="22"/>
        </w:rPr>
        <w:noBreakHyphen/>
        <w:t>cells to secrete insulin. This hormone enhances cellular glucose uptake and promotes hepatic glycogenesis, enabling the storage of excess glucose as glycogen. In contrast, during fasting or inter</w:t>
      </w:r>
      <w:r w:rsidRPr="0095227B">
        <w:rPr>
          <w:rFonts w:ascii="Arial" w:hAnsi="Arial" w:cs="Arial"/>
          <w:sz w:val="22"/>
        </w:rPr>
        <w:noBreakHyphen/>
        <w:t>meal intervals, declining glucose levels activate the release of glucagon from pancreatic α</w:t>
      </w:r>
      <w:r w:rsidRPr="0095227B">
        <w:rPr>
          <w:rFonts w:ascii="Arial" w:hAnsi="Arial" w:cs="Arial"/>
          <w:sz w:val="22"/>
        </w:rPr>
        <w:noBreakHyphen/>
        <w:t>cells. Glucagon primarily targets the liver, where it induces glycogenolysis—the enzymatic breakdown of glycogen into glucose—and gluconeogenesis, the synthesis of glucose from non</w:t>
      </w:r>
      <w:r w:rsidRPr="0095227B">
        <w:rPr>
          <w:rFonts w:ascii="Arial" w:hAnsi="Arial" w:cs="Arial"/>
          <w:sz w:val="22"/>
        </w:rPr>
        <w:noBreakHyphen/>
        <w:t>carbohydrate precursors. These metabolic pathways collectively ensure the stabilisation of blood glucose levels and the continuous provision of energy to glucose</w:t>
      </w:r>
      <w:r w:rsidRPr="0095227B">
        <w:rPr>
          <w:rFonts w:ascii="Arial" w:hAnsi="Arial" w:cs="Arial"/>
          <w:sz w:val="22"/>
        </w:rPr>
        <w:noBreakHyphen/>
        <w:t>dependent organs, most notably the brain (Aronoff et al., 2004; Jiang and Zhang, 2002).</w:t>
      </w:r>
    </w:p>
    <w:p w14:paraId="56EB814E" w14:textId="77777777" w:rsidR="0095227B" w:rsidRPr="0095227B" w:rsidRDefault="0095227B" w:rsidP="0095227B">
      <w:pPr>
        <w:rPr>
          <w:rFonts w:ascii="Arial" w:hAnsi="Arial" w:cs="Arial"/>
          <w:sz w:val="22"/>
        </w:rPr>
      </w:pPr>
      <w:r w:rsidRPr="0095227B">
        <w:rPr>
          <w:rFonts w:ascii="Arial" w:hAnsi="Arial" w:cs="Arial"/>
          <w:sz w:val="22"/>
        </w:rPr>
        <w:t>This hormonal interplay is governed by a negative feedback mechanism, which maintains glucose concentrations within a narrow physiological range. Elevated glucose levels stimulate insulin secretion to restore normoglycaemia, whereas reduced levels trigger glucagon release to counteract hypoglycaemia. The precision of this regulatory system is essential for metabolic equilibrium and for preventing pathological conditions such as hyperglycaemia and hypoglycaemia, both of which are characteristic features of diabetes mellitus (</w:t>
      </w:r>
      <w:proofErr w:type="spellStart"/>
      <w:r w:rsidRPr="0095227B">
        <w:rPr>
          <w:rFonts w:ascii="Arial" w:hAnsi="Arial" w:cs="Arial"/>
          <w:sz w:val="22"/>
        </w:rPr>
        <w:t>StatPearls</w:t>
      </w:r>
      <w:proofErr w:type="spellEnd"/>
      <w:r w:rsidRPr="0095227B">
        <w:rPr>
          <w:rFonts w:ascii="Arial" w:hAnsi="Arial" w:cs="Arial"/>
          <w:sz w:val="22"/>
        </w:rPr>
        <w:t xml:space="preserve"> Publishing, 2023).</w:t>
      </w:r>
    </w:p>
    <w:p w14:paraId="32790373" w14:textId="77777777" w:rsidR="0095227B" w:rsidRPr="0095227B" w:rsidRDefault="0095227B" w:rsidP="0095227B"/>
    <w:p w14:paraId="381CCE5B" w14:textId="4E3ACA6B" w:rsidR="000C4EDA" w:rsidRPr="00C03A91" w:rsidRDefault="00076AC0" w:rsidP="005F6DF3">
      <w:pPr>
        <w:pStyle w:val="Ttulo1"/>
        <w:spacing w:line="360" w:lineRule="auto"/>
        <w:rPr>
          <w:rFonts w:cs="Arial"/>
        </w:rPr>
      </w:pPr>
      <w:r>
        <w:rPr>
          <w:rFonts w:cs="Arial"/>
        </w:rPr>
        <w:t>3</w:t>
      </w:r>
      <w:r w:rsidR="000C4EDA" w:rsidRPr="00C03A91">
        <w:rPr>
          <w:rFonts w:cs="Arial"/>
        </w:rPr>
        <w:t xml:space="preserve">. </w:t>
      </w:r>
      <w:r w:rsidR="007A7297">
        <w:rPr>
          <w:rFonts w:cs="Arial"/>
        </w:rPr>
        <w:t>Cellular Metabolism</w:t>
      </w:r>
      <w:r w:rsidR="000C4EDA" w:rsidRPr="00C03A91">
        <w:rPr>
          <w:rFonts w:cs="Arial"/>
        </w:rPr>
        <w:t xml:space="preserve"> </w:t>
      </w:r>
    </w:p>
    <w:p w14:paraId="59A387C6" w14:textId="46B3FEB3" w:rsidR="00421346" w:rsidRPr="005F6DF3" w:rsidRDefault="005F6DF3" w:rsidP="005F6DF3">
      <w:pPr>
        <w:tabs>
          <w:tab w:val="left" w:pos="6540"/>
        </w:tabs>
        <w:spacing w:line="360" w:lineRule="auto"/>
        <w:rPr>
          <w:rFonts w:ascii="Arial" w:hAnsi="Arial" w:cs="Arial"/>
          <w:color w:val="8EAADB" w:themeColor="accent1" w:themeTint="99"/>
          <w:sz w:val="22"/>
        </w:rPr>
      </w:pPr>
      <w:r w:rsidRPr="005F6DF3">
        <w:rPr>
          <w:rFonts w:ascii="Arial" w:hAnsi="Arial" w:cs="Arial"/>
          <w:color w:val="000000" w:themeColor="text1"/>
          <w:sz w:val="22"/>
        </w:rPr>
        <w:t xml:space="preserve">Cellular metabolism is a fundamental process for energy production, as cells synthesise adenosine triphosphate (ATP), which serves as the body’s primary energy currency, through the utilisation of glucose and oxygen. Once glucose enters the cell, it undergoes glycolysis in the cytoplasm, where it is broken down into pyruvate, generating a small amount of ATP and intermediate molecules. In the presence of oxygen, pyruvate is transported into the mitochondria, where it undergoes further metabolic processing through the Krebs cycle and the electron transport chain. During these stages, energy stored in glucose is progressively released and transferred through a series of chemical reactions, ultimately enabling the production of a significantly larger amount of ATP through oxidative phosphorylation. Oxygen plays a crucial role in this process by acting as the final electron acceptor, allowing </w:t>
      </w:r>
      <w:r w:rsidRPr="005F6DF3">
        <w:rPr>
          <w:rFonts w:ascii="Arial" w:hAnsi="Arial" w:cs="Arial"/>
          <w:color w:val="000000" w:themeColor="text1"/>
          <w:sz w:val="22"/>
        </w:rPr>
        <w:lastRenderedPageBreak/>
        <w:t>the electron transport chain to function efficiently and sustain ATP synthesis. This entire process, known as cellular respiration, is essential for maintaining vital cellular functions, including biosynthesis, active transport across cell membranes, maintenance of cellular integrity, and muscle contraction. Efficient ATP production is therefore critical for supporting normal physiological activity. In individuals with diabetes, impaired glucose uptake due to insulin resistance or insufficient insulin production reduces the availability of glucose within cells, thereby decreasing the efficiency of cellular respiration. As a result, ATP production is diminished, leading to reduced cellular function and contributing to broader metabolic dysfunction associated with the condition (</w:t>
      </w:r>
      <w:proofErr w:type="spellStart"/>
      <w:r w:rsidRPr="005F6DF3">
        <w:rPr>
          <w:rFonts w:ascii="Arial" w:hAnsi="Arial" w:cs="Arial"/>
          <w:color w:val="000000" w:themeColor="text1"/>
          <w:sz w:val="22"/>
        </w:rPr>
        <w:t>StatPearls</w:t>
      </w:r>
      <w:proofErr w:type="spellEnd"/>
      <w:r w:rsidRPr="005F6DF3">
        <w:rPr>
          <w:rFonts w:ascii="Arial" w:hAnsi="Arial" w:cs="Arial"/>
          <w:color w:val="000000" w:themeColor="text1"/>
          <w:sz w:val="22"/>
        </w:rPr>
        <w:t xml:space="preserve"> Publishing, 2023; Biro, 2022).</w:t>
      </w:r>
    </w:p>
    <w:p w14:paraId="3F8483EE" w14:textId="77777777" w:rsidR="00F44C8F" w:rsidRPr="00F44C8F" w:rsidRDefault="00F44C8F" w:rsidP="00F44C8F">
      <w:pPr>
        <w:tabs>
          <w:tab w:val="left" w:pos="6540"/>
        </w:tabs>
        <w:spacing w:line="360" w:lineRule="auto"/>
        <w:rPr>
          <w:rFonts w:ascii="Arial" w:hAnsi="Arial" w:cs="Arial"/>
          <w:color w:val="8EAADB" w:themeColor="accent1" w:themeTint="99"/>
          <w:sz w:val="22"/>
        </w:rPr>
      </w:pPr>
    </w:p>
    <w:p w14:paraId="00AEA37C" w14:textId="422160CC" w:rsidR="000C4EDA" w:rsidRPr="00C03A91" w:rsidRDefault="00076AC0" w:rsidP="00C03A91">
      <w:pPr>
        <w:pStyle w:val="Ttulo1"/>
        <w:spacing w:line="360" w:lineRule="auto"/>
        <w:rPr>
          <w:rFonts w:cs="Arial"/>
        </w:rPr>
      </w:pPr>
      <w:r>
        <w:rPr>
          <w:rFonts w:cs="Arial"/>
        </w:rPr>
        <w:t>4</w:t>
      </w:r>
      <w:r w:rsidR="000C4EDA" w:rsidRPr="00C03A91">
        <w:rPr>
          <w:rFonts w:cs="Arial"/>
        </w:rPr>
        <w:t xml:space="preserve">. </w:t>
      </w:r>
      <w:r w:rsidR="007A7297">
        <w:rPr>
          <w:rFonts w:cs="Arial"/>
        </w:rPr>
        <w:t>Recording and tracking blood sugar levels for type 2 diabetes</w:t>
      </w:r>
    </w:p>
    <w:p w14:paraId="5B56F870" w14:textId="67EA5ACC" w:rsidR="00235DB6" w:rsidRDefault="00235DB6" w:rsidP="00235DB6">
      <w:pPr>
        <w:tabs>
          <w:tab w:val="left" w:pos="6540"/>
        </w:tabs>
        <w:spacing w:line="360" w:lineRule="auto"/>
        <w:rPr>
          <w:rFonts w:ascii="Arial" w:hAnsi="Arial" w:cs="Arial"/>
          <w:color w:val="000000" w:themeColor="text1"/>
          <w:sz w:val="22"/>
        </w:rPr>
      </w:pPr>
      <w:r w:rsidRPr="00235DB6">
        <w:rPr>
          <w:rFonts w:ascii="Arial" w:hAnsi="Arial" w:cs="Arial"/>
          <w:color w:val="000000" w:themeColor="text1"/>
          <w:sz w:val="22"/>
        </w:rPr>
        <w:t xml:space="preserve">Monitoring and documenting blood glucose levels are essential components in the management of type 2 diabetes, enabling individuals and healthcare providers to evaluate glycaemic control and adjust treatment accordingly. Effective monitoring facilitates the prevention of acute complications, such as </w:t>
      </w:r>
      <w:proofErr w:type="spellStart"/>
      <w:r w:rsidRPr="00235DB6">
        <w:rPr>
          <w:rFonts w:ascii="Arial" w:hAnsi="Arial" w:cs="Arial"/>
          <w:color w:val="000000" w:themeColor="text1"/>
          <w:sz w:val="22"/>
        </w:rPr>
        <w:t>hypoglycemia</w:t>
      </w:r>
      <w:proofErr w:type="spellEnd"/>
      <w:r w:rsidRPr="00235DB6">
        <w:rPr>
          <w:rFonts w:ascii="Arial" w:hAnsi="Arial" w:cs="Arial"/>
          <w:color w:val="000000" w:themeColor="text1"/>
          <w:sz w:val="22"/>
        </w:rPr>
        <w:t xml:space="preserve"> and </w:t>
      </w:r>
      <w:proofErr w:type="spellStart"/>
      <w:r w:rsidRPr="00235DB6">
        <w:rPr>
          <w:rFonts w:ascii="Arial" w:hAnsi="Arial" w:cs="Arial"/>
          <w:color w:val="000000" w:themeColor="text1"/>
          <w:sz w:val="22"/>
        </w:rPr>
        <w:t>hyperglycemia</w:t>
      </w:r>
      <w:proofErr w:type="spellEnd"/>
      <w:r w:rsidRPr="00235DB6">
        <w:rPr>
          <w:rFonts w:ascii="Arial" w:hAnsi="Arial" w:cs="Arial"/>
          <w:color w:val="000000" w:themeColor="text1"/>
          <w:sz w:val="22"/>
        </w:rPr>
        <w:t>, as well as chronic complications, including cardiovascular disease and neuropathy. Two primary methodologies are commonly utilised: self-monitoring of blood glucose (SMBG), involving periodic finger-prick evaluations, and continuous glucose monitoring (CGM), which provides real-time glucose level readings throughout the day.</w:t>
      </w:r>
      <w:r w:rsidR="00541FD3">
        <w:rPr>
          <w:rFonts w:ascii="Arial" w:hAnsi="Arial" w:cs="Arial"/>
          <w:color w:val="000000" w:themeColor="text1"/>
          <w:sz w:val="22"/>
        </w:rPr>
        <w:t xml:space="preserve"> </w:t>
      </w:r>
      <w:r w:rsidRPr="00235DB6">
        <w:rPr>
          <w:rFonts w:ascii="Arial" w:hAnsi="Arial" w:cs="Arial"/>
          <w:color w:val="000000" w:themeColor="text1"/>
          <w:sz w:val="22"/>
        </w:rPr>
        <w:t>Evidence suggests that CGM offers a more comprehensive understanding of glucose fluctuations and can lead to improved glycaemic control compared to traditional SMBG methods (</w:t>
      </w:r>
      <w:proofErr w:type="spellStart"/>
      <w:r w:rsidRPr="00235DB6">
        <w:rPr>
          <w:rFonts w:ascii="Arial" w:hAnsi="Arial" w:cs="Arial"/>
          <w:color w:val="000000" w:themeColor="text1"/>
          <w:sz w:val="22"/>
        </w:rPr>
        <w:t>Janapala</w:t>
      </w:r>
      <w:proofErr w:type="spellEnd"/>
      <w:r w:rsidRPr="00235DB6">
        <w:rPr>
          <w:rFonts w:ascii="Arial" w:hAnsi="Arial" w:cs="Arial"/>
          <w:color w:val="000000" w:themeColor="text1"/>
          <w:sz w:val="22"/>
        </w:rPr>
        <w:t xml:space="preserve"> et al., 2019).</w:t>
      </w:r>
    </w:p>
    <w:p w14:paraId="3048628D" w14:textId="548D45A3" w:rsidR="00541FD3" w:rsidRPr="00235DB6" w:rsidRDefault="008F2A2A" w:rsidP="00235DB6">
      <w:pPr>
        <w:tabs>
          <w:tab w:val="left" w:pos="6540"/>
        </w:tabs>
        <w:spacing w:line="360" w:lineRule="auto"/>
        <w:rPr>
          <w:rFonts w:ascii="Arial" w:hAnsi="Arial" w:cs="Arial"/>
          <w:color w:val="000000" w:themeColor="text1"/>
          <w:sz w:val="22"/>
        </w:rPr>
      </w:pPr>
      <w:r>
        <w:rPr>
          <w:rFonts w:ascii="Arial" w:hAnsi="Arial" w:cs="Arial"/>
          <w:color w:val="000000" w:themeColor="text1"/>
          <w:sz w:val="22"/>
        </w:rPr>
        <w:t>Furthermore, a</w:t>
      </w:r>
      <w:r w:rsidRPr="008F2A2A">
        <w:rPr>
          <w:rFonts w:ascii="Arial" w:hAnsi="Arial" w:cs="Arial"/>
          <w:color w:val="000000" w:themeColor="text1"/>
          <w:sz w:val="22"/>
        </w:rPr>
        <w:t>lthough self-monitoring of blood glucose (SMBG) has long been a conventional method for diabetes management, it possesses specific limitations, especially in individuals with type 2 diabetes who are not undergoing insulin therapy. The sporadic glucose readings from SMBG may be inadequate to accurately represent the daily fluctuations in blood glucose levels. Evidence suggests that its impact on long-term outcomes in specific patients is limited, despite its efficacy in glycaemic control and complication prevention (</w:t>
      </w:r>
      <w:proofErr w:type="spellStart"/>
      <w:r w:rsidRPr="008F2A2A">
        <w:rPr>
          <w:rFonts w:ascii="Arial" w:hAnsi="Arial" w:cs="Arial"/>
          <w:color w:val="000000" w:themeColor="text1"/>
          <w:sz w:val="22"/>
        </w:rPr>
        <w:t>Montagnana</w:t>
      </w:r>
      <w:proofErr w:type="spellEnd"/>
      <w:r w:rsidRPr="008F2A2A">
        <w:rPr>
          <w:rFonts w:ascii="Arial" w:hAnsi="Arial" w:cs="Arial"/>
          <w:color w:val="000000" w:themeColor="text1"/>
          <w:sz w:val="22"/>
        </w:rPr>
        <w:t xml:space="preserve"> et al., 2009). In contrast, continuous glucose monitoring (CGM) allows for real-time and dynamic observation of glucose levels, thus enhancing the understanding of glycaemic variability. This </w:t>
      </w:r>
      <w:r>
        <w:rPr>
          <w:rFonts w:ascii="Arial" w:hAnsi="Arial" w:cs="Arial"/>
          <w:color w:val="000000" w:themeColor="text1"/>
          <w:sz w:val="22"/>
        </w:rPr>
        <w:t>facilitates</w:t>
      </w:r>
      <w:r w:rsidRPr="008F2A2A">
        <w:rPr>
          <w:rFonts w:ascii="Arial" w:hAnsi="Arial" w:cs="Arial"/>
          <w:color w:val="000000" w:themeColor="text1"/>
          <w:sz w:val="22"/>
        </w:rPr>
        <w:t xml:space="preserve"> more accurate treatment modifications and promotes the early identification of </w:t>
      </w:r>
      <w:proofErr w:type="spellStart"/>
      <w:r w:rsidRPr="008F2A2A">
        <w:rPr>
          <w:rFonts w:ascii="Arial" w:hAnsi="Arial" w:cs="Arial"/>
          <w:color w:val="000000" w:themeColor="text1"/>
          <w:sz w:val="22"/>
        </w:rPr>
        <w:t>hypoglycemia</w:t>
      </w:r>
      <w:proofErr w:type="spellEnd"/>
      <w:r w:rsidRPr="008F2A2A">
        <w:rPr>
          <w:rFonts w:ascii="Arial" w:hAnsi="Arial" w:cs="Arial"/>
          <w:color w:val="000000" w:themeColor="text1"/>
          <w:sz w:val="22"/>
        </w:rPr>
        <w:t xml:space="preserve"> and </w:t>
      </w:r>
      <w:proofErr w:type="spellStart"/>
      <w:r w:rsidRPr="008F2A2A">
        <w:rPr>
          <w:rFonts w:ascii="Arial" w:hAnsi="Arial" w:cs="Arial"/>
          <w:color w:val="000000" w:themeColor="text1"/>
          <w:sz w:val="22"/>
        </w:rPr>
        <w:t>hyperglycemia</w:t>
      </w:r>
      <w:proofErr w:type="spellEnd"/>
      <w:r w:rsidRPr="008F2A2A">
        <w:rPr>
          <w:rFonts w:ascii="Arial" w:hAnsi="Arial" w:cs="Arial"/>
          <w:color w:val="000000" w:themeColor="text1"/>
          <w:sz w:val="22"/>
        </w:rPr>
        <w:t>.</w:t>
      </w:r>
      <w:r>
        <w:rPr>
          <w:rFonts w:ascii="Arial" w:hAnsi="Arial" w:cs="Arial"/>
          <w:color w:val="000000" w:themeColor="text1"/>
          <w:sz w:val="22"/>
        </w:rPr>
        <w:t xml:space="preserve"> </w:t>
      </w:r>
      <w:r w:rsidR="000B0610" w:rsidRPr="000B0610">
        <w:rPr>
          <w:rFonts w:ascii="Arial" w:hAnsi="Arial" w:cs="Arial"/>
          <w:color w:val="000000" w:themeColor="text1"/>
          <w:sz w:val="22"/>
        </w:rPr>
        <w:t>Comparing CGM to SMBG, research has demonstrated that CGM is linked to enhanced glycaemic control, including decreases in HbA1c levels (</w:t>
      </w:r>
      <w:proofErr w:type="spellStart"/>
      <w:r w:rsidR="000B0610" w:rsidRPr="000B0610">
        <w:rPr>
          <w:rFonts w:ascii="Arial" w:hAnsi="Arial" w:cs="Arial"/>
          <w:color w:val="000000" w:themeColor="text1"/>
          <w:sz w:val="22"/>
        </w:rPr>
        <w:t>Janapala</w:t>
      </w:r>
      <w:proofErr w:type="spellEnd"/>
      <w:r w:rsidR="000B0610" w:rsidRPr="000B0610">
        <w:rPr>
          <w:rFonts w:ascii="Arial" w:hAnsi="Arial" w:cs="Arial"/>
          <w:color w:val="000000" w:themeColor="text1"/>
          <w:sz w:val="22"/>
        </w:rPr>
        <w:t xml:space="preserve"> et al., 2019). </w:t>
      </w:r>
      <w:r w:rsidR="00E04DF1" w:rsidRPr="00E04DF1">
        <w:rPr>
          <w:rFonts w:ascii="Arial" w:hAnsi="Arial" w:cs="Arial"/>
          <w:color w:val="000000" w:themeColor="text1"/>
          <w:sz w:val="22"/>
        </w:rPr>
        <w:lastRenderedPageBreak/>
        <w:t>Consequently, CGM represents a more advanced and clinically effective approach for managing type 2 diabetes, particularly in improving long-term glycaemic outcomes, while SMBG remains a useful and accessible tool in routine care.</w:t>
      </w:r>
    </w:p>
    <w:p w14:paraId="189B8F71" w14:textId="77777777" w:rsidR="001B7A40" w:rsidRPr="00C03A91" w:rsidRDefault="001B7A40" w:rsidP="00C03A91">
      <w:pPr>
        <w:spacing w:line="360" w:lineRule="auto"/>
        <w:rPr>
          <w:rFonts w:ascii="Arial" w:hAnsi="Arial" w:cs="Arial"/>
        </w:rPr>
      </w:pPr>
    </w:p>
    <w:p w14:paraId="012D50EF" w14:textId="4B5AEE0C" w:rsidR="001B7A40" w:rsidRPr="00C03A91" w:rsidRDefault="001B7A40" w:rsidP="00C03A91">
      <w:pPr>
        <w:pStyle w:val="Ttulo1"/>
        <w:spacing w:line="360" w:lineRule="auto"/>
        <w:rPr>
          <w:rFonts w:cs="Arial"/>
        </w:rPr>
      </w:pPr>
      <w:r w:rsidRPr="00C03A91">
        <w:rPr>
          <w:rFonts w:cs="Arial"/>
        </w:rPr>
        <w:t>5. Recommend</w:t>
      </w:r>
      <w:r w:rsidR="007A7297">
        <w:rPr>
          <w:rFonts w:cs="Arial"/>
        </w:rPr>
        <w:t>ations</w:t>
      </w:r>
    </w:p>
    <w:p w14:paraId="16FBE355" w14:textId="77777777" w:rsidR="00D328E4" w:rsidRDefault="00D328E4" w:rsidP="00C03A91">
      <w:pPr>
        <w:pStyle w:val="Ttulo1"/>
        <w:spacing w:line="360" w:lineRule="auto"/>
        <w:rPr>
          <w:rFonts w:eastAsiaTheme="minorHAnsi" w:cs="Arial"/>
          <w:b w:val="0"/>
          <w:color w:val="000000" w:themeColor="text1"/>
          <w:sz w:val="22"/>
          <w:szCs w:val="22"/>
        </w:rPr>
      </w:pPr>
      <w:r w:rsidRPr="00D328E4">
        <w:rPr>
          <w:rFonts w:eastAsiaTheme="minorHAnsi" w:cs="Arial"/>
          <w:b w:val="0"/>
          <w:color w:val="000000" w:themeColor="text1"/>
          <w:sz w:val="22"/>
          <w:szCs w:val="22"/>
        </w:rPr>
        <w:t>To optimise the management of type 2 diabetes, individuals are encouraged to undertake regular blood glucose monitoring and to engage actively in their own care. Effective self</w:t>
      </w:r>
      <w:r w:rsidRPr="00D328E4">
        <w:rPr>
          <w:rFonts w:eastAsiaTheme="minorHAnsi" w:cs="Arial"/>
          <w:b w:val="0"/>
          <w:color w:val="000000" w:themeColor="text1"/>
          <w:sz w:val="22"/>
          <w:szCs w:val="22"/>
        </w:rPr>
        <w:noBreakHyphen/>
        <w:t>management is fundamental to maintaining glycaemic control and preventing both acute and long</w:t>
      </w:r>
      <w:r w:rsidRPr="00D328E4">
        <w:rPr>
          <w:rFonts w:eastAsiaTheme="minorHAnsi" w:cs="Arial"/>
          <w:b w:val="0"/>
          <w:color w:val="000000" w:themeColor="text1"/>
          <w:sz w:val="22"/>
          <w:szCs w:val="22"/>
        </w:rPr>
        <w:noBreakHyphen/>
        <w:t>term complications associated with the condition. Healthcare professionals play a pivotal role in this process by providing clear, structured guidance on appropriate monitoring techniques and on the accurate interpretation of blood glucose readings. Such support enables individuals to make informed decisions regarding dietary choices, physical activity, and medication adherence. Current clinical guidelines emphasise that structured education and ongoing professional support are essential components in promoting effective and sustainable diabetes self</w:t>
      </w:r>
      <w:r w:rsidRPr="00D328E4">
        <w:rPr>
          <w:rFonts w:eastAsiaTheme="minorHAnsi" w:cs="Arial"/>
          <w:b w:val="0"/>
          <w:color w:val="000000" w:themeColor="text1"/>
          <w:sz w:val="22"/>
          <w:szCs w:val="22"/>
        </w:rPr>
        <w:noBreakHyphen/>
        <w:t>management. Empowering individuals with the knowledge, skills, and confidence required to manage their condition has been shown to enhance adherence to treatment plans and facilitate meaningful behavioural change. Furthermore, the use of validated monitoring technologies, including continuous glucose monitoring (CGM) systems where available, offers a more comprehensive and dynamic understanding of glycaemic patterns throughout the day. When combined with lifestyle interventions—such as balanced nutrition, weight management, and regular physical activity—these strategies can significantly improve glycaemic control, reduce the risk of complications, and ultimately enhance overall health outcomes and quality of life (NICE, 2023).</w:t>
      </w:r>
    </w:p>
    <w:p w14:paraId="59F05989" w14:textId="40EE7499" w:rsidR="001B7A40" w:rsidRPr="00C03A91" w:rsidRDefault="001B7A40" w:rsidP="00C03A91">
      <w:pPr>
        <w:pStyle w:val="Ttulo1"/>
        <w:spacing w:line="360" w:lineRule="auto"/>
        <w:rPr>
          <w:rFonts w:cs="Arial"/>
        </w:rPr>
      </w:pPr>
      <w:r w:rsidRPr="00C03A91">
        <w:rPr>
          <w:rFonts w:cs="Arial"/>
        </w:rPr>
        <w:t>6. Conclusion</w:t>
      </w:r>
    </w:p>
    <w:p w14:paraId="7FECB7FB" w14:textId="77777777" w:rsidR="009B150F" w:rsidRPr="009B150F" w:rsidRDefault="009B150F" w:rsidP="009B150F">
      <w:pPr>
        <w:spacing w:line="360" w:lineRule="auto"/>
        <w:rPr>
          <w:rFonts w:ascii="Arial" w:hAnsi="Arial" w:cs="Arial"/>
          <w:color w:val="000000" w:themeColor="text1"/>
          <w:sz w:val="22"/>
        </w:rPr>
      </w:pPr>
      <w:r w:rsidRPr="009B150F">
        <w:rPr>
          <w:rFonts w:ascii="Arial" w:hAnsi="Arial" w:cs="Arial"/>
          <w:color w:val="000000" w:themeColor="text1"/>
          <w:sz w:val="22"/>
        </w:rPr>
        <w:t xml:space="preserve">The regulation of blood glucose is a fundamental physiological process essential for maintaining energy balance and overall metabolic health. This regulation is primarily mediated by the </w:t>
      </w:r>
      <w:proofErr w:type="gramStart"/>
      <w:r w:rsidRPr="009B150F">
        <w:rPr>
          <w:rFonts w:ascii="Arial" w:hAnsi="Arial" w:cs="Arial"/>
          <w:color w:val="000000" w:themeColor="text1"/>
          <w:sz w:val="22"/>
        </w:rPr>
        <w:t>hormones</w:t>
      </w:r>
      <w:proofErr w:type="gramEnd"/>
      <w:r w:rsidRPr="009B150F">
        <w:rPr>
          <w:rFonts w:ascii="Arial" w:hAnsi="Arial" w:cs="Arial"/>
          <w:color w:val="000000" w:themeColor="text1"/>
          <w:sz w:val="22"/>
        </w:rPr>
        <w:t xml:space="preserve"> insulin and glucagon, which operate through a coordinated negative feedback mechanism to preserve glucose homeostasis. Disruptions to this system can lead to hyperglycaemia or hypoglycaemia, both of which are characteristic complications associated with diabetes.</w:t>
      </w:r>
    </w:p>
    <w:p w14:paraId="375B18C3" w14:textId="77777777" w:rsidR="009B150F" w:rsidRPr="009B150F" w:rsidRDefault="009B150F" w:rsidP="009B150F">
      <w:pPr>
        <w:spacing w:line="360" w:lineRule="auto"/>
        <w:rPr>
          <w:rFonts w:ascii="Arial" w:hAnsi="Arial" w:cs="Arial"/>
          <w:color w:val="000000" w:themeColor="text1"/>
          <w:sz w:val="22"/>
        </w:rPr>
      </w:pPr>
      <w:r w:rsidRPr="009B150F">
        <w:rPr>
          <w:rFonts w:ascii="Arial" w:hAnsi="Arial" w:cs="Arial"/>
          <w:color w:val="000000" w:themeColor="text1"/>
          <w:sz w:val="22"/>
        </w:rPr>
        <w:t xml:space="preserve">Cellular metabolism further underpins energy production, as glucose and oxygen are utilised to generate adenosine triphosphate (ATP), the principal energy currency of the cell. This involves complex biochemical pathways, including glycolysis, the Krebs cycle, and oxidative </w:t>
      </w:r>
      <w:r w:rsidRPr="009B150F">
        <w:rPr>
          <w:rFonts w:ascii="Arial" w:hAnsi="Arial" w:cs="Arial"/>
          <w:color w:val="000000" w:themeColor="text1"/>
          <w:sz w:val="22"/>
        </w:rPr>
        <w:lastRenderedPageBreak/>
        <w:t>phosphorylation. In individuals with type 2 diabetes, insulin resistance impairs glucose uptake, reducing metabolic efficiency and contributing to diminished ATP production, thereby exacerbating broader metabolic dysfunction.</w:t>
      </w:r>
    </w:p>
    <w:p w14:paraId="3CD1BEFE" w14:textId="77777777" w:rsidR="009B150F" w:rsidRPr="009B150F" w:rsidRDefault="009B150F" w:rsidP="009B150F">
      <w:pPr>
        <w:spacing w:line="360" w:lineRule="auto"/>
        <w:rPr>
          <w:rFonts w:ascii="Arial" w:hAnsi="Arial" w:cs="Arial"/>
          <w:color w:val="000000" w:themeColor="text1"/>
          <w:sz w:val="22"/>
        </w:rPr>
      </w:pPr>
      <w:r w:rsidRPr="009B150F">
        <w:rPr>
          <w:rFonts w:ascii="Arial" w:hAnsi="Arial" w:cs="Arial"/>
          <w:color w:val="000000" w:themeColor="text1"/>
          <w:sz w:val="22"/>
        </w:rPr>
        <w:t>Monitoring blood glucose is therefore a critical component of type 2 diabetes management. While self</w:t>
      </w:r>
      <w:r w:rsidRPr="009B150F">
        <w:rPr>
          <w:rFonts w:ascii="Arial" w:hAnsi="Arial" w:cs="Arial"/>
          <w:color w:val="000000" w:themeColor="text1"/>
          <w:sz w:val="22"/>
        </w:rPr>
        <w:noBreakHyphen/>
        <w:t>monitoring of blood glucose (SMBG) provides valuable point</w:t>
      </w:r>
      <w:r w:rsidRPr="009B150F">
        <w:rPr>
          <w:rFonts w:ascii="Arial" w:hAnsi="Arial" w:cs="Arial"/>
          <w:color w:val="000000" w:themeColor="text1"/>
          <w:sz w:val="22"/>
        </w:rPr>
        <w:noBreakHyphen/>
        <w:t>in</w:t>
      </w:r>
      <w:r w:rsidRPr="009B150F">
        <w:rPr>
          <w:rFonts w:ascii="Arial" w:hAnsi="Arial" w:cs="Arial"/>
          <w:color w:val="000000" w:themeColor="text1"/>
          <w:sz w:val="22"/>
        </w:rPr>
        <w:noBreakHyphen/>
        <w:t>time measurements, continuous glucose monitoring (CGM) offers a more comprehensive and dynamic assessment of glycaemic patterns. These monitoring strategies support more precise therapeutic adjustments and contribute to improved clinical outcomes.</w:t>
      </w:r>
    </w:p>
    <w:p w14:paraId="5598DB0E" w14:textId="77777777" w:rsidR="009B150F" w:rsidRPr="009B150F" w:rsidRDefault="009B150F" w:rsidP="009B150F">
      <w:pPr>
        <w:spacing w:line="360" w:lineRule="auto"/>
        <w:rPr>
          <w:rFonts w:ascii="Arial" w:hAnsi="Arial" w:cs="Arial"/>
          <w:color w:val="000000" w:themeColor="text1"/>
          <w:sz w:val="22"/>
        </w:rPr>
      </w:pPr>
      <w:r w:rsidRPr="009B150F">
        <w:rPr>
          <w:rFonts w:ascii="Arial" w:hAnsi="Arial" w:cs="Arial"/>
          <w:color w:val="000000" w:themeColor="text1"/>
          <w:sz w:val="22"/>
        </w:rPr>
        <w:t>Evidence</w:t>
      </w:r>
      <w:r w:rsidRPr="009B150F">
        <w:rPr>
          <w:rFonts w:ascii="Arial" w:hAnsi="Arial" w:cs="Arial"/>
          <w:color w:val="000000" w:themeColor="text1"/>
          <w:sz w:val="22"/>
        </w:rPr>
        <w:noBreakHyphen/>
        <w:t>based guidelines emphasise the importance of regular monitoring, patient education, and lifestyle interventions—such as balanced nutrition and physical activity—in optimising glycaemic control and reducing the risk of long</w:t>
      </w:r>
      <w:r w:rsidRPr="009B150F">
        <w:rPr>
          <w:rFonts w:ascii="Arial" w:hAnsi="Arial" w:cs="Arial"/>
          <w:color w:val="000000" w:themeColor="text1"/>
          <w:sz w:val="22"/>
        </w:rPr>
        <w:noBreakHyphen/>
        <w:t>term complications. Overall, an integrated approach that combines physiological understanding, effective monitoring technologies, and proactive self</w:t>
      </w:r>
      <w:r w:rsidRPr="009B150F">
        <w:rPr>
          <w:rFonts w:ascii="Arial" w:hAnsi="Arial" w:cs="Arial"/>
          <w:color w:val="000000" w:themeColor="text1"/>
          <w:sz w:val="22"/>
        </w:rPr>
        <w:noBreakHyphen/>
        <w:t>management strategies is essential for enhancing health outcomes and improving the quality of life of individuals living with type 2 diabetes.</w:t>
      </w:r>
    </w:p>
    <w:p w14:paraId="08E99182" w14:textId="037FE047" w:rsidR="001B7A40" w:rsidRPr="00C03A91" w:rsidRDefault="001B7A40" w:rsidP="00C03A91">
      <w:pPr>
        <w:spacing w:line="360" w:lineRule="auto"/>
        <w:rPr>
          <w:rFonts w:ascii="Arial" w:hAnsi="Arial" w:cs="Arial"/>
        </w:rPr>
      </w:pPr>
    </w:p>
    <w:p w14:paraId="6B4EC494" w14:textId="77777777" w:rsidR="009B150F" w:rsidRDefault="009B150F" w:rsidP="00C03A91">
      <w:pPr>
        <w:spacing w:line="360" w:lineRule="auto"/>
        <w:rPr>
          <w:rFonts w:ascii="Arial" w:hAnsi="Arial" w:cs="Arial"/>
        </w:rPr>
      </w:pPr>
    </w:p>
    <w:p w14:paraId="5BCBB22C" w14:textId="08B03786" w:rsidR="001B7A40" w:rsidRPr="00C03A91" w:rsidRDefault="001B7A40" w:rsidP="00C03A91">
      <w:pPr>
        <w:spacing w:line="360" w:lineRule="auto"/>
        <w:rPr>
          <w:rFonts w:ascii="Arial" w:hAnsi="Arial" w:cs="Arial"/>
        </w:rPr>
      </w:pPr>
      <w:r w:rsidRPr="00C03A91">
        <w:rPr>
          <w:rFonts w:ascii="Arial" w:hAnsi="Arial" w:cs="Arial"/>
        </w:rPr>
        <w:br w:type="page"/>
      </w:r>
    </w:p>
    <w:p w14:paraId="251B3492" w14:textId="6B50CD06" w:rsidR="001B7A40" w:rsidRDefault="001B7A40" w:rsidP="00C03A91">
      <w:pPr>
        <w:pStyle w:val="Ttulo1"/>
        <w:spacing w:line="360" w:lineRule="auto"/>
      </w:pPr>
      <w:r w:rsidRPr="00C03A91">
        <w:lastRenderedPageBreak/>
        <w:t>References</w:t>
      </w:r>
    </w:p>
    <w:p w14:paraId="704B6487" w14:textId="77777777" w:rsidR="001B487E" w:rsidRDefault="001B487E" w:rsidP="001B487E">
      <w:pPr>
        <w:spacing w:line="360" w:lineRule="auto"/>
        <w:rPr>
          <w:rFonts w:ascii="Arial" w:hAnsi="Arial" w:cs="Arial"/>
        </w:rPr>
      </w:pPr>
    </w:p>
    <w:p w14:paraId="1ABA7C70" w14:textId="2DBAA768" w:rsidR="009B150F" w:rsidRPr="009B150F" w:rsidRDefault="009B150F" w:rsidP="009B150F">
      <w:pPr>
        <w:spacing w:line="360" w:lineRule="auto"/>
        <w:rPr>
          <w:rFonts w:ascii="Arial" w:hAnsi="Arial" w:cs="Arial"/>
        </w:rPr>
      </w:pPr>
      <w:proofErr w:type="spellStart"/>
      <w:r w:rsidRPr="009B150F">
        <w:rPr>
          <w:rFonts w:ascii="Arial" w:hAnsi="Arial" w:cs="Arial"/>
          <w:b/>
          <w:bCs/>
        </w:rPr>
        <w:t>Alrefai</w:t>
      </w:r>
      <w:proofErr w:type="spellEnd"/>
      <w:r w:rsidRPr="009B150F">
        <w:rPr>
          <w:rFonts w:ascii="Arial" w:hAnsi="Arial" w:cs="Arial"/>
          <w:b/>
          <w:bCs/>
        </w:rPr>
        <w:t xml:space="preserve">, H., </w:t>
      </w:r>
      <w:proofErr w:type="spellStart"/>
      <w:r w:rsidRPr="009B150F">
        <w:rPr>
          <w:rFonts w:ascii="Arial" w:hAnsi="Arial" w:cs="Arial"/>
          <w:b/>
          <w:bCs/>
        </w:rPr>
        <w:t>Allababidi</w:t>
      </w:r>
      <w:proofErr w:type="spellEnd"/>
      <w:r w:rsidRPr="009B150F">
        <w:rPr>
          <w:rFonts w:ascii="Arial" w:hAnsi="Arial" w:cs="Arial"/>
          <w:b/>
          <w:bCs/>
        </w:rPr>
        <w:t>, H., Levy, S. and Levy, J.</w:t>
      </w:r>
      <w:r w:rsidRPr="009B150F">
        <w:rPr>
          <w:rFonts w:ascii="Arial" w:hAnsi="Arial" w:cs="Arial"/>
        </w:rPr>
        <w:t xml:space="preserve"> (2002) ‘The endocrine system in diabetes mellitus’, </w:t>
      </w:r>
      <w:r w:rsidRPr="009B150F">
        <w:rPr>
          <w:rFonts w:ascii="Arial" w:hAnsi="Arial" w:cs="Arial"/>
          <w:i/>
          <w:iCs/>
        </w:rPr>
        <w:t>Endocrine</w:t>
      </w:r>
      <w:r w:rsidRPr="009B150F">
        <w:rPr>
          <w:rFonts w:ascii="Arial" w:hAnsi="Arial" w:cs="Arial"/>
        </w:rPr>
        <w:t xml:space="preserve">, 18(2), pp. 105–119. Available at: </w:t>
      </w:r>
      <w:hyperlink r:id="rId9" w:history="1">
        <w:r w:rsidRPr="009B150F">
          <w:rPr>
            <w:rStyle w:val="Hyperlink"/>
            <w:rFonts w:ascii="Arial" w:hAnsi="Arial" w:cs="Arial"/>
          </w:rPr>
          <w:t>https://link.springer.com/article/10.1385/endo:18:2:105</w:t>
        </w:r>
      </w:hyperlink>
      <w:r>
        <w:rPr>
          <w:rFonts w:ascii="Arial" w:hAnsi="Arial" w:cs="Arial"/>
        </w:rPr>
        <w:t xml:space="preserve"> </w:t>
      </w:r>
      <w:r w:rsidRPr="009B150F">
        <w:rPr>
          <w:rFonts w:ascii="Arial" w:hAnsi="Arial" w:cs="Arial"/>
        </w:rPr>
        <w:t xml:space="preserve"> (Accessed: 30 March 2026).</w:t>
      </w:r>
    </w:p>
    <w:p w14:paraId="7F44925A" w14:textId="2274B0B6" w:rsidR="009B150F" w:rsidRPr="009B150F" w:rsidRDefault="009B150F" w:rsidP="009B150F">
      <w:pPr>
        <w:spacing w:line="360" w:lineRule="auto"/>
        <w:rPr>
          <w:rFonts w:ascii="Arial" w:hAnsi="Arial" w:cs="Arial"/>
        </w:rPr>
      </w:pPr>
      <w:r w:rsidRPr="009B150F">
        <w:rPr>
          <w:rFonts w:ascii="Arial" w:hAnsi="Arial" w:cs="Arial"/>
          <w:b/>
          <w:bCs/>
        </w:rPr>
        <w:t>Aronoff, S.L., Berkowitz, K., Shreiner, B. and Want, L.</w:t>
      </w:r>
      <w:r w:rsidRPr="009B150F">
        <w:rPr>
          <w:rFonts w:ascii="Arial" w:hAnsi="Arial" w:cs="Arial"/>
        </w:rPr>
        <w:t xml:space="preserve"> (2004) ‘Glucose metabolism and regulation: beyond insulin’, </w:t>
      </w:r>
      <w:r w:rsidRPr="009B150F">
        <w:rPr>
          <w:rFonts w:ascii="Arial" w:hAnsi="Arial" w:cs="Arial"/>
          <w:i/>
          <w:iCs/>
        </w:rPr>
        <w:t>Diabetes Spectrum</w:t>
      </w:r>
      <w:r w:rsidRPr="009B150F">
        <w:rPr>
          <w:rFonts w:ascii="Arial" w:hAnsi="Arial" w:cs="Arial"/>
        </w:rPr>
        <w:t xml:space="preserve">, 17(3), pp. 183–190. Available at: </w:t>
      </w:r>
      <w:proofErr w:type="gramStart"/>
      <w:r w:rsidRPr="009B150F">
        <w:rPr>
          <w:rFonts w:ascii="Arial" w:hAnsi="Arial" w:cs="Arial"/>
        </w:rPr>
        <w:t xml:space="preserve">https://diabetesjournals.org/spectrum/article-abstract/17/3/183/1994/Glucose-Metabolism-and-Regulation-Beyond-Insulin </w:t>
      </w:r>
      <w:r>
        <w:rPr>
          <w:rFonts w:ascii="Arial" w:hAnsi="Arial" w:cs="Arial"/>
        </w:rPr>
        <w:t xml:space="preserve"> </w:t>
      </w:r>
      <w:r w:rsidRPr="009B150F">
        <w:rPr>
          <w:rFonts w:ascii="Arial" w:hAnsi="Arial" w:cs="Arial"/>
        </w:rPr>
        <w:t>(</w:t>
      </w:r>
      <w:proofErr w:type="gramEnd"/>
      <w:r w:rsidRPr="009B150F">
        <w:rPr>
          <w:rFonts w:ascii="Arial" w:hAnsi="Arial" w:cs="Arial"/>
        </w:rPr>
        <w:t>Accessed: 31 March 2026).</w:t>
      </w:r>
    </w:p>
    <w:p w14:paraId="04AF7358" w14:textId="56D77372" w:rsidR="009B150F" w:rsidRPr="009B150F" w:rsidRDefault="009B150F" w:rsidP="009B150F">
      <w:pPr>
        <w:spacing w:line="360" w:lineRule="auto"/>
        <w:rPr>
          <w:rFonts w:ascii="Arial" w:hAnsi="Arial" w:cs="Arial"/>
        </w:rPr>
      </w:pPr>
      <w:r w:rsidRPr="009B150F">
        <w:rPr>
          <w:rFonts w:ascii="Arial" w:hAnsi="Arial" w:cs="Arial"/>
          <w:b/>
          <w:bCs/>
        </w:rPr>
        <w:t>Biro, G.P.</w:t>
      </w:r>
      <w:r w:rsidRPr="009B150F">
        <w:rPr>
          <w:rFonts w:ascii="Arial" w:hAnsi="Arial" w:cs="Arial"/>
        </w:rPr>
        <w:t xml:space="preserve"> (2022) ‘Oxygen and ATP: the energy economy of the cell’, in </w:t>
      </w:r>
      <w:r w:rsidRPr="009B150F">
        <w:rPr>
          <w:rFonts w:ascii="Arial" w:hAnsi="Arial" w:cs="Arial"/>
          <w:i/>
          <w:iCs/>
        </w:rPr>
        <w:t>Blood Substitutes and Oxygen Biotherapeutics</w:t>
      </w:r>
      <w:r w:rsidRPr="009B150F">
        <w:rPr>
          <w:rFonts w:ascii="Arial" w:hAnsi="Arial" w:cs="Arial"/>
        </w:rPr>
        <w:t xml:space="preserve">. Available at: </w:t>
      </w:r>
      <w:hyperlink r:id="rId10" w:history="1">
        <w:r w:rsidRPr="009B150F">
          <w:rPr>
            <w:rStyle w:val="Hyperlink"/>
            <w:rFonts w:ascii="Arial" w:hAnsi="Arial" w:cs="Arial"/>
          </w:rPr>
          <w:t>https://link.springer.com/chapter/10.1007/978-3-030-95975-3_2</w:t>
        </w:r>
      </w:hyperlink>
      <w:r>
        <w:rPr>
          <w:rFonts w:ascii="Arial" w:hAnsi="Arial" w:cs="Arial"/>
        </w:rPr>
        <w:t xml:space="preserve"> </w:t>
      </w:r>
      <w:r w:rsidRPr="009B150F">
        <w:rPr>
          <w:rFonts w:ascii="Arial" w:hAnsi="Arial" w:cs="Arial"/>
        </w:rPr>
        <w:t xml:space="preserve"> (Accessed: 30 March 2026).</w:t>
      </w:r>
    </w:p>
    <w:p w14:paraId="59E8B921" w14:textId="4E2B8E17" w:rsidR="009B150F" w:rsidRPr="009B150F" w:rsidRDefault="009B150F" w:rsidP="009B150F">
      <w:pPr>
        <w:spacing w:line="360" w:lineRule="auto"/>
        <w:rPr>
          <w:rFonts w:ascii="Arial" w:hAnsi="Arial" w:cs="Arial"/>
        </w:rPr>
      </w:pPr>
      <w:r w:rsidRPr="009B150F">
        <w:rPr>
          <w:rFonts w:ascii="Arial" w:hAnsi="Arial" w:cs="Arial"/>
          <w:b/>
          <w:bCs/>
        </w:rPr>
        <w:t>Diabetes UK</w:t>
      </w:r>
      <w:r w:rsidRPr="009B150F">
        <w:rPr>
          <w:rFonts w:ascii="Arial" w:hAnsi="Arial" w:cs="Arial"/>
        </w:rPr>
        <w:t xml:space="preserve"> (no date) </w:t>
      </w:r>
      <w:r w:rsidRPr="009B150F">
        <w:rPr>
          <w:rFonts w:ascii="Arial" w:hAnsi="Arial" w:cs="Arial"/>
          <w:i/>
          <w:iCs/>
        </w:rPr>
        <w:t>Type 2 diabetes: risk factors</w:t>
      </w:r>
      <w:r w:rsidRPr="009B150F">
        <w:rPr>
          <w:rFonts w:ascii="Arial" w:hAnsi="Arial" w:cs="Arial"/>
        </w:rPr>
        <w:t xml:space="preserve">. Available at: </w:t>
      </w:r>
      <w:hyperlink r:id="rId11" w:history="1">
        <w:r w:rsidRPr="009B150F">
          <w:rPr>
            <w:rStyle w:val="Hyperlink"/>
            <w:rFonts w:ascii="Arial" w:hAnsi="Arial" w:cs="Arial"/>
          </w:rPr>
          <w:t>https://www.diabetes.org.uk/about-diabetes/type-2-diabetes/diabetes-risk-factors</w:t>
        </w:r>
      </w:hyperlink>
      <w:r>
        <w:rPr>
          <w:rFonts w:ascii="Arial" w:hAnsi="Arial" w:cs="Arial"/>
        </w:rPr>
        <w:t xml:space="preserve"> </w:t>
      </w:r>
      <w:r w:rsidRPr="009B150F">
        <w:rPr>
          <w:rFonts w:ascii="Arial" w:hAnsi="Arial" w:cs="Arial"/>
        </w:rPr>
        <w:t xml:space="preserve"> (Accessed: 31 March 2026).</w:t>
      </w:r>
    </w:p>
    <w:p w14:paraId="50130FBD" w14:textId="78D962D6" w:rsidR="009B150F" w:rsidRPr="009B150F" w:rsidRDefault="009B150F" w:rsidP="009B150F">
      <w:pPr>
        <w:spacing w:line="360" w:lineRule="auto"/>
        <w:rPr>
          <w:rFonts w:ascii="Arial" w:hAnsi="Arial" w:cs="Arial"/>
        </w:rPr>
      </w:pPr>
      <w:proofErr w:type="spellStart"/>
      <w:r w:rsidRPr="009B150F">
        <w:rPr>
          <w:rFonts w:ascii="Arial" w:hAnsi="Arial" w:cs="Arial"/>
          <w:b/>
          <w:bCs/>
        </w:rPr>
        <w:t>Janapala</w:t>
      </w:r>
      <w:proofErr w:type="spellEnd"/>
      <w:r w:rsidRPr="009B150F">
        <w:rPr>
          <w:rFonts w:ascii="Arial" w:hAnsi="Arial" w:cs="Arial"/>
          <w:b/>
          <w:bCs/>
        </w:rPr>
        <w:t>, R., Jayaraj, J.S., Fathima, N., Kashif, T., et al.</w:t>
      </w:r>
      <w:r w:rsidRPr="009B150F">
        <w:rPr>
          <w:rFonts w:ascii="Arial" w:hAnsi="Arial" w:cs="Arial"/>
        </w:rPr>
        <w:t xml:space="preserve"> (2019) ‘Continuous glucose monitoring versus self-monitoring of blood glucose in type 2 diabetes mellitus: a systematic review with meta-analysis’, </w:t>
      </w:r>
      <w:proofErr w:type="spellStart"/>
      <w:r w:rsidRPr="009B150F">
        <w:rPr>
          <w:rFonts w:ascii="Arial" w:hAnsi="Arial" w:cs="Arial"/>
          <w:i/>
          <w:iCs/>
        </w:rPr>
        <w:t>Cureus</w:t>
      </w:r>
      <w:proofErr w:type="spellEnd"/>
      <w:r w:rsidRPr="009B150F">
        <w:rPr>
          <w:rFonts w:ascii="Arial" w:hAnsi="Arial" w:cs="Arial"/>
        </w:rPr>
        <w:t xml:space="preserve">. Available at: </w:t>
      </w:r>
      <w:proofErr w:type="gramStart"/>
      <w:r w:rsidRPr="009B150F">
        <w:rPr>
          <w:rFonts w:ascii="Arial" w:hAnsi="Arial" w:cs="Arial"/>
        </w:rPr>
        <w:t xml:space="preserve">https://assets.cureus.com/uploads/original_article/pdf/22910/20240724-319105-3guuad.pdf </w:t>
      </w:r>
      <w:r>
        <w:rPr>
          <w:rFonts w:ascii="Arial" w:hAnsi="Arial" w:cs="Arial"/>
        </w:rPr>
        <w:t xml:space="preserve"> </w:t>
      </w:r>
      <w:r w:rsidRPr="009B150F">
        <w:rPr>
          <w:rFonts w:ascii="Arial" w:hAnsi="Arial" w:cs="Arial"/>
        </w:rPr>
        <w:t>(</w:t>
      </w:r>
      <w:proofErr w:type="gramEnd"/>
      <w:r w:rsidRPr="009B150F">
        <w:rPr>
          <w:rFonts w:ascii="Arial" w:hAnsi="Arial" w:cs="Arial"/>
        </w:rPr>
        <w:t>Accessed: 31 March 2026).</w:t>
      </w:r>
    </w:p>
    <w:p w14:paraId="064F9CF5" w14:textId="332DA32A" w:rsidR="009B150F" w:rsidRPr="009B150F" w:rsidRDefault="009B150F" w:rsidP="009B150F">
      <w:pPr>
        <w:spacing w:line="360" w:lineRule="auto"/>
        <w:rPr>
          <w:rFonts w:ascii="Arial" w:hAnsi="Arial" w:cs="Arial"/>
        </w:rPr>
      </w:pPr>
      <w:r w:rsidRPr="009B150F">
        <w:rPr>
          <w:rFonts w:ascii="Arial" w:hAnsi="Arial" w:cs="Arial"/>
          <w:b/>
          <w:bCs/>
        </w:rPr>
        <w:t>Jiang, G. and Zhang, B.B.</w:t>
      </w:r>
      <w:r w:rsidRPr="009B150F">
        <w:rPr>
          <w:rFonts w:ascii="Arial" w:hAnsi="Arial" w:cs="Arial"/>
        </w:rPr>
        <w:t xml:space="preserve"> (2002) ‘Glucagon and regulation of glucose metabolism’, </w:t>
      </w:r>
      <w:r w:rsidRPr="009B150F">
        <w:rPr>
          <w:rFonts w:ascii="Arial" w:hAnsi="Arial" w:cs="Arial"/>
          <w:i/>
          <w:iCs/>
        </w:rPr>
        <w:t>American Journal of Physiology – Endocrinology and Metabolism</w:t>
      </w:r>
      <w:r w:rsidRPr="009B150F">
        <w:rPr>
          <w:rFonts w:ascii="Arial" w:hAnsi="Arial" w:cs="Arial"/>
        </w:rPr>
        <w:t xml:space="preserve">, 284(4). Available at: </w:t>
      </w:r>
      <w:proofErr w:type="gramStart"/>
      <w:r w:rsidRPr="009B150F">
        <w:rPr>
          <w:rFonts w:ascii="Arial" w:hAnsi="Arial" w:cs="Arial"/>
        </w:rPr>
        <w:t xml:space="preserve">https://journals.physiology.org/doi/full/10.1152/ajpendo.00492.2002 </w:t>
      </w:r>
      <w:r>
        <w:rPr>
          <w:rFonts w:ascii="Arial" w:hAnsi="Arial" w:cs="Arial"/>
        </w:rPr>
        <w:t xml:space="preserve"> </w:t>
      </w:r>
      <w:r w:rsidRPr="009B150F">
        <w:rPr>
          <w:rFonts w:ascii="Arial" w:hAnsi="Arial" w:cs="Arial"/>
        </w:rPr>
        <w:t>(</w:t>
      </w:r>
      <w:proofErr w:type="gramEnd"/>
      <w:r w:rsidRPr="009B150F">
        <w:rPr>
          <w:rFonts w:ascii="Arial" w:hAnsi="Arial" w:cs="Arial"/>
        </w:rPr>
        <w:t>Accessed: 31 March 2026).</w:t>
      </w:r>
    </w:p>
    <w:p w14:paraId="37450792" w14:textId="15BA9D34" w:rsidR="009B150F" w:rsidRPr="009B150F" w:rsidRDefault="009B150F" w:rsidP="009B150F">
      <w:pPr>
        <w:spacing w:line="360" w:lineRule="auto"/>
        <w:rPr>
          <w:rFonts w:ascii="Arial" w:hAnsi="Arial" w:cs="Arial"/>
        </w:rPr>
      </w:pPr>
      <w:proofErr w:type="spellStart"/>
      <w:r w:rsidRPr="009B150F">
        <w:rPr>
          <w:rFonts w:ascii="Arial" w:hAnsi="Arial" w:cs="Arial"/>
          <w:b/>
          <w:bCs/>
        </w:rPr>
        <w:t>Montagnana</w:t>
      </w:r>
      <w:proofErr w:type="spellEnd"/>
      <w:r w:rsidRPr="009B150F">
        <w:rPr>
          <w:rFonts w:ascii="Arial" w:hAnsi="Arial" w:cs="Arial"/>
          <w:b/>
          <w:bCs/>
        </w:rPr>
        <w:t>, M., Caputo, M., Giavarina, D. and Lippi, G.</w:t>
      </w:r>
      <w:r w:rsidRPr="009B150F">
        <w:rPr>
          <w:rFonts w:ascii="Arial" w:hAnsi="Arial" w:cs="Arial"/>
        </w:rPr>
        <w:t xml:space="preserve"> (2009) ‘Overview on self-monitoring of blood glucose’, </w:t>
      </w:r>
      <w:r w:rsidRPr="009B150F">
        <w:rPr>
          <w:rFonts w:ascii="Arial" w:hAnsi="Arial" w:cs="Arial"/>
          <w:i/>
          <w:iCs/>
        </w:rPr>
        <w:t xml:space="preserve">Clinica </w:t>
      </w:r>
      <w:proofErr w:type="spellStart"/>
      <w:r w:rsidRPr="009B150F">
        <w:rPr>
          <w:rFonts w:ascii="Arial" w:hAnsi="Arial" w:cs="Arial"/>
          <w:i/>
          <w:iCs/>
        </w:rPr>
        <w:t>Chimica</w:t>
      </w:r>
      <w:proofErr w:type="spellEnd"/>
      <w:r w:rsidRPr="009B150F">
        <w:rPr>
          <w:rFonts w:ascii="Arial" w:hAnsi="Arial" w:cs="Arial"/>
          <w:i/>
          <w:iCs/>
        </w:rPr>
        <w:t xml:space="preserve"> Acta</w:t>
      </w:r>
      <w:r w:rsidRPr="009B150F">
        <w:rPr>
          <w:rFonts w:ascii="Arial" w:hAnsi="Arial" w:cs="Arial"/>
        </w:rPr>
        <w:t xml:space="preserve">, 402(1), pp. 7–13. Available at: </w:t>
      </w:r>
      <w:hyperlink r:id="rId12" w:history="1">
        <w:r w:rsidRPr="009B150F">
          <w:rPr>
            <w:rStyle w:val="Hyperlink"/>
            <w:rFonts w:ascii="Arial" w:hAnsi="Arial" w:cs="Arial"/>
          </w:rPr>
          <w:t>https://doi.org/10.1016/j.cca.2009.01.002</w:t>
        </w:r>
      </w:hyperlink>
      <w:r>
        <w:rPr>
          <w:rFonts w:ascii="Arial" w:hAnsi="Arial" w:cs="Arial"/>
        </w:rPr>
        <w:t xml:space="preserve"> </w:t>
      </w:r>
      <w:r w:rsidRPr="009B150F">
        <w:rPr>
          <w:rFonts w:ascii="Arial" w:hAnsi="Arial" w:cs="Arial"/>
        </w:rPr>
        <w:t xml:space="preserve"> (Accessed: 30 March 2026).</w:t>
      </w:r>
    </w:p>
    <w:p w14:paraId="6E403817" w14:textId="3453D957" w:rsidR="009B150F" w:rsidRPr="009B150F" w:rsidRDefault="009B150F" w:rsidP="009B150F">
      <w:pPr>
        <w:spacing w:line="360" w:lineRule="auto"/>
        <w:rPr>
          <w:rFonts w:ascii="Arial" w:hAnsi="Arial" w:cs="Arial"/>
        </w:rPr>
      </w:pPr>
      <w:r w:rsidRPr="009B150F">
        <w:rPr>
          <w:rFonts w:ascii="Arial" w:hAnsi="Arial" w:cs="Arial"/>
          <w:b/>
          <w:bCs/>
        </w:rPr>
        <w:lastRenderedPageBreak/>
        <w:t>National Institute for Health and Care Excellence (NICE)</w:t>
      </w:r>
      <w:r w:rsidRPr="009B150F">
        <w:rPr>
          <w:rFonts w:ascii="Arial" w:hAnsi="Arial" w:cs="Arial"/>
        </w:rPr>
        <w:t xml:space="preserve"> (2023) </w:t>
      </w:r>
      <w:r w:rsidRPr="009B150F">
        <w:rPr>
          <w:rFonts w:ascii="Arial" w:hAnsi="Arial" w:cs="Arial"/>
          <w:i/>
          <w:iCs/>
        </w:rPr>
        <w:t>Diabetes (type 1 and type 2) in children and young people: diagnosis and management</w:t>
      </w:r>
      <w:r w:rsidRPr="009B150F">
        <w:rPr>
          <w:rFonts w:ascii="Arial" w:hAnsi="Arial" w:cs="Arial"/>
        </w:rPr>
        <w:t xml:space="preserve">. Available at: </w:t>
      </w:r>
      <w:hyperlink r:id="rId13" w:history="1">
        <w:r w:rsidRPr="009B150F">
          <w:rPr>
            <w:rStyle w:val="Hyperlink"/>
            <w:rFonts w:ascii="Arial" w:hAnsi="Arial" w:cs="Arial"/>
          </w:rPr>
          <w:t>https://www.nice.org.uk/guidance/ng18/chapter/Recommendations</w:t>
        </w:r>
      </w:hyperlink>
      <w:r>
        <w:rPr>
          <w:rFonts w:ascii="Arial" w:hAnsi="Arial" w:cs="Arial"/>
        </w:rPr>
        <w:t xml:space="preserve"> </w:t>
      </w:r>
      <w:r w:rsidRPr="009B150F">
        <w:rPr>
          <w:rFonts w:ascii="Arial" w:hAnsi="Arial" w:cs="Arial"/>
        </w:rPr>
        <w:t xml:space="preserve"> (Accessed: 31 March 2026).</w:t>
      </w:r>
    </w:p>
    <w:p w14:paraId="30B4B235" w14:textId="56CB9DB8" w:rsidR="009B150F" w:rsidRPr="009B150F" w:rsidRDefault="009B150F" w:rsidP="009B150F">
      <w:pPr>
        <w:spacing w:line="360" w:lineRule="auto"/>
        <w:rPr>
          <w:rFonts w:ascii="Arial" w:hAnsi="Arial" w:cs="Arial"/>
        </w:rPr>
      </w:pPr>
      <w:r w:rsidRPr="009B150F">
        <w:rPr>
          <w:rFonts w:ascii="Arial" w:hAnsi="Arial" w:cs="Arial"/>
          <w:b/>
          <w:bCs/>
        </w:rPr>
        <w:t>NHS</w:t>
      </w:r>
      <w:r w:rsidRPr="009B150F">
        <w:rPr>
          <w:rFonts w:ascii="Arial" w:hAnsi="Arial" w:cs="Arial"/>
        </w:rPr>
        <w:t xml:space="preserve"> (no date) </w:t>
      </w:r>
      <w:r w:rsidRPr="009B150F">
        <w:rPr>
          <w:rFonts w:ascii="Arial" w:hAnsi="Arial" w:cs="Arial"/>
          <w:i/>
          <w:iCs/>
        </w:rPr>
        <w:t>Diabetes</w:t>
      </w:r>
      <w:r w:rsidRPr="009B150F">
        <w:rPr>
          <w:rFonts w:ascii="Arial" w:hAnsi="Arial" w:cs="Arial"/>
        </w:rPr>
        <w:t xml:space="preserve">. Available at: </w:t>
      </w:r>
      <w:proofErr w:type="gramStart"/>
      <w:r w:rsidRPr="009B150F">
        <w:rPr>
          <w:rFonts w:ascii="Arial" w:hAnsi="Arial" w:cs="Arial"/>
        </w:rPr>
        <w:t xml:space="preserve">https://www.nhs.uk/conditions/diabetes/ </w:t>
      </w:r>
      <w:r>
        <w:rPr>
          <w:rFonts w:ascii="Arial" w:hAnsi="Arial" w:cs="Arial"/>
        </w:rPr>
        <w:t xml:space="preserve"> </w:t>
      </w:r>
      <w:r w:rsidRPr="009B150F">
        <w:rPr>
          <w:rFonts w:ascii="Arial" w:hAnsi="Arial" w:cs="Arial"/>
        </w:rPr>
        <w:t>(</w:t>
      </w:r>
      <w:proofErr w:type="gramEnd"/>
      <w:r w:rsidRPr="009B150F">
        <w:rPr>
          <w:rFonts w:ascii="Arial" w:hAnsi="Arial" w:cs="Arial"/>
        </w:rPr>
        <w:t>Accessed: 30 March 2026).</w:t>
      </w:r>
    </w:p>
    <w:p w14:paraId="1F256BCE" w14:textId="769BEC78" w:rsidR="009B150F" w:rsidRPr="009B150F" w:rsidRDefault="009B150F" w:rsidP="009B150F">
      <w:pPr>
        <w:spacing w:line="360" w:lineRule="auto"/>
        <w:rPr>
          <w:rFonts w:ascii="Arial" w:hAnsi="Arial" w:cs="Arial"/>
        </w:rPr>
      </w:pPr>
      <w:r w:rsidRPr="009B150F">
        <w:rPr>
          <w:rFonts w:ascii="Arial" w:hAnsi="Arial" w:cs="Arial"/>
          <w:b/>
          <w:bCs/>
        </w:rPr>
        <w:t>World Health Organization (WHO)</w:t>
      </w:r>
      <w:r w:rsidRPr="009B150F">
        <w:rPr>
          <w:rFonts w:ascii="Arial" w:hAnsi="Arial" w:cs="Arial"/>
        </w:rPr>
        <w:t xml:space="preserve"> (no date) </w:t>
      </w:r>
      <w:r w:rsidRPr="009B150F">
        <w:rPr>
          <w:rFonts w:ascii="Arial" w:hAnsi="Arial" w:cs="Arial"/>
          <w:i/>
          <w:iCs/>
        </w:rPr>
        <w:t>Diabetes: facts in pictures</w:t>
      </w:r>
      <w:r w:rsidRPr="009B150F">
        <w:rPr>
          <w:rFonts w:ascii="Arial" w:hAnsi="Arial" w:cs="Arial"/>
        </w:rPr>
        <w:t xml:space="preserve">. Available at: </w:t>
      </w:r>
      <w:proofErr w:type="gramStart"/>
      <w:r w:rsidRPr="009B150F">
        <w:rPr>
          <w:rFonts w:ascii="Arial" w:hAnsi="Arial" w:cs="Arial"/>
        </w:rPr>
        <w:t xml:space="preserve">https://www.who.int/news-room/facts-in-pictures/detail/diabetes </w:t>
      </w:r>
      <w:r>
        <w:rPr>
          <w:rFonts w:ascii="Arial" w:hAnsi="Arial" w:cs="Arial"/>
        </w:rPr>
        <w:t xml:space="preserve"> </w:t>
      </w:r>
      <w:r w:rsidRPr="009B150F">
        <w:rPr>
          <w:rFonts w:ascii="Arial" w:hAnsi="Arial" w:cs="Arial"/>
        </w:rPr>
        <w:t>(</w:t>
      </w:r>
      <w:proofErr w:type="gramEnd"/>
      <w:r w:rsidRPr="009B150F">
        <w:rPr>
          <w:rFonts w:ascii="Arial" w:hAnsi="Arial" w:cs="Arial"/>
        </w:rPr>
        <w:t>Accessed: 30 March 2026).</w:t>
      </w:r>
    </w:p>
    <w:p w14:paraId="40F675B5" w14:textId="77777777" w:rsidR="00826A20" w:rsidRPr="002C5F8E" w:rsidRDefault="00826A20" w:rsidP="002C5F8E">
      <w:pPr>
        <w:spacing w:line="360" w:lineRule="auto"/>
        <w:rPr>
          <w:rFonts w:ascii="Arial" w:hAnsi="Arial" w:cs="Arial"/>
        </w:rPr>
      </w:pPr>
    </w:p>
    <w:p w14:paraId="63017BFA" w14:textId="71FB9AC9" w:rsidR="00775A93" w:rsidRPr="00775A93" w:rsidRDefault="00775A93" w:rsidP="00775A93">
      <w:pPr>
        <w:spacing w:line="360" w:lineRule="auto"/>
        <w:rPr>
          <w:rFonts w:ascii="Arial" w:hAnsi="Arial" w:cs="Arial"/>
        </w:rPr>
      </w:pPr>
    </w:p>
    <w:p w14:paraId="6F275615" w14:textId="77777777" w:rsidR="002C5F8E" w:rsidRPr="00C03A91" w:rsidRDefault="002C5F8E" w:rsidP="00C03A91">
      <w:pPr>
        <w:spacing w:line="360" w:lineRule="auto"/>
        <w:rPr>
          <w:rFonts w:ascii="Arial" w:hAnsi="Arial" w:cs="Arial"/>
        </w:rPr>
      </w:pPr>
    </w:p>
    <w:sectPr w:rsidR="002C5F8E" w:rsidRPr="00C03A91" w:rsidSect="0037028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39547" w14:textId="77777777" w:rsidR="00551A34" w:rsidRDefault="00551A34" w:rsidP="00C03A91">
      <w:pPr>
        <w:spacing w:after="0" w:line="240" w:lineRule="auto"/>
      </w:pPr>
      <w:r>
        <w:separator/>
      </w:r>
    </w:p>
  </w:endnote>
  <w:endnote w:type="continuationSeparator" w:id="0">
    <w:p w14:paraId="4230DE02" w14:textId="77777777" w:rsidR="00551A34" w:rsidRDefault="00551A34"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Rodap"/>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D2CBA" w14:textId="77777777" w:rsidR="00551A34" w:rsidRDefault="00551A34" w:rsidP="00C03A91">
      <w:pPr>
        <w:spacing w:after="0" w:line="240" w:lineRule="auto"/>
      </w:pPr>
      <w:r>
        <w:separator/>
      </w:r>
    </w:p>
  </w:footnote>
  <w:footnote w:type="continuationSeparator" w:id="0">
    <w:p w14:paraId="4A05D3A9" w14:textId="77777777" w:rsidR="00551A34" w:rsidRDefault="00551A34"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114F"/>
    <w:multiLevelType w:val="multilevel"/>
    <w:tmpl w:val="64581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F62275"/>
    <w:multiLevelType w:val="hybridMultilevel"/>
    <w:tmpl w:val="C53888C4"/>
    <w:lvl w:ilvl="0" w:tplc="5E58A9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2"/>
  </w:num>
  <w:num w:numId="2" w16cid:durableId="1940680655">
    <w:abstractNumId w:val="1"/>
  </w:num>
  <w:num w:numId="3" w16cid:durableId="1446384666">
    <w:abstractNumId w:val="0"/>
  </w:num>
  <w:num w:numId="4" w16cid:durableId="8494429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81F"/>
    <w:rsid w:val="00076AC0"/>
    <w:rsid w:val="0008060D"/>
    <w:rsid w:val="000B0610"/>
    <w:rsid w:val="000C4EDA"/>
    <w:rsid w:val="000E089F"/>
    <w:rsid w:val="001B487E"/>
    <w:rsid w:val="001B6A18"/>
    <w:rsid w:val="001B7A40"/>
    <w:rsid w:val="001F6DDB"/>
    <w:rsid w:val="00216C85"/>
    <w:rsid w:val="00217819"/>
    <w:rsid w:val="00235DB6"/>
    <w:rsid w:val="00273EDD"/>
    <w:rsid w:val="002C3965"/>
    <w:rsid w:val="002C5F8E"/>
    <w:rsid w:val="002D5EDB"/>
    <w:rsid w:val="003015DC"/>
    <w:rsid w:val="00321C4C"/>
    <w:rsid w:val="00370282"/>
    <w:rsid w:val="003923D3"/>
    <w:rsid w:val="00393136"/>
    <w:rsid w:val="003D72FD"/>
    <w:rsid w:val="00421346"/>
    <w:rsid w:val="004577F7"/>
    <w:rsid w:val="004B0AF9"/>
    <w:rsid w:val="00517182"/>
    <w:rsid w:val="005247B0"/>
    <w:rsid w:val="00541FD3"/>
    <w:rsid w:val="0054773D"/>
    <w:rsid w:val="00551A34"/>
    <w:rsid w:val="005851AD"/>
    <w:rsid w:val="00597AD6"/>
    <w:rsid w:val="005F6DF3"/>
    <w:rsid w:val="006C47A2"/>
    <w:rsid w:val="007211B2"/>
    <w:rsid w:val="00775A93"/>
    <w:rsid w:val="007A7297"/>
    <w:rsid w:val="007E7745"/>
    <w:rsid w:val="0080172E"/>
    <w:rsid w:val="00826A20"/>
    <w:rsid w:val="00831812"/>
    <w:rsid w:val="008353D4"/>
    <w:rsid w:val="008F2A2A"/>
    <w:rsid w:val="00900ACB"/>
    <w:rsid w:val="0095227B"/>
    <w:rsid w:val="009A31EE"/>
    <w:rsid w:val="009B150F"/>
    <w:rsid w:val="009D1D1E"/>
    <w:rsid w:val="00A035FD"/>
    <w:rsid w:val="00AA4DD8"/>
    <w:rsid w:val="00C03A91"/>
    <w:rsid w:val="00CD2863"/>
    <w:rsid w:val="00CE5B9A"/>
    <w:rsid w:val="00CE7A90"/>
    <w:rsid w:val="00D328E4"/>
    <w:rsid w:val="00D365C5"/>
    <w:rsid w:val="00D73FB0"/>
    <w:rsid w:val="00DA2A1E"/>
    <w:rsid w:val="00DB6D4B"/>
    <w:rsid w:val="00DF5742"/>
    <w:rsid w:val="00E04DF1"/>
    <w:rsid w:val="00E2038D"/>
    <w:rsid w:val="00E43041"/>
    <w:rsid w:val="00EB12BC"/>
    <w:rsid w:val="00EB31F1"/>
    <w:rsid w:val="00EF4297"/>
    <w:rsid w:val="00F137E3"/>
    <w:rsid w:val="00F13B90"/>
    <w:rsid w:val="00F31634"/>
    <w:rsid w:val="00F44C8F"/>
    <w:rsid w:val="00F703D0"/>
    <w:rsid w:val="00FD7392"/>
    <w:rsid w:val="00FE3E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346"/>
  </w:style>
  <w:style w:type="paragraph" w:styleId="Ttulo1">
    <w:name w:val="heading 1"/>
    <w:basedOn w:val="Normal"/>
    <w:next w:val="Normal"/>
    <w:link w:val="Ttulo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Ttulo2">
    <w:name w:val="heading 2"/>
    <w:basedOn w:val="Normal"/>
    <w:next w:val="Normal"/>
    <w:link w:val="Ttulo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Ttulo3">
    <w:name w:val="heading 3"/>
    <w:basedOn w:val="Normal"/>
    <w:link w:val="Ttulo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Fontepargpadr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2C3965"/>
    <w:rPr>
      <w:rFonts w:ascii="Arial" w:eastAsiaTheme="majorEastAsia" w:hAnsi="Arial" w:cstheme="majorBidi"/>
      <w:b/>
      <w:sz w:val="32"/>
      <w:szCs w:val="32"/>
    </w:rPr>
  </w:style>
  <w:style w:type="character" w:customStyle="1" w:styleId="Ttulo2Char">
    <w:name w:val="Título 2 Char"/>
    <w:basedOn w:val="Fontepargpadro"/>
    <w:link w:val="Ttulo2"/>
    <w:uiPriority w:val="9"/>
    <w:rsid w:val="00A035FD"/>
    <w:rPr>
      <w:rFonts w:ascii="Arial" w:eastAsiaTheme="majorEastAsia" w:hAnsi="Arial" w:cstheme="majorBidi"/>
      <w:b/>
      <w:i/>
      <w:color w:val="2F5496" w:themeColor="accent1" w:themeShade="BF"/>
      <w:sz w:val="26"/>
      <w:szCs w:val="26"/>
    </w:rPr>
  </w:style>
  <w:style w:type="character" w:customStyle="1" w:styleId="Ttulo3Char">
    <w:name w:val="Título 3 Char"/>
    <w:basedOn w:val="Fontepargpadro"/>
    <w:link w:val="Ttulo3"/>
    <w:uiPriority w:val="9"/>
    <w:rsid w:val="002C3965"/>
    <w:rPr>
      <w:rFonts w:ascii="Arial" w:eastAsia="Times New Roman" w:hAnsi="Arial" w:cs="Times New Roman"/>
      <w:b/>
      <w:bCs/>
      <w:szCs w:val="27"/>
      <w:lang w:eastAsia="en-GB"/>
    </w:rPr>
  </w:style>
  <w:style w:type="table" w:styleId="Tabelacomgrade">
    <w:name w:val="Table Grid"/>
    <w:basedOn w:val="Tabela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epargpadro"/>
    <w:uiPriority w:val="99"/>
    <w:unhideWhenUsed/>
    <w:rsid w:val="007E7745"/>
    <w:rPr>
      <w:color w:val="0563C1" w:themeColor="hyperlink"/>
      <w:u w:val="single"/>
    </w:rPr>
  </w:style>
  <w:style w:type="character" w:styleId="MenoPendente">
    <w:name w:val="Unresolved Mention"/>
    <w:basedOn w:val="Fontepargpadro"/>
    <w:uiPriority w:val="99"/>
    <w:semiHidden/>
    <w:unhideWhenUsed/>
    <w:rsid w:val="007E7745"/>
    <w:rPr>
      <w:color w:val="605E5C"/>
      <w:shd w:val="clear" w:color="auto" w:fill="E1DFDD"/>
    </w:rPr>
  </w:style>
  <w:style w:type="paragraph" w:styleId="Cabealho">
    <w:name w:val="header"/>
    <w:basedOn w:val="Normal"/>
    <w:link w:val="CabealhoChar"/>
    <w:uiPriority w:val="99"/>
    <w:unhideWhenUsed/>
    <w:rsid w:val="00C03A91"/>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C03A91"/>
  </w:style>
  <w:style w:type="paragraph" w:styleId="Rodap">
    <w:name w:val="footer"/>
    <w:basedOn w:val="Normal"/>
    <w:link w:val="RodapChar"/>
    <w:uiPriority w:val="99"/>
    <w:unhideWhenUsed/>
    <w:rsid w:val="00C03A91"/>
    <w:pPr>
      <w:tabs>
        <w:tab w:val="center" w:pos="4513"/>
        <w:tab w:val="right" w:pos="9026"/>
      </w:tabs>
      <w:spacing w:after="0" w:line="240" w:lineRule="auto"/>
    </w:pPr>
  </w:style>
  <w:style w:type="character" w:customStyle="1" w:styleId="RodapChar">
    <w:name w:val="Rodapé Char"/>
    <w:basedOn w:val="Fontepargpadro"/>
    <w:link w:val="Rodap"/>
    <w:uiPriority w:val="99"/>
    <w:rsid w:val="00C03A91"/>
  </w:style>
  <w:style w:type="paragraph" w:styleId="PargrafodaLista">
    <w:name w:val="List Paragraph"/>
    <w:basedOn w:val="Normal"/>
    <w:uiPriority w:val="34"/>
    <w:qFormat/>
    <w:rsid w:val="00FD7392"/>
    <w:pPr>
      <w:ind w:left="720"/>
      <w:contextualSpacing/>
    </w:pPr>
  </w:style>
  <w:style w:type="character" w:styleId="HiperlinkVisitado">
    <w:name w:val="FollowedHyperlink"/>
    <w:basedOn w:val="Fontepargpadro"/>
    <w:uiPriority w:val="99"/>
    <w:semiHidden/>
    <w:unhideWhenUsed/>
    <w:rsid w:val="00DF57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ng18/chapter/Recommendation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cca.2009.01.00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about-diabetes/type-2-diabetes/diabetes-risk-factor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link.springer.com/chapter/10.1007/978-3-030-95975-3_2" TargetMode="External"/><Relationship Id="rId4" Type="http://schemas.openxmlformats.org/officeDocument/2006/relationships/webSettings" Target="webSettings.xml"/><Relationship Id="rId9" Type="http://schemas.openxmlformats.org/officeDocument/2006/relationships/hyperlink" Target="https://link.springer.com/article/10.1385/endo:18:2:10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8</Pages>
  <Words>2196</Words>
  <Characters>12518</Characters>
  <Application>Microsoft Office Word</Application>
  <DocSecurity>0</DocSecurity>
  <Lines>104</Lines>
  <Paragraphs>29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familia familia</cp:lastModifiedBy>
  <cp:revision>3</cp:revision>
  <dcterms:created xsi:type="dcterms:W3CDTF">2026-04-01T10:14:00Z</dcterms:created>
  <dcterms:modified xsi:type="dcterms:W3CDTF">2026-04-02T15:02:00Z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2be74e9c-4715-4fd8-a3d4-1c6651a8e665</vt:lpwstr>
  </property>
</Properties>
</file>