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B896D2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C522A">
        <w:rPr>
          <w:rFonts w:asciiTheme="minorBidi" w:hAnsiTheme="minorBidi"/>
          <w:sz w:val="28"/>
          <w:szCs w:val="28"/>
        </w:rPr>
        <w:t>Fazal Dad</w:t>
      </w:r>
    </w:p>
    <w:p w14:paraId="485B6F49" w14:textId="21F8479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C522A" w:rsidRPr="00DF220D">
        <w:rPr>
          <w:rFonts w:asciiTheme="minorBidi" w:hAnsiTheme="minorBidi"/>
          <w:sz w:val="28"/>
          <w:szCs w:val="28"/>
        </w:rPr>
        <w:t>2019436</w:t>
      </w:r>
    </w:p>
    <w:p w14:paraId="3C1E7A20" w14:textId="6BE4BEF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C522A">
        <w:rPr>
          <w:rFonts w:asciiTheme="minorBidi" w:hAnsiTheme="minorBidi"/>
          <w:sz w:val="28"/>
          <w:szCs w:val="28"/>
        </w:rPr>
        <w:t>4001</w:t>
      </w:r>
    </w:p>
    <w:p w14:paraId="4EEB2DA3" w14:textId="0C40857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C522A" w:rsidRPr="00DF220D">
        <w:rPr>
          <w:rFonts w:asciiTheme="minorBidi" w:hAnsiTheme="minorBidi"/>
          <w:sz w:val="28"/>
          <w:szCs w:val="28"/>
          <w:lang w:val="en-US"/>
        </w:rPr>
        <w:t>Academic and Employability Skills</w:t>
      </w:r>
    </w:p>
    <w:p w14:paraId="112342CB" w14:textId="2FAD322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C522A" w:rsidRPr="00DF220D">
        <w:rPr>
          <w:rFonts w:asciiTheme="minorBidi" w:hAnsiTheme="minorBidi"/>
          <w:sz w:val="28"/>
          <w:szCs w:val="28"/>
          <w:lang w:val="nb-NO"/>
        </w:rPr>
        <w:t>Abdulla Sodiq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E2E671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C522A">
        <w:rPr>
          <w:rFonts w:asciiTheme="minorBidi" w:hAnsiTheme="minorBidi"/>
          <w:sz w:val="28"/>
          <w:szCs w:val="28"/>
        </w:rPr>
        <w:t>24</w:t>
      </w:r>
      <w:r w:rsidR="00AC522A" w:rsidRPr="00AC522A">
        <w:rPr>
          <w:rFonts w:asciiTheme="minorBidi" w:hAnsiTheme="minorBidi"/>
          <w:sz w:val="28"/>
          <w:szCs w:val="28"/>
          <w:vertAlign w:val="superscript"/>
        </w:rPr>
        <w:t>th</w:t>
      </w:r>
      <w:r w:rsidR="00AC522A">
        <w:rPr>
          <w:rFonts w:asciiTheme="minorBidi" w:hAnsiTheme="minorBidi"/>
          <w:sz w:val="28"/>
          <w:szCs w:val="28"/>
        </w:rPr>
        <w:t xml:space="preserve"> July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64AA512A" w14:textId="77777777" w:rsidR="00605900" w:rsidRPr="00AC522A" w:rsidRDefault="00605900" w:rsidP="00605900">
      <w:pPr>
        <w:pStyle w:val="Heading1"/>
        <w:rPr>
          <w:rFonts w:ascii="Arial" w:hAnsi="Arial" w:cs="Arial"/>
          <w:color w:val="auto"/>
          <w:sz w:val="22"/>
          <w:szCs w:val="22"/>
        </w:rPr>
      </w:pPr>
      <w:r w:rsidRPr="00AC522A">
        <w:rPr>
          <w:rFonts w:ascii="Arial" w:hAnsi="Arial" w:cs="Arial"/>
          <w:color w:val="auto"/>
          <w:sz w:val="22"/>
          <w:szCs w:val="22"/>
        </w:rPr>
        <w:lastRenderedPageBreak/>
        <w:t>1: Written Report</w:t>
      </w:r>
    </w:p>
    <w:p w14:paraId="74F8A400" w14:textId="77777777" w:rsidR="00605900" w:rsidRPr="00AC522A" w:rsidRDefault="00605900" w:rsidP="00605900">
      <w:pPr>
        <w:pStyle w:val="Heading2"/>
        <w:rPr>
          <w:rFonts w:ascii="Arial" w:hAnsi="Arial" w:cs="Arial"/>
          <w:b/>
          <w:color w:val="auto"/>
          <w:sz w:val="22"/>
          <w:szCs w:val="22"/>
        </w:rPr>
      </w:pPr>
      <w:r w:rsidRPr="00AC522A">
        <w:rPr>
          <w:rFonts w:ascii="Arial" w:hAnsi="Arial" w:cs="Arial"/>
          <w:b/>
          <w:color w:val="auto"/>
          <w:sz w:val="22"/>
          <w:szCs w:val="22"/>
        </w:rPr>
        <w:t>1.1 Introduction</w:t>
      </w:r>
    </w:p>
    <w:p w14:paraId="3A901A5F" w14:textId="6F9AD697" w:rsidR="00AC522A" w:rsidRPr="00AA1A2E" w:rsidRDefault="00E058A1" w:rsidP="00AC522A">
      <w:pPr>
        <w:rPr>
          <w:rFonts w:ascii="Arial" w:hAnsi="Arial" w:cs="Arial"/>
          <w:sz w:val="22"/>
          <w:lang w:val="en-US"/>
        </w:rPr>
      </w:pPr>
      <w:r w:rsidRPr="00E058A1">
        <w:rPr>
          <w:rFonts w:ascii="Arial" w:hAnsi="Arial" w:cs="Arial"/>
          <w:sz w:val="22"/>
        </w:rPr>
        <w:t xml:space="preserve">By assisting people, families, and communities going through social, emotional, and practical challenges, social workers play a critical role in health and social care. Social workers have a crucial role in protecting vulnerable individuals, fostering independence, and enhancing wellness through support services, advocacy, and assessment. The function of a social worker in health and social care settings is the main topic of this paper. It describes the duties and significance of the profession, assesses three critical abilities for successful practice, and talks about ways to improve and enhance them. </w:t>
      </w:r>
      <w:r w:rsidR="00605900" w:rsidRPr="00E06403">
        <w:rPr>
          <w:rFonts w:ascii="Arial" w:hAnsi="Arial" w:cs="Arial"/>
          <w:sz w:val="22"/>
        </w:rPr>
        <w:t>The report aims to demonstrate how professional competence contributes to safe and effective service delivery</w:t>
      </w:r>
      <w:r w:rsidR="00DE57F1">
        <w:rPr>
          <w:rFonts w:ascii="Arial" w:hAnsi="Arial" w:cs="Arial"/>
          <w:sz w:val="22"/>
        </w:rPr>
        <w:t>.</w:t>
      </w:r>
      <w:r w:rsidR="00AA1A2E" w:rsidRPr="00AA1A2E">
        <w:rPr>
          <w:rFonts w:ascii="Arial" w:hAnsi="Arial" w:cs="Arial"/>
          <w:sz w:val="22"/>
          <w:lang w:val="en-US"/>
        </w:rPr>
        <w:t> (Browne, 2019)</w:t>
      </w:r>
    </w:p>
    <w:p w14:paraId="3F40A2B6" w14:textId="77777777" w:rsidR="00AC522A" w:rsidRPr="00AC522A" w:rsidRDefault="00AC522A" w:rsidP="00AC522A">
      <w:pPr>
        <w:rPr>
          <w:rFonts w:ascii="Arial" w:hAnsi="Arial" w:cs="Arial"/>
          <w:color w:val="0070C0"/>
          <w:sz w:val="22"/>
        </w:rPr>
      </w:pPr>
    </w:p>
    <w:p w14:paraId="7057CB8D" w14:textId="77777777" w:rsidR="00AC522A" w:rsidRPr="00AC522A" w:rsidRDefault="00605900" w:rsidP="00AC522A">
      <w:pPr>
        <w:rPr>
          <w:rFonts w:ascii="Arial" w:hAnsi="Arial" w:cs="Arial"/>
          <w:b/>
          <w:bCs/>
          <w:color w:val="000000" w:themeColor="text1"/>
          <w:sz w:val="22"/>
        </w:rPr>
      </w:pPr>
      <w:r w:rsidRPr="00AC522A">
        <w:rPr>
          <w:rFonts w:ascii="Arial" w:hAnsi="Arial" w:cs="Arial"/>
          <w:b/>
          <w:bCs/>
          <w:color w:val="000000" w:themeColor="text1"/>
          <w:sz w:val="22"/>
        </w:rPr>
        <w:t xml:space="preserve">1.2 Description of, and background to, Social </w:t>
      </w:r>
      <w:r w:rsidR="00AC522A" w:rsidRPr="00AC522A">
        <w:rPr>
          <w:rFonts w:ascii="Arial" w:hAnsi="Arial" w:cs="Arial"/>
          <w:b/>
          <w:bCs/>
          <w:color w:val="000000" w:themeColor="text1"/>
          <w:sz w:val="22"/>
        </w:rPr>
        <w:t>Work</w:t>
      </w:r>
      <w:r w:rsidRPr="00AC522A">
        <w:rPr>
          <w:rFonts w:ascii="Arial" w:hAnsi="Arial" w:cs="Arial"/>
          <w:b/>
          <w:bCs/>
          <w:color w:val="000000" w:themeColor="text1"/>
          <w:sz w:val="22"/>
        </w:rPr>
        <w:t xml:space="preserve"> in healthcare</w:t>
      </w:r>
    </w:p>
    <w:p w14:paraId="1AE3D34E" w14:textId="68297D38" w:rsidR="00AC522A" w:rsidRDefault="00605900" w:rsidP="00AC522A">
      <w:pPr>
        <w:rPr>
          <w:rFonts w:ascii="Arial" w:hAnsi="Arial" w:cs="Arial"/>
          <w:color w:val="000000" w:themeColor="text1"/>
          <w:sz w:val="22"/>
          <w:lang w:val="en-US"/>
        </w:rPr>
      </w:pPr>
      <w:r w:rsidRPr="00E06403">
        <w:rPr>
          <w:rFonts w:ascii="Arial" w:hAnsi="Arial" w:cs="Arial"/>
          <w:color w:val="000000" w:themeColor="text1"/>
          <w:sz w:val="22"/>
          <w:lang w:val="en-US"/>
        </w:rPr>
        <w:t xml:space="preserve">Social workers support individuals who experience difficulties that affect their physical, emotional, psychological, or social wellbeing. They work in a wide range of settings including hospitals, local authorities, community </w:t>
      </w:r>
      <w:r w:rsidR="00AC522A" w:rsidRPr="00E06403">
        <w:rPr>
          <w:rFonts w:ascii="Arial" w:hAnsi="Arial" w:cs="Arial"/>
          <w:color w:val="000000" w:themeColor="text1"/>
          <w:sz w:val="22"/>
          <w:lang w:val="en-US"/>
        </w:rPr>
        <w:t>organizations</w:t>
      </w:r>
      <w:r w:rsidRPr="00E06403">
        <w:rPr>
          <w:rFonts w:ascii="Arial" w:hAnsi="Arial" w:cs="Arial"/>
          <w:color w:val="000000" w:themeColor="text1"/>
          <w:sz w:val="22"/>
          <w:lang w:val="en-US"/>
        </w:rPr>
        <w:t xml:space="preserve">, schools, mental health services, and residential care homes. The primary aim of the profession is to empower individuals, reduce inequalities, promote independence, and safeguard vulnerable adults and children through effective assessment and intervention </w:t>
      </w:r>
      <w:r w:rsidR="00AA1A2E" w:rsidRPr="00AA1A2E">
        <w:rPr>
          <w:rFonts w:ascii="Arial" w:hAnsi="Arial" w:cs="Arial"/>
          <w:color w:val="000000" w:themeColor="text1"/>
          <w:sz w:val="22"/>
        </w:rPr>
        <w:t>(Gehlert, Andrews and Browne, 2019)</w:t>
      </w:r>
      <w:r w:rsidR="00AA1A2E">
        <w:rPr>
          <w:rFonts w:ascii="Arial" w:hAnsi="Arial" w:cs="Arial"/>
          <w:color w:val="000000" w:themeColor="text1"/>
          <w:sz w:val="22"/>
        </w:rPr>
        <w:t>.</w:t>
      </w:r>
    </w:p>
    <w:p w14:paraId="3821EFF3" w14:textId="77777777" w:rsidR="00AC522A" w:rsidRDefault="00605900" w:rsidP="00AC522A">
      <w:pPr>
        <w:rPr>
          <w:rFonts w:ascii="Arial" w:hAnsi="Arial" w:cs="Arial"/>
          <w:color w:val="000000" w:themeColor="text1"/>
          <w:sz w:val="22"/>
          <w:lang w:val="en-US"/>
        </w:rPr>
      </w:pPr>
      <w:r w:rsidRPr="00E06403">
        <w:rPr>
          <w:rFonts w:ascii="Arial" w:hAnsi="Arial" w:cs="Arial"/>
          <w:color w:val="000000" w:themeColor="text1"/>
          <w:sz w:val="22"/>
          <w:lang w:val="en-US"/>
        </w:rPr>
        <w:t xml:space="preserve">The responsibilities of a social worker include assessing the needs of service users, identifying risks, developing care and support plans, providing advocacy, arranging access to appropriate health and social care services, maintaining accurate records, and working collaboratively with healthcare professionals, educators, housing officers, and voluntary </w:t>
      </w:r>
      <w:r w:rsidR="00AC522A" w:rsidRPr="00E06403">
        <w:rPr>
          <w:rFonts w:ascii="Arial" w:hAnsi="Arial" w:cs="Arial"/>
          <w:color w:val="000000" w:themeColor="text1"/>
          <w:sz w:val="22"/>
          <w:lang w:val="en-US"/>
        </w:rPr>
        <w:t>organizations</w:t>
      </w:r>
      <w:r w:rsidRPr="00E06403">
        <w:rPr>
          <w:rFonts w:ascii="Arial" w:hAnsi="Arial" w:cs="Arial"/>
          <w:color w:val="000000" w:themeColor="text1"/>
          <w:sz w:val="22"/>
          <w:lang w:val="en-US"/>
        </w:rPr>
        <w:t>. Social workers also ensure that legislation, professional standards, and safeguarding policies are followed throughout the care process.</w:t>
      </w:r>
    </w:p>
    <w:p w14:paraId="74930936" w14:textId="0D80B21F" w:rsidR="00AC522A" w:rsidRDefault="00605900" w:rsidP="00AC522A">
      <w:pPr>
        <w:rPr>
          <w:rFonts w:ascii="Arial" w:hAnsi="Arial" w:cs="Arial"/>
          <w:color w:val="000000" w:themeColor="text1"/>
          <w:sz w:val="22"/>
          <w:lang w:val="en-US"/>
        </w:rPr>
      </w:pPr>
      <w:r w:rsidRPr="00E06403">
        <w:rPr>
          <w:rFonts w:ascii="Arial" w:hAnsi="Arial" w:cs="Arial"/>
          <w:color w:val="000000" w:themeColor="text1"/>
          <w:sz w:val="22"/>
          <w:lang w:val="en-US"/>
        </w:rPr>
        <w:t xml:space="preserve">Safeguarding is widely </w:t>
      </w:r>
      <w:r w:rsidR="00AC522A" w:rsidRPr="00E06403">
        <w:rPr>
          <w:rFonts w:ascii="Arial" w:hAnsi="Arial" w:cs="Arial"/>
          <w:color w:val="000000" w:themeColor="text1"/>
          <w:sz w:val="22"/>
          <w:lang w:val="en-US"/>
        </w:rPr>
        <w:t>recognized</w:t>
      </w:r>
      <w:r w:rsidRPr="00E06403">
        <w:rPr>
          <w:rFonts w:ascii="Arial" w:hAnsi="Arial" w:cs="Arial"/>
          <w:color w:val="000000" w:themeColor="text1"/>
          <w:sz w:val="22"/>
          <w:lang w:val="en-US"/>
        </w:rPr>
        <w:t xml:space="preserve"> as one of the most important responsibilities of a social worker. Practitioners must identify concerns relating to abuse, neglect, exploitation, or domestic violence and take appropriate action to protect individuals who may be at risk </w:t>
      </w:r>
      <w:r w:rsidR="00AA1A2E" w:rsidRPr="00AA1A2E">
        <w:rPr>
          <w:rFonts w:ascii="Arial" w:hAnsi="Arial" w:cs="Arial"/>
          <w:color w:val="000000" w:themeColor="text1"/>
          <w:sz w:val="22"/>
        </w:rPr>
        <w:t>(Ravalier et al., 2020)</w:t>
      </w:r>
      <w:r w:rsidR="00AA1A2E">
        <w:rPr>
          <w:rFonts w:ascii="Arial" w:hAnsi="Arial" w:cs="Arial"/>
          <w:color w:val="000000" w:themeColor="text1"/>
          <w:sz w:val="22"/>
        </w:rPr>
        <w:t>.</w:t>
      </w:r>
      <w:r w:rsidR="00DD6319">
        <w:rPr>
          <w:rFonts w:ascii="Arial" w:hAnsi="Arial" w:cs="Arial"/>
          <w:color w:val="000000" w:themeColor="text1"/>
          <w:sz w:val="22"/>
        </w:rPr>
        <w:t xml:space="preserve"> </w:t>
      </w:r>
      <w:r w:rsidRPr="00E06403">
        <w:rPr>
          <w:rFonts w:ascii="Arial" w:hAnsi="Arial" w:cs="Arial"/>
          <w:color w:val="000000" w:themeColor="text1"/>
          <w:sz w:val="22"/>
          <w:lang w:val="en-US"/>
        </w:rPr>
        <w:t>This responsibility requires sound professional judgement, ethical decision-making, and effective communication with service users and multidisciplinary teams.</w:t>
      </w:r>
    </w:p>
    <w:p w14:paraId="7776818E" w14:textId="453D109C" w:rsidR="00AC522A" w:rsidRDefault="00605900" w:rsidP="00AC522A">
      <w:pPr>
        <w:rPr>
          <w:rFonts w:ascii="Arial" w:hAnsi="Arial" w:cs="Arial"/>
          <w:color w:val="000000" w:themeColor="text1"/>
          <w:sz w:val="22"/>
          <w:lang w:val="en-US"/>
        </w:rPr>
      </w:pPr>
      <w:r w:rsidRPr="00E06403">
        <w:rPr>
          <w:rFonts w:ascii="Arial" w:hAnsi="Arial" w:cs="Arial"/>
          <w:color w:val="000000" w:themeColor="text1"/>
          <w:sz w:val="22"/>
          <w:lang w:val="en-US"/>
        </w:rPr>
        <w:t>To perform these responsibilities effectively, social workers require a combination of professional knowledge and interpersonal skills. Communication skills enable practitioners to build trusting relationships and exchange information effectively. Empathy and emotional intelligence support compassionate, person-</w:t>
      </w:r>
      <w:r w:rsidR="00AC522A" w:rsidRPr="00E06403">
        <w:rPr>
          <w:rFonts w:ascii="Arial" w:hAnsi="Arial" w:cs="Arial"/>
          <w:color w:val="000000" w:themeColor="text1"/>
          <w:sz w:val="22"/>
          <w:lang w:val="en-US"/>
        </w:rPr>
        <w:t>centered</w:t>
      </w:r>
      <w:r w:rsidRPr="00E06403">
        <w:rPr>
          <w:rFonts w:ascii="Arial" w:hAnsi="Arial" w:cs="Arial"/>
          <w:color w:val="000000" w:themeColor="text1"/>
          <w:sz w:val="22"/>
          <w:lang w:val="en-US"/>
        </w:rPr>
        <w:t xml:space="preserve"> practice, while problem-solving and decision-making skills enable practitioners to respond appropriately to complex situations involving risk, legal responsibilities, and competing priorities.</w:t>
      </w:r>
    </w:p>
    <w:p w14:paraId="5EE828A8" w14:textId="77777777" w:rsidR="00D95EE3" w:rsidRDefault="00D95EE3" w:rsidP="00AC522A">
      <w:pPr>
        <w:rPr>
          <w:rFonts w:ascii="Arial" w:hAnsi="Arial" w:cs="Arial"/>
          <w:b/>
          <w:bCs/>
          <w:sz w:val="22"/>
        </w:rPr>
      </w:pPr>
    </w:p>
    <w:p w14:paraId="63635CA0" w14:textId="77777777" w:rsidR="00D95EE3" w:rsidRDefault="00D95EE3" w:rsidP="00AC522A">
      <w:pPr>
        <w:rPr>
          <w:rFonts w:ascii="Arial" w:hAnsi="Arial" w:cs="Arial"/>
          <w:b/>
          <w:bCs/>
          <w:sz w:val="22"/>
        </w:rPr>
      </w:pPr>
    </w:p>
    <w:p w14:paraId="775232B5" w14:textId="77777777" w:rsidR="00D95EE3" w:rsidRDefault="00D95EE3" w:rsidP="00AC522A">
      <w:pPr>
        <w:rPr>
          <w:rFonts w:ascii="Arial" w:hAnsi="Arial" w:cs="Arial"/>
          <w:b/>
          <w:bCs/>
          <w:sz w:val="22"/>
        </w:rPr>
      </w:pPr>
    </w:p>
    <w:p w14:paraId="1B58FC2A" w14:textId="77777777" w:rsidR="00D95EE3" w:rsidRDefault="00D95EE3" w:rsidP="00AC522A">
      <w:pPr>
        <w:rPr>
          <w:rFonts w:ascii="Arial" w:hAnsi="Arial" w:cs="Arial"/>
          <w:b/>
          <w:bCs/>
          <w:sz w:val="22"/>
        </w:rPr>
      </w:pPr>
    </w:p>
    <w:p w14:paraId="74E61AD9" w14:textId="77777777" w:rsidR="00D95EE3" w:rsidRDefault="00D95EE3" w:rsidP="00AC522A">
      <w:pPr>
        <w:rPr>
          <w:rFonts w:ascii="Arial" w:hAnsi="Arial" w:cs="Arial"/>
          <w:b/>
          <w:bCs/>
          <w:sz w:val="22"/>
        </w:rPr>
      </w:pPr>
    </w:p>
    <w:p w14:paraId="4D1ABB77" w14:textId="77777777" w:rsidR="00D95EE3" w:rsidRDefault="00D95EE3" w:rsidP="00AC522A">
      <w:pPr>
        <w:rPr>
          <w:rFonts w:ascii="Arial" w:hAnsi="Arial" w:cs="Arial"/>
          <w:b/>
          <w:bCs/>
          <w:sz w:val="22"/>
        </w:rPr>
      </w:pPr>
    </w:p>
    <w:p w14:paraId="1BE9F601" w14:textId="3AA0FD1B" w:rsidR="00AC522A" w:rsidRPr="00AC522A" w:rsidRDefault="00605900" w:rsidP="00AC522A">
      <w:pPr>
        <w:rPr>
          <w:rFonts w:ascii="Arial" w:hAnsi="Arial" w:cs="Arial"/>
          <w:b/>
          <w:bCs/>
          <w:sz w:val="22"/>
        </w:rPr>
      </w:pPr>
      <w:r w:rsidRPr="00AC522A">
        <w:rPr>
          <w:rFonts w:ascii="Arial" w:hAnsi="Arial" w:cs="Arial"/>
          <w:b/>
          <w:bCs/>
          <w:sz w:val="22"/>
        </w:rPr>
        <w:lastRenderedPageBreak/>
        <w:t xml:space="preserve">1.3 Evaluation of the skills needed for </w:t>
      </w:r>
      <w:r w:rsidR="00AC522A" w:rsidRPr="00AC522A">
        <w:rPr>
          <w:rFonts w:ascii="Arial" w:hAnsi="Arial" w:cs="Arial"/>
          <w:b/>
          <w:bCs/>
          <w:sz w:val="22"/>
        </w:rPr>
        <w:t>a social worker</w:t>
      </w:r>
      <w:r w:rsidRPr="00AC522A">
        <w:rPr>
          <w:rFonts w:ascii="Arial" w:hAnsi="Arial" w:cs="Arial"/>
          <w:b/>
          <w:bCs/>
          <w:sz w:val="22"/>
        </w:rPr>
        <w:t xml:space="preserve"> in healthcare</w:t>
      </w:r>
    </w:p>
    <w:p w14:paraId="3B7A3BEC" w14:textId="77777777" w:rsidR="00BE6808" w:rsidRDefault="00E058A1" w:rsidP="00BE6808">
      <w:pPr>
        <w:rPr>
          <w:rFonts w:ascii="Arial" w:hAnsi="Arial" w:cs="Arial"/>
          <w:color w:val="000000" w:themeColor="text1"/>
          <w:sz w:val="22"/>
        </w:rPr>
      </w:pPr>
      <w:r w:rsidRPr="00E058A1">
        <w:rPr>
          <w:rFonts w:ascii="Arial" w:hAnsi="Arial" w:cs="Arial"/>
          <w:color w:val="000000" w:themeColor="text1"/>
          <w:sz w:val="22"/>
          <w:lang w:val="en-US"/>
        </w:rPr>
        <w:t xml:space="preserve">To deliver safe, efficient, and person-centered care, social workers need a </w:t>
      </w:r>
      <w:r>
        <w:rPr>
          <w:rFonts w:ascii="Arial" w:hAnsi="Arial" w:cs="Arial"/>
          <w:color w:val="000000" w:themeColor="text1"/>
          <w:sz w:val="22"/>
          <w:lang w:val="en-US"/>
        </w:rPr>
        <w:t>wide</w:t>
      </w:r>
      <w:r w:rsidRPr="00E058A1">
        <w:rPr>
          <w:rFonts w:ascii="Arial" w:hAnsi="Arial" w:cs="Arial"/>
          <w:color w:val="000000" w:themeColor="text1"/>
          <w:sz w:val="22"/>
          <w:lang w:val="en-US"/>
        </w:rPr>
        <w:t xml:space="preserve"> variety of professional and interpersonal abilities. Since they have a direct impact on the level of support given to service users, communication, empathy and emotional intelligence, and problem-solving and decision-making are seen as the most crucial of these. These abilities help social workers build trustworthy connections, make wise professional decisions, and collaborate well with interdisciplinary teams to enhance outcomes for vulnerable people.</w:t>
      </w:r>
      <w:r>
        <w:rPr>
          <w:rFonts w:ascii="Arial" w:hAnsi="Arial" w:cs="Arial"/>
          <w:color w:val="000000" w:themeColor="text1"/>
          <w:sz w:val="22"/>
          <w:lang w:val="en-US"/>
        </w:rPr>
        <w:t xml:space="preserve"> </w:t>
      </w:r>
      <w:r w:rsidR="00AA1A2E" w:rsidRPr="00AA1A2E">
        <w:rPr>
          <w:rFonts w:ascii="Arial" w:hAnsi="Arial" w:cs="Arial"/>
          <w:color w:val="000000" w:themeColor="text1"/>
          <w:sz w:val="22"/>
        </w:rPr>
        <w:t>(Davis et al., 2018)</w:t>
      </w:r>
      <w:r w:rsidR="00AA1A2E">
        <w:rPr>
          <w:rFonts w:ascii="Arial" w:hAnsi="Arial" w:cs="Arial"/>
          <w:color w:val="000000" w:themeColor="text1"/>
          <w:sz w:val="22"/>
        </w:rPr>
        <w:t>.</w:t>
      </w:r>
    </w:p>
    <w:p w14:paraId="275973CA" w14:textId="1B879560" w:rsidR="00BE6808" w:rsidRPr="00BE6808" w:rsidRDefault="00605900" w:rsidP="00BE6808">
      <w:pPr>
        <w:rPr>
          <w:rFonts w:ascii="Arial" w:hAnsi="Arial" w:cs="Arial"/>
          <w:color w:val="000000" w:themeColor="text1"/>
          <w:sz w:val="22"/>
        </w:rPr>
      </w:pPr>
      <w:r w:rsidRPr="00E06403">
        <w:rPr>
          <w:rFonts w:ascii="Arial" w:hAnsi="Arial" w:cs="Arial"/>
          <w:b/>
          <w:bCs/>
          <w:color w:val="000000" w:themeColor="text1"/>
          <w:sz w:val="22"/>
          <w:lang w:val="en-US"/>
        </w:rPr>
        <w:t>Communication Skills</w:t>
      </w:r>
    </w:p>
    <w:p w14:paraId="77F406AE" w14:textId="77777777" w:rsidR="00BE6808" w:rsidRDefault="00605900" w:rsidP="00BE6808">
      <w:pPr>
        <w:rPr>
          <w:rFonts w:ascii="Arial" w:hAnsi="Arial" w:cs="Arial"/>
          <w:color w:val="000000" w:themeColor="text1"/>
          <w:sz w:val="22"/>
          <w:lang w:val="en-US"/>
        </w:rPr>
      </w:pPr>
      <w:r w:rsidRPr="00E06403">
        <w:rPr>
          <w:rFonts w:ascii="Arial" w:hAnsi="Arial" w:cs="Arial"/>
          <w:color w:val="000000" w:themeColor="text1"/>
          <w:sz w:val="22"/>
          <w:lang w:val="en-US"/>
        </w:rPr>
        <w:t xml:space="preserve">Communication is one of the most fundamental skills required in social work because practitioners interact with individuals from diverse backgrounds, including those experiencing mental illness, learning disabilities, domestic abuse, substance misuse, or safeguarding concerns. Effective communication involves active listening, asking appropriate questions, explaining complex information clearly, and producing accurate written records. Social workers must also adapt their communication style according to the age, culture, language, and individual needs of each service user </w:t>
      </w:r>
      <w:r w:rsidR="00772702" w:rsidRPr="00772702">
        <w:rPr>
          <w:rFonts w:ascii="Arial" w:hAnsi="Arial" w:cs="Arial"/>
          <w:color w:val="000000" w:themeColor="text1"/>
          <w:sz w:val="22"/>
          <w:lang w:val="en-US"/>
        </w:rPr>
        <w:t>(Trevithick, 2008)</w:t>
      </w:r>
    </w:p>
    <w:p w14:paraId="554EAF95" w14:textId="77777777" w:rsidR="00BE6808" w:rsidRDefault="00605900" w:rsidP="00BE6808">
      <w:pPr>
        <w:rPr>
          <w:rFonts w:ascii="Arial" w:hAnsi="Arial" w:cs="Arial"/>
          <w:color w:val="000000" w:themeColor="text1"/>
          <w:sz w:val="22"/>
          <w:lang w:val="en-US"/>
        </w:rPr>
      </w:pPr>
      <w:r w:rsidRPr="00E06403">
        <w:rPr>
          <w:rFonts w:ascii="Arial" w:hAnsi="Arial" w:cs="Arial"/>
          <w:color w:val="000000" w:themeColor="text1"/>
          <w:sz w:val="22"/>
          <w:lang w:val="en-US"/>
        </w:rPr>
        <w:t>Strong communication enables social workers to establish trust and encourages service users to discuss sensitive issues openly. For example, when supporting a child at risk of neglect, a social worker must communicate sensitively with both the child and family members while also sharing accurate information with healthcare professionals, teachers, and safeguarding teams. Clear communication ensures that everyone involved understands the identified risks and the actions required to protect the child</w:t>
      </w:r>
    </w:p>
    <w:p w14:paraId="36D72E83" w14:textId="77777777" w:rsidR="00BE6808" w:rsidRDefault="00605900" w:rsidP="00BE6808">
      <w:pPr>
        <w:rPr>
          <w:rFonts w:ascii="Arial" w:hAnsi="Arial" w:cs="Arial"/>
          <w:color w:val="000000" w:themeColor="text1"/>
          <w:sz w:val="22"/>
        </w:rPr>
      </w:pPr>
      <w:r w:rsidRPr="00E06403">
        <w:rPr>
          <w:rFonts w:ascii="Arial" w:hAnsi="Arial" w:cs="Arial"/>
          <w:color w:val="000000" w:themeColor="text1"/>
          <w:sz w:val="22"/>
          <w:lang w:val="en-US"/>
        </w:rPr>
        <w:t xml:space="preserve">Poor communication may lead to misunderstandings, inaccurate assessments, inappropriate care planning, or safeguarding failures. Inaccurate documentation or ineffective information sharing between professionals may delay essential interventions and place vulnerable individuals at greater risk. Therefore, communication is essential for maintaining professional accountability and ensuring continuity of care </w:t>
      </w:r>
      <w:r w:rsidR="00772702" w:rsidRPr="00E06403">
        <w:rPr>
          <w:rFonts w:ascii="Arial" w:hAnsi="Arial" w:cs="Arial"/>
          <w:color w:val="000000" w:themeColor="text1"/>
          <w:sz w:val="22"/>
          <w:lang w:val="en-US"/>
        </w:rPr>
        <w:t>(</w:t>
      </w:r>
      <w:r w:rsidR="00772702" w:rsidRPr="00772702">
        <w:rPr>
          <w:rFonts w:ascii="Arial" w:hAnsi="Arial" w:cs="Arial"/>
          <w:color w:val="000000" w:themeColor="text1"/>
          <w:sz w:val="22"/>
        </w:rPr>
        <w:t>N. Jones, Hanley and Robb, 2025)</w:t>
      </w:r>
      <w:r w:rsidR="00772702">
        <w:rPr>
          <w:rFonts w:ascii="Arial" w:hAnsi="Arial" w:cs="Arial"/>
          <w:color w:val="000000" w:themeColor="text1"/>
          <w:sz w:val="22"/>
        </w:rPr>
        <w:t>.</w:t>
      </w:r>
    </w:p>
    <w:p w14:paraId="71603FC9" w14:textId="77777777" w:rsidR="00BE6808" w:rsidRDefault="00605900" w:rsidP="00BE6808">
      <w:pPr>
        <w:rPr>
          <w:rFonts w:ascii="Arial" w:hAnsi="Arial" w:cs="Arial"/>
          <w:b/>
          <w:bCs/>
          <w:color w:val="000000" w:themeColor="text1"/>
          <w:sz w:val="22"/>
          <w:lang w:val="en-US"/>
        </w:rPr>
      </w:pPr>
      <w:r w:rsidRPr="00E06403">
        <w:rPr>
          <w:rFonts w:ascii="Arial" w:hAnsi="Arial" w:cs="Arial"/>
          <w:b/>
          <w:bCs/>
          <w:color w:val="000000" w:themeColor="text1"/>
          <w:sz w:val="22"/>
          <w:lang w:val="en-US"/>
        </w:rPr>
        <w:t>Empathy and Emotional Intelligence</w:t>
      </w:r>
    </w:p>
    <w:p w14:paraId="2CC7CEFD" w14:textId="77777777" w:rsidR="00BE6808" w:rsidRDefault="00605900" w:rsidP="00BE6808">
      <w:pPr>
        <w:rPr>
          <w:rFonts w:ascii="Arial" w:hAnsi="Arial" w:cs="Arial"/>
          <w:color w:val="000000" w:themeColor="text1"/>
          <w:sz w:val="22"/>
          <w:lang w:val="en-US"/>
        </w:rPr>
      </w:pPr>
      <w:r w:rsidRPr="00E06403">
        <w:rPr>
          <w:rFonts w:ascii="Arial" w:hAnsi="Arial" w:cs="Arial"/>
          <w:color w:val="000000" w:themeColor="text1"/>
          <w:sz w:val="22"/>
          <w:lang w:val="en-US"/>
        </w:rPr>
        <w:t xml:space="preserve">Empathy enables social workers to understand the feelings, experiences, and perspectives of service users without becoming emotionally overwhelmed. Emotional intelligence allows practitioners to </w:t>
      </w:r>
      <w:r w:rsidR="00AC522A" w:rsidRPr="00E06403">
        <w:rPr>
          <w:rFonts w:ascii="Arial" w:hAnsi="Arial" w:cs="Arial"/>
          <w:color w:val="000000" w:themeColor="text1"/>
          <w:sz w:val="22"/>
          <w:lang w:val="en-US"/>
        </w:rPr>
        <w:t>recognize</w:t>
      </w:r>
      <w:r w:rsidRPr="00E06403">
        <w:rPr>
          <w:rFonts w:ascii="Arial" w:hAnsi="Arial" w:cs="Arial"/>
          <w:color w:val="000000" w:themeColor="text1"/>
          <w:sz w:val="22"/>
          <w:lang w:val="en-US"/>
        </w:rPr>
        <w:t xml:space="preserve"> and manage their own emotions while responding appropriately to challenging situations. Together, these qualities promote respectful, compassionate, and person-</w:t>
      </w:r>
      <w:r w:rsidR="00AC522A" w:rsidRPr="00E06403">
        <w:rPr>
          <w:rFonts w:ascii="Arial" w:hAnsi="Arial" w:cs="Arial"/>
          <w:color w:val="000000" w:themeColor="text1"/>
          <w:sz w:val="22"/>
          <w:lang w:val="en-US"/>
        </w:rPr>
        <w:t>centered</w:t>
      </w:r>
      <w:r w:rsidRPr="00E06403">
        <w:rPr>
          <w:rFonts w:ascii="Arial" w:hAnsi="Arial" w:cs="Arial"/>
          <w:color w:val="000000" w:themeColor="text1"/>
          <w:sz w:val="22"/>
          <w:lang w:val="en-US"/>
        </w:rPr>
        <w:t xml:space="preserve"> practice.</w:t>
      </w:r>
    </w:p>
    <w:p w14:paraId="1B614F2D" w14:textId="77777777" w:rsidR="00BE6808" w:rsidRDefault="00605900" w:rsidP="00BE6808">
      <w:pPr>
        <w:rPr>
          <w:rFonts w:ascii="Arial" w:hAnsi="Arial" w:cs="Arial"/>
          <w:color w:val="000000" w:themeColor="text1"/>
          <w:sz w:val="22"/>
          <w:lang w:val="en-US"/>
        </w:rPr>
      </w:pPr>
      <w:r w:rsidRPr="00E06403">
        <w:rPr>
          <w:rFonts w:ascii="Arial" w:hAnsi="Arial" w:cs="Arial"/>
          <w:color w:val="000000" w:themeColor="text1"/>
          <w:sz w:val="22"/>
          <w:lang w:val="en-US"/>
        </w:rPr>
        <w:t>Many service users experience highly emotional situations, including bereavement, domestic abuse, homelessness, mental ill-health, or family breakdown. Social workers who demonstrate empathy are better able to understand these experiences and provide emotional support while maintaining professional boundaries. Emotional intelligence also helps practitioners remain calm during stressful situations, manage conflict effectively, and make balanced decisions despite emotional pressure (Goleman, 1998).</w:t>
      </w:r>
    </w:p>
    <w:p w14:paraId="2B48435F" w14:textId="5FF6D54A" w:rsidR="00605900" w:rsidRPr="00BE6808" w:rsidRDefault="00605900" w:rsidP="00BE6808">
      <w:pPr>
        <w:rPr>
          <w:rFonts w:ascii="Arial" w:hAnsi="Arial" w:cs="Arial"/>
          <w:b/>
          <w:bCs/>
          <w:color w:val="000000" w:themeColor="text1"/>
          <w:sz w:val="22"/>
          <w:lang w:val="en-US"/>
        </w:rPr>
      </w:pPr>
      <w:r w:rsidRPr="00E06403">
        <w:rPr>
          <w:rFonts w:ascii="Arial" w:hAnsi="Arial" w:cs="Arial"/>
          <w:color w:val="000000" w:themeColor="text1"/>
          <w:sz w:val="22"/>
          <w:lang w:val="en-US"/>
        </w:rPr>
        <w:t xml:space="preserve">For example, when supporting an older adult who has recently lost independence due to illness, a social worker who demonstrates empathy is more likely to build trust and encourage the individual to participate in care planning. This collaborative approach improves confidence, promotes independence, and enhances overall wellbeing. Without empathy, service users may feel ignored or misunderstood, </w:t>
      </w:r>
      <w:r w:rsidR="00AC522A">
        <w:rPr>
          <w:rFonts w:ascii="Arial" w:hAnsi="Arial" w:cs="Arial"/>
          <w:color w:val="000000" w:themeColor="text1"/>
          <w:sz w:val="22"/>
          <w:lang w:val="en-US"/>
        </w:rPr>
        <w:t>which can reduce engagement with support services and negatively affect</w:t>
      </w:r>
      <w:r w:rsidRPr="00E06403">
        <w:rPr>
          <w:rFonts w:ascii="Arial" w:hAnsi="Arial" w:cs="Arial"/>
          <w:color w:val="000000" w:themeColor="text1"/>
          <w:sz w:val="22"/>
          <w:lang w:val="en-US"/>
        </w:rPr>
        <w:t xml:space="preserve"> outcomes</w:t>
      </w:r>
      <w:r w:rsidR="00772702">
        <w:rPr>
          <w:rFonts w:ascii="Arial" w:hAnsi="Arial" w:cs="Arial"/>
          <w:color w:val="000000" w:themeColor="text1"/>
          <w:sz w:val="22"/>
          <w:lang w:val="en-US"/>
        </w:rPr>
        <w:t>.</w:t>
      </w:r>
    </w:p>
    <w:p w14:paraId="0E4D67A9" w14:textId="77777777" w:rsidR="00605900" w:rsidRPr="00E06403" w:rsidRDefault="00605900" w:rsidP="00605900">
      <w:pPr>
        <w:pStyle w:val="Heading2"/>
        <w:rPr>
          <w:rFonts w:ascii="Arial" w:hAnsi="Arial" w:cs="Arial"/>
          <w:b/>
          <w:bCs/>
          <w:color w:val="000000" w:themeColor="text1"/>
          <w:sz w:val="22"/>
          <w:szCs w:val="22"/>
          <w:lang w:val="en-US"/>
        </w:rPr>
      </w:pPr>
      <w:r w:rsidRPr="00E06403">
        <w:rPr>
          <w:rFonts w:ascii="Arial" w:hAnsi="Arial" w:cs="Arial"/>
          <w:b/>
          <w:bCs/>
          <w:color w:val="000000" w:themeColor="text1"/>
          <w:sz w:val="22"/>
          <w:szCs w:val="22"/>
          <w:lang w:val="en-US"/>
        </w:rPr>
        <w:lastRenderedPageBreak/>
        <w:t>Problem-Solving and Decision-Making</w:t>
      </w:r>
    </w:p>
    <w:p w14:paraId="4A8E7132" w14:textId="77777777" w:rsidR="00605900" w:rsidRPr="00E06403" w:rsidRDefault="00605900" w:rsidP="00605900">
      <w:pPr>
        <w:pStyle w:val="Heading2"/>
        <w:rPr>
          <w:rFonts w:ascii="Arial" w:hAnsi="Arial" w:cs="Arial"/>
          <w:color w:val="000000" w:themeColor="text1"/>
          <w:sz w:val="22"/>
          <w:szCs w:val="22"/>
          <w:lang w:val="en-US"/>
        </w:rPr>
      </w:pPr>
      <w:r w:rsidRPr="00E06403">
        <w:rPr>
          <w:rFonts w:ascii="Arial" w:hAnsi="Arial" w:cs="Arial"/>
          <w:color w:val="000000" w:themeColor="text1"/>
          <w:sz w:val="22"/>
          <w:szCs w:val="22"/>
          <w:lang w:val="en-US"/>
        </w:rPr>
        <w:t>Problem-solving and decision-making are essential because social workers frequently manage complex cases involving safeguarding concerns, legal responsibilities, limited resources, and conflicting professional opinions. Effective decision-making requires practitioners to assess information critically, evaluate risks, consider legislation and professional guidance, and identify the most appropriate intervention for each individual.</w:t>
      </w:r>
    </w:p>
    <w:p w14:paraId="55996AD9" w14:textId="77777777" w:rsidR="00605900" w:rsidRPr="00E06403" w:rsidRDefault="00605900" w:rsidP="00605900">
      <w:pPr>
        <w:pStyle w:val="Heading2"/>
        <w:rPr>
          <w:rFonts w:ascii="Arial" w:hAnsi="Arial" w:cs="Arial"/>
          <w:color w:val="000000" w:themeColor="text1"/>
          <w:sz w:val="22"/>
          <w:szCs w:val="22"/>
          <w:lang w:val="en-US"/>
        </w:rPr>
      </w:pPr>
      <w:r w:rsidRPr="00E06403">
        <w:rPr>
          <w:rFonts w:ascii="Arial" w:hAnsi="Arial" w:cs="Arial"/>
          <w:color w:val="000000" w:themeColor="text1"/>
          <w:sz w:val="22"/>
          <w:szCs w:val="22"/>
          <w:lang w:val="en-US"/>
        </w:rPr>
        <w:t>For example, when assessing whether an adult with dementia can safely remain at home, the social worker must consider physical health, mental capacity, family support, environmental risks, and available community services before recommending an appropriate care plan. Decisions must always balance the individual's rights with the need to protect them from harm.</w:t>
      </w:r>
    </w:p>
    <w:p w14:paraId="79A4DEF2" w14:textId="5B054805" w:rsidR="00605900" w:rsidRPr="00E06403" w:rsidRDefault="00605900" w:rsidP="00605900">
      <w:pPr>
        <w:pStyle w:val="Heading2"/>
        <w:rPr>
          <w:rFonts w:ascii="Arial" w:hAnsi="Arial" w:cs="Arial"/>
          <w:color w:val="000000" w:themeColor="text1"/>
          <w:sz w:val="22"/>
          <w:szCs w:val="22"/>
          <w:lang w:val="en-US"/>
        </w:rPr>
      </w:pPr>
      <w:r w:rsidRPr="00E06403">
        <w:rPr>
          <w:rFonts w:ascii="Arial" w:hAnsi="Arial" w:cs="Arial"/>
          <w:color w:val="000000" w:themeColor="text1"/>
          <w:sz w:val="22"/>
          <w:szCs w:val="22"/>
          <w:lang w:val="en-US"/>
        </w:rPr>
        <w:t xml:space="preserve">Strong problem-solving skills enable practitioners to respond confidently to changing circumstances, </w:t>
      </w:r>
      <w:r w:rsidR="00AC522A" w:rsidRPr="00E06403">
        <w:rPr>
          <w:rFonts w:ascii="Arial" w:hAnsi="Arial" w:cs="Arial"/>
          <w:color w:val="000000" w:themeColor="text1"/>
          <w:sz w:val="22"/>
          <w:szCs w:val="22"/>
          <w:lang w:val="en-US"/>
        </w:rPr>
        <w:t>prioritize</w:t>
      </w:r>
      <w:r w:rsidRPr="00E06403">
        <w:rPr>
          <w:rFonts w:ascii="Arial" w:hAnsi="Arial" w:cs="Arial"/>
          <w:color w:val="000000" w:themeColor="text1"/>
          <w:sz w:val="22"/>
          <w:szCs w:val="22"/>
          <w:lang w:val="en-US"/>
        </w:rPr>
        <w:t xml:space="preserve"> competing demands, and work collaboratively with multidisciplinary teams to achieve positive outcomes. </w:t>
      </w:r>
      <w:r w:rsidR="00772702" w:rsidRPr="00772702">
        <w:rPr>
          <w:rFonts w:ascii="Arial" w:hAnsi="Arial" w:cs="Arial"/>
          <w:color w:val="000000" w:themeColor="text1"/>
          <w:sz w:val="22"/>
          <w:szCs w:val="22"/>
        </w:rPr>
        <w:t> (Taylor, 2013)</w:t>
      </w:r>
    </w:p>
    <w:p w14:paraId="4FE17733" w14:textId="77777777" w:rsidR="00D95EE3" w:rsidRDefault="00D95EE3" w:rsidP="00605900">
      <w:pPr>
        <w:pStyle w:val="Heading2"/>
        <w:rPr>
          <w:rFonts w:ascii="Arial" w:hAnsi="Arial" w:cs="Arial"/>
          <w:b/>
          <w:bCs/>
          <w:color w:val="auto"/>
          <w:sz w:val="22"/>
          <w:szCs w:val="22"/>
        </w:rPr>
      </w:pPr>
    </w:p>
    <w:p w14:paraId="73446FC1" w14:textId="77777777" w:rsidR="00D95EE3" w:rsidRDefault="00D95EE3" w:rsidP="00605900">
      <w:pPr>
        <w:pStyle w:val="Heading2"/>
        <w:rPr>
          <w:rFonts w:ascii="Arial" w:hAnsi="Arial" w:cs="Arial"/>
          <w:b/>
          <w:bCs/>
          <w:color w:val="auto"/>
          <w:sz w:val="22"/>
          <w:szCs w:val="22"/>
        </w:rPr>
      </w:pPr>
    </w:p>
    <w:p w14:paraId="0AD5EF12" w14:textId="77777777" w:rsidR="00D95EE3" w:rsidRDefault="00D95EE3" w:rsidP="00605900">
      <w:pPr>
        <w:pStyle w:val="Heading2"/>
        <w:rPr>
          <w:rFonts w:ascii="Arial" w:hAnsi="Arial" w:cs="Arial"/>
          <w:b/>
          <w:bCs/>
          <w:color w:val="auto"/>
          <w:sz w:val="22"/>
          <w:szCs w:val="22"/>
        </w:rPr>
      </w:pPr>
    </w:p>
    <w:p w14:paraId="7B9FD25B" w14:textId="77777777" w:rsidR="00D95EE3" w:rsidRDefault="00D95EE3" w:rsidP="00605900">
      <w:pPr>
        <w:pStyle w:val="Heading2"/>
        <w:rPr>
          <w:rFonts w:ascii="Arial" w:hAnsi="Arial" w:cs="Arial"/>
          <w:b/>
          <w:bCs/>
          <w:color w:val="auto"/>
          <w:sz w:val="22"/>
          <w:szCs w:val="22"/>
        </w:rPr>
      </w:pPr>
    </w:p>
    <w:p w14:paraId="25424C17" w14:textId="77777777" w:rsidR="00D95EE3" w:rsidRDefault="00D95EE3" w:rsidP="00605900">
      <w:pPr>
        <w:pStyle w:val="Heading2"/>
        <w:rPr>
          <w:rFonts w:ascii="Arial" w:hAnsi="Arial" w:cs="Arial"/>
          <w:b/>
          <w:bCs/>
          <w:color w:val="auto"/>
          <w:sz w:val="22"/>
          <w:szCs w:val="22"/>
        </w:rPr>
      </w:pPr>
    </w:p>
    <w:p w14:paraId="4001D3E6" w14:textId="77777777" w:rsidR="00D95EE3" w:rsidRDefault="00D95EE3" w:rsidP="00605900">
      <w:pPr>
        <w:pStyle w:val="Heading2"/>
        <w:rPr>
          <w:rFonts w:ascii="Arial" w:hAnsi="Arial" w:cs="Arial"/>
          <w:b/>
          <w:bCs/>
          <w:color w:val="auto"/>
          <w:sz w:val="22"/>
          <w:szCs w:val="22"/>
        </w:rPr>
      </w:pPr>
    </w:p>
    <w:p w14:paraId="0A42B873" w14:textId="77777777" w:rsidR="00D95EE3" w:rsidRDefault="00D95EE3" w:rsidP="00605900">
      <w:pPr>
        <w:pStyle w:val="Heading2"/>
        <w:rPr>
          <w:rFonts w:ascii="Arial" w:hAnsi="Arial" w:cs="Arial"/>
          <w:b/>
          <w:bCs/>
          <w:color w:val="auto"/>
          <w:sz w:val="22"/>
          <w:szCs w:val="22"/>
        </w:rPr>
      </w:pPr>
    </w:p>
    <w:p w14:paraId="013A3CCE" w14:textId="77777777" w:rsidR="00D95EE3" w:rsidRDefault="00D95EE3" w:rsidP="00605900">
      <w:pPr>
        <w:pStyle w:val="Heading2"/>
        <w:rPr>
          <w:rFonts w:ascii="Arial" w:hAnsi="Arial" w:cs="Arial"/>
          <w:b/>
          <w:bCs/>
          <w:color w:val="auto"/>
          <w:sz w:val="22"/>
          <w:szCs w:val="22"/>
        </w:rPr>
      </w:pPr>
    </w:p>
    <w:p w14:paraId="27B8561A" w14:textId="77777777" w:rsidR="00D95EE3" w:rsidRDefault="00D95EE3" w:rsidP="00605900">
      <w:pPr>
        <w:pStyle w:val="Heading2"/>
        <w:rPr>
          <w:rFonts w:ascii="Arial" w:hAnsi="Arial" w:cs="Arial"/>
          <w:b/>
          <w:bCs/>
          <w:color w:val="auto"/>
          <w:sz w:val="22"/>
          <w:szCs w:val="22"/>
        </w:rPr>
      </w:pPr>
    </w:p>
    <w:p w14:paraId="5DC4FAFF" w14:textId="77777777" w:rsidR="00D95EE3" w:rsidRDefault="00D95EE3" w:rsidP="00605900">
      <w:pPr>
        <w:pStyle w:val="Heading2"/>
        <w:rPr>
          <w:rFonts w:ascii="Arial" w:hAnsi="Arial" w:cs="Arial"/>
          <w:b/>
          <w:bCs/>
          <w:color w:val="auto"/>
          <w:sz w:val="22"/>
          <w:szCs w:val="22"/>
        </w:rPr>
      </w:pPr>
    </w:p>
    <w:p w14:paraId="25263E66" w14:textId="77777777" w:rsidR="00D95EE3" w:rsidRDefault="00D95EE3" w:rsidP="00605900">
      <w:pPr>
        <w:pStyle w:val="Heading2"/>
        <w:rPr>
          <w:rFonts w:ascii="Arial" w:hAnsi="Arial" w:cs="Arial"/>
          <w:b/>
          <w:bCs/>
          <w:color w:val="auto"/>
          <w:sz w:val="22"/>
          <w:szCs w:val="22"/>
        </w:rPr>
      </w:pPr>
    </w:p>
    <w:p w14:paraId="44C849D8" w14:textId="77777777" w:rsidR="00D95EE3" w:rsidRDefault="00D95EE3" w:rsidP="00605900">
      <w:pPr>
        <w:pStyle w:val="Heading2"/>
        <w:rPr>
          <w:rFonts w:ascii="Arial" w:hAnsi="Arial" w:cs="Arial"/>
          <w:b/>
          <w:bCs/>
          <w:color w:val="auto"/>
          <w:sz w:val="22"/>
          <w:szCs w:val="22"/>
        </w:rPr>
      </w:pPr>
    </w:p>
    <w:p w14:paraId="08B9DD54" w14:textId="77777777" w:rsidR="00D95EE3" w:rsidRDefault="00D95EE3" w:rsidP="00605900">
      <w:pPr>
        <w:pStyle w:val="Heading2"/>
        <w:rPr>
          <w:rFonts w:ascii="Arial" w:hAnsi="Arial" w:cs="Arial"/>
          <w:b/>
          <w:bCs/>
          <w:color w:val="auto"/>
          <w:sz w:val="22"/>
          <w:szCs w:val="22"/>
        </w:rPr>
      </w:pPr>
    </w:p>
    <w:p w14:paraId="2B413593" w14:textId="77777777" w:rsidR="00D95EE3" w:rsidRDefault="00D95EE3" w:rsidP="00605900">
      <w:pPr>
        <w:pStyle w:val="Heading2"/>
        <w:rPr>
          <w:rFonts w:ascii="Arial" w:hAnsi="Arial" w:cs="Arial"/>
          <w:b/>
          <w:bCs/>
          <w:color w:val="auto"/>
          <w:sz w:val="22"/>
          <w:szCs w:val="22"/>
        </w:rPr>
      </w:pPr>
    </w:p>
    <w:p w14:paraId="460EBDA4" w14:textId="77777777" w:rsidR="00D95EE3" w:rsidRDefault="00D95EE3" w:rsidP="00605900">
      <w:pPr>
        <w:pStyle w:val="Heading2"/>
        <w:rPr>
          <w:rFonts w:ascii="Arial" w:hAnsi="Arial" w:cs="Arial"/>
          <w:b/>
          <w:bCs/>
          <w:color w:val="auto"/>
          <w:sz w:val="22"/>
          <w:szCs w:val="22"/>
        </w:rPr>
      </w:pPr>
    </w:p>
    <w:p w14:paraId="6A94A8D6" w14:textId="77777777" w:rsidR="00D95EE3" w:rsidRDefault="00D95EE3" w:rsidP="00605900">
      <w:pPr>
        <w:pStyle w:val="Heading2"/>
        <w:rPr>
          <w:rFonts w:ascii="Arial" w:hAnsi="Arial" w:cs="Arial"/>
          <w:b/>
          <w:bCs/>
          <w:color w:val="auto"/>
          <w:sz w:val="22"/>
          <w:szCs w:val="22"/>
        </w:rPr>
      </w:pPr>
    </w:p>
    <w:p w14:paraId="6F18CA24" w14:textId="77777777" w:rsidR="00D95EE3" w:rsidRDefault="00D95EE3" w:rsidP="00605900">
      <w:pPr>
        <w:pStyle w:val="Heading2"/>
        <w:rPr>
          <w:rFonts w:ascii="Arial" w:hAnsi="Arial" w:cs="Arial"/>
          <w:b/>
          <w:bCs/>
          <w:color w:val="auto"/>
          <w:sz w:val="22"/>
          <w:szCs w:val="22"/>
        </w:rPr>
      </w:pPr>
    </w:p>
    <w:p w14:paraId="64C25BED" w14:textId="77777777" w:rsidR="00D95EE3" w:rsidRDefault="00D95EE3" w:rsidP="00605900">
      <w:pPr>
        <w:pStyle w:val="Heading2"/>
        <w:rPr>
          <w:rFonts w:ascii="Arial" w:hAnsi="Arial" w:cs="Arial"/>
          <w:b/>
          <w:bCs/>
          <w:color w:val="auto"/>
          <w:sz w:val="22"/>
          <w:szCs w:val="22"/>
        </w:rPr>
      </w:pPr>
    </w:p>
    <w:p w14:paraId="299256C4" w14:textId="77777777" w:rsidR="00D95EE3" w:rsidRDefault="00D95EE3" w:rsidP="00605900">
      <w:pPr>
        <w:pStyle w:val="Heading2"/>
        <w:rPr>
          <w:rFonts w:ascii="Arial" w:hAnsi="Arial" w:cs="Arial"/>
          <w:b/>
          <w:bCs/>
          <w:color w:val="auto"/>
          <w:sz w:val="22"/>
          <w:szCs w:val="22"/>
        </w:rPr>
      </w:pPr>
    </w:p>
    <w:p w14:paraId="111A0264" w14:textId="77777777" w:rsidR="00D95EE3" w:rsidRDefault="00D95EE3" w:rsidP="00605900">
      <w:pPr>
        <w:pStyle w:val="Heading2"/>
        <w:rPr>
          <w:rFonts w:ascii="Arial" w:hAnsi="Arial" w:cs="Arial"/>
          <w:b/>
          <w:bCs/>
          <w:color w:val="auto"/>
          <w:sz w:val="22"/>
          <w:szCs w:val="22"/>
        </w:rPr>
      </w:pPr>
    </w:p>
    <w:p w14:paraId="32B76BDE" w14:textId="77777777" w:rsidR="00D95EE3" w:rsidRDefault="00D95EE3" w:rsidP="00605900">
      <w:pPr>
        <w:pStyle w:val="Heading2"/>
        <w:rPr>
          <w:rFonts w:ascii="Arial" w:hAnsi="Arial" w:cs="Arial"/>
          <w:b/>
          <w:bCs/>
          <w:color w:val="auto"/>
          <w:sz w:val="22"/>
          <w:szCs w:val="22"/>
        </w:rPr>
      </w:pPr>
    </w:p>
    <w:p w14:paraId="60E11DEA" w14:textId="77777777" w:rsidR="00D95EE3" w:rsidRDefault="00D95EE3" w:rsidP="00605900">
      <w:pPr>
        <w:pStyle w:val="Heading2"/>
        <w:rPr>
          <w:rFonts w:ascii="Arial" w:hAnsi="Arial" w:cs="Arial"/>
          <w:b/>
          <w:bCs/>
          <w:color w:val="auto"/>
          <w:sz w:val="22"/>
          <w:szCs w:val="22"/>
        </w:rPr>
      </w:pPr>
    </w:p>
    <w:p w14:paraId="7EE75896" w14:textId="77777777" w:rsidR="00D95EE3" w:rsidRDefault="00D95EE3" w:rsidP="00605900">
      <w:pPr>
        <w:pStyle w:val="Heading2"/>
        <w:rPr>
          <w:rFonts w:ascii="Arial" w:hAnsi="Arial" w:cs="Arial"/>
          <w:b/>
          <w:bCs/>
          <w:color w:val="auto"/>
          <w:sz w:val="22"/>
          <w:szCs w:val="22"/>
        </w:rPr>
      </w:pPr>
    </w:p>
    <w:p w14:paraId="5238EE9E" w14:textId="77777777" w:rsidR="00D95EE3" w:rsidRDefault="00D95EE3" w:rsidP="00605900">
      <w:pPr>
        <w:pStyle w:val="Heading2"/>
        <w:rPr>
          <w:rFonts w:ascii="Arial" w:hAnsi="Arial" w:cs="Arial"/>
          <w:b/>
          <w:bCs/>
          <w:color w:val="auto"/>
          <w:sz w:val="22"/>
          <w:szCs w:val="22"/>
        </w:rPr>
      </w:pPr>
    </w:p>
    <w:p w14:paraId="0DADE93D" w14:textId="77777777" w:rsidR="00D95EE3" w:rsidRDefault="00D95EE3" w:rsidP="00605900">
      <w:pPr>
        <w:pStyle w:val="Heading2"/>
        <w:rPr>
          <w:rFonts w:ascii="Arial" w:hAnsi="Arial" w:cs="Arial"/>
          <w:b/>
          <w:bCs/>
          <w:color w:val="auto"/>
          <w:sz w:val="22"/>
          <w:szCs w:val="22"/>
        </w:rPr>
      </w:pPr>
    </w:p>
    <w:p w14:paraId="29DA0787" w14:textId="77777777" w:rsidR="00D95EE3" w:rsidRDefault="00D95EE3" w:rsidP="00605900">
      <w:pPr>
        <w:pStyle w:val="Heading2"/>
        <w:rPr>
          <w:rFonts w:ascii="Arial" w:hAnsi="Arial" w:cs="Arial"/>
          <w:b/>
          <w:bCs/>
          <w:color w:val="auto"/>
          <w:sz w:val="22"/>
          <w:szCs w:val="22"/>
        </w:rPr>
      </w:pPr>
    </w:p>
    <w:p w14:paraId="66E5280E" w14:textId="77777777" w:rsidR="00D95EE3" w:rsidRDefault="00D95EE3" w:rsidP="00605900">
      <w:pPr>
        <w:pStyle w:val="Heading2"/>
        <w:rPr>
          <w:rFonts w:ascii="Arial" w:hAnsi="Arial" w:cs="Arial"/>
          <w:b/>
          <w:bCs/>
          <w:color w:val="auto"/>
          <w:sz w:val="22"/>
          <w:szCs w:val="22"/>
        </w:rPr>
      </w:pPr>
    </w:p>
    <w:p w14:paraId="7968D779" w14:textId="77777777" w:rsidR="00D95EE3" w:rsidRDefault="00D95EE3" w:rsidP="00605900">
      <w:pPr>
        <w:pStyle w:val="Heading2"/>
        <w:rPr>
          <w:rFonts w:ascii="Arial" w:hAnsi="Arial" w:cs="Arial"/>
          <w:b/>
          <w:bCs/>
          <w:color w:val="auto"/>
          <w:sz w:val="22"/>
          <w:szCs w:val="22"/>
        </w:rPr>
      </w:pPr>
    </w:p>
    <w:p w14:paraId="3455523D" w14:textId="77777777" w:rsidR="00D95EE3" w:rsidRDefault="00D95EE3" w:rsidP="00605900">
      <w:pPr>
        <w:pStyle w:val="Heading2"/>
        <w:rPr>
          <w:rFonts w:ascii="Arial" w:hAnsi="Arial" w:cs="Arial"/>
          <w:b/>
          <w:bCs/>
          <w:color w:val="auto"/>
          <w:sz w:val="22"/>
          <w:szCs w:val="22"/>
        </w:rPr>
      </w:pPr>
    </w:p>
    <w:p w14:paraId="78FA9185" w14:textId="77777777" w:rsidR="00D95EE3" w:rsidRDefault="00D95EE3" w:rsidP="00605900">
      <w:pPr>
        <w:pStyle w:val="Heading2"/>
        <w:rPr>
          <w:rFonts w:ascii="Arial" w:hAnsi="Arial" w:cs="Arial"/>
          <w:b/>
          <w:bCs/>
          <w:color w:val="auto"/>
          <w:sz w:val="22"/>
          <w:szCs w:val="22"/>
        </w:rPr>
      </w:pPr>
    </w:p>
    <w:p w14:paraId="0378E061" w14:textId="77777777" w:rsidR="00D95EE3" w:rsidRDefault="00D95EE3" w:rsidP="00605900">
      <w:pPr>
        <w:pStyle w:val="Heading2"/>
        <w:rPr>
          <w:rFonts w:ascii="Arial" w:hAnsi="Arial" w:cs="Arial"/>
          <w:b/>
          <w:bCs/>
          <w:color w:val="auto"/>
          <w:sz w:val="22"/>
          <w:szCs w:val="22"/>
        </w:rPr>
      </w:pPr>
    </w:p>
    <w:p w14:paraId="155F941D" w14:textId="77777777" w:rsidR="00D95EE3" w:rsidRDefault="00D95EE3" w:rsidP="00605900">
      <w:pPr>
        <w:pStyle w:val="Heading2"/>
        <w:rPr>
          <w:rFonts w:ascii="Arial" w:hAnsi="Arial" w:cs="Arial"/>
          <w:b/>
          <w:bCs/>
          <w:color w:val="auto"/>
          <w:sz w:val="22"/>
          <w:szCs w:val="22"/>
        </w:rPr>
      </w:pPr>
    </w:p>
    <w:p w14:paraId="3DD42390" w14:textId="77777777" w:rsidR="00D95EE3" w:rsidRDefault="00D95EE3" w:rsidP="00605900">
      <w:pPr>
        <w:pStyle w:val="Heading2"/>
        <w:rPr>
          <w:rFonts w:ascii="Arial" w:hAnsi="Arial" w:cs="Arial"/>
          <w:b/>
          <w:bCs/>
          <w:color w:val="auto"/>
          <w:sz w:val="22"/>
          <w:szCs w:val="22"/>
        </w:rPr>
      </w:pPr>
    </w:p>
    <w:p w14:paraId="0F419526" w14:textId="281FB4DC" w:rsidR="00605900" w:rsidRPr="00AC522A" w:rsidRDefault="00605900" w:rsidP="00605900">
      <w:pPr>
        <w:pStyle w:val="Heading2"/>
        <w:rPr>
          <w:rFonts w:ascii="Arial" w:hAnsi="Arial" w:cs="Arial"/>
          <w:b/>
          <w:bCs/>
          <w:color w:val="auto"/>
          <w:sz w:val="22"/>
          <w:szCs w:val="22"/>
        </w:rPr>
      </w:pPr>
      <w:r w:rsidRPr="00AC522A">
        <w:rPr>
          <w:rFonts w:ascii="Arial" w:hAnsi="Arial" w:cs="Arial"/>
          <w:b/>
          <w:bCs/>
          <w:color w:val="auto"/>
          <w:sz w:val="22"/>
          <w:szCs w:val="22"/>
        </w:rPr>
        <w:t xml:space="preserve">1.4 Strategies to improve the skills for Social </w:t>
      </w:r>
      <w:r w:rsidR="00AC522A" w:rsidRPr="00AC522A">
        <w:rPr>
          <w:rFonts w:ascii="Arial" w:hAnsi="Arial" w:cs="Arial"/>
          <w:b/>
          <w:bCs/>
          <w:color w:val="auto"/>
          <w:sz w:val="22"/>
          <w:szCs w:val="22"/>
        </w:rPr>
        <w:t>Workers</w:t>
      </w:r>
    </w:p>
    <w:p w14:paraId="6203962A" w14:textId="338EE3E3" w:rsidR="00605900" w:rsidRPr="00772702" w:rsidRDefault="00605900" w:rsidP="00605900">
      <w:pPr>
        <w:rPr>
          <w:rFonts w:ascii="Arial" w:hAnsi="Arial" w:cs="Arial"/>
          <w:sz w:val="22"/>
          <w:lang w:val="en-US"/>
        </w:rPr>
      </w:pPr>
      <w:r w:rsidRPr="00E06403">
        <w:rPr>
          <w:rFonts w:ascii="Arial" w:hAnsi="Arial" w:cs="Arial"/>
          <w:sz w:val="22"/>
        </w:rPr>
        <w:t>One effective strategy for improving communication skills is participation in role-play activities and supervised practice placements. These experiences provide opportunities to develop interviewing techniques, active listening, and professional report writing while receiving constructive feedback from experienced practitioners.</w:t>
      </w:r>
      <w:r w:rsidRPr="00E06403">
        <w:rPr>
          <w:rFonts w:ascii="Arial" w:hAnsi="Arial" w:cs="Arial"/>
          <w:sz w:val="22"/>
        </w:rPr>
        <w:br/>
      </w:r>
      <w:r w:rsidRPr="00E06403">
        <w:rPr>
          <w:rFonts w:ascii="Arial" w:hAnsi="Arial" w:cs="Arial"/>
          <w:sz w:val="22"/>
        </w:rPr>
        <w:br/>
        <w:t>A second strategy is reflective practice and professional supervision. Reflection encourages critical evaluation of professional interactions and helps identify strengths and areas for development. Regular supervision supports emotional resilience, improves self-awareness, and promotes professional growth, particularly in relation to empathy and emotional intelligence.</w:t>
      </w:r>
      <w:r w:rsidRPr="00E06403">
        <w:rPr>
          <w:rFonts w:ascii="Arial" w:hAnsi="Arial" w:cs="Arial"/>
          <w:sz w:val="22"/>
        </w:rPr>
        <w:br/>
      </w:r>
      <w:r w:rsidRPr="00E06403">
        <w:rPr>
          <w:rFonts w:ascii="Arial" w:hAnsi="Arial" w:cs="Arial"/>
          <w:sz w:val="22"/>
        </w:rPr>
        <w:br/>
        <w:t>A third strategy involves engaging in continuous professional development through training courses, workshops, case study analysis, and research. Training in areas such as safeguarding, trauma-informed practice, and cultural competence enhances knowledge and decision-making abilities. Reviewing case studies and current legislation also strengthens analytical thinking and supports evidence-based practice.</w:t>
      </w:r>
      <w:r w:rsidRPr="00E06403">
        <w:rPr>
          <w:rFonts w:ascii="Arial" w:hAnsi="Arial" w:cs="Arial"/>
          <w:sz w:val="22"/>
        </w:rPr>
        <w:br/>
      </w:r>
      <w:r w:rsidRPr="00E06403">
        <w:rPr>
          <w:rFonts w:ascii="Arial" w:hAnsi="Arial" w:cs="Arial"/>
          <w:sz w:val="22"/>
        </w:rPr>
        <w:br/>
        <w:t>These strategies were selected because they address the core competencies required for effective social work practice and contribute to improved outcomes for service users.</w:t>
      </w:r>
      <w:r w:rsidR="00DD6319">
        <w:rPr>
          <w:rFonts w:ascii="Arial" w:hAnsi="Arial" w:cs="Arial"/>
          <w:sz w:val="22"/>
        </w:rPr>
        <w:t xml:space="preserve"> </w:t>
      </w:r>
      <w:r w:rsidR="00772702" w:rsidRPr="00772702">
        <w:rPr>
          <w:rFonts w:ascii="Arial" w:hAnsi="Arial" w:cs="Arial"/>
          <w:sz w:val="22"/>
          <w:lang w:val="en-US"/>
        </w:rPr>
        <w:t>(Hall and Montgomery, 2023)</w:t>
      </w:r>
    </w:p>
    <w:p w14:paraId="2DBF2762" w14:textId="77777777" w:rsidR="00D95EE3" w:rsidRDefault="00D95EE3" w:rsidP="00605900">
      <w:pPr>
        <w:pStyle w:val="Heading2"/>
        <w:rPr>
          <w:rFonts w:ascii="Arial" w:hAnsi="Arial" w:cs="Arial"/>
          <w:b/>
          <w:bCs/>
          <w:color w:val="auto"/>
          <w:sz w:val="22"/>
          <w:szCs w:val="22"/>
        </w:rPr>
      </w:pPr>
    </w:p>
    <w:p w14:paraId="2D862E09" w14:textId="77777777" w:rsidR="00D95EE3" w:rsidRDefault="00D95EE3" w:rsidP="00605900">
      <w:pPr>
        <w:pStyle w:val="Heading2"/>
        <w:rPr>
          <w:rFonts w:ascii="Arial" w:hAnsi="Arial" w:cs="Arial"/>
          <w:b/>
          <w:bCs/>
          <w:color w:val="auto"/>
          <w:sz w:val="22"/>
          <w:szCs w:val="22"/>
        </w:rPr>
      </w:pPr>
    </w:p>
    <w:p w14:paraId="29837B36" w14:textId="77777777" w:rsidR="00D95EE3" w:rsidRDefault="00D95EE3" w:rsidP="00605900">
      <w:pPr>
        <w:pStyle w:val="Heading2"/>
        <w:rPr>
          <w:rFonts w:ascii="Arial" w:hAnsi="Arial" w:cs="Arial"/>
          <w:b/>
          <w:bCs/>
          <w:color w:val="auto"/>
          <w:sz w:val="22"/>
          <w:szCs w:val="22"/>
        </w:rPr>
      </w:pPr>
    </w:p>
    <w:p w14:paraId="782F2C5A" w14:textId="77777777" w:rsidR="00D95EE3" w:rsidRDefault="00D95EE3" w:rsidP="00605900">
      <w:pPr>
        <w:pStyle w:val="Heading2"/>
        <w:rPr>
          <w:rFonts w:ascii="Arial" w:hAnsi="Arial" w:cs="Arial"/>
          <w:b/>
          <w:bCs/>
          <w:color w:val="auto"/>
          <w:sz w:val="22"/>
          <w:szCs w:val="22"/>
        </w:rPr>
      </w:pPr>
    </w:p>
    <w:p w14:paraId="64D33749" w14:textId="77777777" w:rsidR="00D95EE3" w:rsidRDefault="00D95EE3" w:rsidP="00605900">
      <w:pPr>
        <w:pStyle w:val="Heading2"/>
        <w:rPr>
          <w:rFonts w:ascii="Arial" w:hAnsi="Arial" w:cs="Arial"/>
          <w:b/>
          <w:bCs/>
          <w:color w:val="auto"/>
          <w:sz w:val="22"/>
          <w:szCs w:val="22"/>
        </w:rPr>
      </w:pPr>
    </w:p>
    <w:p w14:paraId="1FA76F84" w14:textId="77777777" w:rsidR="00D95EE3" w:rsidRDefault="00D95EE3" w:rsidP="00605900">
      <w:pPr>
        <w:pStyle w:val="Heading2"/>
        <w:rPr>
          <w:rFonts w:ascii="Arial" w:hAnsi="Arial" w:cs="Arial"/>
          <w:b/>
          <w:bCs/>
          <w:color w:val="auto"/>
          <w:sz w:val="22"/>
          <w:szCs w:val="22"/>
        </w:rPr>
      </w:pPr>
    </w:p>
    <w:p w14:paraId="12023336" w14:textId="77777777" w:rsidR="00D95EE3" w:rsidRDefault="00D95EE3" w:rsidP="00605900">
      <w:pPr>
        <w:pStyle w:val="Heading2"/>
        <w:rPr>
          <w:rFonts w:ascii="Arial" w:hAnsi="Arial" w:cs="Arial"/>
          <w:b/>
          <w:bCs/>
          <w:color w:val="auto"/>
          <w:sz w:val="22"/>
          <w:szCs w:val="22"/>
        </w:rPr>
      </w:pPr>
    </w:p>
    <w:p w14:paraId="5A20DD5F" w14:textId="77777777" w:rsidR="00D95EE3" w:rsidRDefault="00D95EE3" w:rsidP="00605900">
      <w:pPr>
        <w:pStyle w:val="Heading2"/>
        <w:rPr>
          <w:rFonts w:ascii="Arial" w:hAnsi="Arial" w:cs="Arial"/>
          <w:b/>
          <w:bCs/>
          <w:color w:val="auto"/>
          <w:sz w:val="22"/>
          <w:szCs w:val="22"/>
        </w:rPr>
      </w:pPr>
    </w:p>
    <w:p w14:paraId="62685A29" w14:textId="77777777" w:rsidR="00D95EE3" w:rsidRDefault="00D95EE3" w:rsidP="00605900">
      <w:pPr>
        <w:pStyle w:val="Heading2"/>
        <w:rPr>
          <w:rFonts w:ascii="Arial" w:hAnsi="Arial" w:cs="Arial"/>
          <w:b/>
          <w:bCs/>
          <w:color w:val="auto"/>
          <w:sz w:val="22"/>
          <w:szCs w:val="22"/>
        </w:rPr>
      </w:pPr>
    </w:p>
    <w:p w14:paraId="38D31A92" w14:textId="77777777" w:rsidR="00D95EE3" w:rsidRDefault="00D95EE3" w:rsidP="00605900">
      <w:pPr>
        <w:pStyle w:val="Heading2"/>
        <w:rPr>
          <w:rFonts w:ascii="Arial" w:hAnsi="Arial" w:cs="Arial"/>
          <w:b/>
          <w:bCs/>
          <w:color w:val="auto"/>
          <w:sz w:val="22"/>
          <w:szCs w:val="22"/>
        </w:rPr>
      </w:pPr>
    </w:p>
    <w:p w14:paraId="7BA18DAF" w14:textId="77777777" w:rsidR="00D95EE3" w:rsidRDefault="00D95EE3" w:rsidP="00605900">
      <w:pPr>
        <w:pStyle w:val="Heading2"/>
        <w:rPr>
          <w:rFonts w:ascii="Arial" w:hAnsi="Arial" w:cs="Arial"/>
          <w:b/>
          <w:bCs/>
          <w:color w:val="auto"/>
          <w:sz w:val="22"/>
          <w:szCs w:val="22"/>
        </w:rPr>
      </w:pPr>
    </w:p>
    <w:p w14:paraId="5407D717" w14:textId="77777777" w:rsidR="00D95EE3" w:rsidRDefault="00D95EE3" w:rsidP="00605900">
      <w:pPr>
        <w:pStyle w:val="Heading2"/>
        <w:rPr>
          <w:rFonts w:ascii="Arial" w:hAnsi="Arial" w:cs="Arial"/>
          <w:b/>
          <w:bCs/>
          <w:color w:val="auto"/>
          <w:sz w:val="22"/>
          <w:szCs w:val="22"/>
        </w:rPr>
      </w:pPr>
    </w:p>
    <w:p w14:paraId="0C244D0F" w14:textId="77777777" w:rsidR="00D95EE3" w:rsidRDefault="00D95EE3" w:rsidP="00605900">
      <w:pPr>
        <w:pStyle w:val="Heading2"/>
        <w:rPr>
          <w:rFonts w:ascii="Arial" w:hAnsi="Arial" w:cs="Arial"/>
          <w:b/>
          <w:bCs/>
          <w:color w:val="auto"/>
          <w:sz w:val="22"/>
          <w:szCs w:val="22"/>
        </w:rPr>
      </w:pPr>
    </w:p>
    <w:p w14:paraId="50214FF5" w14:textId="77777777" w:rsidR="00D95EE3" w:rsidRDefault="00D95EE3" w:rsidP="00605900">
      <w:pPr>
        <w:pStyle w:val="Heading2"/>
        <w:rPr>
          <w:rFonts w:ascii="Arial" w:hAnsi="Arial" w:cs="Arial"/>
          <w:b/>
          <w:bCs/>
          <w:color w:val="auto"/>
          <w:sz w:val="22"/>
          <w:szCs w:val="22"/>
        </w:rPr>
      </w:pPr>
    </w:p>
    <w:p w14:paraId="3446BB49" w14:textId="77777777" w:rsidR="00D95EE3" w:rsidRPr="00D95EE3" w:rsidRDefault="00D95EE3" w:rsidP="00D95EE3"/>
    <w:p w14:paraId="1D23EBFC" w14:textId="77777777" w:rsidR="00D95EE3" w:rsidRDefault="00D95EE3" w:rsidP="00605900">
      <w:pPr>
        <w:pStyle w:val="Heading2"/>
        <w:rPr>
          <w:rFonts w:ascii="Arial" w:hAnsi="Arial" w:cs="Arial"/>
          <w:b/>
          <w:bCs/>
          <w:color w:val="auto"/>
          <w:sz w:val="22"/>
          <w:szCs w:val="22"/>
        </w:rPr>
      </w:pPr>
    </w:p>
    <w:p w14:paraId="3EA4AE69" w14:textId="3C5B7F00" w:rsidR="00605900" w:rsidRPr="00AC522A" w:rsidRDefault="00605900" w:rsidP="00605900">
      <w:pPr>
        <w:pStyle w:val="Heading2"/>
        <w:rPr>
          <w:rFonts w:ascii="Arial" w:hAnsi="Arial" w:cs="Arial"/>
          <w:b/>
          <w:bCs/>
          <w:color w:val="auto"/>
          <w:sz w:val="22"/>
          <w:szCs w:val="22"/>
        </w:rPr>
      </w:pPr>
      <w:r w:rsidRPr="00AC522A">
        <w:rPr>
          <w:rFonts w:ascii="Arial" w:hAnsi="Arial" w:cs="Arial"/>
          <w:b/>
          <w:bCs/>
          <w:color w:val="auto"/>
          <w:sz w:val="22"/>
          <w:szCs w:val="22"/>
        </w:rPr>
        <w:t>1.4 Conclusion</w:t>
      </w:r>
    </w:p>
    <w:p w14:paraId="7384370D" w14:textId="77777777" w:rsidR="00E058A1" w:rsidRPr="00E058A1" w:rsidRDefault="00E058A1" w:rsidP="00E058A1">
      <w:pPr>
        <w:pStyle w:val="Heading2"/>
        <w:rPr>
          <w:rFonts w:ascii="Arial" w:hAnsi="Arial" w:cs="Arial"/>
          <w:color w:val="000000" w:themeColor="text1"/>
          <w:sz w:val="22"/>
          <w:lang w:val="en-US"/>
        </w:rPr>
      </w:pPr>
      <w:r w:rsidRPr="00E058A1">
        <w:rPr>
          <w:rFonts w:ascii="Arial" w:hAnsi="Arial" w:cs="Arial"/>
          <w:color w:val="000000" w:themeColor="text1"/>
          <w:sz w:val="22"/>
          <w:lang w:val="en-US"/>
        </w:rPr>
        <w:t>By safeguarding vulnerable people, encouraging independence, and fostering positive wellbeing, social workers significantly contribute to health and social care. Successful practice requires strong communication, empathy, emotional intelligence, and problem-solving abilities. These competencies are strengthened by ongoing training, reflective practice, supervision, and real-world experience. Social workers can offer safe, efficient, and person-centered support in a variety of health and social care settings by upholding high professional standards and continuously honing critical skills.</w:t>
      </w:r>
    </w:p>
    <w:p w14:paraId="4072F134" w14:textId="77777777" w:rsidR="00D95EE3" w:rsidRDefault="00D95EE3" w:rsidP="00605900">
      <w:pPr>
        <w:pStyle w:val="Heading2"/>
        <w:rPr>
          <w:rFonts w:ascii="Arial" w:hAnsi="Arial" w:cs="Arial"/>
          <w:b/>
          <w:bCs/>
          <w:color w:val="000000" w:themeColor="text1"/>
          <w:sz w:val="22"/>
          <w:szCs w:val="22"/>
        </w:rPr>
      </w:pPr>
    </w:p>
    <w:p w14:paraId="443B867D" w14:textId="77777777" w:rsidR="00D95EE3" w:rsidRDefault="00D95EE3" w:rsidP="00605900">
      <w:pPr>
        <w:pStyle w:val="Heading2"/>
        <w:rPr>
          <w:rFonts w:ascii="Arial" w:hAnsi="Arial" w:cs="Arial"/>
          <w:b/>
          <w:bCs/>
          <w:color w:val="000000" w:themeColor="text1"/>
          <w:sz w:val="22"/>
          <w:szCs w:val="22"/>
        </w:rPr>
      </w:pPr>
    </w:p>
    <w:p w14:paraId="251B3721" w14:textId="77777777" w:rsidR="00D95EE3" w:rsidRDefault="00D95EE3" w:rsidP="00605900">
      <w:pPr>
        <w:pStyle w:val="Heading2"/>
        <w:rPr>
          <w:rFonts w:ascii="Arial" w:hAnsi="Arial" w:cs="Arial"/>
          <w:b/>
          <w:bCs/>
          <w:color w:val="000000" w:themeColor="text1"/>
          <w:sz w:val="22"/>
          <w:szCs w:val="22"/>
        </w:rPr>
      </w:pPr>
    </w:p>
    <w:p w14:paraId="55ECD9A3" w14:textId="77777777" w:rsidR="00D95EE3" w:rsidRDefault="00D95EE3" w:rsidP="00605900">
      <w:pPr>
        <w:pStyle w:val="Heading2"/>
        <w:rPr>
          <w:rFonts w:ascii="Arial" w:hAnsi="Arial" w:cs="Arial"/>
          <w:b/>
          <w:bCs/>
          <w:color w:val="000000" w:themeColor="text1"/>
          <w:sz w:val="22"/>
          <w:szCs w:val="22"/>
        </w:rPr>
      </w:pPr>
    </w:p>
    <w:p w14:paraId="3C8DFCE5" w14:textId="77777777" w:rsidR="00D95EE3" w:rsidRDefault="00D95EE3" w:rsidP="00605900">
      <w:pPr>
        <w:pStyle w:val="Heading2"/>
        <w:rPr>
          <w:rFonts w:ascii="Arial" w:hAnsi="Arial" w:cs="Arial"/>
          <w:b/>
          <w:bCs/>
          <w:color w:val="000000" w:themeColor="text1"/>
          <w:sz w:val="22"/>
          <w:szCs w:val="22"/>
        </w:rPr>
      </w:pPr>
    </w:p>
    <w:p w14:paraId="5B45202B" w14:textId="77777777" w:rsidR="00D95EE3" w:rsidRDefault="00D95EE3" w:rsidP="00605900">
      <w:pPr>
        <w:pStyle w:val="Heading2"/>
        <w:rPr>
          <w:rFonts w:ascii="Arial" w:hAnsi="Arial" w:cs="Arial"/>
          <w:b/>
          <w:bCs/>
          <w:color w:val="000000" w:themeColor="text1"/>
          <w:sz w:val="22"/>
          <w:szCs w:val="22"/>
        </w:rPr>
      </w:pPr>
    </w:p>
    <w:p w14:paraId="607F1BA8" w14:textId="77777777" w:rsidR="00D95EE3" w:rsidRDefault="00D95EE3" w:rsidP="00605900">
      <w:pPr>
        <w:pStyle w:val="Heading2"/>
        <w:rPr>
          <w:rFonts w:ascii="Arial" w:hAnsi="Arial" w:cs="Arial"/>
          <w:b/>
          <w:bCs/>
          <w:color w:val="000000" w:themeColor="text1"/>
          <w:sz w:val="22"/>
          <w:szCs w:val="22"/>
        </w:rPr>
      </w:pPr>
    </w:p>
    <w:p w14:paraId="61046AFC" w14:textId="77777777" w:rsidR="00D95EE3" w:rsidRDefault="00D95EE3" w:rsidP="00605900">
      <w:pPr>
        <w:pStyle w:val="Heading2"/>
        <w:rPr>
          <w:rFonts w:ascii="Arial" w:hAnsi="Arial" w:cs="Arial"/>
          <w:b/>
          <w:bCs/>
          <w:color w:val="000000" w:themeColor="text1"/>
          <w:sz w:val="22"/>
          <w:szCs w:val="22"/>
        </w:rPr>
      </w:pPr>
    </w:p>
    <w:p w14:paraId="09937072" w14:textId="77777777" w:rsidR="00D95EE3" w:rsidRDefault="00D95EE3" w:rsidP="00605900">
      <w:pPr>
        <w:pStyle w:val="Heading2"/>
        <w:rPr>
          <w:rFonts w:ascii="Arial" w:hAnsi="Arial" w:cs="Arial"/>
          <w:b/>
          <w:bCs/>
          <w:color w:val="000000" w:themeColor="text1"/>
          <w:sz w:val="22"/>
          <w:szCs w:val="22"/>
        </w:rPr>
      </w:pPr>
    </w:p>
    <w:p w14:paraId="4D1E3748" w14:textId="77777777" w:rsidR="00D95EE3" w:rsidRDefault="00D95EE3" w:rsidP="00605900">
      <w:pPr>
        <w:pStyle w:val="Heading2"/>
        <w:rPr>
          <w:rFonts w:ascii="Arial" w:hAnsi="Arial" w:cs="Arial"/>
          <w:b/>
          <w:bCs/>
          <w:color w:val="000000" w:themeColor="text1"/>
          <w:sz w:val="22"/>
          <w:szCs w:val="22"/>
        </w:rPr>
      </w:pPr>
    </w:p>
    <w:p w14:paraId="57A041B5" w14:textId="77777777" w:rsidR="00D95EE3" w:rsidRDefault="00D95EE3" w:rsidP="00605900">
      <w:pPr>
        <w:pStyle w:val="Heading2"/>
        <w:rPr>
          <w:rFonts w:ascii="Arial" w:hAnsi="Arial" w:cs="Arial"/>
          <w:b/>
          <w:bCs/>
          <w:color w:val="000000" w:themeColor="text1"/>
          <w:sz w:val="22"/>
          <w:szCs w:val="22"/>
        </w:rPr>
      </w:pPr>
    </w:p>
    <w:p w14:paraId="0404902B" w14:textId="77777777" w:rsidR="00D95EE3" w:rsidRDefault="00D95EE3" w:rsidP="00605900">
      <w:pPr>
        <w:pStyle w:val="Heading2"/>
        <w:rPr>
          <w:rFonts w:ascii="Arial" w:hAnsi="Arial" w:cs="Arial"/>
          <w:b/>
          <w:bCs/>
          <w:color w:val="000000" w:themeColor="text1"/>
          <w:sz w:val="22"/>
          <w:szCs w:val="22"/>
        </w:rPr>
      </w:pPr>
    </w:p>
    <w:p w14:paraId="40B8371D" w14:textId="77777777" w:rsidR="00D95EE3" w:rsidRDefault="00D95EE3" w:rsidP="00605900">
      <w:pPr>
        <w:pStyle w:val="Heading2"/>
        <w:rPr>
          <w:rFonts w:ascii="Arial" w:hAnsi="Arial" w:cs="Arial"/>
          <w:b/>
          <w:bCs/>
          <w:color w:val="000000" w:themeColor="text1"/>
          <w:sz w:val="22"/>
          <w:szCs w:val="22"/>
        </w:rPr>
      </w:pPr>
    </w:p>
    <w:p w14:paraId="573596DB" w14:textId="77777777" w:rsidR="00D95EE3" w:rsidRDefault="00D95EE3" w:rsidP="00605900">
      <w:pPr>
        <w:pStyle w:val="Heading2"/>
        <w:rPr>
          <w:rFonts w:ascii="Arial" w:hAnsi="Arial" w:cs="Arial"/>
          <w:b/>
          <w:bCs/>
          <w:color w:val="000000" w:themeColor="text1"/>
          <w:sz w:val="22"/>
          <w:szCs w:val="22"/>
        </w:rPr>
      </w:pPr>
    </w:p>
    <w:p w14:paraId="39134F9E" w14:textId="77777777" w:rsidR="00D95EE3" w:rsidRDefault="00D95EE3" w:rsidP="00605900">
      <w:pPr>
        <w:pStyle w:val="Heading2"/>
        <w:rPr>
          <w:rFonts w:ascii="Arial" w:hAnsi="Arial" w:cs="Arial"/>
          <w:b/>
          <w:bCs/>
          <w:color w:val="000000" w:themeColor="text1"/>
          <w:sz w:val="22"/>
          <w:szCs w:val="22"/>
        </w:rPr>
      </w:pPr>
    </w:p>
    <w:p w14:paraId="66094605" w14:textId="77777777" w:rsidR="00D95EE3" w:rsidRDefault="00D95EE3" w:rsidP="00605900">
      <w:pPr>
        <w:pStyle w:val="Heading2"/>
        <w:rPr>
          <w:rFonts w:ascii="Arial" w:hAnsi="Arial" w:cs="Arial"/>
          <w:b/>
          <w:bCs/>
          <w:color w:val="000000" w:themeColor="text1"/>
          <w:sz w:val="22"/>
          <w:szCs w:val="22"/>
        </w:rPr>
      </w:pPr>
    </w:p>
    <w:p w14:paraId="268B69A2" w14:textId="77777777" w:rsidR="00D95EE3" w:rsidRDefault="00D95EE3" w:rsidP="00605900">
      <w:pPr>
        <w:pStyle w:val="Heading2"/>
        <w:rPr>
          <w:rFonts w:ascii="Arial" w:hAnsi="Arial" w:cs="Arial"/>
          <w:b/>
          <w:bCs/>
          <w:color w:val="000000" w:themeColor="text1"/>
          <w:sz w:val="22"/>
          <w:szCs w:val="22"/>
        </w:rPr>
      </w:pPr>
    </w:p>
    <w:p w14:paraId="7D9E542A" w14:textId="77777777" w:rsidR="00D95EE3" w:rsidRDefault="00D95EE3" w:rsidP="00605900">
      <w:pPr>
        <w:pStyle w:val="Heading2"/>
        <w:rPr>
          <w:rFonts w:ascii="Arial" w:hAnsi="Arial" w:cs="Arial"/>
          <w:b/>
          <w:bCs/>
          <w:color w:val="000000" w:themeColor="text1"/>
          <w:sz w:val="22"/>
          <w:szCs w:val="22"/>
        </w:rPr>
      </w:pPr>
    </w:p>
    <w:p w14:paraId="7ED33C68" w14:textId="77777777" w:rsidR="00D95EE3" w:rsidRDefault="00D95EE3" w:rsidP="00605900">
      <w:pPr>
        <w:pStyle w:val="Heading2"/>
        <w:rPr>
          <w:rFonts w:ascii="Arial" w:hAnsi="Arial" w:cs="Arial"/>
          <w:b/>
          <w:bCs/>
          <w:color w:val="000000" w:themeColor="text1"/>
          <w:sz w:val="22"/>
          <w:szCs w:val="22"/>
        </w:rPr>
      </w:pPr>
    </w:p>
    <w:p w14:paraId="7AD39527" w14:textId="77777777" w:rsidR="00D95EE3" w:rsidRDefault="00D95EE3" w:rsidP="00605900">
      <w:pPr>
        <w:pStyle w:val="Heading2"/>
        <w:rPr>
          <w:rFonts w:ascii="Arial" w:hAnsi="Arial" w:cs="Arial"/>
          <w:b/>
          <w:bCs/>
          <w:color w:val="000000" w:themeColor="text1"/>
          <w:sz w:val="22"/>
          <w:szCs w:val="22"/>
        </w:rPr>
      </w:pPr>
    </w:p>
    <w:p w14:paraId="0E9192EA" w14:textId="77777777" w:rsidR="00D95EE3" w:rsidRDefault="00D95EE3" w:rsidP="00605900">
      <w:pPr>
        <w:pStyle w:val="Heading2"/>
        <w:rPr>
          <w:rFonts w:ascii="Arial" w:hAnsi="Arial" w:cs="Arial"/>
          <w:b/>
          <w:bCs/>
          <w:color w:val="000000" w:themeColor="text1"/>
          <w:sz w:val="22"/>
          <w:szCs w:val="22"/>
        </w:rPr>
      </w:pPr>
    </w:p>
    <w:p w14:paraId="67FAEFFC" w14:textId="77777777" w:rsidR="00D95EE3" w:rsidRDefault="00D95EE3" w:rsidP="00605900">
      <w:pPr>
        <w:pStyle w:val="Heading2"/>
        <w:rPr>
          <w:rFonts w:ascii="Arial" w:hAnsi="Arial" w:cs="Arial"/>
          <w:b/>
          <w:bCs/>
          <w:color w:val="000000" w:themeColor="text1"/>
          <w:sz w:val="22"/>
          <w:szCs w:val="22"/>
        </w:rPr>
      </w:pPr>
    </w:p>
    <w:p w14:paraId="3CFC8CD0" w14:textId="77777777" w:rsidR="00D95EE3" w:rsidRDefault="00D95EE3" w:rsidP="00605900">
      <w:pPr>
        <w:pStyle w:val="Heading2"/>
        <w:rPr>
          <w:rFonts w:ascii="Arial" w:hAnsi="Arial" w:cs="Arial"/>
          <w:b/>
          <w:bCs/>
          <w:color w:val="000000" w:themeColor="text1"/>
          <w:sz w:val="22"/>
          <w:szCs w:val="22"/>
        </w:rPr>
      </w:pPr>
    </w:p>
    <w:p w14:paraId="4CEB392D" w14:textId="77777777" w:rsidR="00D95EE3" w:rsidRDefault="00D95EE3" w:rsidP="00605900">
      <w:pPr>
        <w:pStyle w:val="Heading2"/>
        <w:rPr>
          <w:rFonts w:ascii="Arial" w:hAnsi="Arial" w:cs="Arial"/>
          <w:b/>
          <w:bCs/>
          <w:color w:val="000000" w:themeColor="text1"/>
          <w:sz w:val="22"/>
          <w:szCs w:val="22"/>
        </w:rPr>
      </w:pPr>
    </w:p>
    <w:p w14:paraId="6DFD0251" w14:textId="77777777" w:rsidR="00D95EE3" w:rsidRDefault="00D95EE3" w:rsidP="00605900">
      <w:pPr>
        <w:pStyle w:val="Heading2"/>
        <w:rPr>
          <w:rFonts w:ascii="Arial" w:hAnsi="Arial" w:cs="Arial"/>
          <w:b/>
          <w:bCs/>
          <w:color w:val="000000" w:themeColor="text1"/>
          <w:sz w:val="22"/>
          <w:szCs w:val="22"/>
        </w:rPr>
      </w:pPr>
    </w:p>
    <w:p w14:paraId="4DB3F39F" w14:textId="77777777" w:rsidR="00D95EE3" w:rsidRDefault="00D95EE3" w:rsidP="00605900">
      <w:pPr>
        <w:pStyle w:val="Heading2"/>
        <w:rPr>
          <w:rFonts w:ascii="Arial" w:hAnsi="Arial" w:cs="Arial"/>
          <w:b/>
          <w:bCs/>
          <w:color w:val="000000" w:themeColor="text1"/>
          <w:sz w:val="22"/>
          <w:szCs w:val="22"/>
        </w:rPr>
      </w:pPr>
    </w:p>
    <w:p w14:paraId="12DE293B" w14:textId="77777777" w:rsidR="00D95EE3" w:rsidRDefault="00D95EE3" w:rsidP="00605900">
      <w:pPr>
        <w:pStyle w:val="Heading2"/>
        <w:rPr>
          <w:rFonts w:ascii="Arial" w:hAnsi="Arial" w:cs="Arial"/>
          <w:b/>
          <w:bCs/>
          <w:color w:val="000000" w:themeColor="text1"/>
          <w:sz w:val="22"/>
          <w:szCs w:val="22"/>
        </w:rPr>
      </w:pPr>
    </w:p>
    <w:p w14:paraId="14064338" w14:textId="77777777" w:rsidR="00D95EE3" w:rsidRDefault="00D95EE3" w:rsidP="00605900">
      <w:pPr>
        <w:pStyle w:val="Heading2"/>
        <w:rPr>
          <w:rFonts w:ascii="Arial" w:hAnsi="Arial" w:cs="Arial"/>
          <w:b/>
          <w:bCs/>
          <w:color w:val="000000" w:themeColor="text1"/>
          <w:sz w:val="22"/>
          <w:szCs w:val="22"/>
        </w:rPr>
      </w:pPr>
    </w:p>
    <w:p w14:paraId="6AB2282A" w14:textId="77777777" w:rsidR="00D95EE3" w:rsidRDefault="00D95EE3" w:rsidP="00605900">
      <w:pPr>
        <w:pStyle w:val="Heading2"/>
        <w:rPr>
          <w:rFonts w:ascii="Arial" w:hAnsi="Arial" w:cs="Arial"/>
          <w:b/>
          <w:bCs/>
          <w:color w:val="000000" w:themeColor="text1"/>
          <w:sz w:val="22"/>
          <w:szCs w:val="22"/>
        </w:rPr>
      </w:pPr>
    </w:p>
    <w:p w14:paraId="6F341B02" w14:textId="77777777" w:rsidR="00D95EE3" w:rsidRDefault="00D95EE3" w:rsidP="00605900">
      <w:pPr>
        <w:pStyle w:val="Heading2"/>
        <w:rPr>
          <w:rFonts w:ascii="Arial" w:hAnsi="Arial" w:cs="Arial"/>
          <w:b/>
          <w:bCs/>
          <w:color w:val="000000" w:themeColor="text1"/>
          <w:sz w:val="22"/>
          <w:szCs w:val="22"/>
        </w:rPr>
      </w:pPr>
    </w:p>
    <w:p w14:paraId="53A9DC47" w14:textId="77777777" w:rsidR="00D95EE3" w:rsidRDefault="00D95EE3" w:rsidP="00605900">
      <w:pPr>
        <w:pStyle w:val="Heading2"/>
        <w:rPr>
          <w:rFonts w:ascii="Arial" w:hAnsi="Arial" w:cs="Arial"/>
          <w:b/>
          <w:bCs/>
          <w:color w:val="000000" w:themeColor="text1"/>
          <w:sz w:val="22"/>
          <w:szCs w:val="22"/>
        </w:rPr>
      </w:pPr>
    </w:p>
    <w:p w14:paraId="2D07C660" w14:textId="77777777" w:rsidR="00D95EE3" w:rsidRDefault="00D95EE3" w:rsidP="00605900">
      <w:pPr>
        <w:pStyle w:val="Heading2"/>
        <w:rPr>
          <w:rFonts w:ascii="Arial" w:hAnsi="Arial" w:cs="Arial"/>
          <w:b/>
          <w:bCs/>
          <w:color w:val="000000" w:themeColor="text1"/>
          <w:sz w:val="22"/>
          <w:szCs w:val="22"/>
        </w:rPr>
      </w:pPr>
    </w:p>
    <w:p w14:paraId="4FDBF00F" w14:textId="77777777" w:rsidR="00D95EE3" w:rsidRDefault="00D95EE3" w:rsidP="00605900">
      <w:pPr>
        <w:pStyle w:val="Heading2"/>
        <w:rPr>
          <w:rFonts w:ascii="Arial" w:hAnsi="Arial" w:cs="Arial"/>
          <w:b/>
          <w:bCs/>
          <w:color w:val="000000" w:themeColor="text1"/>
          <w:sz w:val="22"/>
          <w:szCs w:val="22"/>
        </w:rPr>
      </w:pPr>
    </w:p>
    <w:p w14:paraId="5251803C" w14:textId="77777777" w:rsidR="00D95EE3" w:rsidRDefault="00D95EE3" w:rsidP="00605900">
      <w:pPr>
        <w:pStyle w:val="Heading2"/>
        <w:rPr>
          <w:rFonts w:ascii="Arial" w:hAnsi="Arial" w:cs="Arial"/>
          <w:b/>
          <w:bCs/>
          <w:color w:val="000000" w:themeColor="text1"/>
          <w:sz w:val="22"/>
          <w:szCs w:val="22"/>
        </w:rPr>
      </w:pPr>
    </w:p>
    <w:p w14:paraId="7D0BBEED" w14:textId="77777777" w:rsidR="00D95EE3" w:rsidRDefault="00D95EE3" w:rsidP="00605900">
      <w:pPr>
        <w:pStyle w:val="Heading2"/>
        <w:rPr>
          <w:rFonts w:ascii="Arial" w:hAnsi="Arial" w:cs="Arial"/>
          <w:b/>
          <w:bCs/>
          <w:color w:val="000000" w:themeColor="text1"/>
          <w:sz w:val="22"/>
          <w:szCs w:val="22"/>
        </w:rPr>
      </w:pPr>
    </w:p>
    <w:p w14:paraId="4BD41206" w14:textId="77777777" w:rsidR="00D95EE3" w:rsidRDefault="00D95EE3" w:rsidP="00605900">
      <w:pPr>
        <w:pStyle w:val="Heading2"/>
        <w:rPr>
          <w:rFonts w:ascii="Arial" w:hAnsi="Arial" w:cs="Arial"/>
          <w:b/>
          <w:bCs/>
          <w:color w:val="000000" w:themeColor="text1"/>
          <w:sz w:val="22"/>
          <w:szCs w:val="22"/>
        </w:rPr>
      </w:pPr>
    </w:p>
    <w:p w14:paraId="49B185FE" w14:textId="46A8911E" w:rsidR="00605900" w:rsidRPr="00AC522A" w:rsidRDefault="00605900" w:rsidP="00605900">
      <w:pPr>
        <w:pStyle w:val="Heading2"/>
        <w:rPr>
          <w:rFonts w:ascii="Arial" w:hAnsi="Arial" w:cs="Arial"/>
          <w:b/>
          <w:bCs/>
          <w:color w:val="000000" w:themeColor="text1"/>
          <w:sz w:val="22"/>
          <w:szCs w:val="22"/>
        </w:rPr>
      </w:pPr>
      <w:r w:rsidRPr="00AC522A">
        <w:rPr>
          <w:rFonts w:ascii="Arial" w:hAnsi="Arial" w:cs="Arial"/>
          <w:b/>
          <w:bCs/>
          <w:color w:val="000000" w:themeColor="text1"/>
          <w:sz w:val="22"/>
          <w:szCs w:val="22"/>
        </w:rPr>
        <w:lastRenderedPageBreak/>
        <w:t>1.5 Reference List</w:t>
      </w:r>
    </w:p>
    <w:p w14:paraId="59507CB2" w14:textId="77777777" w:rsidR="00AA1A2E" w:rsidRDefault="00AA1A2E"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Browne, T. (2019). Social Work Roles and Healthcare Settings. </w:t>
      </w:r>
      <w:r w:rsidRPr="00772702">
        <w:rPr>
          <w:rFonts w:ascii="Arial" w:hAnsi="Arial" w:cs="Arial"/>
          <w:i/>
          <w:iCs/>
          <w:sz w:val="22"/>
          <w:lang w:val="en-US"/>
        </w:rPr>
        <w:t>Handbook of Health Social Work</w:t>
      </w:r>
      <w:r w:rsidRPr="00772702">
        <w:rPr>
          <w:rFonts w:ascii="Arial" w:hAnsi="Arial" w:cs="Arial"/>
          <w:sz w:val="22"/>
          <w:lang w:val="en-US"/>
        </w:rPr>
        <w:t>, pp.21–37. doi:10.1002/9781119420743.ch2.</w:t>
      </w:r>
    </w:p>
    <w:p w14:paraId="30FE31CE" w14:textId="164D03E8"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Davis, T.S., Reno, R., Guada, J., Swenson, S., Peck, A., Saunders-Adams, S. and Haas-Gehres, L. (2018). Social Worker Integrated Care Competencies Scale (SWICCS): Assessing social worker clinical competencies for health care settings. </w:t>
      </w:r>
      <w:r w:rsidRPr="00772702">
        <w:rPr>
          <w:rFonts w:ascii="Arial" w:hAnsi="Arial" w:cs="Arial"/>
          <w:i/>
          <w:iCs/>
          <w:sz w:val="22"/>
          <w:lang w:val="en-US"/>
        </w:rPr>
        <w:t>Social Work in Health Care</w:t>
      </w:r>
      <w:r w:rsidRPr="00772702">
        <w:rPr>
          <w:rFonts w:ascii="Arial" w:hAnsi="Arial" w:cs="Arial"/>
          <w:sz w:val="22"/>
          <w:lang w:val="en-US"/>
        </w:rPr>
        <w:t>, 58(1), pp.75–92. doi:10.1080/00981389.2018.1547346.</w:t>
      </w:r>
    </w:p>
    <w:p w14:paraId="26BD2AD4" w14:textId="77777777" w:rsidR="00DD6319" w:rsidRDefault="00AA1A2E" w:rsidP="002F2618">
      <w:pPr>
        <w:pStyle w:val="ListParagraph"/>
        <w:numPr>
          <w:ilvl w:val="0"/>
          <w:numId w:val="23"/>
        </w:numPr>
        <w:rPr>
          <w:rFonts w:ascii="Arial" w:hAnsi="Arial" w:cs="Arial"/>
          <w:sz w:val="22"/>
          <w:lang w:val="en-US"/>
        </w:rPr>
      </w:pPr>
      <w:r w:rsidRPr="00DD6319">
        <w:rPr>
          <w:rFonts w:ascii="Arial" w:hAnsi="Arial" w:cs="Arial"/>
          <w:sz w:val="22"/>
          <w:lang w:val="en-US"/>
        </w:rPr>
        <w:t xml:space="preserve">Gehlert, S., Andrews, C. and Browne, T. (2019). Establishing the Place of Health Social Work. </w:t>
      </w:r>
      <w:r w:rsidRPr="00DD6319">
        <w:rPr>
          <w:rFonts w:ascii="Arial" w:hAnsi="Arial" w:cs="Arial"/>
          <w:i/>
          <w:iCs/>
          <w:sz w:val="22"/>
          <w:lang w:val="en-US"/>
        </w:rPr>
        <w:t>Health &amp; Social Work</w:t>
      </w:r>
      <w:r w:rsidRPr="00DD6319">
        <w:rPr>
          <w:rFonts w:ascii="Arial" w:hAnsi="Arial" w:cs="Arial"/>
          <w:sz w:val="22"/>
          <w:lang w:val="en-US"/>
        </w:rPr>
        <w:t xml:space="preserve">, [online] 44(2), pp.69–71. Available at: https://academic.oup.com/hsw/article-abstract/44/2/69/5418610 </w:t>
      </w:r>
    </w:p>
    <w:p w14:paraId="6BCA77B6" w14:textId="3C0AD5CE" w:rsidR="00772702" w:rsidRPr="00DD6319" w:rsidRDefault="00772702" w:rsidP="004207A4">
      <w:pPr>
        <w:pStyle w:val="ListParagraph"/>
        <w:numPr>
          <w:ilvl w:val="0"/>
          <w:numId w:val="23"/>
        </w:numPr>
        <w:rPr>
          <w:rFonts w:ascii="Arial" w:hAnsi="Arial" w:cs="Arial"/>
          <w:sz w:val="22"/>
          <w:lang w:val="en-US"/>
        </w:rPr>
      </w:pPr>
      <w:r w:rsidRPr="00DD6319">
        <w:rPr>
          <w:rFonts w:ascii="Arial" w:hAnsi="Arial" w:cs="Arial"/>
          <w:sz w:val="22"/>
          <w:lang w:val="en-US"/>
        </w:rPr>
        <w:t xml:space="preserve">Goleman, D. (1998). Bringing emotional intelligence to the workplace. [online] Available at: https://www.eiconsortium.org/pdf/technical_report.pdf </w:t>
      </w:r>
    </w:p>
    <w:p w14:paraId="0694E287" w14:textId="3A93E104"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Hall, E.R. and Montgomery, P. (2023). Communication skills training for improving the communicative abilities of student social workers: A systematic review. </w:t>
      </w:r>
      <w:r w:rsidRPr="00772702">
        <w:rPr>
          <w:rFonts w:ascii="Arial" w:hAnsi="Arial" w:cs="Arial"/>
          <w:i/>
          <w:iCs/>
          <w:sz w:val="22"/>
          <w:lang w:val="en-US"/>
        </w:rPr>
        <w:t>Campbell Systematic Reviews</w:t>
      </w:r>
      <w:r w:rsidRPr="00772702">
        <w:rPr>
          <w:rFonts w:ascii="Arial" w:hAnsi="Arial" w:cs="Arial"/>
          <w:sz w:val="22"/>
          <w:lang w:val="en-US"/>
        </w:rPr>
        <w:t>, [online] 19(1). doi:10.1002/cl2.1309.</w:t>
      </w:r>
    </w:p>
    <w:p w14:paraId="20CD98A4" w14:textId="0E59E55D"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N. Jones, D., Hanley, J. and Robb, B. (2025). Social Work Professional Organizations in the United Kingdom: the resilience of the British Association of Social Workers in turbulent times. </w:t>
      </w:r>
      <w:r w:rsidRPr="00772702">
        <w:rPr>
          <w:rFonts w:ascii="Arial" w:hAnsi="Arial" w:cs="Arial"/>
          <w:i/>
          <w:iCs/>
          <w:sz w:val="22"/>
          <w:lang w:val="en-US"/>
        </w:rPr>
        <w:t>Social Work Professional Organizations</w:t>
      </w:r>
      <w:r w:rsidRPr="00772702">
        <w:rPr>
          <w:rFonts w:ascii="Arial" w:hAnsi="Arial" w:cs="Arial"/>
          <w:sz w:val="22"/>
          <w:lang w:val="en-US"/>
        </w:rPr>
        <w:t>, [online] pp.104–120. doi:10.51952/9781447373698.ch006.</w:t>
      </w:r>
    </w:p>
    <w:p w14:paraId="1D0F2D59" w14:textId="0DD62615" w:rsidR="004552CE" w:rsidRPr="00772702" w:rsidRDefault="00AA1A2E"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Ravalier, J., Wainwright, E., Clabburn, O., Loon, M. and Smyth, N. (2020). Working conditions and wellbeing in UK social workers. </w:t>
      </w:r>
      <w:r w:rsidRPr="00772702">
        <w:rPr>
          <w:rFonts w:ascii="Arial" w:hAnsi="Arial" w:cs="Arial"/>
          <w:i/>
          <w:iCs/>
          <w:sz w:val="22"/>
          <w:lang w:val="en-US"/>
        </w:rPr>
        <w:t>Journal of Social Work</w:t>
      </w:r>
      <w:r w:rsidRPr="00772702">
        <w:rPr>
          <w:rFonts w:ascii="Arial" w:hAnsi="Arial" w:cs="Arial"/>
          <w:sz w:val="22"/>
          <w:lang w:val="en-US"/>
        </w:rPr>
        <w:t>, [online] 21(5), p.146801732094936. doi:10.1177/14680173209</w:t>
      </w:r>
    </w:p>
    <w:p w14:paraId="2F539BFA" w14:textId="77777777"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 xml:space="preserve">Trevithick, P. (2008). Revisiting the Knowledge Base of Social Work: A Framework for Practice. </w:t>
      </w:r>
      <w:r w:rsidRPr="00772702">
        <w:rPr>
          <w:rFonts w:ascii="Arial" w:hAnsi="Arial" w:cs="Arial"/>
          <w:i/>
          <w:iCs/>
          <w:sz w:val="22"/>
          <w:lang w:val="en-US"/>
        </w:rPr>
        <w:t>British Journal of Social Work</w:t>
      </w:r>
      <w:r w:rsidRPr="00772702">
        <w:rPr>
          <w:rFonts w:ascii="Arial" w:hAnsi="Arial" w:cs="Arial"/>
          <w:sz w:val="22"/>
          <w:lang w:val="en-US"/>
        </w:rPr>
        <w:t>, [online] 38(6), pp.1212–1237. doi:10.1093/bjsw/bcm026.</w:t>
      </w:r>
    </w:p>
    <w:p w14:paraId="774246B6" w14:textId="77777777" w:rsidR="00772702" w:rsidRPr="00772702" w:rsidRDefault="00772702" w:rsidP="00772702">
      <w:pPr>
        <w:pStyle w:val="ListParagraph"/>
        <w:numPr>
          <w:ilvl w:val="0"/>
          <w:numId w:val="23"/>
        </w:numPr>
        <w:rPr>
          <w:rFonts w:ascii="Arial" w:hAnsi="Arial" w:cs="Arial"/>
          <w:sz w:val="22"/>
          <w:lang w:val="en-US"/>
        </w:rPr>
      </w:pPr>
      <w:r w:rsidRPr="00772702">
        <w:rPr>
          <w:rFonts w:ascii="Arial" w:hAnsi="Arial" w:cs="Arial"/>
          <w:sz w:val="22"/>
          <w:lang w:val="en-US"/>
        </w:rPr>
        <w:t>Taylor, D.W. (2013). Decision Making and Problem Solving 1. pp.48–86. doi:10.4324/9780203629130-3.</w:t>
      </w:r>
    </w:p>
    <w:p w14:paraId="0BD05382" w14:textId="77777777" w:rsidR="00AA1A2E" w:rsidRPr="00AA1A2E" w:rsidRDefault="00AA1A2E" w:rsidP="00605900">
      <w:pPr>
        <w:rPr>
          <w:rFonts w:ascii="Arial" w:hAnsi="Arial" w:cs="Arial"/>
          <w:color w:val="FF0000"/>
          <w:sz w:val="22"/>
          <w:lang w:val="en-US"/>
        </w:rPr>
      </w:pPr>
    </w:p>
    <w:sectPr w:rsidR="00AA1A2E" w:rsidRPr="00AA1A2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9BFB0" w14:textId="77777777" w:rsidR="00AF0F3A" w:rsidRDefault="00AF0F3A" w:rsidP="003C7C97">
      <w:pPr>
        <w:spacing w:after="0" w:line="240" w:lineRule="auto"/>
      </w:pPr>
      <w:r>
        <w:separator/>
      </w:r>
    </w:p>
  </w:endnote>
  <w:endnote w:type="continuationSeparator" w:id="0">
    <w:p w14:paraId="2D619566" w14:textId="77777777" w:rsidR="00AF0F3A" w:rsidRDefault="00AF0F3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6BF00" w14:textId="77777777" w:rsidR="00C55E0F" w:rsidRDefault="00C55E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6F0AD" w14:textId="77777777" w:rsidR="00C55E0F" w:rsidRDefault="00C55E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FCF82" w14:textId="77777777" w:rsidR="00C55E0F" w:rsidRDefault="00C55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A1A9A" w14:textId="77777777" w:rsidR="00AF0F3A" w:rsidRDefault="00AF0F3A" w:rsidP="003C7C97">
      <w:pPr>
        <w:spacing w:after="0" w:line="240" w:lineRule="auto"/>
      </w:pPr>
      <w:r>
        <w:separator/>
      </w:r>
    </w:p>
  </w:footnote>
  <w:footnote w:type="continuationSeparator" w:id="0">
    <w:p w14:paraId="225E3581" w14:textId="77777777" w:rsidR="00AF0F3A" w:rsidRDefault="00AF0F3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B3598" w14:textId="77777777" w:rsidR="00C55E0F" w:rsidRDefault="00C55E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9896715"/>
      <w:docPartObj>
        <w:docPartGallery w:val="Page Numbers (Top of Page)"/>
        <w:docPartUnique/>
      </w:docPartObj>
    </w:sdtPr>
    <w:sdtEndPr>
      <w:rPr>
        <w:noProof/>
      </w:rPr>
    </w:sdtEndPr>
    <w:sdtContent>
      <w:p w14:paraId="41A0907D" w14:textId="7F15CDA1" w:rsidR="00C55E0F" w:rsidRDefault="00C55E0F">
        <w:pPr>
          <w:pStyle w:val="Header"/>
        </w:pPr>
        <w:r>
          <w:fldChar w:fldCharType="begin"/>
        </w:r>
        <w:r>
          <w:instrText xml:space="preserve"> PAGE   \* MERGEFORMAT </w:instrText>
        </w:r>
        <w:r>
          <w:fldChar w:fldCharType="separate"/>
        </w:r>
        <w:r>
          <w:rPr>
            <w:noProof/>
          </w:rPr>
          <w:t>2</w:t>
        </w:r>
        <w:r>
          <w:rPr>
            <w:noProof/>
          </w:rPr>
          <w:fldChar w:fldCharType="end"/>
        </w:r>
      </w:p>
    </w:sdtContent>
  </w:sdt>
  <w:p w14:paraId="5952E7A5" w14:textId="77777777" w:rsidR="00C55E0F" w:rsidRDefault="00C55E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C39A0" w14:textId="77777777" w:rsidR="00C55E0F" w:rsidRDefault="00C55E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0A6638"/>
    <w:multiLevelType w:val="hybridMultilevel"/>
    <w:tmpl w:val="9BC439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15854558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D0A35"/>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3281F"/>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05900"/>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2702"/>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28EC"/>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1A2E"/>
    <w:rsid w:val="00AA591E"/>
    <w:rsid w:val="00AA77C8"/>
    <w:rsid w:val="00AC522A"/>
    <w:rsid w:val="00AC7BE2"/>
    <w:rsid w:val="00AE35BF"/>
    <w:rsid w:val="00AF0F3A"/>
    <w:rsid w:val="00AF4D2A"/>
    <w:rsid w:val="00B1067E"/>
    <w:rsid w:val="00B16ED2"/>
    <w:rsid w:val="00B23BD4"/>
    <w:rsid w:val="00B428C8"/>
    <w:rsid w:val="00B81790"/>
    <w:rsid w:val="00B81BBC"/>
    <w:rsid w:val="00BD03D5"/>
    <w:rsid w:val="00BE6808"/>
    <w:rsid w:val="00BF34E1"/>
    <w:rsid w:val="00C3215E"/>
    <w:rsid w:val="00C45272"/>
    <w:rsid w:val="00C47770"/>
    <w:rsid w:val="00C55E0F"/>
    <w:rsid w:val="00C75856"/>
    <w:rsid w:val="00C85A7C"/>
    <w:rsid w:val="00C95214"/>
    <w:rsid w:val="00CC3F59"/>
    <w:rsid w:val="00CD4774"/>
    <w:rsid w:val="00CD7AD6"/>
    <w:rsid w:val="00D10AAF"/>
    <w:rsid w:val="00D27540"/>
    <w:rsid w:val="00D4006B"/>
    <w:rsid w:val="00D40D7A"/>
    <w:rsid w:val="00D64A0D"/>
    <w:rsid w:val="00D750B4"/>
    <w:rsid w:val="00D81C18"/>
    <w:rsid w:val="00D8461A"/>
    <w:rsid w:val="00D95CAF"/>
    <w:rsid w:val="00D95EE3"/>
    <w:rsid w:val="00DB60B6"/>
    <w:rsid w:val="00DC1CC6"/>
    <w:rsid w:val="00DD6319"/>
    <w:rsid w:val="00DE57F1"/>
    <w:rsid w:val="00E058A1"/>
    <w:rsid w:val="00E06403"/>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495B"/>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1844</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Waqas Zeb</cp:lastModifiedBy>
  <cp:revision>4</cp:revision>
  <dcterms:created xsi:type="dcterms:W3CDTF">2026-07-23T08:59:00Z</dcterms:created>
  <dcterms:modified xsi:type="dcterms:W3CDTF">2026-07-23T09:24:00Z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143a4c01-6676-4c21-bdf9-a7c91d760a14</vt:lpwstr>
  </property>
</Properties>
</file>