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242F90" w14:textId="1553DE2C" w:rsidR="00EB74D0" w:rsidRPr="00664A08" w:rsidRDefault="00424161" w:rsidP="00424161">
      <w:pPr>
        <w:spacing w:before="100" w:beforeAutospacing="1" w:after="100" w:afterAutospacing="1" w:line="240" w:lineRule="auto"/>
        <w:jc w:val="center"/>
        <w:outlineLvl w:val="1"/>
        <w:rPr>
          <w:rFonts w:ascii="Arial" w:eastAsia="Times New Roman" w:hAnsi="Arial" w:cs="Arial"/>
          <w:b/>
          <w:bCs/>
          <w:kern w:val="0"/>
          <w:sz w:val="20"/>
          <w:szCs w:val="20"/>
          <w:u w:val="single"/>
          <w:lang w:eastAsia="en-GB"/>
          <w14:ligatures w14:val="none"/>
        </w:rPr>
      </w:pPr>
      <w:r w:rsidRPr="00424161">
        <w:rPr>
          <w:rFonts w:ascii="Arial" w:eastAsia="Times New Roman" w:hAnsi="Arial" w:cs="Arial"/>
          <w:b/>
          <w:bCs/>
          <w:kern w:val="0"/>
          <w:sz w:val="20"/>
          <w:szCs w:val="20"/>
          <w:u w:val="single"/>
          <w:lang w:eastAsia="en-GB"/>
          <w14:ligatures w14:val="none"/>
        </w:rPr>
        <w:t>Gender Bias in Early Years Play: A Literature Review</w:t>
      </w:r>
    </w:p>
    <w:p w14:paraId="48397515" w14:textId="77777777" w:rsidR="00EB74D0" w:rsidRPr="00664A08" w:rsidRDefault="00EB74D0" w:rsidP="00EB74D0">
      <w:pPr>
        <w:spacing w:before="100" w:beforeAutospacing="1" w:after="100" w:afterAutospacing="1" w:line="240" w:lineRule="auto"/>
        <w:jc w:val="center"/>
        <w:outlineLvl w:val="1"/>
        <w:rPr>
          <w:rFonts w:ascii="Arial" w:eastAsia="Times New Roman" w:hAnsi="Arial" w:cs="Arial"/>
          <w:b/>
          <w:bCs/>
          <w:kern w:val="0"/>
          <w:sz w:val="20"/>
          <w:szCs w:val="20"/>
          <w:u w:val="single"/>
          <w:lang w:eastAsia="en-GB"/>
          <w14:ligatures w14:val="none"/>
        </w:rPr>
      </w:pPr>
    </w:p>
    <w:p w14:paraId="143C7157" w14:textId="6250F98D" w:rsidR="00796288" w:rsidRPr="00664A08" w:rsidRDefault="00057658" w:rsidP="00057658">
      <w:pPr>
        <w:spacing w:before="100" w:beforeAutospacing="1" w:after="100" w:afterAutospacing="1" w:line="240" w:lineRule="auto"/>
        <w:jc w:val="center"/>
        <w:rPr>
          <w:rFonts w:ascii="Arial" w:eastAsia="Times New Roman" w:hAnsi="Arial" w:cs="Arial"/>
          <w:b/>
          <w:bCs/>
          <w:kern w:val="0"/>
          <w:sz w:val="20"/>
          <w:szCs w:val="20"/>
          <w:u w:val="single"/>
          <w:lang w:eastAsia="en-GB"/>
          <w14:ligatures w14:val="none"/>
        </w:rPr>
      </w:pPr>
      <w:r w:rsidRPr="00664A08">
        <w:rPr>
          <w:rFonts w:ascii="Arial" w:eastAsia="Times New Roman" w:hAnsi="Arial" w:cs="Arial"/>
          <w:b/>
          <w:bCs/>
          <w:kern w:val="0"/>
          <w:sz w:val="20"/>
          <w:szCs w:val="20"/>
          <w:u w:val="single"/>
          <w:lang w:eastAsia="en-GB"/>
          <w14:ligatures w14:val="none"/>
        </w:rPr>
        <w:t>Abstract</w:t>
      </w:r>
    </w:p>
    <w:p w14:paraId="4C507270" w14:textId="3A0503CC" w:rsidR="00796288" w:rsidRPr="00664A08" w:rsidRDefault="00AA6D13" w:rsidP="00951F9E">
      <w:pPr>
        <w:spacing w:before="100" w:beforeAutospacing="1" w:after="100" w:afterAutospacing="1" w:line="240" w:lineRule="auto"/>
        <w:rPr>
          <w:rFonts w:ascii="Arial" w:eastAsia="Times New Roman" w:hAnsi="Arial" w:cs="Arial"/>
          <w:kern w:val="0"/>
          <w:sz w:val="20"/>
          <w:szCs w:val="20"/>
          <w:lang w:eastAsia="en-GB"/>
          <w14:ligatures w14:val="none"/>
        </w:rPr>
      </w:pPr>
      <w:r w:rsidRPr="00664A08">
        <w:rPr>
          <w:rFonts w:ascii="Arial" w:eastAsia="Times New Roman" w:hAnsi="Arial" w:cs="Arial"/>
          <w:kern w:val="0"/>
          <w:sz w:val="20"/>
          <w:szCs w:val="20"/>
          <w:lang w:eastAsia="en-GB"/>
          <w14:ligatures w14:val="none"/>
        </w:rPr>
        <w:t>The presence of gender bias in early childhood education environments is a layered issue that impacts the growth and development of children significantly. This literature review critically examines the existing research evidence regarding gender bias in early childhood play, with a focus on the ways in which practitioners can affect or mitigate this phenomenon. This review seeks to enhance comprehension of this critical area by systematically analysing current research, policy frameworks, and curriculum requirements</w:t>
      </w:r>
      <w:r w:rsidR="00852FC7">
        <w:rPr>
          <w:rFonts w:ascii="Arial" w:eastAsia="Times New Roman" w:hAnsi="Arial" w:cs="Arial"/>
          <w:kern w:val="0"/>
          <w:sz w:val="20"/>
          <w:szCs w:val="20"/>
          <w:lang w:eastAsia="en-GB"/>
          <w14:ligatures w14:val="none"/>
        </w:rPr>
        <w:t xml:space="preserve"> with regards to </w:t>
      </w:r>
      <w:r w:rsidR="00BD36DD">
        <w:rPr>
          <w:rFonts w:ascii="Arial" w:eastAsia="Times New Roman" w:hAnsi="Arial" w:cs="Arial"/>
          <w:kern w:val="0"/>
          <w:sz w:val="20"/>
          <w:szCs w:val="20"/>
          <w:lang w:eastAsia="en-GB"/>
          <w14:ligatures w14:val="none"/>
        </w:rPr>
        <w:t>gender bias play within the early years</w:t>
      </w:r>
      <w:r w:rsidRPr="00664A08">
        <w:rPr>
          <w:rFonts w:ascii="Arial" w:eastAsia="Times New Roman" w:hAnsi="Arial" w:cs="Arial"/>
          <w:kern w:val="0"/>
          <w:sz w:val="20"/>
          <w:szCs w:val="20"/>
          <w:lang w:eastAsia="en-GB"/>
          <w14:ligatures w14:val="none"/>
        </w:rPr>
        <w:t>. By identifying salient findings and contrasting diverse perspectives, the review aspires to contribute to the existing body of knowledge.</w:t>
      </w:r>
    </w:p>
    <w:p w14:paraId="3689BCA2" w14:textId="79BC74BD" w:rsidR="00796288" w:rsidRPr="00664A08" w:rsidRDefault="00424161" w:rsidP="00424161">
      <w:pPr>
        <w:spacing w:before="100" w:beforeAutospacing="1" w:after="100" w:afterAutospacing="1" w:line="240" w:lineRule="auto"/>
        <w:jc w:val="center"/>
        <w:rPr>
          <w:rFonts w:ascii="Arial" w:eastAsia="Times New Roman" w:hAnsi="Arial" w:cs="Arial"/>
          <w:b/>
          <w:bCs/>
          <w:kern w:val="0"/>
          <w:sz w:val="20"/>
          <w:szCs w:val="20"/>
          <w:u w:val="single"/>
          <w:lang w:eastAsia="en-GB"/>
          <w14:ligatures w14:val="none"/>
        </w:rPr>
      </w:pPr>
      <w:r w:rsidRPr="00424161">
        <w:rPr>
          <w:rFonts w:ascii="Arial" w:eastAsia="Times New Roman" w:hAnsi="Arial" w:cs="Arial"/>
          <w:b/>
          <w:bCs/>
          <w:kern w:val="0"/>
          <w:sz w:val="20"/>
          <w:szCs w:val="20"/>
          <w:u w:val="single"/>
          <w:lang w:eastAsia="en-GB"/>
          <w14:ligatures w14:val="none"/>
        </w:rPr>
        <w:t>Literature Review Gender Bias in Early Years Play</w:t>
      </w:r>
    </w:p>
    <w:p w14:paraId="04CA9EC0" w14:textId="77777777" w:rsidR="00664A08" w:rsidRPr="004727B9" w:rsidRDefault="007C2B02" w:rsidP="006C18C0">
      <w:pPr>
        <w:spacing w:before="100" w:beforeAutospacing="1" w:after="100" w:afterAutospacing="1" w:line="240" w:lineRule="auto"/>
        <w:rPr>
          <w:rFonts w:ascii="Arial" w:hAnsi="Arial" w:cs="Arial"/>
          <w:sz w:val="20"/>
          <w:szCs w:val="20"/>
        </w:rPr>
      </w:pPr>
      <w:r w:rsidRPr="004727B9">
        <w:rPr>
          <w:rFonts w:ascii="Arial" w:eastAsia="Times New Roman" w:hAnsi="Arial" w:cs="Arial"/>
          <w:kern w:val="0"/>
          <w:sz w:val="20"/>
          <w:szCs w:val="20"/>
          <w:lang w:eastAsia="en-GB"/>
          <w14:ligatures w14:val="none"/>
        </w:rPr>
        <w:t>Studies have repeatedly highlighted the significant impact of gender stereotypes in early childhood education settings, which can greatly affect how children play and learn. Play is an essential tool that allows children to explore their identities, develop social skills, and learn about the world around them.</w:t>
      </w:r>
      <w:r w:rsidR="00B749CC" w:rsidRPr="004727B9">
        <w:rPr>
          <w:rFonts w:ascii="Arial" w:eastAsia="Times New Roman" w:hAnsi="Arial" w:cs="Arial"/>
          <w:kern w:val="0"/>
          <w:sz w:val="20"/>
          <w:szCs w:val="20"/>
          <w:lang w:eastAsia="en-GB"/>
          <w14:ligatures w14:val="none"/>
        </w:rPr>
        <w:t xml:space="preserve"> </w:t>
      </w:r>
      <w:proofErr w:type="spellStart"/>
      <w:r w:rsidR="00B749CC" w:rsidRPr="004727B9">
        <w:rPr>
          <w:rFonts w:ascii="Arial" w:eastAsia="Times New Roman" w:hAnsi="Arial" w:cs="Arial"/>
          <w:kern w:val="0"/>
          <w:sz w:val="20"/>
          <w:szCs w:val="20"/>
          <w:lang w:eastAsia="en-GB"/>
          <w14:ligatures w14:val="none"/>
        </w:rPr>
        <w:t>N</w:t>
      </w:r>
      <w:r w:rsidR="00CB2CA6" w:rsidRPr="004727B9">
        <w:rPr>
          <w:rFonts w:ascii="Arial" w:eastAsia="Times New Roman" w:hAnsi="Arial" w:cs="Arial"/>
          <w:kern w:val="0"/>
          <w:sz w:val="20"/>
          <w:szCs w:val="20"/>
          <w:lang w:eastAsia="en-GB"/>
          <w14:ligatures w14:val="none"/>
        </w:rPr>
        <w:t>i</w:t>
      </w:r>
      <w:r w:rsidR="000A0B4B" w:rsidRPr="004727B9">
        <w:rPr>
          <w:rFonts w:ascii="Arial" w:eastAsia="Times New Roman" w:hAnsi="Arial" w:cs="Arial"/>
          <w:kern w:val="0"/>
          <w:sz w:val="20"/>
          <w:szCs w:val="20"/>
          <w:lang w:eastAsia="en-GB"/>
          <w14:ligatures w14:val="none"/>
        </w:rPr>
        <w:t>d</w:t>
      </w:r>
      <w:r w:rsidR="00CB2CA6" w:rsidRPr="004727B9">
        <w:rPr>
          <w:rFonts w:ascii="Arial" w:eastAsia="Times New Roman" w:hAnsi="Arial" w:cs="Arial"/>
          <w:kern w:val="0"/>
          <w:sz w:val="20"/>
          <w:szCs w:val="20"/>
          <w:lang w:eastAsia="en-GB"/>
          <w14:ligatures w14:val="none"/>
        </w:rPr>
        <w:t>irect</w:t>
      </w:r>
      <w:proofErr w:type="spellEnd"/>
      <w:r w:rsidR="00CB2CA6" w:rsidRPr="004727B9">
        <w:rPr>
          <w:rFonts w:ascii="Arial" w:eastAsia="Times New Roman" w:hAnsi="Arial" w:cs="Arial"/>
          <w:kern w:val="0"/>
          <w:sz w:val="20"/>
          <w:szCs w:val="20"/>
          <w:lang w:eastAsia="en-GB"/>
          <w14:ligatures w14:val="none"/>
        </w:rPr>
        <w:t xml:space="preserve"> Government Services (</w:t>
      </w:r>
      <w:r w:rsidR="000A0B4B" w:rsidRPr="004727B9">
        <w:rPr>
          <w:rFonts w:ascii="Arial" w:eastAsia="Times New Roman" w:hAnsi="Arial" w:cs="Arial"/>
          <w:kern w:val="0"/>
          <w:sz w:val="20"/>
          <w:szCs w:val="20"/>
          <w:lang w:eastAsia="en-GB"/>
          <w14:ligatures w14:val="none"/>
        </w:rPr>
        <w:t>no date</w:t>
      </w:r>
      <w:r w:rsidR="00CB2CA6" w:rsidRPr="004727B9">
        <w:rPr>
          <w:rFonts w:ascii="Arial" w:eastAsia="Times New Roman" w:hAnsi="Arial" w:cs="Arial"/>
          <w:kern w:val="0"/>
          <w:sz w:val="20"/>
          <w:szCs w:val="20"/>
          <w:lang w:eastAsia="en-GB"/>
          <w14:ligatures w14:val="none"/>
        </w:rPr>
        <w:t>) state that</w:t>
      </w:r>
      <w:r w:rsidR="00CB2CA6" w:rsidRPr="004727B9">
        <w:rPr>
          <w:rFonts w:ascii="Arial" w:hAnsi="Arial" w:cs="Arial"/>
          <w:sz w:val="20"/>
          <w:szCs w:val="20"/>
        </w:rPr>
        <w:t xml:space="preserve"> </w:t>
      </w:r>
      <w:r w:rsidR="00CB2CA6" w:rsidRPr="004727B9">
        <w:rPr>
          <w:rFonts w:ascii="Arial" w:eastAsia="Times New Roman" w:hAnsi="Arial" w:cs="Arial"/>
          <w:kern w:val="0"/>
          <w:sz w:val="20"/>
          <w:szCs w:val="20"/>
          <w:lang w:eastAsia="en-GB"/>
          <w14:ligatures w14:val="none"/>
        </w:rPr>
        <w:t>play is when a child decides and controls their play following their own instincts, imagination and interests</w:t>
      </w:r>
      <w:r w:rsidR="00913586" w:rsidRPr="004727B9">
        <w:rPr>
          <w:rFonts w:ascii="Arial" w:eastAsia="Times New Roman" w:hAnsi="Arial" w:cs="Arial"/>
          <w:kern w:val="0"/>
          <w:sz w:val="20"/>
          <w:szCs w:val="20"/>
          <w:lang w:eastAsia="en-GB"/>
          <w14:ligatures w14:val="none"/>
        </w:rPr>
        <w:t>.</w:t>
      </w:r>
      <w:r w:rsidR="00CB2CA6" w:rsidRPr="004727B9">
        <w:rPr>
          <w:rFonts w:ascii="Arial" w:eastAsia="Times New Roman" w:hAnsi="Arial" w:cs="Arial"/>
          <w:kern w:val="0"/>
          <w:sz w:val="20"/>
          <w:szCs w:val="20"/>
          <w:lang w:eastAsia="en-GB"/>
          <w14:ligatures w14:val="none"/>
        </w:rPr>
        <w:t xml:space="preserve"> </w:t>
      </w:r>
      <w:r w:rsidRPr="004727B9">
        <w:rPr>
          <w:rFonts w:ascii="Arial" w:eastAsia="Times New Roman" w:hAnsi="Arial" w:cs="Arial"/>
          <w:kern w:val="0"/>
          <w:sz w:val="20"/>
          <w:szCs w:val="20"/>
          <w:lang w:eastAsia="en-GB"/>
          <w14:ligatures w14:val="none"/>
        </w:rPr>
        <w:t xml:space="preserve"> Nonetheless, conventional gender roles frequently establish parameters regarding the toys, activities, and environments that are considered suitable for individuals based on their gender.</w:t>
      </w:r>
      <w:r w:rsidR="003A13A8" w:rsidRPr="004727B9">
        <w:rPr>
          <w:rFonts w:ascii="Arial" w:eastAsia="Times New Roman" w:hAnsi="Arial" w:cs="Arial"/>
          <w:kern w:val="0"/>
          <w:sz w:val="20"/>
          <w:szCs w:val="20"/>
          <w:lang w:eastAsia="en-GB"/>
          <w14:ligatures w14:val="none"/>
        </w:rPr>
        <w:t xml:space="preserve"> However</w:t>
      </w:r>
      <w:r w:rsidR="000B65B4" w:rsidRPr="004727B9">
        <w:rPr>
          <w:rFonts w:ascii="Arial" w:eastAsia="Times New Roman" w:hAnsi="Arial" w:cs="Arial"/>
          <w:kern w:val="0"/>
          <w:sz w:val="20"/>
          <w:szCs w:val="20"/>
          <w:lang w:eastAsia="en-GB"/>
          <w14:ligatures w14:val="none"/>
        </w:rPr>
        <w:t xml:space="preserve">, </w:t>
      </w:r>
      <w:r w:rsidR="003A13A8" w:rsidRPr="004727B9">
        <w:rPr>
          <w:rFonts w:ascii="Arial" w:eastAsia="Times New Roman" w:hAnsi="Arial" w:cs="Arial"/>
          <w:kern w:val="0"/>
          <w:sz w:val="20"/>
          <w:szCs w:val="20"/>
          <w:lang w:eastAsia="en-GB"/>
          <w14:ligatures w14:val="none"/>
        </w:rPr>
        <w:t>the</w:t>
      </w:r>
      <w:r w:rsidR="00390785" w:rsidRPr="004727B9">
        <w:rPr>
          <w:rFonts w:ascii="Arial" w:eastAsia="Times New Roman" w:hAnsi="Arial" w:cs="Arial"/>
          <w:kern w:val="0"/>
          <w:sz w:val="20"/>
          <w:szCs w:val="20"/>
          <w:lang w:eastAsia="en-GB"/>
          <w14:ligatures w14:val="none"/>
        </w:rPr>
        <w:t xml:space="preserve"> </w:t>
      </w:r>
      <w:r w:rsidR="003A13A8" w:rsidRPr="004727B9">
        <w:rPr>
          <w:rFonts w:ascii="Arial" w:eastAsia="Times New Roman" w:hAnsi="Arial" w:cs="Arial"/>
          <w:kern w:val="0"/>
          <w:sz w:val="20"/>
          <w:szCs w:val="20"/>
          <w:lang w:eastAsia="en-GB"/>
          <w14:ligatures w14:val="none"/>
        </w:rPr>
        <w:t>Nationa</w:t>
      </w:r>
      <w:r w:rsidR="00390785" w:rsidRPr="004727B9">
        <w:rPr>
          <w:rFonts w:ascii="Arial" w:eastAsia="Times New Roman" w:hAnsi="Arial" w:cs="Arial"/>
          <w:kern w:val="0"/>
          <w:sz w:val="20"/>
          <w:szCs w:val="20"/>
          <w:lang w:eastAsia="en-GB"/>
          <w14:ligatures w14:val="none"/>
        </w:rPr>
        <w:t>l Library of Medicine (</w:t>
      </w:r>
      <w:r w:rsidR="00204AEE" w:rsidRPr="004727B9">
        <w:rPr>
          <w:rFonts w:ascii="Arial" w:eastAsia="Times New Roman" w:hAnsi="Arial" w:cs="Arial"/>
          <w:kern w:val="0"/>
          <w:sz w:val="20"/>
          <w:szCs w:val="20"/>
          <w:lang w:eastAsia="en-GB"/>
          <w14:ligatures w14:val="none"/>
        </w:rPr>
        <w:t>2024</w:t>
      </w:r>
      <w:r w:rsidR="00390785" w:rsidRPr="004727B9">
        <w:rPr>
          <w:rFonts w:ascii="Arial" w:eastAsia="Times New Roman" w:hAnsi="Arial" w:cs="Arial"/>
          <w:kern w:val="0"/>
          <w:sz w:val="20"/>
          <w:szCs w:val="20"/>
          <w:lang w:eastAsia="en-GB"/>
          <w14:ligatures w14:val="none"/>
        </w:rPr>
        <w:t xml:space="preserve">) </w:t>
      </w:r>
      <w:r w:rsidR="000B65B4" w:rsidRPr="004727B9">
        <w:rPr>
          <w:rFonts w:ascii="Arial" w:eastAsia="Times New Roman" w:hAnsi="Arial" w:cs="Arial"/>
          <w:kern w:val="0"/>
          <w:sz w:val="20"/>
          <w:szCs w:val="20"/>
          <w:lang w:eastAsia="en-GB"/>
          <w14:ligatures w14:val="none"/>
        </w:rPr>
        <w:t>highlights that their research showed</w:t>
      </w:r>
      <w:r w:rsidR="000B65B4" w:rsidRPr="004727B9">
        <w:rPr>
          <w:rFonts w:ascii="Arial" w:hAnsi="Arial" w:cs="Arial"/>
          <w:sz w:val="20"/>
          <w:szCs w:val="20"/>
        </w:rPr>
        <w:t xml:space="preserve"> </w:t>
      </w:r>
      <w:r w:rsidR="009730E7" w:rsidRPr="004727B9">
        <w:rPr>
          <w:rFonts w:ascii="Arial" w:hAnsi="Arial" w:cs="Arial"/>
          <w:sz w:val="20"/>
          <w:szCs w:val="20"/>
        </w:rPr>
        <w:t>the p</w:t>
      </w:r>
      <w:r w:rsidR="009730E7" w:rsidRPr="004727B9">
        <w:rPr>
          <w:rFonts w:ascii="Arial" w:hAnsi="Arial" w:cs="Arial"/>
          <w:sz w:val="20"/>
          <w:szCs w:val="20"/>
        </w:rPr>
        <w:t>references for gender-typical over gender-atypical toys were also large and significant, and girls and boys showed gender-related differences of similar magnitude.</w:t>
      </w:r>
      <w:r w:rsidR="007A123B" w:rsidRPr="004727B9">
        <w:rPr>
          <w:rFonts w:ascii="Arial" w:hAnsi="Arial" w:cs="Arial"/>
          <w:sz w:val="20"/>
          <w:szCs w:val="20"/>
        </w:rPr>
        <w:t xml:space="preserve"> </w:t>
      </w:r>
      <w:r w:rsidR="007A123B" w:rsidRPr="004727B9">
        <w:rPr>
          <w:rFonts w:ascii="Arial" w:hAnsi="Arial" w:cs="Arial"/>
          <w:sz w:val="20"/>
          <w:szCs w:val="20"/>
        </w:rPr>
        <w:t>When only dolls and vehicles were considered, within-sex differences were even larger and of comparable size for boys and girls.</w:t>
      </w:r>
      <w:r w:rsidR="00B40B94" w:rsidRPr="004727B9">
        <w:rPr>
          <w:rFonts w:ascii="Arial" w:hAnsi="Arial" w:cs="Arial"/>
          <w:sz w:val="20"/>
          <w:szCs w:val="20"/>
        </w:rPr>
        <w:t xml:space="preserve"> </w:t>
      </w:r>
      <w:r w:rsidR="004D4FFD" w:rsidRPr="004727B9">
        <w:rPr>
          <w:rFonts w:ascii="Arial" w:hAnsi="Arial" w:cs="Arial"/>
          <w:sz w:val="20"/>
          <w:szCs w:val="20"/>
        </w:rPr>
        <w:t>This study's outcomes reveal that women showed a higher inclination toward toys classified as neutral by the researchers in comparison to men. The preferences for gender-typical toys as opposed to gender-atypical toys were found to be substantial and statistically significant. Furthermore, both girls and boys exhibited gender-related differences of comparable magnitude regarding these preferences. The research also emphasized that toys may have been inaccurately categorized, which could subsequently influence the outcomes associated with gender</w:t>
      </w:r>
      <w:r w:rsidR="00CF717A" w:rsidRPr="004727B9">
        <w:rPr>
          <w:rFonts w:ascii="Arial" w:hAnsi="Arial" w:cs="Arial"/>
          <w:sz w:val="20"/>
          <w:szCs w:val="20"/>
        </w:rPr>
        <w:t>-biased play.</w:t>
      </w:r>
    </w:p>
    <w:p w14:paraId="4058A665" w14:textId="572D6D65" w:rsidR="00951F9E" w:rsidRPr="004727B9" w:rsidRDefault="004D4FFD" w:rsidP="006C18C0">
      <w:pPr>
        <w:spacing w:before="100" w:beforeAutospacing="1" w:after="100" w:afterAutospacing="1" w:line="240" w:lineRule="auto"/>
        <w:rPr>
          <w:rFonts w:ascii="Arial" w:hAnsi="Arial" w:cs="Arial"/>
          <w:sz w:val="20"/>
          <w:szCs w:val="20"/>
        </w:rPr>
      </w:pPr>
      <w:r w:rsidRPr="004727B9">
        <w:rPr>
          <w:rStyle w:val="multisentence"/>
          <w:rFonts w:ascii="Arial" w:hAnsi="Arial" w:cs="Arial"/>
          <w:color w:val="FFFFFF"/>
          <w:sz w:val="20"/>
          <w:szCs w:val="20"/>
        </w:rPr>
        <w:t>s outcomes reveal that women showed a higher inclination toward toys classified as neutral by the researchers in comparison to men. The prefereuld subsequently influence the outcomes associated </w:t>
      </w:r>
      <w:proofErr w:type="spellStart"/>
      <w:r w:rsidRPr="004727B9">
        <w:rPr>
          <w:rStyle w:val="multisentence"/>
          <w:rFonts w:ascii="Arial" w:hAnsi="Arial" w:cs="Arial"/>
          <w:color w:val="FFFFFF"/>
          <w:sz w:val="20"/>
          <w:szCs w:val="20"/>
        </w:rPr>
        <w:t>w</w:t>
      </w:r>
      <w:r w:rsidR="00951F9E" w:rsidRPr="004727B9">
        <w:rPr>
          <w:rFonts w:ascii="Arial" w:eastAsia="Times New Roman" w:hAnsi="Arial" w:cs="Arial"/>
          <w:b/>
          <w:bCs/>
          <w:kern w:val="0"/>
          <w:sz w:val="20"/>
          <w:szCs w:val="20"/>
          <w:lang w:eastAsia="en-GB"/>
          <w14:ligatures w14:val="none"/>
        </w:rPr>
        <w:t>The</w:t>
      </w:r>
      <w:proofErr w:type="spellEnd"/>
      <w:r w:rsidR="00951F9E" w:rsidRPr="004727B9">
        <w:rPr>
          <w:rFonts w:ascii="Arial" w:eastAsia="Times New Roman" w:hAnsi="Arial" w:cs="Arial"/>
          <w:b/>
          <w:bCs/>
          <w:kern w:val="0"/>
          <w:sz w:val="20"/>
          <w:szCs w:val="20"/>
          <w:lang w:eastAsia="en-GB"/>
          <w14:ligatures w14:val="none"/>
        </w:rPr>
        <w:t xml:space="preserve"> Role of Practitioners</w:t>
      </w:r>
    </w:p>
    <w:p w14:paraId="70D5A824" w14:textId="29992EC8" w:rsidR="003F1A98" w:rsidRPr="004727B9" w:rsidRDefault="006240D2" w:rsidP="003F1A98">
      <w:pPr>
        <w:spacing w:before="100" w:beforeAutospacing="1" w:after="100" w:afterAutospacing="1" w:line="240" w:lineRule="auto"/>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Practitioners in early childhood education play a vital role in addressing and breaking down existing gender stereotypes.</w:t>
      </w:r>
      <w:r w:rsidR="009B509E" w:rsidRPr="004727B9">
        <w:rPr>
          <w:rFonts w:ascii="Arial" w:eastAsia="Times New Roman" w:hAnsi="Arial" w:cs="Arial"/>
          <w:kern w:val="0"/>
          <w:sz w:val="20"/>
          <w:szCs w:val="20"/>
          <w:lang w:eastAsia="en-GB"/>
          <w14:ligatures w14:val="none"/>
        </w:rPr>
        <w:t xml:space="preserve"> Westminster Foundation</w:t>
      </w:r>
      <w:r w:rsidR="00D06A62" w:rsidRPr="004727B9">
        <w:rPr>
          <w:rFonts w:ascii="Arial" w:eastAsia="Times New Roman" w:hAnsi="Arial" w:cs="Arial"/>
          <w:kern w:val="0"/>
          <w:sz w:val="20"/>
          <w:szCs w:val="20"/>
          <w:lang w:eastAsia="en-GB"/>
          <w14:ligatures w14:val="none"/>
        </w:rPr>
        <w:t xml:space="preserve"> (2023) </w:t>
      </w:r>
      <w:proofErr w:type="gramStart"/>
      <w:r w:rsidR="00D06A62" w:rsidRPr="004727B9">
        <w:rPr>
          <w:rFonts w:ascii="Arial" w:eastAsia="Times New Roman" w:hAnsi="Arial" w:cs="Arial"/>
          <w:kern w:val="0"/>
          <w:sz w:val="20"/>
          <w:szCs w:val="20"/>
          <w:lang w:eastAsia="en-GB"/>
          <w14:ligatures w14:val="none"/>
        </w:rPr>
        <w:t>highlights  that</w:t>
      </w:r>
      <w:proofErr w:type="gramEnd"/>
      <w:r w:rsidR="00D06A62" w:rsidRPr="004727B9">
        <w:rPr>
          <w:rFonts w:ascii="Arial" w:eastAsia="Times New Roman" w:hAnsi="Arial" w:cs="Arial"/>
          <w:kern w:val="0"/>
          <w:sz w:val="20"/>
          <w:szCs w:val="20"/>
          <w:lang w:eastAsia="en-GB"/>
          <w14:ligatures w14:val="none"/>
        </w:rPr>
        <w:t xml:space="preserve"> e</w:t>
      </w:r>
      <w:r w:rsidR="00D06A62" w:rsidRPr="004727B9">
        <w:rPr>
          <w:rFonts w:ascii="Arial" w:eastAsia="Times New Roman" w:hAnsi="Arial" w:cs="Arial"/>
          <w:kern w:val="0"/>
          <w:sz w:val="20"/>
          <w:szCs w:val="20"/>
          <w:lang w:eastAsia="en-GB"/>
          <w14:ligatures w14:val="none"/>
        </w:rPr>
        <w:t xml:space="preserve">arly </w:t>
      </w:r>
      <w:r w:rsidR="00D06A62" w:rsidRPr="004727B9">
        <w:rPr>
          <w:rFonts w:ascii="Arial" w:eastAsia="Times New Roman" w:hAnsi="Arial" w:cs="Arial"/>
          <w:kern w:val="0"/>
          <w:sz w:val="20"/>
          <w:szCs w:val="20"/>
          <w:lang w:eastAsia="en-GB"/>
          <w14:ligatures w14:val="none"/>
        </w:rPr>
        <w:t>y</w:t>
      </w:r>
      <w:r w:rsidR="00D06A62" w:rsidRPr="004727B9">
        <w:rPr>
          <w:rFonts w:ascii="Arial" w:eastAsia="Times New Roman" w:hAnsi="Arial" w:cs="Arial"/>
          <w:kern w:val="0"/>
          <w:sz w:val="20"/>
          <w:szCs w:val="20"/>
          <w:lang w:eastAsia="en-GB"/>
          <w14:ligatures w14:val="none"/>
        </w:rPr>
        <w:t>ears practitioners and settings and parents are thus well-placed to inform gender expectations – and aspirations – at this crucial stage. Early Years provision is therefore clearly critical in gender socialisation and ensuring education supports equitable futures.</w:t>
      </w:r>
      <w:r w:rsidR="00C46E0C" w:rsidRPr="004727B9">
        <w:rPr>
          <w:rFonts w:ascii="Arial" w:eastAsia="Times New Roman" w:hAnsi="Arial" w:cs="Arial"/>
          <w:kern w:val="0"/>
          <w:sz w:val="20"/>
          <w:szCs w:val="20"/>
          <w:lang w:eastAsia="en-GB"/>
          <w14:ligatures w14:val="none"/>
        </w:rPr>
        <w:t xml:space="preserve"> </w:t>
      </w:r>
      <w:r w:rsidRPr="004727B9">
        <w:rPr>
          <w:rFonts w:ascii="Arial" w:eastAsia="Times New Roman" w:hAnsi="Arial" w:cs="Arial"/>
          <w:kern w:val="0"/>
          <w:sz w:val="20"/>
          <w:szCs w:val="20"/>
          <w:lang w:eastAsia="en-GB"/>
          <w14:ligatures w14:val="none"/>
        </w:rPr>
        <w:t xml:space="preserve"> </w:t>
      </w:r>
      <w:r w:rsidR="00D83488" w:rsidRPr="004727B9">
        <w:rPr>
          <w:rFonts w:ascii="Arial" w:eastAsia="Times New Roman" w:hAnsi="Arial" w:cs="Arial"/>
          <w:kern w:val="0"/>
          <w:sz w:val="20"/>
          <w:szCs w:val="20"/>
          <w:lang w:eastAsia="en-GB"/>
          <w14:ligatures w14:val="none"/>
        </w:rPr>
        <w:t>However,</w:t>
      </w:r>
      <w:r w:rsidR="00437FD4" w:rsidRPr="004727B9">
        <w:rPr>
          <w:rFonts w:ascii="Arial" w:eastAsia="Times New Roman" w:hAnsi="Arial" w:cs="Arial"/>
          <w:kern w:val="0"/>
          <w:sz w:val="20"/>
          <w:szCs w:val="20"/>
          <w:lang w:eastAsia="en-GB"/>
          <w14:ligatures w14:val="none"/>
        </w:rPr>
        <w:t xml:space="preserve"> </w:t>
      </w:r>
      <w:proofErr w:type="spellStart"/>
      <w:r w:rsidR="00437FD4" w:rsidRPr="004727B9">
        <w:rPr>
          <w:rFonts w:ascii="Arial" w:eastAsia="Times New Roman" w:hAnsi="Arial" w:cs="Arial"/>
          <w:kern w:val="0"/>
          <w:sz w:val="20"/>
          <w:szCs w:val="20"/>
          <w:lang w:eastAsia="en-GB"/>
          <w14:ligatures w14:val="none"/>
        </w:rPr>
        <w:t>Wingrave</w:t>
      </w:r>
      <w:proofErr w:type="spellEnd"/>
      <w:r w:rsidR="00437FD4" w:rsidRPr="004727B9">
        <w:rPr>
          <w:rFonts w:ascii="Arial" w:eastAsia="Times New Roman" w:hAnsi="Arial" w:cs="Arial"/>
          <w:kern w:val="0"/>
          <w:sz w:val="20"/>
          <w:szCs w:val="20"/>
          <w:lang w:eastAsia="en-GB"/>
          <w14:ligatures w14:val="none"/>
        </w:rPr>
        <w:t>, M. (2016)</w:t>
      </w:r>
      <w:r w:rsidR="00D83488" w:rsidRPr="004727B9">
        <w:rPr>
          <w:rFonts w:ascii="Arial" w:eastAsia="Times New Roman" w:hAnsi="Arial" w:cs="Arial"/>
          <w:kern w:val="0"/>
          <w:sz w:val="20"/>
          <w:szCs w:val="20"/>
          <w:lang w:eastAsia="en-GB"/>
          <w14:ligatures w14:val="none"/>
        </w:rPr>
        <w:t xml:space="preserve"> identifies that the</w:t>
      </w:r>
      <w:r w:rsidR="00D83488" w:rsidRPr="004727B9">
        <w:rPr>
          <w:rFonts w:ascii="Arial" w:eastAsia="Times New Roman" w:hAnsi="Arial" w:cs="Arial"/>
          <w:kern w:val="0"/>
          <w:sz w:val="20"/>
          <w:szCs w:val="20"/>
          <w:lang w:eastAsia="en-GB"/>
          <w14:ligatures w14:val="none"/>
        </w:rPr>
        <w:t xml:space="preserve"> findings indicated that there is a belief amongst the group of practitioners that gender is either innate or learned and that EYPs play no role in its development.</w:t>
      </w:r>
      <w:r w:rsidR="003659F1" w:rsidRPr="004727B9">
        <w:rPr>
          <w:rFonts w:ascii="Arial" w:eastAsia="Times New Roman" w:hAnsi="Arial" w:cs="Arial"/>
          <w:kern w:val="0"/>
          <w:sz w:val="20"/>
          <w:szCs w:val="20"/>
          <w:lang w:eastAsia="en-GB"/>
          <w14:ligatures w14:val="none"/>
        </w:rPr>
        <w:t xml:space="preserve"> </w:t>
      </w:r>
      <w:r w:rsidRPr="004727B9">
        <w:rPr>
          <w:rFonts w:ascii="Arial" w:eastAsia="Times New Roman" w:hAnsi="Arial" w:cs="Arial"/>
          <w:kern w:val="0"/>
          <w:sz w:val="20"/>
          <w:szCs w:val="20"/>
          <w:lang w:eastAsia="en-GB"/>
          <w14:ligatures w14:val="none"/>
        </w:rPr>
        <w:t>Through the creation of play settings that are both inclusive and equitable, practitioners can enhance children’s self-identity and help them learn to respect others.</w:t>
      </w:r>
      <w:r w:rsidR="00463263" w:rsidRPr="004727B9">
        <w:rPr>
          <w:rFonts w:ascii="Arial" w:eastAsia="Times New Roman" w:hAnsi="Arial" w:cs="Arial"/>
          <w:kern w:val="0"/>
          <w:sz w:val="20"/>
          <w:szCs w:val="20"/>
          <w:lang w:eastAsia="en-GB"/>
          <w14:ligatures w14:val="none"/>
        </w:rPr>
        <w:t xml:space="preserve"> King. </w:t>
      </w:r>
      <w:proofErr w:type="gramStart"/>
      <w:r w:rsidR="00463263" w:rsidRPr="004727B9">
        <w:rPr>
          <w:rFonts w:ascii="Arial" w:eastAsia="Times New Roman" w:hAnsi="Arial" w:cs="Arial"/>
          <w:kern w:val="0"/>
          <w:sz w:val="20"/>
          <w:szCs w:val="20"/>
          <w:lang w:eastAsia="en-GB"/>
          <w14:ligatures w14:val="none"/>
        </w:rPr>
        <w:t>T</w:t>
      </w:r>
      <w:r w:rsidR="00E14A22" w:rsidRPr="004727B9">
        <w:rPr>
          <w:rFonts w:ascii="Arial" w:eastAsia="Times New Roman" w:hAnsi="Arial" w:cs="Arial"/>
          <w:kern w:val="0"/>
          <w:sz w:val="20"/>
          <w:szCs w:val="20"/>
          <w:lang w:eastAsia="en-GB"/>
          <w14:ligatures w14:val="none"/>
        </w:rPr>
        <w:t xml:space="preserve"> </w:t>
      </w:r>
      <w:r w:rsidR="00463263" w:rsidRPr="004727B9">
        <w:rPr>
          <w:rFonts w:ascii="Arial" w:eastAsia="Times New Roman" w:hAnsi="Arial" w:cs="Arial"/>
          <w:kern w:val="0"/>
          <w:sz w:val="20"/>
          <w:szCs w:val="20"/>
          <w:lang w:eastAsia="en-GB"/>
          <w14:ligatures w14:val="none"/>
        </w:rPr>
        <w:t xml:space="preserve"> et</w:t>
      </w:r>
      <w:proofErr w:type="gramEnd"/>
      <w:r w:rsidR="00463263" w:rsidRPr="004727B9">
        <w:rPr>
          <w:rFonts w:ascii="Arial" w:eastAsia="Times New Roman" w:hAnsi="Arial" w:cs="Arial"/>
          <w:kern w:val="0"/>
          <w:sz w:val="20"/>
          <w:szCs w:val="20"/>
          <w:lang w:eastAsia="en-GB"/>
          <w14:ligatures w14:val="none"/>
        </w:rPr>
        <w:t xml:space="preserve"> al </w:t>
      </w:r>
      <w:r w:rsidR="0087016F" w:rsidRPr="004727B9">
        <w:rPr>
          <w:rFonts w:ascii="Arial" w:eastAsia="Times New Roman" w:hAnsi="Arial" w:cs="Arial"/>
          <w:kern w:val="0"/>
          <w:sz w:val="20"/>
          <w:szCs w:val="20"/>
          <w:lang w:eastAsia="en-GB"/>
          <w14:ligatures w14:val="none"/>
        </w:rPr>
        <w:t>a</w:t>
      </w:r>
      <w:r w:rsidR="00463263" w:rsidRPr="004727B9">
        <w:rPr>
          <w:rFonts w:ascii="Arial" w:eastAsia="Times New Roman" w:hAnsi="Arial" w:cs="Arial"/>
          <w:kern w:val="0"/>
          <w:sz w:val="20"/>
          <w:szCs w:val="20"/>
          <w:lang w:eastAsia="en-GB"/>
          <w14:ligatures w14:val="none"/>
        </w:rPr>
        <w:t>(2021) identifies that</w:t>
      </w:r>
      <w:r w:rsidR="00463263" w:rsidRPr="004727B9">
        <w:rPr>
          <w:rFonts w:ascii="Arial" w:eastAsia="Times New Roman" w:hAnsi="Arial" w:cs="Arial"/>
          <w:kern w:val="0"/>
          <w:sz w:val="20"/>
          <w:szCs w:val="20"/>
          <w:lang w:eastAsia="en-GB"/>
          <w14:ligatures w14:val="none"/>
        </w:rPr>
        <w:t xml:space="preserve"> they seek cues that direct them to which of the available categories or characteristics are important for classifying others, within a particular context (Bigler &amp; Liben, 2007)</w:t>
      </w:r>
      <w:r w:rsidRPr="004727B9">
        <w:rPr>
          <w:rFonts w:ascii="Arial" w:eastAsia="Times New Roman" w:hAnsi="Arial" w:cs="Arial"/>
          <w:kern w:val="0"/>
          <w:sz w:val="20"/>
          <w:szCs w:val="20"/>
          <w:lang w:eastAsia="en-GB"/>
          <w14:ligatures w14:val="none"/>
        </w:rPr>
        <w:t xml:space="preserve"> Studies show that professionals who adopt a gender-neutral mindset, demonstrate inclusive actions, and directly challenge gender stereotypes can bring about significant </w:t>
      </w:r>
      <w:r w:rsidRPr="004727B9">
        <w:rPr>
          <w:rFonts w:ascii="Arial" w:eastAsia="Times New Roman" w:hAnsi="Arial" w:cs="Arial"/>
          <w:kern w:val="0"/>
          <w:sz w:val="20"/>
          <w:szCs w:val="20"/>
          <w:lang w:eastAsia="en-GB"/>
          <w14:ligatures w14:val="none"/>
        </w:rPr>
        <w:lastRenderedPageBreak/>
        <w:t>transformations. Additionally, professionals can encourage mixed gender play by creating environments that foster teamwork and joint interactions. The provision of a diverse array of toys, resources, and activities can serve to challenge and dismantle conventional gender roles. By exercising awareness regarding their language and actions, practitioners can foster a positive and supportive environment conducive to the development of all children.</w:t>
      </w:r>
      <w:r w:rsidR="000468EA" w:rsidRPr="004727B9">
        <w:rPr>
          <w:rFonts w:ascii="Arial" w:eastAsia="Times New Roman" w:hAnsi="Arial" w:cs="Arial"/>
          <w:kern w:val="0"/>
          <w:sz w:val="20"/>
          <w:szCs w:val="20"/>
          <w:lang w:eastAsia="en-GB"/>
          <w14:ligatures w14:val="none"/>
        </w:rPr>
        <w:t xml:space="preserve"> </w:t>
      </w:r>
      <w:proofErr w:type="spellStart"/>
      <w:r w:rsidR="0087016F" w:rsidRPr="004727B9">
        <w:rPr>
          <w:rFonts w:ascii="Arial" w:eastAsia="Times New Roman" w:hAnsi="Arial" w:cs="Arial"/>
          <w:kern w:val="0"/>
          <w:sz w:val="20"/>
          <w:szCs w:val="20"/>
          <w:lang w:eastAsia="en-GB"/>
          <w14:ligatures w14:val="none"/>
        </w:rPr>
        <w:t>King.T</w:t>
      </w:r>
      <w:proofErr w:type="spellEnd"/>
      <w:r w:rsidR="0087016F" w:rsidRPr="004727B9">
        <w:rPr>
          <w:rFonts w:ascii="Arial" w:eastAsia="Times New Roman" w:hAnsi="Arial" w:cs="Arial"/>
          <w:kern w:val="0"/>
          <w:sz w:val="20"/>
          <w:szCs w:val="20"/>
          <w:lang w:eastAsia="en-GB"/>
          <w14:ligatures w14:val="none"/>
        </w:rPr>
        <w:t xml:space="preserve"> et al </w:t>
      </w:r>
      <w:proofErr w:type="gramStart"/>
      <w:r w:rsidR="0087016F" w:rsidRPr="004727B9">
        <w:rPr>
          <w:rFonts w:ascii="Arial" w:eastAsia="Times New Roman" w:hAnsi="Arial" w:cs="Arial"/>
          <w:kern w:val="0"/>
          <w:sz w:val="20"/>
          <w:szCs w:val="20"/>
          <w:lang w:eastAsia="en-GB"/>
          <w14:ligatures w14:val="none"/>
        </w:rPr>
        <w:t>b(</w:t>
      </w:r>
      <w:proofErr w:type="gramEnd"/>
      <w:r w:rsidR="0087016F" w:rsidRPr="004727B9">
        <w:rPr>
          <w:rFonts w:ascii="Arial" w:eastAsia="Times New Roman" w:hAnsi="Arial" w:cs="Arial"/>
          <w:kern w:val="0"/>
          <w:sz w:val="20"/>
          <w:szCs w:val="20"/>
          <w:lang w:eastAsia="en-GB"/>
          <w14:ligatures w14:val="none"/>
        </w:rPr>
        <w:t>2021) also highlights that e</w:t>
      </w:r>
      <w:r w:rsidR="0087016F" w:rsidRPr="004727B9">
        <w:rPr>
          <w:rFonts w:ascii="Arial" w:eastAsia="Times New Roman" w:hAnsi="Arial" w:cs="Arial"/>
          <w:kern w:val="0"/>
          <w:sz w:val="20"/>
          <w:szCs w:val="20"/>
          <w:lang w:eastAsia="en-GB"/>
          <w14:ligatures w14:val="none"/>
        </w:rPr>
        <w:t>arly childhood settings may be ideal for approaches seeking to set the foundations for egalitarian gender attitudes before the onset of entrenched behaviours and attitudes.</w:t>
      </w:r>
    </w:p>
    <w:p w14:paraId="595C2B97" w14:textId="77777777" w:rsidR="003F1A98" w:rsidRPr="004727B9" w:rsidRDefault="003F1A98" w:rsidP="003F1A98">
      <w:pPr>
        <w:spacing w:before="100" w:beforeAutospacing="1" w:after="100" w:afterAutospacing="1" w:line="240" w:lineRule="auto"/>
        <w:rPr>
          <w:rFonts w:ascii="Arial" w:eastAsia="Times New Roman" w:hAnsi="Arial" w:cs="Arial"/>
          <w:b/>
          <w:bCs/>
          <w:kern w:val="0"/>
          <w:sz w:val="20"/>
          <w:szCs w:val="20"/>
          <w:lang w:eastAsia="en-GB"/>
          <w14:ligatures w14:val="none"/>
        </w:rPr>
      </w:pPr>
    </w:p>
    <w:p w14:paraId="09C76960" w14:textId="4FA072AD" w:rsidR="00951F9E" w:rsidRPr="004727B9" w:rsidRDefault="00951F9E" w:rsidP="003F1A98">
      <w:pPr>
        <w:spacing w:before="100" w:beforeAutospacing="1" w:after="100" w:afterAutospacing="1" w:line="240" w:lineRule="auto"/>
        <w:rPr>
          <w:rFonts w:ascii="Arial" w:eastAsia="Times New Roman" w:hAnsi="Arial" w:cs="Arial"/>
          <w:b/>
          <w:bCs/>
          <w:kern w:val="0"/>
          <w:sz w:val="20"/>
          <w:szCs w:val="20"/>
          <w:lang w:eastAsia="en-GB"/>
          <w14:ligatures w14:val="none"/>
        </w:rPr>
      </w:pPr>
      <w:r w:rsidRPr="004727B9">
        <w:rPr>
          <w:rFonts w:ascii="Arial" w:eastAsia="Times New Roman" w:hAnsi="Arial" w:cs="Arial"/>
          <w:b/>
          <w:bCs/>
          <w:kern w:val="0"/>
          <w:sz w:val="20"/>
          <w:szCs w:val="20"/>
          <w:lang w:eastAsia="en-GB"/>
          <w14:ligatures w14:val="none"/>
        </w:rPr>
        <w:t>Policy and Curriculum Requirements</w:t>
      </w:r>
    </w:p>
    <w:p w14:paraId="73BABC6B" w14:textId="77777777" w:rsidR="00563B20" w:rsidRPr="004727B9" w:rsidRDefault="004D0BF4" w:rsidP="0079077B">
      <w:pPr>
        <w:spacing w:before="100" w:beforeAutospacing="1" w:after="100" w:afterAutospacing="1" w:line="240" w:lineRule="auto"/>
        <w:rPr>
          <w:rFonts w:ascii="Arial" w:hAnsi="Arial" w:cs="Arial"/>
          <w:sz w:val="20"/>
          <w:szCs w:val="20"/>
        </w:rPr>
      </w:pPr>
      <w:r w:rsidRPr="004727B9">
        <w:rPr>
          <w:rFonts w:ascii="Arial" w:eastAsia="Times New Roman" w:hAnsi="Arial" w:cs="Arial"/>
          <w:kern w:val="0"/>
          <w:sz w:val="20"/>
          <w:szCs w:val="20"/>
          <w:lang w:eastAsia="en-GB"/>
          <w14:ligatures w14:val="none"/>
        </w:rPr>
        <w:t>The presence of gender bias in early childhood education is closely connected to larger societal structures and is perpetuated by current policies, curricula, and laws. Children actively engage in the construction of gender identities through their play, and the surrounding environment plays a crucial role in shaping these identities.</w:t>
      </w:r>
      <w:r w:rsidR="001A681D" w:rsidRPr="004727B9">
        <w:rPr>
          <w:rFonts w:ascii="Arial" w:hAnsi="Arial" w:cs="Arial"/>
          <w:sz w:val="20"/>
          <w:szCs w:val="20"/>
        </w:rPr>
        <w:t xml:space="preserve"> </w:t>
      </w:r>
      <w:r w:rsidR="001A681D" w:rsidRPr="004727B9">
        <w:rPr>
          <w:rFonts w:ascii="Arial" w:eastAsia="Times New Roman" w:hAnsi="Arial" w:cs="Arial"/>
          <w:kern w:val="0"/>
          <w:sz w:val="20"/>
          <w:szCs w:val="20"/>
          <w:lang w:eastAsia="en-GB"/>
          <w14:ligatures w14:val="none"/>
        </w:rPr>
        <w:t>UNESDOC (</w:t>
      </w:r>
      <w:r w:rsidR="001A681D" w:rsidRPr="004727B9">
        <w:rPr>
          <w:rFonts w:ascii="Arial" w:eastAsia="Times New Roman" w:hAnsi="Arial" w:cs="Arial"/>
          <w:kern w:val="0"/>
          <w:sz w:val="20"/>
          <w:szCs w:val="20"/>
          <w:lang w:eastAsia="en-GB"/>
          <w14:ligatures w14:val="none"/>
        </w:rPr>
        <w:t>no date</w:t>
      </w:r>
      <w:r w:rsidR="001A681D" w:rsidRPr="004727B9">
        <w:rPr>
          <w:rFonts w:ascii="Arial" w:eastAsia="Times New Roman" w:hAnsi="Arial" w:cs="Arial"/>
          <w:kern w:val="0"/>
          <w:sz w:val="20"/>
          <w:szCs w:val="20"/>
          <w:lang w:eastAsia="en-GB"/>
          <w14:ligatures w14:val="none"/>
        </w:rPr>
        <w:t>) By aligning policies, curriculum, and practice with a gender-inclusive approach, educators can empower children to develop a strong sense of self and challenge limiting gender norms</w:t>
      </w:r>
      <w:r w:rsidR="001A681D" w:rsidRPr="004727B9">
        <w:rPr>
          <w:rFonts w:ascii="Arial" w:eastAsia="Times New Roman" w:hAnsi="Arial" w:cs="Arial"/>
          <w:kern w:val="0"/>
          <w:sz w:val="20"/>
          <w:szCs w:val="20"/>
          <w:lang w:eastAsia="en-GB"/>
          <w14:ligatures w14:val="none"/>
        </w:rPr>
        <w:t xml:space="preserve">. </w:t>
      </w:r>
      <w:r w:rsidRPr="004727B9">
        <w:rPr>
          <w:rFonts w:ascii="Arial" w:eastAsia="Times New Roman" w:hAnsi="Arial" w:cs="Arial"/>
          <w:kern w:val="0"/>
          <w:sz w:val="20"/>
          <w:szCs w:val="20"/>
          <w:lang w:eastAsia="en-GB"/>
          <w14:ligatures w14:val="none"/>
        </w:rPr>
        <w:t>Still, traditional gender stereotypes often infiltrate early childhood education settings, limiting the experiences and ambitions of children.</w:t>
      </w:r>
      <w:r w:rsidR="00A74FDC" w:rsidRPr="004727B9">
        <w:rPr>
          <w:rFonts w:ascii="Arial" w:hAnsi="Arial" w:cs="Arial"/>
          <w:sz w:val="20"/>
          <w:szCs w:val="20"/>
        </w:rPr>
        <w:t xml:space="preserve"> </w:t>
      </w:r>
      <w:r w:rsidR="00A74FDC" w:rsidRPr="004727B9">
        <w:rPr>
          <w:rFonts w:ascii="Arial" w:eastAsia="Times New Roman" w:hAnsi="Arial" w:cs="Arial"/>
          <w:kern w:val="0"/>
          <w:sz w:val="20"/>
          <w:szCs w:val="20"/>
          <w:lang w:eastAsia="en-GB"/>
          <w14:ligatures w14:val="none"/>
        </w:rPr>
        <w:t>Curriculum development, informed by theorists like</w:t>
      </w:r>
      <w:r w:rsidR="00605D23" w:rsidRPr="004727B9">
        <w:rPr>
          <w:rFonts w:ascii="Arial" w:eastAsia="Times New Roman" w:hAnsi="Arial" w:cs="Arial"/>
          <w:kern w:val="0"/>
          <w:sz w:val="20"/>
          <w:szCs w:val="20"/>
          <w:lang w:eastAsia="en-GB"/>
          <w14:ligatures w14:val="none"/>
        </w:rPr>
        <w:t xml:space="preserve"> </w:t>
      </w:r>
      <w:r w:rsidR="00A74FDC" w:rsidRPr="004727B9">
        <w:rPr>
          <w:rFonts w:ascii="Arial" w:eastAsia="Times New Roman" w:hAnsi="Arial" w:cs="Arial"/>
          <w:kern w:val="0"/>
          <w:sz w:val="20"/>
          <w:szCs w:val="20"/>
          <w:lang w:eastAsia="en-GB"/>
          <w14:ligatures w14:val="none"/>
        </w:rPr>
        <w:t>Thorne</w:t>
      </w:r>
      <w:r w:rsidR="00C55D46" w:rsidRPr="004727B9">
        <w:rPr>
          <w:rFonts w:ascii="Arial" w:eastAsia="Times New Roman" w:hAnsi="Arial" w:cs="Arial"/>
          <w:kern w:val="0"/>
          <w:sz w:val="20"/>
          <w:szCs w:val="20"/>
          <w:lang w:eastAsia="en-GB"/>
          <w14:ligatures w14:val="none"/>
        </w:rPr>
        <w:t xml:space="preserve"> argues that the organization and meaning of gender are influenced by age, ethnicity, race, sexuality, and social class, and that they shift with social context</w:t>
      </w:r>
      <w:r w:rsidR="00206BC9" w:rsidRPr="004727B9">
        <w:rPr>
          <w:rFonts w:ascii="Arial" w:eastAsia="Times New Roman" w:hAnsi="Arial" w:cs="Arial"/>
          <w:kern w:val="0"/>
          <w:sz w:val="20"/>
          <w:szCs w:val="20"/>
          <w:lang w:eastAsia="en-GB"/>
          <w14:ligatures w14:val="none"/>
        </w:rPr>
        <w:t xml:space="preserve"> (</w:t>
      </w:r>
      <w:r w:rsidR="00206BC9" w:rsidRPr="004727B9">
        <w:rPr>
          <w:rFonts w:ascii="Arial" w:eastAsia="Times New Roman" w:hAnsi="Arial" w:cs="Arial"/>
          <w:kern w:val="0"/>
          <w:sz w:val="20"/>
          <w:szCs w:val="20"/>
          <w:lang w:eastAsia="en-GB"/>
          <w14:ligatures w14:val="none"/>
        </w:rPr>
        <w:t>APA Phys Net (2016)</w:t>
      </w:r>
      <w:r w:rsidR="00C55D46" w:rsidRPr="004727B9">
        <w:rPr>
          <w:rFonts w:ascii="Arial" w:eastAsia="Times New Roman" w:hAnsi="Arial" w:cs="Arial"/>
          <w:kern w:val="0"/>
          <w:sz w:val="20"/>
          <w:szCs w:val="20"/>
          <w:lang w:eastAsia="en-GB"/>
          <w14:ligatures w14:val="none"/>
        </w:rPr>
        <w:t xml:space="preserve">. </w:t>
      </w:r>
      <w:r w:rsidR="00563B20" w:rsidRPr="004727B9">
        <w:rPr>
          <w:rFonts w:ascii="Arial" w:eastAsia="Times New Roman" w:hAnsi="Arial" w:cs="Arial"/>
          <w:kern w:val="0"/>
          <w:sz w:val="20"/>
          <w:szCs w:val="20"/>
          <w:lang w:eastAsia="en-GB"/>
          <w14:ligatures w14:val="none"/>
        </w:rPr>
        <w:t>Thorne</w:t>
      </w:r>
      <w:r w:rsidR="00C55D46" w:rsidRPr="004727B9">
        <w:rPr>
          <w:rFonts w:ascii="Arial" w:eastAsia="Times New Roman" w:hAnsi="Arial" w:cs="Arial"/>
          <w:kern w:val="0"/>
          <w:sz w:val="20"/>
          <w:szCs w:val="20"/>
          <w:lang w:eastAsia="en-GB"/>
          <w14:ligatures w14:val="none"/>
        </w:rPr>
        <w:t xml:space="preserve"> sees gender identity not through the lens of individual socialization or difference, but rather as a social process involving groups of children</w:t>
      </w:r>
      <w:r w:rsidR="004B7024" w:rsidRPr="004727B9">
        <w:rPr>
          <w:rFonts w:ascii="Arial" w:eastAsia="Times New Roman" w:hAnsi="Arial" w:cs="Arial"/>
          <w:kern w:val="0"/>
          <w:sz w:val="20"/>
          <w:szCs w:val="20"/>
          <w:lang w:eastAsia="en-GB"/>
          <w14:ligatures w14:val="none"/>
        </w:rPr>
        <w:t xml:space="preserve"> and</w:t>
      </w:r>
      <w:r w:rsidR="00A74FDC" w:rsidRPr="004727B9">
        <w:rPr>
          <w:rFonts w:ascii="Arial" w:eastAsia="Times New Roman" w:hAnsi="Arial" w:cs="Arial"/>
          <w:kern w:val="0"/>
          <w:sz w:val="20"/>
          <w:szCs w:val="20"/>
          <w:lang w:eastAsia="en-GB"/>
          <w14:ligatures w14:val="none"/>
        </w:rPr>
        <w:t xml:space="preserve"> should focus on creating inclusive environments that encourage diverse play choices. Additionally, legislative frameworks like the Equality Act 2010 protect children from discrimination and provide a foundation for promoting gender equality in early years settings.</w:t>
      </w:r>
      <w:r w:rsidR="00A21E42" w:rsidRPr="004727B9">
        <w:rPr>
          <w:rFonts w:ascii="Arial" w:hAnsi="Arial" w:cs="Arial"/>
          <w:sz w:val="20"/>
          <w:szCs w:val="20"/>
        </w:rPr>
        <w:t xml:space="preserve"> </w:t>
      </w:r>
      <w:proofErr w:type="spellStart"/>
      <w:r w:rsidR="00A21E42" w:rsidRPr="004727B9">
        <w:rPr>
          <w:rFonts w:ascii="Arial" w:hAnsi="Arial" w:cs="Arial"/>
          <w:sz w:val="20"/>
          <w:szCs w:val="20"/>
        </w:rPr>
        <w:t>Childrens</w:t>
      </w:r>
      <w:proofErr w:type="spellEnd"/>
      <w:r w:rsidR="00A21E42" w:rsidRPr="004727B9">
        <w:rPr>
          <w:rFonts w:ascii="Arial" w:hAnsi="Arial" w:cs="Arial"/>
          <w:sz w:val="20"/>
          <w:szCs w:val="20"/>
        </w:rPr>
        <w:t xml:space="preserve"> Rights</w:t>
      </w:r>
      <w:r w:rsidR="00EB1B42" w:rsidRPr="004727B9">
        <w:rPr>
          <w:rFonts w:ascii="Arial" w:hAnsi="Arial" w:cs="Arial"/>
          <w:sz w:val="20"/>
          <w:szCs w:val="20"/>
        </w:rPr>
        <w:t xml:space="preserve"> Alliance (no date)</w:t>
      </w:r>
      <w:r w:rsidR="00255C97" w:rsidRPr="004727B9">
        <w:rPr>
          <w:rFonts w:ascii="Arial" w:hAnsi="Arial" w:cs="Arial"/>
          <w:sz w:val="20"/>
          <w:szCs w:val="20"/>
        </w:rPr>
        <w:t xml:space="preserve"> </w:t>
      </w:r>
      <w:r w:rsidR="003E67E0" w:rsidRPr="004727B9">
        <w:rPr>
          <w:rFonts w:ascii="Arial" w:hAnsi="Arial" w:cs="Arial"/>
          <w:sz w:val="20"/>
          <w:szCs w:val="20"/>
        </w:rPr>
        <w:t>identifies The</w:t>
      </w:r>
      <w:r w:rsidR="003E67E0" w:rsidRPr="004727B9">
        <w:rPr>
          <w:rFonts w:ascii="Arial" w:hAnsi="Arial" w:cs="Arial"/>
          <w:sz w:val="20"/>
          <w:szCs w:val="20"/>
        </w:rPr>
        <w:t xml:space="preserve"> Equality Act came into force in 2010 to protect everyone, including children and young people, from discrimination and to advance equality and opportunity for all.</w:t>
      </w:r>
      <w:r w:rsidR="001A0779" w:rsidRPr="004727B9">
        <w:rPr>
          <w:rFonts w:ascii="Arial" w:hAnsi="Arial" w:cs="Arial"/>
          <w:sz w:val="20"/>
          <w:szCs w:val="20"/>
        </w:rPr>
        <w:t xml:space="preserve"> </w:t>
      </w:r>
      <w:proofErr w:type="gramStart"/>
      <w:r w:rsidR="001A0779" w:rsidRPr="004727B9">
        <w:rPr>
          <w:rFonts w:ascii="Arial" w:hAnsi="Arial" w:cs="Arial"/>
          <w:sz w:val="20"/>
          <w:szCs w:val="20"/>
        </w:rPr>
        <w:t xml:space="preserve">Similarly </w:t>
      </w:r>
      <w:r w:rsidR="007901BD" w:rsidRPr="004727B9">
        <w:rPr>
          <w:rFonts w:ascii="Arial" w:hAnsi="Arial" w:cs="Arial"/>
          <w:sz w:val="20"/>
          <w:szCs w:val="20"/>
        </w:rPr>
        <w:t xml:space="preserve"> UNESDOC</w:t>
      </w:r>
      <w:proofErr w:type="gramEnd"/>
      <w:r w:rsidR="007901BD" w:rsidRPr="004727B9">
        <w:rPr>
          <w:rFonts w:ascii="Arial" w:hAnsi="Arial" w:cs="Arial"/>
          <w:sz w:val="20"/>
          <w:szCs w:val="20"/>
        </w:rPr>
        <w:t xml:space="preserve"> (no date) </w:t>
      </w:r>
      <w:r w:rsidR="001A0779" w:rsidRPr="004727B9">
        <w:rPr>
          <w:rFonts w:ascii="Arial" w:hAnsi="Arial" w:cs="Arial"/>
          <w:sz w:val="20"/>
          <w:szCs w:val="20"/>
        </w:rPr>
        <w:t>states g</w:t>
      </w:r>
      <w:r w:rsidR="001A0779" w:rsidRPr="004727B9">
        <w:rPr>
          <w:rFonts w:ascii="Arial" w:hAnsi="Arial" w:cs="Arial"/>
          <w:sz w:val="20"/>
          <w:szCs w:val="20"/>
        </w:rPr>
        <w:t>ender equality is not only a fundamental human right, but it is also an important component of inclusive education and can contribute to fostering equity and inclusion in education systems</w:t>
      </w:r>
      <w:r w:rsidR="00223AB2" w:rsidRPr="004727B9">
        <w:rPr>
          <w:rFonts w:ascii="Arial" w:hAnsi="Arial" w:cs="Arial"/>
          <w:sz w:val="20"/>
          <w:szCs w:val="20"/>
        </w:rPr>
        <w:t>.</w:t>
      </w:r>
      <w:r w:rsidR="00223AB2" w:rsidRPr="004727B9">
        <w:rPr>
          <w:rFonts w:ascii="Arial" w:hAnsi="Arial" w:cs="Arial"/>
          <w:sz w:val="20"/>
          <w:szCs w:val="20"/>
        </w:rPr>
        <w:t xml:space="preserve"> By aligning policies, curriculum, and practice with a gender-inclusive approach, educators can empower children to develop a strong sense of self and challenge limiting gender norms</w:t>
      </w:r>
      <w:r w:rsidR="009C39B4" w:rsidRPr="004727B9">
        <w:rPr>
          <w:rFonts w:ascii="Arial" w:hAnsi="Arial" w:cs="Arial"/>
          <w:sz w:val="20"/>
          <w:szCs w:val="20"/>
        </w:rPr>
        <w:t>.</w:t>
      </w:r>
    </w:p>
    <w:p w14:paraId="049834AF" w14:textId="164BC469" w:rsidR="003F1A98" w:rsidRPr="004727B9" w:rsidRDefault="00774922" w:rsidP="0079077B">
      <w:pPr>
        <w:spacing w:before="100" w:beforeAutospacing="1" w:after="100" w:afterAutospacing="1" w:line="240" w:lineRule="auto"/>
        <w:rPr>
          <w:rFonts w:ascii="Arial" w:hAnsi="Arial" w:cs="Arial"/>
          <w:sz w:val="20"/>
          <w:szCs w:val="20"/>
        </w:rPr>
      </w:pPr>
      <w:r w:rsidRPr="004727B9">
        <w:rPr>
          <w:rFonts w:ascii="Arial" w:hAnsi="Arial" w:cs="Arial"/>
          <w:sz w:val="20"/>
          <w:szCs w:val="20"/>
        </w:rPr>
        <w:t xml:space="preserve"> </w:t>
      </w:r>
      <w:r w:rsidR="009C39B4" w:rsidRPr="004727B9">
        <w:rPr>
          <w:rFonts w:ascii="Arial" w:hAnsi="Arial" w:cs="Arial"/>
          <w:sz w:val="20"/>
          <w:szCs w:val="20"/>
        </w:rPr>
        <w:t>Children actively engage in the construction of their gender identities through play, and the surrounding environment plays a crucial role in shaping these identity formations.</w:t>
      </w:r>
      <w:r w:rsidRPr="004727B9">
        <w:rPr>
          <w:rFonts w:ascii="Arial" w:hAnsi="Arial" w:cs="Arial"/>
          <w:sz w:val="20"/>
          <w:szCs w:val="20"/>
        </w:rPr>
        <w:t xml:space="preserve"> </w:t>
      </w:r>
      <w:r w:rsidRPr="004727B9">
        <w:rPr>
          <w:rFonts w:ascii="Arial" w:hAnsi="Arial" w:cs="Arial"/>
          <w:sz w:val="20"/>
          <w:szCs w:val="20"/>
        </w:rPr>
        <w:t>Journal of Childhood Studies (2020) highlights that Gunn and MacNaughton (2007) assert that children do gender in multiple ways and that their gender performances can change based on the learning setting, the context, and others around them.</w:t>
      </w:r>
      <w:r w:rsidR="009C39B4" w:rsidRPr="004727B9">
        <w:rPr>
          <w:rFonts w:ascii="Arial" w:hAnsi="Arial" w:cs="Arial"/>
          <w:sz w:val="20"/>
          <w:szCs w:val="20"/>
        </w:rPr>
        <w:t xml:space="preserve"> Nonetheless, traditional gender stereotypes frequently permeate early childhood educational environments, thereby constraining the experiences and aspirations of children.</w:t>
      </w:r>
      <w:r w:rsidR="0079077B" w:rsidRPr="004727B9">
        <w:rPr>
          <w:rFonts w:ascii="Arial" w:hAnsi="Arial" w:cs="Arial"/>
          <w:sz w:val="20"/>
          <w:szCs w:val="20"/>
        </w:rPr>
        <w:t xml:space="preserve"> </w:t>
      </w:r>
      <w:r w:rsidR="0079077B" w:rsidRPr="004727B9">
        <w:rPr>
          <w:rFonts w:ascii="Arial" w:hAnsi="Arial" w:cs="Arial"/>
          <w:sz w:val="20"/>
          <w:szCs w:val="20"/>
        </w:rPr>
        <w:t xml:space="preserve">To counteract this, policies such as the Early Years Foundation Stage (EYFS) in England emphasise equality and diversity, providing a framework for challenging gender stereotypes. </w:t>
      </w:r>
      <w:r w:rsidR="003843D3" w:rsidRPr="004727B9">
        <w:rPr>
          <w:rFonts w:ascii="Arial" w:eastAsia="Times New Roman" w:hAnsi="Arial" w:cs="Arial"/>
          <w:kern w:val="0"/>
          <w:sz w:val="20"/>
          <w:szCs w:val="20"/>
          <w:lang w:eastAsia="en-GB"/>
          <w14:ligatures w14:val="none"/>
        </w:rPr>
        <w:t xml:space="preserve">GOV.UK (2024) highlights that </w:t>
      </w:r>
      <w:r w:rsidR="003F1A98" w:rsidRPr="004727B9">
        <w:rPr>
          <w:rFonts w:ascii="Arial" w:eastAsia="Times New Roman" w:hAnsi="Arial" w:cs="Arial"/>
          <w:kern w:val="0"/>
          <w:sz w:val="20"/>
          <w:szCs w:val="20"/>
          <w:lang w:eastAsia="en-GB"/>
          <w14:ligatures w14:val="none"/>
        </w:rPr>
        <w:t xml:space="preserve">The Early Years Foundation Stage (EYFS) framework in England offers a comprehensive and inclusive educational curriculum designed for children from birth to the age of five years. </w:t>
      </w:r>
      <w:r w:rsidR="008D7DB4" w:rsidRPr="004727B9">
        <w:rPr>
          <w:rFonts w:ascii="Arial" w:eastAsia="Times New Roman" w:hAnsi="Arial" w:cs="Arial"/>
          <w:kern w:val="0"/>
          <w:sz w:val="20"/>
          <w:szCs w:val="20"/>
          <w:lang w:eastAsia="en-GB"/>
          <w14:ligatures w14:val="none"/>
        </w:rPr>
        <w:t>This passage emphasizes the importance of promoting equality and diversity, encouraging educators to create learning environments that recognize and appreciate unique individual traits. Although the Early Years Foundation Stage (EYFS) does not directly address gender bias, it establishes a structure that enables practitioners to question stereotypes and advocate for gender equality.</w:t>
      </w:r>
    </w:p>
    <w:p w14:paraId="20BD4B56" w14:textId="77777777" w:rsidR="007807DE" w:rsidRPr="004727B9" w:rsidRDefault="007807DE" w:rsidP="003F1A98">
      <w:pPr>
        <w:spacing w:before="100" w:beforeAutospacing="1" w:after="100" w:afterAutospacing="1" w:line="240" w:lineRule="auto"/>
        <w:outlineLvl w:val="2"/>
        <w:rPr>
          <w:rFonts w:ascii="Arial" w:eastAsia="Times New Roman" w:hAnsi="Arial" w:cs="Arial"/>
          <w:kern w:val="0"/>
          <w:sz w:val="20"/>
          <w:szCs w:val="20"/>
          <w:lang w:eastAsia="en-GB"/>
          <w14:ligatures w14:val="none"/>
        </w:rPr>
      </w:pPr>
    </w:p>
    <w:p w14:paraId="0E625BFC" w14:textId="77777777" w:rsidR="00951F9E" w:rsidRPr="004727B9" w:rsidRDefault="00951F9E" w:rsidP="00951F9E">
      <w:pPr>
        <w:spacing w:before="100" w:beforeAutospacing="1" w:after="100" w:afterAutospacing="1" w:line="240" w:lineRule="auto"/>
        <w:outlineLvl w:val="2"/>
        <w:rPr>
          <w:rFonts w:ascii="Arial" w:eastAsia="Times New Roman" w:hAnsi="Arial" w:cs="Arial"/>
          <w:b/>
          <w:bCs/>
          <w:kern w:val="0"/>
          <w:sz w:val="20"/>
          <w:szCs w:val="20"/>
          <w:lang w:eastAsia="en-GB"/>
          <w14:ligatures w14:val="none"/>
        </w:rPr>
      </w:pPr>
      <w:r w:rsidRPr="004727B9">
        <w:rPr>
          <w:rFonts w:ascii="Arial" w:eastAsia="Times New Roman" w:hAnsi="Arial" w:cs="Arial"/>
          <w:b/>
          <w:bCs/>
          <w:kern w:val="0"/>
          <w:sz w:val="20"/>
          <w:szCs w:val="20"/>
          <w:lang w:eastAsia="en-GB"/>
          <w14:ligatures w14:val="none"/>
        </w:rPr>
        <w:t>Comparison and Contrast of Findings</w:t>
      </w:r>
    </w:p>
    <w:p w14:paraId="7350FBCF" w14:textId="714C52D4" w:rsidR="007457EB" w:rsidRPr="004727B9" w:rsidRDefault="007457EB" w:rsidP="00CB7743">
      <w:pPr>
        <w:spacing w:before="100" w:beforeAutospacing="1" w:after="100" w:afterAutospacing="1" w:line="240" w:lineRule="auto"/>
        <w:outlineLvl w:val="2"/>
        <w:rPr>
          <w:rFonts w:ascii="Arial" w:eastAsia="Times New Roman" w:hAnsi="Arial" w:cs="Arial"/>
          <w:b/>
          <w:bCs/>
          <w:kern w:val="0"/>
          <w:sz w:val="20"/>
          <w:szCs w:val="20"/>
          <w:lang w:eastAsia="en-GB"/>
          <w14:ligatures w14:val="none"/>
        </w:rPr>
      </w:pPr>
      <w:r w:rsidRPr="004727B9">
        <w:rPr>
          <w:rFonts w:ascii="Arial" w:eastAsia="Times New Roman" w:hAnsi="Arial" w:cs="Arial"/>
          <w:kern w:val="0"/>
          <w:sz w:val="20"/>
          <w:szCs w:val="20"/>
          <w:lang w:eastAsia="en-GB"/>
          <w14:ligatures w14:val="none"/>
        </w:rPr>
        <w:t>Numerous studies consistently demonstrate the existence of gender bias in early childhood play, highlighting the vital importance of practitioner intervention to tackle these discrepancies.</w:t>
      </w:r>
      <w:r w:rsidR="00D70571" w:rsidRPr="004727B9">
        <w:rPr>
          <w:rFonts w:ascii="Arial" w:eastAsia="Times New Roman" w:hAnsi="Arial" w:cs="Arial"/>
          <w:kern w:val="0"/>
          <w:sz w:val="20"/>
          <w:szCs w:val="20"/>
          <w:lang w:eastAsia="en-GB"/>
          <w14:ligatures w14:val="none"/>
        </w:rPr>
        <w:t xml:space="preserve"> </w:t>
      </w:r>
      <w:proofErr w:type="spellStart"/>
      <w:r w:rsidR="00C114BD" w:rsidRPr="004727B9">
        <w:rPr>
          <w:rFonts w:ascii="Arial" w:eastAsia="Times New Roman" w:hAnsi="Arial" w:cs="Arial"/>
          <w:kern w:val="0"/>
          <w:sz w:val="20"/>
          <w:szCs w:val="20"/>
          <w:lang w:eastAsia="en-GB"/>
          <w14:ligatures w14:val="none"/>
        </w:rPr>
        <w:t>King.T</w:t>
      </w:r>
      <w:proofErr w:type="spellEnd"/>
      <w:r w:rsidR="00C114BD" w:rsidRPr="004727B9">
        <w:rPr>
          <w:rFonts w:ascii="Arial" w:eastAsia="Times New Roman" w:hAnsi="Arial" w:cs="Arial"/>
          <w:kern w:val="0"/>
          <w:sz w:val="20"/>
          <w:szCs w:val="20"/>
          <w:lang w:eastAsia="en-GB"/>
          <w14:ligatures w14:val="none"/>
        </w:rPr>
        <w:t xml:space="preserve"> et al </w:t>
      </w:r>
      <w:proofErr w:type="gramStart"/>
      <w:r w:rsidR="00C114BD" w:rsidRPr="004727B9">
        <w:rPr>
          <w:rFonts w:ascii="Arial" w:eastAsia="Times New Roman" w:hAnsi="Arial" w:cs="Arial"/>
          <w:kern w:val="0"/>
          <w:sz w:val="20"/>
          <w:szCs w:val="20"/>
          <w:lang w:eastAsia="en-GB"/>
          <w14:ligatures w14:val="none"/>
        </w:rPr>
        <w:t>c(</w:t>
      </w:r>
      <w:proofErr w:type="gramEnd"/>
      <w:r w:rsidR="00C114BD" w:rsidRPr="004727B9">
        <w:rPr>
          <w:rFonts w:ascii="Arial" w:eastAsia="Times New Roman" w:hAnsi="Arial" w:cs="Arial"/>
          <w:kern w:val="0"/>
          <w:sz w:val="20"/>
          <w:szCs w:val="20"/>
          <w:lang w:eastAsia="en-GB"/>
          <w14:ligatures w14:val="none"/>
        </w:rPr>
        <w:t xml:space="preserve">2024) </w:t>
      </w:r>
      <w:r w:rsidR="005A79F7" w:rsidRPr="004727B9">
        <w:rPr>
          <w:rFonts w:ascii="Arial" w:eastAsia="Times New Roman" w:hAnsi="Arial" w:cs="Arial"/>
          <w:kern w:val="0"/>
          <w:sz w:val="20"/>
          <w:szCs w:val="20"/>
          <w:lang w:eastAsia="en-GB"/>
          <w14:ligatures w14:val="none"/>
        </w:rPr>
        <w:t>states that s</w:t>
      </w:r>
      <w:r w:rsidR="005A79F7" w:rsidRPr="004727B9">
        <w:rPr>
          <w:rFonts w:ascii="Arial" w:eastAsia="Times New Roman" w:hAnsi="Arial" w:cs="Arial"/>
          <w:kern w:val="0"/>
          <w:sz w:val="20"/>
          <w:szCs w:val="20"/>
          <w:lang w:eastAsia="en-GB"/>
          <w14:ligatures w14:val="none"/>
        </w:rPr>
        <w:t>ix studies reported on the children’s expressed gender norms and stereotypes</w:t>
      </w:r>
      <w:r w:rsidR="00D70571" w:rsidRPr="004727B9">
        <w:rPr>
          <w:rFonts w:ascii="Arial" w:eastAsia="Times New Roman" w:hAnsi="Arial" w:cs="Arial"/>
          <w:kern w:val="0"/>
          <w:sz w:val="20"/>
          <w:szCs w:val="20"/>
          <w:lang w:eastAsia="en-GB"/>
          <w14:ligatures w14:val="none"/>
        </w:rPr>
        <w:t>….</w:t>
      </w:r>
      <w:r w:rsidRPr="004727B9">
        <w:rPr>
          <w:rFonts w:ascii="Arial" w:eastAsia="Times New Roman" w:hAnsi="Arial" w:cs="Arial"/>
          <w:kern w:val="0"/>
          <w:sz w:val="20"/>
          <w:szCs w:val="20"/>
          <w:lang w:eastAsia="en-GB"/>
          <w14:ligatures w14:val="none"/>
        </w:rPr>
        <w:t xml:space="preserve"> </w:t>
      </w:r>
      <w:r w:rsidR="00D70571" w:rsidRPr="004727B9">
        <w:rPr>
          <w:rFonts w:ascii="Arial" w:eastAsia="Times New Roman" w:hAnsi="Arial" w:cs="Arial"/>
          <w:kern w:val="0"/>
          <w:sz w:val="20"/>
          <w:szCs w:val="20"/>
          <w:lang w:eastAsia="en-GB"/>
          <w14:ligatures w14:val="none"/>
        </w:rPr>
        <w:t>interest in gender-typed and neutral toys, and perceptions of others’ interest in toys was assessed in two studies by Dinella et al. (2017)</w:t>
      </w:r>
      <w:r w:rsidR="00582E88" w:rsidRPr="004727B9">
        <w:rPr>
          <w:rFonts w:ascii="Arial" w:hAnsi="Arial" w:cs="Arial"/>
          <w:sz w:val="20"/>
          <w:szCs w:val="20"/>
        </w:rPr>
        <w:t xml:space="preserve">. </w:t>
      </w:r>
      <w:r w:rsidR="00DB331E" w:rsidRPr="004727B9">
        <w:rPr>
          <w:rFonts w:ascii="Arial" w:eastAsia="Times New Roman" w:hAnsi="Arial" w:cs="Arial"/>
          <w:kern w:val="0"/>
          <w:sz w:val="20"/>
          <w:szCs w:val="20"/>
          <w:lang w:eastAsia="en-GB"/>
          <w14:ligatures w14:val="none"/>
        </w:rPr>
        <w:t xml:space="preserve">In the initial study, a selection of 20 toys was introduced, comprising items classified as masculine-typed, feminine-typed, and gender-neutral. Fifty percent of </w:t>
      </w:r>
      <w:r w:rsidR="00DB331E" w:rsidRPr="004727B9">
        <w:rPr>
          <w:rFonts w:ascii="Arial" w:eastAsia="Times New Roman" w:hAnsi="Arial" w:cs="Arial"/>
          <w:kern w:val="0"/>
          <w:sz w:val="20"/>
          <w:szCs w:val="20"/>
          <w:lang w:eastAsia="en-GB"/>
          <w14:ligatures w14:val="none"/>
        </w:rPr>
        <w:lastRenderedPageBreak/>
        <w:t>the toys possessed propulsive properties, while the remaining fifty percent did not. Children demonstrated a greater preference for gender-typed toys in comparison to cross-gender-typed toys. Furthermore, both boys and girls reported an equal level of enjoyment for gender-neutral toys as they did for toys that corresponded with their assigned gender.</w:t>
      </w:r>
      <w:r w:rsidR="004F1AC8" w:rsidRPr="004727B9">
        <w:rPr>
          <w:rFonts w:ascii="Arial" w:hAnsi="Arial" w:cs="Arial"/>
          <w:sz w:val="20"/>
          <w:szCs w:val="20"/>
        </w:rPr>
        <w:t xml:space="preserve"> </w:t>
      </w:r>
      <w:r w:rsidR="004F1AC8" w:rsidRPr="004727B9">
        <w:rPr>
          <w:rFonts w:ascii="Arial" w:eastAsia="Times New Roman" w:hAnsi="Arial" w:cs="Arial"/>
          <w:kern w:val="0"/>
          <w:sz w:val="20"/>
          <w:szCs w:val="20"/>
          <w:lang w:eastAsia="en-GB"/>
          <w14:ligatures w14:val="none"/>
        </w:rPr>
        <w:t>In contrast to prevailing assumptions, the gender-neutral non-propulsive toy elicited the most significant interest from both male and female participants. There was no indication that the propulsive characteristics of toys influence gender-based disparities in toy preferences.</w:t>
      </w:r>
      <w:r w:rsidR="004655BB" w:rsidRPr="004727B9">
        <w:rPr>
          <w:rFonts w:ascii="Arial" w:eastAsia="Times New Roman" w:hAnsi="Arial" w:cs="Arial"/>
          <w:kern w:val="0"/>
          <w:sz w:val="20"/>
          <w:szCs w:val="20"/>
          <w:lang w:eastAsia="en-GB"/>
          <w14:ligatures w14:val="none"/>
        </w:rPr>
        <w:t xml:space="preserve"> However </w:t>
      </w:r>
      <w:proofErr w:type="spellStart"/>
      <w:r w:rsidR="004655BB" w:rsidRPr="004727B9">
        <w:rPr>
          <w:rFonts w:ascii="Arial" w:eastAsia="Times New Roman" w:hAnsi="Arial" w:cs="Arial"/>
          <w:kern w:val="0"/>
          <w:sz w:val="20"/>
          <w:szCs w:val="20"/>
          <w:lang w:eastAsia="en-GB"/>
          <w14:ligatures w14:val="none"/>
        </w:rPr>
        <w:t>King.T</w:t>
      </w:r>
      <w:proofErr w:type="spellEnd"/>
      <w:r w:rsidR="004655BB" w:rsidRPr="004727B9">
        <w:rPr>
          <w:rFonts w:ascii="Arial" w:eastAsia="Times New Roman" w:hAnsi="Arial" w:cs="Arial"/>
          <w:kern w:val="0"/>
          <w:sz w:val="20"/>
          <w:szCs w:val="20"/>
          <w:lang w:eastAsia="en-GB"/>
          <w14:ligatures w14:val="none"/>
        </w:rPr>
        <w:t xml:space="preserve"> </w:t>
      </w:r>
      <w:r w:rsidR="00A5471F" w:rsidRPr="004727B9">
        <w:rPr>
          <w:rFonts w:ascii="Arial" w:eastAsia="Times New Roman" w:hAnsi="Arial" w:cs="Arial"/>
          <w:kern w:val="0"/>
          <w:sz w:val="20"/>
          <w:szCs w:val="20"/>
          <w:lang w:eastAsia="en-GB"/>
          <w14:ligatures w14:val="none"/>
        </w:rPr>
        <w:t xml:space="preserve">et al </w:t>
      </w:r>
      <w:proofErr w:type="gramStart"/>
      <w:r w:rsidR="00A5471F" w:rsidRPr="004727B9">
        <w:rPr>
          <w:rFonts w:ascii="Arial" w:eastAsia="Times New Roman" w:hAnsi="Arial" w:cs="Arial"/>
          <w:kern w:val="0"/>
          <w:sz w:val="20"/>
          <w:szCs w:val="20"/>
          <w:lang w:eastAsia="en-GB"/>
          <w14:ligatures w14:val="none"/>
        </w:rPr>
        <w:t>d(</w:t>
      </w:r>
      <w:proofErr w:type="gramEnd"/>
      <w:r w:rsidR="00A5471F" w:rsidRPr="004727B9">
        <w:rPr>
          <w:rFonts w:ascii="Arial" w:eastAsia="Times New Roman" w:hAnsi="Arial" w:cs="Arial"/>
          <w:kern w:val="0"/>
          <w:sz w:val="20"/>
          <w:szCs w:val="20"/>
          <w:lang w:eastAsia="en-GB"/>
          <w14:ligatures w14:val="none"/>
        </w:rPr>
        <w:t xml:space="preserve">2024) also identifies that </w:t>
      </w:r>
      <w:r w:rsidR="00A5471F" w:rsidRPr="004727B9">
        <w:rPr>
          <w:rFonts w:ascii="Arial" w:eastAsia="Times New Roman" w:hAnsi="Arial" w:cs="Arial"/>
          <w:kern w:val="0"/>
          <w:sz w:val="20"/>
          <w:szCs w:val="20"/>
          <w:lang w:eastAsia="en-GB"/>
          <w14:ligatures w14:val="none"/>
        </w:rPr>
        <w:t xml:space="preserve">Cherney and Dempsey (2010) </w:t>
      </w:r>
      <w:r w:rsidR="0081768C" w:rsidRPr="004727B9">
        <w:rPr>
          <w:rFonts w:ascii="Arial" w:eastAsia="Times New Roman" w:hAnsi="Arial" w:cs="Arial"/>
          <w:kern w:val="0"/>
          <w:sz w:val="20"/>
          <w:szCs w:val="20"/>
          <w:lang w:eastAsia="en-GB"/>
          <w14:ligatures w14:val="none"/>
        </w:rPr>
        <w:t>findings were that b</w:t>
      </w:r>
      <w:r w:rsidR="00A5471F" w:rsidRPr="004727B9">
        <w:rPr>
          <w:rFonts w:ascii="Arial" w:eastAsia="Times New Roman" w:hAnsi="Arial" w:cs="Arial"/>
          <w:kern w:val="0"/>
          <w:sz w:val="20"/>
          <w:szCs w:val="20"/>
          <w:lang w:eastAsia="en-GB"/>
          <w14:ligatures w14:val="none"/>
        </w:rPr>
        <w:t>oys played longer and more often with toys they considered to be masculine and girls were less likely than boys to label ambiguous and neutral toys as belonging to their own gender.</w:t>
      </w:r>
      <w:r w:rsidR="0028064A" w:rsidRPr="004727B9">
        <w:rPr>
          <w:rFonts w:ascii="Arial" w:eastAsia="Times New Roman" w:hAnsi="Arial" w:cs="Arial"/>
          <w:kern w:val="0"/>
          <w:sz w:val="20"/>
          <w:szCs w:val="20"/>
          <w:lang w:eastAsia="en-GB"/>
          <w14:ligatures w14:val="none"/>
        </w:rPr>
        <w:t xml:space="preserve"> </w:t>
      </w:r>
      <w:r w:rsidR="00CB7743" w:rsidRPr="004727B9">
        <w:rPr>
          <w:rFonts w:ascii="Arial" w:eastAsia="Times New Roman" w:hAnsi="Arial" w:cs="Arial"/>
          <w:kern w:val="0"/>
          <w:sz w:val="20"/>
          <w:szCs w:val="20"/>
          <w:lang w:eastAsia="en-GB"/>
          <w14:ligatures w14:val="none"/>
        </w:rPr>
        <w:t xml:space="preserve">Although there is overall agreement on these topics, the specific focus areas and the depth of research differ across various studies. Several studies emphasize the impact of gender stereotypes on children's development, while other research focuses on strategies that educators can implement to foster inclusive learning environments. There is a wide range of recommended strategies for dealing with gender bias. Although extensive research supports the creation of </w:t>
      </w:r>
      <w:proofErr w:type="gramStart"/>
      <w:r w:rsidR="00CB7743" w:rsidRPr="004727B9">
        <w:rPr>
          <w:rFonts w:ascii="Arial" w:eastAsia="Times New Roman" w:hAnsi="Arial" w:cs="Arial"/>
          <w:kern w:val="0"/>
          <w:sz w:val="20"/>
          <w:szCs w:val="20"/>
          <w:lang w:eastAsia="en-GB"/>
          <w14:ligatures w14:val="none"/>
        </w:rPr>
        <w:t>mixed-gender</w:t>
      </w:r>
      <w:proofErr w:type="gramEnd"/>
      <w:r w:rsidR="00CB7743" w:rsidRPr="004727B9">
        <w:rPr>
          <w:rFonts w:ascii="Arial" w:eastAsia="Times New Roman" w:hAnsi="Arial" w:cs="Arial"/>
          <w:kern w:val="0"/>
          <w:sz w:val="20"/>
          <w:szCs w:val="20"/>
          <w:lang w:eastAsia="en-GB"/>
          <w14:ligatures w14:val="none"/>
        </w:rPr>
        <w:t xml:space="preserve"> play opportunities and the importance of combating stereotypes, a clear consensus on the effectiveness of certain intervention approaches is noticeably lacking. Additional research is needed to assess how various methodologies influence children's developmental results.</w:t>
      </w:r>
    </w:p>
    <w:p w14:paraId="03F35C5A" w14:textId="4B12E66A" w:rsidR="007013D1" w:rsidRPr="004727B9" w:rsidRDefault="007013D1" w:rsidP="007013D1">
      <w:pPr>
        <w:spacing w:before="100" w:beforeAutospacing="1" w:after="100" w:afterAutospacing="1" w:line="240" w:lineRule="auto"/>
        <w:outlineLvl w:val="2"/>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The findings from this review clarify the intricate links between gender, play, and the education of young children. It is evident that gender stereotypes are deeply rooted in societal frameworks and continuously shape the experiences of children. Despite the comprehensive framework for inclusive practices outlined by the Early Years Foundation Stage (EYFS), additional specific guidance is required to effectively tackle gender bias. Practitioners necessitate continuous professional development to acquire the requisite knowledge and skills essential for fostering gender-equitable environments. Furthermore, it is imperative that future research investigates the long-term effects of early interventions on the development of children's gender identities and attitudes. Overcoming these challenges enables the creation of a more equitable and inclusive future for all young people.</w:t>
      </w:r>
    </w:p>
    <w:p w14:paraId="29486630" w14:textId="77777777" w:rsidR="00970CEF" w:rsidRPr="004727B9" w:rsidRDefault="00970CEF" w:rsidP="007013D1">
      <w:pPr>
        <w:spacing w:before="100" w:beforeAutospacing="1" w:after="100" w:afterAutospacing="1" w:line="240" w:lineRule="auto"/>
        <w:outlineLvl w:val="2"/>
        <w:rPr>
          <w:rFonts w:ascii="Arial" w:eastAsia="Times New Roman" w:hAnsi="Arial" w:cs="Arial"/>
          <w:kern w:val="0"/>
          <w:sz w:val="20"/>
          <w:szCs w:val="20"/>
          <w:lang w:eastAsia="en-GB"/>
          <w14:ligatures w14:val="none"/>
        </w:rPr>
      </w:pPr>
    </w:p>
    <w:p w14:paraId="6F44182F" w14:textId="77777777" w:rsidR="00705FF1" w:rsidRPr="004727B9" w:rsidRDefault="00705FF1" w:rsidP="00705FF1">
      <w:pPr>
        <w:spacing w:before="100" w:beforeAutospacing="1" w:after="100" w:afterAutospacing="1" w:line="240" w:lineRule="auto"/>
        <w:jc w:val="center"/>
        <w:outlineLvl w:val="2"/>
        <w:rPr>
          <w:rFonts w:ascii="Arial" w:eastAsia="Times New Roman" w:hAnsi="Arial" w:cs="Arial"/>
          <w:b/>
          <w:bCs/>
          <w:kern w:val="0"/>
          <w:sz w:val="20"/>
          <w:szCs w:val="20"/>
          <w:u w:val="single"/>
          <w:lang w:eastAsia="en-GB"/>
          <w14:ligatures w14:val="none"/>
        </w:rPr>
      </w:pPr>
      <w:r w:rsidRPr="004727B9">
        <w:rPr>
          <w:rFonts w:ascii="Arial" w:eastAsia="Times New Roman" w:hAnsi="Arial" w:cs="Arial"/>
          <w:b/>
          <w:bCs/>
          <w:kern w:val="0"/>
          <w:sz w:val="20"/>
          <w:szCs w:val="20"/>
          <w:u w:val="single"/>
          <w:lang w:eastAsia="en-GB"/>
          <w14:ligatures w14:val="none"/>
        </w:rPr>
        <w:t>Methodology</w:t>
      </w:r>
    </w:p>
    <w:p w14:paraId="60BCC5DA" w14:textId="271B3A1B" w:rsidR="00705FF1" w:rsidRPr="004727B9" w:rsidRDefault="00705FF1" w:rsidP="00705FF1">
      <w:pPr>
        <w:spacing w:before="100" w:beforeAutospacing="1" w:after="100" w:afterAutospacing="1" w:line="240" w:lineRule="auto"/>
        <w:outlineLvl w:val="2"/>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 xml:space="preserve"> The methodology section outlines the systematic approach employed in this study to investigate the research questions posed.</w:t>
      </w:r>
      <w:r w:rsidR="003E4E76" w:rsidRPr="004727B9">
        <w:rPr>
          <w:rFonts w:ascii="Arial" w:eastAsia="Times New Roman" w:hAnsi="Arial" w:cs="Arial"/>
          <w:kern w:val="0"/>
          <w:sz w:val="20"/>
          <w:szCs w:val="20"/>
          <w:lang w:eastAsia="en-GB"/>
          <w14:ligatures w14:val="none"/>
        </w:rPr>
        <w:t xml:space="preserve"> </w:t>
      </w:r>
      <w:r w:rsidR="000E6CFC" w:rsidRPr="004727B9">
        <w:rPr>
          <w:rFonts w:ascii="Arial" w:eastAsia="Times New Roman" w:hAnsi="Arial" w:cs="Arial"/>
          <w:kern w:val="0"/>
          <w:sz w:val="20"/>
          <w:szCs w:val="20"/>
          <w:lang w:eastAsia="en-GB"/>
          <w14:ligatures w14:val="none"/>
        </w:rPr>
        <w:t>USC Libraries (2024) identify that</w:t>
      </w:r>
      <w:r w:rsidRPr="004727B9">
        <w:rPr>
          <w:rFonts w:ascii="Arial" w:eastAsia="Times New Roman" w:hAnsi="Arial" w:cs="Arial"/>
          <w:kern w:val="0"/>
          <w:sz w:val="20"/>
          <w:szCs w:val="20"/>
          <w:lang w:eastAsia="en-GB"/>
          <w14:ligatures w14:val="none"/>
        </w:rPr>
        <w:t xml:space="preserve"> </w:t>
      </w:r>
      <w:proofErr w:type="gramStart"/>
      <w:r w:rsidR="000E6CFC" w:rsidRPr="004727B9">
        <w:rPr>
          <w:rFonts w:ascii="Arial" w:eastAsia="Times New Roman" w:hAnsi="Arial" w:cs="Arial"/>
          <w:kern w:val="0"/>
          <w:sz w:val="20"/>
          <w:szCs w:val="20"/>
          <w:lang w:eastAsia="en-GB"/>
          <w14:ligatures w14:val="none"/>
        </w:rPr>
        <w:t>he</w:t>
      </w:r>
      <w:proofErr w:type="gramEnd"/>
      <w:r w:rsidR="000E6CFC" w:rsidRPr="004727B9">
        <w:rPr>
          <w:rFonts w:ascii="Arial" w:eastAsia="Times New Roman" w:hAnsi="Arial" w:cs="Arial"/>
          <w:kern w:val="0"/>
          <w:sz w:val="20"/>
          <w:szCs w:val="20"/>
          <w:lang w:eastAsia="en-GB"/>
          <w14:ligatures w14:val="none"/>
        </w:rPr>
        <w:t xml:space="preserve"> methods section describes actions taken to investigate a research problem and the rationale for the application of specific procedures or techniques used to identify, select, process, and </w:t>
      </w:r>
      <w:proofErr w:type="spellStart"/>
      <w:r w:rsidR="000E6CFC" w:rsidRPr="004727B9">
        <w:rPr>
          <w:rFonts w:ascii="Arial" w:eastAsia="Times New Roman" w:hAnsi="Arial" w:cs="Arial"/>
          <w:kern w:val="0"/>
          <w:sz w:val="20"/>
          <w:szCs w:val="20"/>
          <w:lang w:eastAsia="en-GB"/>
          <w14:ligatures w14:val="none"/>
        </w:rPr>
        <w:t>analyze</w:t>
      </w:r>
      <w:proofErr w:type="spellEnd"/>
      <w:r w:rsidR="000E6CFC" w:rsidRPr="004727B9">
        <w:rPr>
          <w:rFonts w:ascii="Arial" w:eastAsia="Times New Roman" w:hAnsi="Arial" w:cs="Arial"/>
          <w:kern w:val="0"/>
          <w:sz w:val="20"/>
          <w:szCs w:val="20"/>
          <w:lang w:eastAsia="en-GB"/>
          <w14:ligatures w14:val="none"/>
        </w:rPr>
        <w:t xml:space="preserve"> information applied to understanding the problem, thereby, allowing the reader to critically evaluate a study’s overall validity and reliability.</w:t>
      </w:r>
      <w:r w:rsidR="000E6CFC" w:rsidRPr="004727B9">
        <w:rPr>
          <w:rFonts w:ascii="Arial" w:eastAsia="Times New Roman" w:hAnsi="Arial" w:cs="Arial"/>
          <w:kern w:val="0"/>
          <w:sz w:val="20"/>
          <w:szCs w:val="20"/>
          <w:lang w:eastAsia="en-GB"/>
          <w14:ligatures w14:val="none"/>
        </w:rPr>
        <w:t xml:space="preserve"> </w:t>
      </w:r>
      <w:r w:rsidRPr="004727B9">
        <w:rPr>
          <w:rFonts w:ascii="Arial" w:eastAsia="Times New Roman" w:hAnsi="Arial" w:cs="Arial"/>
          <w:kern w:val="0"/>
          <w:sz w:val="20"/>
          <w:szCs w:val="20"/>
          <w:lang w:eastAsia="en-GB"/>
          <w14:ligatures w14:val="none"/>
        </w:rPr>
        <w:t>It encompasses the design, data collection, and analysis techniques utilized to ensure the validity and reliability of the findings. The chosen methodology is grounded in appropriate theoretical frameworks and is aligned with the research objectives. Thorough accounts of the sampling strategies, rephrased tools, and analytic frameworks are presented to aid in replication efforts and increase the methodological rigor of the study.</w:t>
      </w:r>
    </w:p>
    <w:p w14:paraId="72A8F9AD" w14:textId="02EF028A" w:rsidR="00D16A93" w:rsidRPr="004727B9" w:rsidRDefault="00D16A93" w:rsidP="00705FF1">
      <w:pPr>
        <w:spacing w:before="100" w:beforeAutospacing="1" w:after="100" w:afterAutospacing="1" w:line="240" w:lineRule="auto"/>
        <w:outlineLvl w:val="2"/>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The proposed research intends to address these gaps by employing a mixed methods approach that facilitates a comprehensive understanding of both the contextual factors and the interactions present within play environments. Triangulation is a research method aimed at enhancing the credibility and validity of empirical results.</w:t>
      </w:r>
      <w:r w:rsidR="005922F0" w:rsidRPr="004727B9">
        <w:rPr>
          <w:rFonts w:ascii="Arial" w:eastAsia="Times New Roman" w:hAnsi="Arial" w:cs="Arial"/>
          <w:kern w:val="0"/>
          <w:sz w:val="20"/>
          <w:szCs w:val="20"/>
          <w:lang w:eastAsia="en-GB"/>
          <w14:ligatures w14:val="none"/>
        </w:rPr>
        <w:t xml:space="preserve"> Research</w:t>
      </w:r>
      <w:r w:rsidR="00F06441" w:rsidRPr="004727B9">
        <w:rPr>
          <w:rFonts w:ascii="Arial" w:eastAsia="Times New Roman" w:hAnsi="Arial" w:cs="Arial"/>
          <w:kern w:val="0"/>
          <w:sz w:val="20"/>
          <w:szCs w:val="20"/>
          <w:lang w:eastAsia="en-GB"/>
          <w14:ligatures w14:val="none"/>
        </w:rPr>
        <w:t xml:space="preserve"> Method</w:t>
      </w:r>
      <w:r w:rsidR="005922F0" w:rsidRPr="004727B9">
        <w:rPr>
          <w:rFonts w:ascii="Arial" w:eastAsia="Times New Roman" w:hAnsi="Arial" w:cs="Arial"/>
          <w:kern w:val="0"/>
          <w:sz w:val="20"/>
          <w:szCs w:val="20"/>
          <w:lang w:eastAsia="en-GB"/>
          <w14:ligatures w14:val="none"/>
        </w:rPr>
        <w:t xml:space="preserve"> Net</w:t>
      </w:r>
      <w:r w:rsidRPr="004727B9">
        <w:rPr>
          <w:rFonts w:ascii="Arial" w:eastAsia="Times New Roman" w:hAnsi="Arial" w:cs="Arial"/>
          <w:kern w:val="0"/>
          <w:sz w:val="20"/>
          <w:szCs w:val="20"/>
          <w:lang w:eastAsia="en-GB"/>
          <w14:ligatures w14:val="none"/>
        </w:rPr>
        <w:t xml:space="preserve"> </w:t>
      </w:r>
      <w:r w:rsidR="00063C36" w:rsidRPr="004727B9">
        <w:rPr>
          <w:rFonts w:ascii="Arial" w:eastAsia="Times New Roman" w:hAnsi="Arial" w:cs="Arial"/>
          <w:kern w:val="0"/>
          <w:sz w:val="20"/>
          <w:szCs w:val="20"/>
          <w:lang w:eastAsia="en-GB"/>
          <w14:ligatures w14:val="none"/>
        </w:rPr>
        <w:t>(2024) states w</w:t>
      </w:r>
      <w:r w:rsidR="005922F0" w:rsidRPr="004727B9">
        <w:rPr>
          <w:rFonts w:ascii="Arial" w:eastAsia="Times New Roman" w:hAnsi="Arial" w:cs="Arial"/>
          <w:kern w:val="0"/>
          <w:sz w:val="20"/>
          <w:szCs w:val="20"/>
          <w:lang w:eastAsia="en-GB"/>
          <w14:ligatures w14:val="none"/>
        </w:rPr>
        <w:t xml:space="preserve">hen triangulated, data from different sources can be combined and </w:t>
      </w:r>
      <w:proofErr w:type="spellStart"/>
      <w:r w:rsidR="005922F0" w:rsidRPr="004727B9">
        <w:rPr>
          <w:rFonts w:ascii="Arial" w:eastAsia="Times New Roman" w:hAnsi="Arial" w:cs="Arial"/>
          <w:kern w:val="0"/>
          <w:sz w:val="20"/>
          <w:szCs w:val="20"/>
          <w:lang w:eastAsia="en-GB"/>
          <w14:ligatures w14:val="none"/>
        </w:rPr>
        <w:t>analyzed</w:t>
      </w:r>
      <w:proofErr w:type="spellEnd"/>
      <w:r w:rsidR="005922F0" w:rsidRPr="004727B9">
        <w:rPr>
          <w:rFonts w:ascii="Arial" w:eastAsia="Times New Roman" w:hAnsi="Arial" w:cs="Arial"/>
          <w:kern w:val="0"/>
          <w:sz w:val="20"/>
          <w:szCs w:val="20"/>
          <w:lang w:eastAsia="en-GB"/>
          <w14:ligatures w14:val="none"/>
        </w:rPr>
        <w:t xml:space="preserve"> to produce a more accurate understanding of the phenomenon being studied. Triangulation can be used in both quantitative and qualitative research and can be implemented at any stage of the research process</w:t>
      </w:r>
      <w:r w:rsidR="005922F0" w:rsidRPr="004727B9">
        <w:rPr>
          <w:rFonts w:ascii="Arial" w:eastAsia="Times New Roman" w:hAnsi="Arial" w:cs="Arial"/>
          <w:kern w:val="0"/>
          <w:sz w:val="20"/>
          <w:szCs w:val="20"/>
          <w:lang w:eastAsia="en-GB"/>
          <w14:ligatures w14:val="none"/>
        </w:rPr>
        <w:t xml:space="preserve">. </w:t>
      </w:r>
      <w:proofErr w:type="gramStart"/>
      <w:r w:rsidRPr="004727B9">
        <w:rPr>
          <w:rFonts w:ascii="Arial" w:eastAsia="Times New Roman" w:hAnsi="Arial" w:cs="Arial"/>
          <w:kern w:val="0"/>
          <w:sz w:val="20"/>
          <w:szCs w:val="20"/>
          <w:lang w:eastAsia="en-GB"/>
          <w14:ligatures w14:val="none"/>
        </w:rPr>
        <w:t>By</w:t>
      </w:r>
      <w:proofErr w:type="gramEnd"/>
      <w:r w:rsidRPr="004727B9">
        <w:rPr>
          <w:rFonts w:ascii="Arial" w:eastAsia="Times New Roman" w:hAnsi="Arial" w:cs="Arial"/>
          <w:kern w:val="0"/>
          <w:sz w:val="20"/>
          <w:szCs w:val="20"/>
          <w:lang w:eastAsia="en-GB"/>
          <w14:ligatures w14:val="none"/>
        </w:rPr>
        <w:t xml:space="preserve"> integrating multiple perspectives, data sources, or methods, can strengthen their inquiry and enhance the robustness of their conclusions.</w:t>
      </w:r>
      <w:r w:rsidRPr="004727B9">
        <w:rPr>
          <w:rFonts w:ascii="Arial" w:eastAsia="Times New Roman" w:hAnsi="Arial" w:cs="Arial"/>
          <w:kern w:val="0"/>
          <w:sz w:val="20"/>
          <w:szCs w:val="20"/>
          <w:lang w:eastAsia="en-GB"/>
          <w14:ligatures w14:val="none"/>
        </w:rPr>
        <w:t xml:space="preserve"> </w:t>
      </w:r>
      <w:r w:rsidR="00846416" w:rsidRPr="004727B9">
        <w:rPr>
          <w:rFonts w:ascii="Arial" w:eastAsia="Times New Roman" w:hAnsi="Arial" w:cs="Arial"/>
          <w:kern w:val="0"/>
          <w:sz w:val="20"/>
          <w:szCs w:val="20"/>
          <w:lang w:eastAsia="en-GB"/>
          <w14:ligatures w14:val="none"/>
        </w:rPr>
        <w:t xml:space="preserve">Quantitative research can utilize triangulation by methodically examining and contrasting results from various statistical analyses or experimental </w:t>
      </w:r>
      <w:r w:rsidR="00846416" w:rsidRPr="004727B9">
        <w:rPr>
          <w:rFonts w:ascii="Arial" w:eastAsia="Times New Roman" w:hAnsi="Arial" w:cs="Arial"/>
          <w:kern w:val="0"/>
          <w:sz w:val="20"/>
          <w:szCs w:val="20"/>
          <w:lang w:eastAsia="en-GB"/>
          <w14:ligatures w14:val="none"/>
        </w:rPr>
        <w:t>setups. In</w:t>
      </w:r>
      <w:r w:rsidR="00846416" w:rsidRPr="004727B9">
        <w:rPr>
          <w:rFonts w:ascii="Arial" w:eastAsia="Times New Roman" w:hAnsi="Arial" w:cs="Arial"/>
          <w:kern w:val="0"/>
          <w:sz w:val="20"/>
          <w:szCs w:val="20"/>
          <w:lang w:eastAsia="en-GB"/>
          <w14:ligatures w14:val="none"/>
        </w:rPr>
        <w:t xml:space="preserve"> closing, the implementation of triangulation signifies a serious approach to methodological thoroughness while recognizing the complexity of social issues, thereby improving the trustworthiness of the research</w:t>
      </w:r>
      <w:r w:rsidR="00846416" w:rsidRPr="004727B9">
        <w:rPr>
          <w:rFonts w:ascii="Arial" w:eastAsia="Times New Roman" w:hAnsi="Arial" w:cs="Arial"/>
          <w:kern w:val="0"/>
          <w:sz w:val="20"/>
          <w:szCs w:val="20"/>
          <w:lang w:eastAsia="en-GB"/>
          <w14:ligatures w14:val="none"/>
        </w:rPr>
        <w:t>.</w:t>
      </w:r>
    </w:p>
    <w:p w14:paraId="5D1FC467" w14:textId="7F2612B7" w:rsidR="00970CEF" w:rsidRPr="004727B9" w:rsidRDefault="00705FF1" w:rsidP="00705FF1">
      <w:pPr>
        <w:spacing w:before="100" w:beforeAutospacing="1" w:after="100" w:afterAutospacing="1" w:line="240" w:lineRule="auto"/>
        <w:outlineLvl w:val="2"/>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This study will adopt a mixed methods approach, integrating both qualitative and quantitative data collection techniques.</w:t>
      </w:r>
      <w:r w:rsidR="0088497A" w:rsidRPr="004727B9">
        <w:rPr>
          <w:rFonts w:ascii="Arial" w:eastAsia="Times New Roman" w:hAnsi="Arial" w:cs="Arial"/>
          <w:kern w:val="0"/>
          <w:sz w:val="20"/>
          <w:szCs w:val="20"/>
          <w:lang w:eastAsia="en-GB"/>
          <w14:ligatures w14:val="none"/>
        </w:rPr>
        <w:t xml:space="preserve"> Harvard Catalyst </w:t>
      </w:r>
      <w:r w:rsidR="0048531A" w:rsidRPr="004727B9">
        <w:rPr>
          <w:rFonts w:ascii="Arial" w:eastAsia="Times New Roman" w:hAnsi="Arial" w:cs="Arial"/>
          <w:kern w:val="0"/>
          <w:sz w:val="20"/>
          <w:szCs w:val="20"/>
          <w:lang w:eastAsia="en-GB"/>
          <w14:ligatures w14:val="none"/>
        </w:rPr>
        <w:t>(2024)</w:t>
      </w:r>
      <w:r w:rsidR="0088497A" w:rsidRPr="004727B9">
        <w:rPr>
          <w:rFonts w:ascii="Arial" w:eastAsia="Times New Roman" w:hAnsi="Arial" w:cs="Arial"/>
          <w:kern w:val="0"/>
          <w:sz w:val="20"/>
          <w:szCs w:val="20"/>
          <w:lang w:eastAsia="en-GB"/>
          <w14:ligatures w14:val="none"/>
        </w:rPr>
        <w:t xml:space="preserve"> highlights that m</w:t>
      </w:r>
      <w:r w:rsidR="0088497A" w:rsidRPr="004727B9">
        <w:rPr>
          <w:rFonts w:ascii="Arial" w:eastAsia="Times New Roman" w:hAnsi="Arial" w:cs="Arial"/>
          <w:kern w:val="0"/>
          <w:sz w:val="20"/>
          <w:szCs w:val="20"/>
          <w:lang w:eastAsia="en-GB"/>
          <w14:ligatures w14:val="none"/>
        </w:rPr>
        <w:t xml:space="preserve">ixed method approaches allow researchers to use a diversity of methods, combining inductive and deductive thinking, and offsetting </w:t>
      </w:r>
      <w:r w:rsidR="0088497A" w:rsidRPr="004727B9">
        <w:rPr>
          <w:rFonts w:ascii="Arial" w:eastAsia="Times New Roman" w:hAnsi="Arial" w:cs="Arial"/>
          <w:kern w:val="0"/>
          <w:sz w:val="20"/>
          <w:szCs w:val="20"/>
          <w:lang w:eastAsia="en-GB"/>
          <w14:ligatures w14:val="none"/>
        </w:rPr>
        <w:lastRenderedPageBreak/>
        <w:t>limitations of exclusively quantitative and qualitative research through a complementary approach that maximizes strengths of each data type and facilitates a more comprehensive understanding of health issues and potential resolutions</w:t>
      </w:r>
      <w:r w:rsidRPr="004727B9">
        <w:rPr>
          <w:rFonts w:ascii="Arial" w:eastAsia="Times New Roman" w:hAnsi="Arial" w:cs="Arial"/>
          <w:kern w:val="0"/>
          <w:sz w:val="20"/>
          <w:szCs w:val="20"/>
          <w:lang w:eastAsia="en-GB"/>
          <w14:ligatures w14:val="none"/>
        </w:rPr>
        <w:t xml:space="preserve"> This approach facilitates a thorough comprehension of the phenomenon by incorporating the lived experiences of both children and educators.</w:t>
      </w:r>
    </w:p>
    <w:p w14:paraId="435F4C3E" w14:textId="77777777" w:rsidR="00796288" w:rsidRPr="004727B9" w:rsidRDefault="00796288" w:rsidP="00796288">
      <w:pPr>
        <w:spacing w:before="100" w:beforeAutospacing="1" w:after="100" w:afterAutospacing="1" w:line="240" w:lineRule="auto"/>
        <w:outlineLvl w:val="1"/>
        <w:rPr>
          <w:rFonts w:ascii="Arial" w:eastAsia="Times New Roman" w:hAnsi="Arial" w:cs="Arial"/>
          <w:b/>
          <w:bCs/>
          <w:kern w:val="0"/>
          <w:sz w:val="20"/>
          <w:szCs w:val="20"/>
          <w:lang w:eastAsia="en-GB"/>
          <w14:ligatures w14:val="none"/>
        </w:rPr>
      </w:pPr>
      <w:r w:rsidRPr="004727B9">
        <w:rPr>
          <w:rFonts w:ascii="Arial" w:eastAsia="Times New Roman" w:hAnsi="Arial" w:cs="Arial"/>
          <w:b/>
          <w:bCs/>
          <w:kern w:val="0"/>
          <w:sz w:val="20"/>
          <w:szCs w:val="20"/>
          <w:lang w:eastAsia="en-GB"/>
          <w14:ligatures w14:val="none"/>
        </w:rPr>
        <w:t>Data Collection:</w:t>
      </w:r>
    </w:p>
    <w:p w14:paraId="4A7A9451" w14:textId="6C6CCFDE" w:rsidR="00EE6F33" w:rsidRPr="004727B9" w:rsidRDefault="00EE6F33" w:rsidP="00EE6F33">
      <w:pPr>
        <w:spacing w:before="100" w:beforeAutospacing="1" w:after="100" w:afterAutospacing="1" w:line="240" w:lineRule="auto"/>
        <w:outlineLvl w:val="1"/>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The proposed research will entail a systematic observation of the interactions between children and teachers, as well as an examination of the diverse play opportunities available, across various early childhood educational settings. A structured observational framework will be utilized by observers to consistently capture instances of gender bias, including statements about suitable toys or activities for each gender.</w:t>
      </w:r>
      <w:r w:rsidR="002F56F2" w:rsidRPr="004727B9">
        <w:rPr>
          <w:rFonts w:ascii="Arial" w:eastAsia="Times New Roman" w:hAnsi="Arial" w:cs="Arial"/>
          <w:kern w:val="0"/>
          <w:sz w:val="20"/>
          <w:szCs w:val="20"/>
          <w:lang w:eastAsia="en-GB"/>
          <w14:ligatures w14:val="none"/>
        </w:rPr>
        <w:t xml:space="preserve"> Research Method </w:t>
      </w:r>
      <w:r w:rsidR="00414A2E" w:rsidRPr="004727B9">
        <w:rPr>
          <w:rFonts w:ascii="Arial" w:eastAsia="Times New Roman" w:hAnsi="Arial" w:cs="Arial"/>
          <w:kern w:val="0"/>
          <w:sz w:val="20"/>
          <w:szCs w:val="20"/>
          <w:lang w:eastAsia="en-GB"/>
          <w14:ligatures w14:val="none"/>
        </w:rPr>
        <w:t>(2024)</w:t>
      </w:r>
      <w:r w:rsidR="002F56F2" w:rsidRPr="004727B9">
        <w:rPr>
          <w:rFonts w:ascii="Arial" w:eastAsia="Times New Roman" w:hAnsi="Arial" w:cs="Arial"/>
          <w:kern w:val="0"/>
          <w:sz w:val="20"/>
          <w:szCs w:val="20"/>
          <w:lang w:eastAsia="en-GB"/>
          <w14:ligatures w14:val="none"/>
        </w:rPr>
        <w:t xml:space="preserve"> </w:t>
      </w:r>
      <w:r w:rsidR="006531F2" w:rsidRPr="004727B9">
        <w:rPr>
          <w:rFonts w:ascii="Arial" w:eastAsia="Times New Roman" w:hAnsi="Arial" w:cs="Arial"/>
          <w:kern w:val="0"/>
          <w:sz w:val="20"/>
          <w:szCs w:val="20"/>
          <w:lang w:eastAsia="en-GB"/>
          <w14:ligatures w14:val="none"/>
        </w:rPr>
        <w:t>states that d</w:t>
      </w:r>
      <w:r w:rsidR="006531F2" w:rsidRPr="004727B9">
        <w:rPr>
          <w:rFonts w:ascii="Arial" w:eastAsia="Times New Roman" w:hAnsi="Arial" w:cs="Arial"/>
          <w:kern w:val="0"/>
          <w:sz w:val="20"/>
          <w:szCs w:val="20"/>
          <w:lang w:eastAsia="en-GB"/>
          <w14:ligatures w14:val="none"/>
        </w:rPr>
        <w:t xml:space="preserve">ata collection is the process of gathering and collecting information from various sources to </w:t>
      </w:r>
      <w:r w:rsidR="004727B9" w:rsidRPr="004727B9">
        <w:rPr>
          <w:rFonts w:ascii="Arial" w:eastAsia="Times New Roman" w:hAnsi="Arial" w:cs="Arial"/>
          <w:kern w:val="0"/>
          <w:sz w:val="20"/>
          <w:szCs w:val="20"/>
          <w:lang w:eastAsia="en-GB"/>
          <w14:ligatures w14:val="none"/>
        </w:rPr>
        <w:t>analyse</w:t>
      </w:r>
      <w:r w:rsidR="006531F2" w:rsidRPr="004727B9">
        <w:rPr>
          <w:rFonts w:ascii="Arial" w:eastAsia="Times New Roman" w:hAnsi="Arial" w:cs="Arial"/>
          <w:kern w:val="0"/>
          <w:sz w:val="20"/>
          <w:szCs w:val="20"/>
          <w:lang w:eastAsia="en-GB"/>
          <w14:ligatures w14:val="none"/>
        </w:rPr>
        <w:t xml:space="preserve"> and make informed  decisions based on the data collected. This can involve various methods, such as surveys, interviews, experiments, and observation.</w:t>
      </w:r>
    </w:p>
    <w:p w14:paraId="3080A08E" w14:textId="498C2079" w:rsidR="00796288" w:rsidRPr="004727B9" w:rsidRDefault="00EE6F33" w:rsidP="00512340">
      <w:pPr>
        <w:spacing w:before="100" w:beforeAutospacing="1" w:after="100" w:afterAutospacing="1" w:line="240" w:lineRule="auto"/>
        <w:outlineLvl w:val="1"/>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This study will employ semi-structured interviews as a methodological approach to gather insights from educators and parents. This methodology facilitates an exploration of the diverse experiences and perspectives regarding gender bias in play.</w:t>
      </w:r>
      <w:r w:rsidR="008B72EE" w:rsidRPr="004727B9">
        <w:rPr>
          <w:rFonts w:ascii="Arial" w:eastAsia="Times New Roman" w:hAnsi="Arial" w:cs="Arial"/>
          <w:kern w:val="0"/>
          <w:sz w:val="20"/>
          <w:szCs w:val="20"/>
          <w:lang w:eastAsia="en-GB"/>
          <w14:ligatures w14:val="none"/>
        </w:rPr>
        <w:t xml:space="preserve"> Research Gate (</w:t>
      </w:r>
      <w:r w:rsidR="00676F14" w:rsidRPr="004727B9">
        <w:rPr>
          <w:rFonts w:ascii="Arial" w:eastAsia="Times New Roman" w:hAnsi="Arial" w:cs="Arial"/>
          <w:kern w:val="0"/>
          <w:sz w:val="20"/>
          <w:szCs w:val="20"/>
          <w:lang w:eastAsia="en-GB"/>
          <w14:ligatures w14:val="none"/>
        </w:rPr>
        <w:t>2022</w:t>
      </w:r>
      <w:r w:rsidR="008B72EE" w:rsidRPr="004727B9">
        <w:rPr>
          <w:rFonts w:ascii="Arial" w:eastAsia="Times New Roman" w:hAnsi="Arial" w:cs="Arial"/>
          <w:kern w:val="0"/>
          <w:sz w:val="20"/>
          <w:szCs w:val="20"/>
          <w:lang w:eastAsia="en-GB"/>
          <w14:ligatures w14:val="none"/>
        </w:rPr>
        <w:t xml:space="preserve">) </w:t>
      </w:r>
      <w:r w:rsidR="00676F14" w:rsidRPr="004727B9">
        <w:rPr>
          <w:rFonts w:ascii="Arial" w:eastAsia="Times New Roman" w:hAnsi="Arial" w:cs="Arial"/>
          <w:kern w:val="0"/>
          <w:sz w:val="20"/>
          <w:szCs w:val="20"/>
          <w:lang w:eastAsia="en-GB"/>
          <w14:ligatures w14:val="none"/>
        </w:rPr>
        <w:t xml:space="preserve">highlights that </w:t>
      </w:r>
      <w:r w:rsidR="00676F14" w:rsidRPr="004727B9">
        <w:rPr>
          <w:rFonts w:ascii="Arial" w:eastAsia="Times New Roman" w:hAnsi="Arial" w:cs="Arial"/>
          <w:kern w:val="0"/>
          <w:sz w:val="20"/>
          <w:szCs w:val="20"/>
          <w:lang w:eastAsia="en-GB"/>
          <w14:ligatures w14:val="none"/>
        </w:rPr>
        <w:t>the semi-structured interview is more powerful than other types of interviews for qualitative research because it allows for researchers to acquire in-depth information and evidence from interviewees while considering the focus of the study</w:t>
      </w:r>
      <w:r w:rsidRPr="004727B9">
        <w:rPr>
          <w:rFonts w:ascii="Arial" w:eastAsia="Times New Roman" w:hAnsi="Arial" w:cs="Arial"/>
          <w:kern w:val="0"/>
          <w:sz w:val="20"/>
          <w:szCs w:val="20"/>
          <w:lang w:eastAsia="en-GB"/>
          <w14:ligatures w14:val="none"/>
        </w:rPr>
        <w:t xml:space="preserve"> The interviews will investigate educators' awareness of gender bias as well as their strategies for fostering inclusive play environments.</w:t>
      </w:r>
    </w:p>
    <w:p w14:paraId="519C2421" w14:textId="77777777" w:rsidR="00796288" w:rsidRPr="004727B9" w:rsidRDefault="00796288" w:rsidP="00796288">
      <w:pPr>
        <w:spacing w:before="100" w:beforeAutospacing="1" w:after="100" w:afterAutospacing="1" w:line="240" w:lineRule="auto"/>
        <w:outlineLvl w:val="1"/>
        <w:rPr>
          <w:rFonts w:ascii="Arial" w:eastAsia="Times New Roman" w:hAnsi="Arial" w:cs="Arial"/>
          <w:b/>
          <w:bCs/>
          <w:kern w:val="0"/>
          <w:sz w:val="20"/>
          <w:szCs w:val="20"/>
          <w:u w:val="single"/>
          <w:lang w:eastAsia="en-GB"/>
          <w14:ligatures w14:val="none"/>
        </w:rPr>
      </w:pPr>
      <w:r w:rsidRPr="004727B9">
        <w:rPr>
          <w:rFonts w:ascii="Arial" w:eastAsia="Times New Roman" w:hAnsi="Arial" w:cs="Arial"/>
          <w:b/>
          <w:bCs/>
          <w:kern w:val="0"/>
          <w:sz w:val="20"/>
          <w:szCs w:val="20"/>
          <w:u w:val="single"/>
          <w:lang w:eastAsia="en-GB"/>
          <w14:ligatures w14:val="none"/>
        </w:rPr>
        <w:t>Sample:</w:t>
      </w:r>
    </w:p>
    <w:p w14:paraId="1BB56227" w14:textId="198400B7" w:rsidR="00796288" w:rsidRPr="004727B9" w:rsidRDefault="00804592" w:rsidP="00AB2DAF">
      <w:pPr>
        <w:rPr>
          <w:rFonts w:ascii="Arial" w:hAnsi="Arial" w:cs="Arial"/>
          <w:sz w:val="20"/>
          <w:szCs w:val="20"/>
        </w:rPr>
      </w:pPr>
      <w:r w:rsidRPr="004727B9">
        <w:rPr>
          <w:rFonts w:ascii="Arial" w:hAnsi="Arial" w:cs="Arial"/>
          <w:sz w:val="20"/>
          <w:szCs w:val="20"/>
        </w:rPr>
        <w:t xml:space="preserve">A purposive sampling technique will be employed to select participants for the study. This approach guarantees that the sample encompasses a broad spectrum of early childhood environments, including, but not limited to, daycare </w:t>
      </w:r>
      <w:r w:rsidR="004727B9" w:rsidRPr="004727B9">
        <w:rPr>
          <w:rFonts w:ascii="Arial" w:hAnsi="Arial" w:cs="Arial"/>
          <w:sz w:val="20"/>
          <w:szCs w:val="20"/>
        </w:rPr>
        <w:t>centres</w:t>
      </w:r>
      <w:r w:rsidRPr="004727B9">
        <w:rPr>
          <w:rFonts w:ascii="Arial" w:hAnsi="Arial" w:cs="Arial"/>
          <w:sz w:val="20"/>
          <w:szCs w:val="20"/>
        </w:rPr>
        <w:t>, preschools, and both public and private educational institutions.</w:t>
      </w:r>
      <w:r w:rsidR="00670168" w:rsidRPr="004727B9">
        <w:rPr>
          <w:rFonts w:ascii="Arial" w:hAnsi="Arial" w:cs="Arial"/>
          <w:sz w:val="20"/>
          <w:szCs w:val="20"/>
        </w:rPr>
        <w:t xml:space="preserve"> </w:t>
      </w:r>
      <w:r w:rsidR="004F6C37" w:rsidRPr="004727B9">
        <w:rPr>
          <w:rFonts w:ascii="Arial" w:hAnsi="Arial" w:cs="Arial"/>
          <w:sz w:val="20"/>
          <w:szCs w:val="20"/>
        </w:rPr>
        <w:t>Re</w:t>
      </w:r>
      <w:r w:rsidR="00670168" w:rsidRPr="004727B9">
        <w:rPr>
          <w:rFonts w:ascii="Arial" w:hAnsi="Arial" w:cs="Arial"/>
          <w:sz w:val="20"/>
          <w:szCs w:val="20"/>
        </w:rPr>
        <w:t>searcher Life (</w:t>
      </w:r>
      <w:r w:rsidR="001222DA" w:rsidRPr="004727B9">
        <w:rPr>
          <w:rFonts w:ascii="Arial" w:hAnsi="Arial" w:cs="Arial"/>
          <w:sz w:val="20"/>
          <w:szCs w:val="20"/>
        </w:rPr>
        <w:t>2024</w:t>
      </w:r>
      <w:r w:rsidR="00670168" w:rsidRPr="004727B9">
        <w:rPr>
          <w:rFonts w:ascii="Arial" w:hAnsi="Arial" w:cs="Arial"/>
          <w:sz w:val="20"/>
          <w:szCs w:val="20"/>
        </w:rPr>
        <w:t xml:space="preserve">) </w:t>
      </w:r>
      <w:r w:rsidR="0027750E" w:rsidRPr="004727B9">
        <w:rPr>
          <w:rFonts w:ascii="Arial" w:hAnsi="Arial" w:cs="Arial"/>
          <w:sz w:val="20"/>
          <w:szCs w:val="20"/>
        </w:rPr>
        <w:t>highlights t</w:t>
      </w:r>
      <w:r w:rsidR="00567995" w:rsidRPr="004727B9">
        <w:rPr>
          <w:rFonts w:ascii="Arial" w:hAnsi="Arial" w:cs="Arial"/>
          <w:sz w:val="20"/>
          <w:szCs w:val="20"/>
        </w:rPr>
        <w:t>he idea behind purposive sampling is to select cases, individuals, or communities that serve as the dataset from which meaningful information pertaining to the research question can be derived.</w:t>
      </w:r>
      <w:r w:rsidR="00567995" w:rsidRPr="004727B9">
        <w:rPr>
          <w:rFonts w:ascii="Arial" w:hAnsi="Arial" w:cs="Arial"/>
          <w:sz w:val="20"/>
          <w:szCs w:val="20"/>
        </w:rPr>
        <w:t xml:space="preserve"> </w:t>
      </w:r>
      <w:r w:rsidRPr="004727B9">
        <w:rPr>
          <w:rFonts w:ascii="Arial" w:hAnsi="Arial" w:cs="Arial"/>
          <w:sz w:val="20"/>
          <w:szCs w:val="20"/>
        </w:rPr>
        <w:t xml:space="preserve">Participant inclusion will also </w:t>
      </w:r>
      <w:proofErr w:type="gramStart"/>
      <w:r w:rsidRPr="004727B9">
        <w:rPr>
          <w:rFonts w:ascii="Arial" w:hAnsi="Arial" w:cs="Arial"/>
          <w:sz w:val="20"/>
          <w:szCs w:val="20"/>
        </w:rPr>
        <w:t>take into account</w:t>
      </w:r>
      <w:proofErr w:type="gramEnd"/>
      <w:r w:rsidRPr="004727B9">
        <w:rPr>
          <w:rFonts w:ascii="Arial" w:hAnsi="Arial" w:cs="Arial"/>
          <w:sz w:val="20"/>
          <w:szCs w:val="20"/>
        </w:rPr>
        <w:t xml:space="preserve"> socioeconomic factors in order to facilitate a comprehensive understanding of potential variations in gender bias across different contexts. The determination of the specific sample size will be contingent upon the concept of data saturation. Recruitment efforts will persist until the point is reached at which no new information is forthcoming</w:t>
      </w:r>
    </w:p>
    <w:p w14:paraId="36D4E817" w14:textId="3C86DB31" w:rsidR="006C48E5" w:rsidRPr="004727B9" w:rsidRDefault="008B25D6" w:rsidP="008B25D6">
      <w:pPr>
        <w:spacing w:before="100" w:beforeAutospacing="1" w:after="100" w:afterAutospacing="1" w:line="240" w:lineRule="auto"/>
        <w:outlineLvl w:val="1"/>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The selected methodologies present numerous advantages.</w:t>
      </w:r>
      <w:r w:rsidR="002203B0" w:rsidRPr="004727B9">
        <w:t xml:space="preserve"> </w:t>
      </w:r>
      <w:r w:rsidR="002203B0" w:rsidRPr="004727B9">
        <w:rPr>
          <w:rFonts w:ascii="Arial" w:eastAsia="Times New Roman" w:hAnsi="Arial" w:cs="Arial"/>
          <w:kern w:val="0"/>
          <w:sz w:val="20"/>
          <w:szCs w:val="20"/>
          <w:lang w:eastAsia="en-GB"/>
          <w14:ligatures w14:val="none"/>
        </w:rPr>
        <w:t xml:space="preserve">Observational methods enable the systematic documentation of authentic </w:t>
      </w:r>
      <w:r w:rsidR="005A1AEE" w:rsidRPr="004727B9">
        <w:rPr>
          <w:rFonts w:ascii="Arial" w:eastAsia="Times New Roman" w:hAnsi="Arial" w:cs="Arial"/>
          <w:kern w:val="0"/>
          <w:sz w:val="20"/>
          <w:szCs w:val="20"/>
          <w:lang w:eastAsia="en-GB"/>
          <w14:ligatures w14:val="none"/>
        </w:rPr>
        <w:t>behaviours</w:t>
      </w:r>
      <w:r w:rsidR="002203B0" w:rsidRPr="004727B9">
        <w:rPr>
          <w:rFonts w:ascii="Arial" w:eastAsia="Times New Roman" w:hAnsi="Arial" w:cs="Arial"/>
          <w:kern w:val="0"/>
          <w:sz w:val="20"/>
          <w:szCs w:val="20"/>
          <w:lang w:eastAsia="en-GB"/>
          <w14:ligatures w14:val="none"/>
        </w:rPr>
        <w:t xml:space="preserve"> and interactions occurring within the context of natural play environments. In conducting this study on gender bias within play, several observational methodologies are available for consideration. Among these, the use of a timed recording, an area map, or a video recording may be employed to systematically document participants' choices and thereby facilitate data collection. Informed consent would be necessary for both the participants and their guardians, along with a careful consideration of the potential variability in the children's </w:t>
      </w:r>
      <w:r w:rsidR="005A1AEE" w:rsidRPr="004727B9">
        <w:rPr>
          <w:rFonts w:ascii="Arial" w:eastAsia="Times New Roman" w:hAnsi="Arial" w:cs="Arial"/>
          <w:kern w:val="0"/>
          <w:sz w:val="20"/>
          <w:szCs w:val="20"/>
          <w:lang w:eastAsia="en-GB"/>
          <w14:ligatures w14:val="none"/>
        </w:rPr>
        <w:t>behaviour</w:t>
      </w:r>
      <w:r w:rsidR="002203B0" w:rsidRPr="004727B9">
        <w:rPr>
          <w:rFonts w:ascii="Arial" w:eastAsia="Times New Roman" w:hAnsi="Arial" w:cs="Arial"/>
          <w:kern w:val="0"/>
          <w:sz w:val="20"/>
          <w:szCs w:val="20"/>
          <w:lang w:eastAsia="en-GB"/>
          <w14:ligatures w14:val="none"/>
        </w:rPr>
        <w:t xml:space="preserve"> in response to the awareness of being observed.</w:t>
      </w:r>
      <w:r w:rsidRPr="004727B9">
        <w:rPr>
          <w:rFonts w:ascii="Arial" w:eastAsia="Times New Roman" w:hAnsi="Arial" w:cs="Arial"/>
          <w:kern w:val="0"/>
          <w:sz w:val="20"/>
          <w:szCs w:val="20"/>
          <w:lang w:eastAsia="en-GB"/>
          <w14:ligatures w14:val="none"/>
        </w:rPr>
        <w:t xml:space="preserve"> </w:t>
      </w:r>
      <w:r w:rsidR="00894491" w:rsidRPr="004727B9">
        <w:rPr>
          <w:rFonts w:ascii="Arial" w:eastAsia="Times New Roman" w:hAnsi="Arial" w:cs="Arial"/>
          <w:kern w:val="0"/>
          <w:sz w:val="20"/>
          <w:szCs w:val="20"/>
          <w:lang w:eastAsia="en-GB"/>
          <w14:ligatures w14:val="none"/>
        </w:rPr>
        <w:t xml:space="preserve">Paterson, B. L., Bottorff, J. L., &amp; </w:t>
      </w:r>
      <w:proofErr w:type="spellStart"/>
      <w:r w:rsidR="00894491" w:rsidRPr="004727B9">
        <w:rPr>
          <w:rFonts w:ascii="Arial" w:eastAsia="Times New Roman" w:hAnsi="Arial" w:cs="Arial"/>
          <w:kern w:val="0"/>
          <w:sz w:val="20"/>
          <w:szCs w:val="20"/>
          <w:lang w:eastAsia="en-GB"/>
          <w14:ligatures w14:val="none"/>
        </w:rPr>
        <w:t>Hewat</w:t>
      </w:r>
      <w:proofErr w:type="spellEnd"/>
      <w:r w:rsidR="00894491" w:rsidRPr="004727B9">
        <w:rPr>
          <w:rFonts w:ascii="Arial" w:eastAsia="Times New Roman" w:hAnsi="Arial" w:cs="Arial"/>
          <w:kern w:val="0"/>
          <w:sz w:val="20"/>
          <w:szCs w:val="20"/>
          <w:lang w:eastAsia="en-GB"/>
          <w14:ligatures w14:val="none"/>
        </w:rPr>
        <w:t>, R. (2003)</w:t>
      </w:r>
      <w:r w:rsidR="00894491" w:rsidRPr="004727B9">
        <w:rPr>
          <w:rFonts w:ascii="Arial" w:eastAsia="Times New Roman" w:hAnsi="Arial" w:cs="Arial"/>
          <w:kern w:val="0"/>
          <w:sz w:val="20"/>
          <w:szCs w:val="20"/>
          <w:lang w:eastAsia="en-GB"/>
          <w14:ligatures w14:val="none"/>
        </w:rPr>
        <w:t xml:space="preserve"> </w:t>
      </w:r>
      <w:r w:rsidR="00FC4E07" w:rsidRPr="004727B9">
        <w:rPr>
          <w:rFonts w:ascii="Arial" w:eastAsia="Times New Roman" w:hAnsi="Arial" w:cs="Arial"/>
          <w:kern w:val="0"/>
          <w:sz w:val="20"/>
          <w:szCs w:val="20"/>
          <w:lang w:eastAsia="en-GB"/>
          <w14:ligatures w14:val="none"/>
        </w:rPr>
        <w:t>identify the t</w:t>
      </w:r>
      <w:r w:rsidR="00715E52" w:rsidRPr="004727B9">
        <w:rPr>
          <w:rFonts w:ascii="Arial" w:eastAsia="Times New Roman" w:hAnsi="Arial" w:cs="Arial"/>
          <w:kern w:val="0"/>
          <w:sz w:val="20"/>
          <w:szCs w:val="20"/>
          <w:lang w:eastAsia="en-GB"/>
          <w14:ligatures w14:val="none"/>
        </w:rPr>
        <w:t xml:space="preserve">wo common observational strategies are participant observation, or the in-person observation by a researcher (Marshall &amp; Rossman, 1995), and video recording of </w:t>
      </w:r>
      <w:r w:rsidR="005A1AEE" w:rsidRPr="004727B9">
        <w:rPr>
          <w:rFonts w:ascii="Arial" w:eastAsia="Times New Roman" w:hAnsi="Arial" w:cs="Arial"/>
          <w:kern w:val="0"/>
          <w:sz w:val="20"/>
          <w:szCs w:val="20"/>
          <w:lang w:eastAsia="en-GB"/>
          <w14:ligatures w14:val="none"/>
        </w:rPr>
        <w:t>behaviours</w:t>
      </w:r>
      <w:r w:rsidR="00715E52" w:rsidRPr="004727B9">
        <w:rPr>
          <w:rFonts w:ascii="Arial" w:eastAsia="Times New Roman" w:hAnsi="Arial" w:cs="Arial"/>
          <w:kern w:val="0"/>
          <w:sz w:val="20"/>
          <w:szCs w:val="20"/>
          <w:lang w:eastAsia="en-GB"/>
          <w14:ligatures w14:val="none"/>
        </w:rPr>
        <w:t xml:space="preserve"> and interactions as they occur.</w:t>
      </w:r>
      <w:r w:rsidR="006C48E5" w:rsidRPr="004727B9">
        <w:rPr>
          <w:rFonts w:ascii="Arial" w:eastAsia="Times New Roman" w:hAnsi="Arial" w:cs="Arial"/>
          <w:kern w:val="0"/>
          <w:sz w:val="20"/>
          <w:szCs w:val="20"/>
          <w:lang w:eastAsia="en-GB"/>
          <w14:ligatures w14:val="none"/>
        </w:rPr>
        <w:t xml:space="preserve"> </w:t>
      </w:r>
      <w:r w:rsidR="006C48E5" w:rsidRPr="004727B9">
        <w:rPr>
          <w:rFonts w:ascii="Arial" w:eastAsia="Times New Roman" w:hAnsi="Arial" w:cs="Arial"/>
          <w:kern w:val="0"/>
          <w:sz w:val="20"/>
          <w:szCs w:val="20"/>
          <w:lang w:eastAsia="en-GB"/>
          <w14:ligatures w14:val="none"/>
        </w:rPr>
        <w:t>This approach facilitates a deeper comprehension of the ways in which gender bias is expressed within early childhood environments, encompassing both subtle cues and unconscious behaviours.</w:t>
      </w:r>
      <w:r w:rsidR="008526EB" w:rsidRPr="004727B9">
        <w:rPr>
          <w:rFonts w:ascii="Arial" w:eastAsia="Times New Roman" w:hAnsi="Arial" w:cs="Arial"/>
          <w:kern w:val="0"/>
          <w:sz w:val="20"/>
          <w:szCs w:val="20"/>
          <w:lang w:eastAsia="en-GB"/>
          <w14:ligatures w14:val="none"/>
        </w:rPr>
        <w:t xml:space="preserve"> Research Net (2005) explains</w:t>
      </w:r>
      <w:r w:rsidR="006C48E5" w:rsidRPr="004727B9">
        <w:rPr>
          <w:rFonts w:ascii="Arial" w:eastAsia="Times New Roman" w:hAnsi="Arial" w:cs="Arial"/>
          <w:kern w:val="0"/>
          <w:sz w:val="20"/>
          <w:szCs w:val="20"/>
          <w:lang w:eastAsia="en-GB"/>
          <w14:ligatures w14:val="none"/>
        </w:rPr>
        <w:t xml:space="preserve"> </w:t>
      </w:r>
      <w:r w:rsidR="008526EB" w:rsidRPr="004727B9">
        <w:rPr>
          <w:rFonts w:ascii="Arial" w:eastAsia="Times New Roman" w:hAnsi="Arial" w:cs="Arial"/>
          <w:kern w:val="0"/>
          <w:sz w:val="20"/>
          <w:szCs w:val="20"/>
          <w:lang w:eastAsia="en-GB"/>
          <w14:ligatures w14:val="none"/>
        </w:rPr>
        <w:t>t</w:t>
      </w:r>
      <w:r w:rsidR="006C48E5" w:rsidRPr="004727B9">
        <w:rPr>
          <w:rFonts w:ascii="Arial" w:eastAsia="Times New Roman" w:hAnsi="Arial" w:cs="Arial"/>
          <w:kern w:val="0"/>
          <w:sz w:val="20"/>
          <w:szCs w:val="20"/>
          <w:lang w:eastAsia="en-GB"/>
          <w14:ligatures w14:val="none"/>
        </w:rPr>
        <w:t>he mosaic approach provides an effective framework for investigating gender bias in the field of play research Mosaic approach brings together a range of methods for listening to young children’s perspectives about their lives. Observation sits alongside participatory tools.</w:t>
      </w:r>
      <w:r w:rsidR="006C48E5" w:rsidRPr="004727B9">
        <w:rPr>
          <w:rFonts w:ascii="Arial" w:eastAsia="Times New Roman" w:hAnsi="Arial" w:cs="Arial"/>
          <w:kern w:val="0"/>
          <w:sz w:val="20"/>
          <w:szCs w:val="20"/>
          <w:lang w:eastAsia="en-GB"/>
          <w14:ligatures w14:val="none"/>
        </w:rPr>
        <w:t xml:space="preserve"> </w:t>
      </w:r>
      <w:r w:rsidR="00982BF2" w:rsidRPr="004727B9">
        <w:rPr>
          <w:rFonts w:ascii="Arial" w:eastAsia="Times New Roman" w:hAnsi="Arial" w:cs="Arial"/>
          <w:kern w:val="0"/>
          <w:sz w:val="20"/>
          <w:szCs w:val="20"/>
          <w:lang w:eastAsia="en-GB"/>
          <w14:ligatures w14:val="none"/>
        </w:rPr>
        <w:t>Researchers can achieve a deeper comprehension of how children relate to play environments and shape their identities by unpacking the complexities of gender alongside other social identities. This approach ultimately promotes the development of more inclusive play experiences for all children.</w:t>
      </w:r>
    </w:p>
    <w:p w14:paraId="721C61D5" w14:textId="5881C992" w:rsidR="00C02C39" w:rsidRPr="004727B9" w:rsidRDefault="00C02C39" w:rsidP="008B25D6">
      <w:pPr>
        <w:spacing w:before="100" w:beforeAutospacing="1" w:after="100" w:afterAutospacing="1" w:line="240" w:lineRule="auto"/>
        <w:outlineLvl w:val="1"/>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lastRenderedPageBreak/>
        <w:t xml:space="preserve">Observational methods are susceptible to the Hawthorne effect, wherein participants may alter their behaviour </w:t>
      </w:r>
      <w:proofErr w:type="gramStart"/>
      <w:r w:rsidRPr="004727B9">
        <w:rPr>
          <w:rFonts w:ascii="Arial" w:eastAsia="Times New Roman" w:hAnsi="Arial" w:cs="Arial"/>
          <w:kern w:val="0"/>
          <w:sz w:val="20"/>
          <w:szCs w:val="20"/>
          <w:lang w:eastAsia="en-GB"/>
          <w14:ligatures w14:val="none"/>
        </w:rPr>
        <w:t>as a result of</w:t>
      </w:r>
      <w:proofErr w:type="gramEnd"/>
      <w:r w:rsidRPr="004727B9">
        <w:rPr>
          <w:rFonts w:ascii="Arial" w:eastAsia="Times New Roman" w:hAnsi="Arial" w:cs="Arial"/>
          <w:kern w:val="0"/>
          <w:sz w:val="20"/>
          <w:szCs w:val="20"/>
          <w:lang w:eastAsia="en-GB"/>
          <w14:ligatures w14:val="none"/>
        </w:rPr>
        <w:t xml:space="preserve"> being observed. AQR (</w:t>
      </w:r>
      <w:proofErr w:type="gramStart"/>
      <w:r w:rsidRPr="004727B9">
        <w:rPr>
          <w:rFonts w:ascii="Arial" w:eastAsia="Times New Roman" w:hAnsi="Arial" w:cs="Arial"/>
          <w:kern w:val="0"/>
          <w:sz w:val="20"/>
          <w:szCs w:val="20"/>
          <w:lang w:eastAsia="en-GB"/>
          <w14:ligatures w14:val="none"/>
        </w:rPr>
        <w:t>2024)highlights</w:t>
      </w:r>
      <w:proofErr w:type="gramEnd"/>
      <w:r w:rsidRPr="004727B9">
        <w:rPr>
          <w:rFonts w:ascii="Arial" w:eastAsia="Times New Roman" w:hAnsi="Arial" w:cs="Arial"/>
          <w:kern w:val="0"/>
          <w:sz w:val="20"/>
          <w:szCs w:val="20"/>
          <w:lang w:eastAsia="en-GB"/>
          <w14:ligatures w14:val="none"/>
        </w:rPr>
        <w:t xml:space="preserve"> the Hawthorne effect (also referred to as the observer effect or viewing effect) is where individuals modify or improve an aspect of their behaviour in response to their awareness of being observed. To address this issue, the research methodology will require a broad range of settings for effective implementation, also the observer will engage in familiarization with the environment and will sustain a consistent presence </w:t>
      </w:r>
      <w:proofErr w:type="gramStart"/>
      <w:r w:rsidRPr="004727B9">
        <w:rPr>
          <w:rFonts w:ascii="Arial" w:eastAsia="Times New Roman" w:hAnsi="Arial" w:cs="Arial"/>
          <w:kern w:val="0"/>
          <w:sz w:val="20"/>
          <w:szCs w:val="20"/>
          <w:lang w:eastAsia="en-GB"/>
          <w14:ligatures w14:val="none"/>
        </w:rPr>
        <w:t>in order to</w:t>
      </w:r>
      <w:proofErr w:type="gramEnd"/>
      <w:r w:rsidRPr="004727B9">
        <w:rPr>
          <w:rFonts w:ascii="Arial" w:eastAsia="Times New Roman" w:hAnsi="Arial" w:cs="Arial"/>
          <w:kern w:val="0"/>
          <w:sz w:val="20"/>
          <w:szCs w:val="20"/>
          <w:lang w:eastAsia="en-GB"/>
          <w14:ligatures w14:val="none"/>
        </w:rPr>
        <w:t xml:space="preserve"> minimize disruptions. SHIVERS, C.H. </w:t>
      </w:r>
      <w:proofErr w:type="gramStart"/>
      <w:r w:rsidRPr="004727B9">
        <w:rPr>
          <w:rFonts w:ascii="Arial" w:eastAsia="Times New Roman" w:hAnsi="Arial" w:cs="Arial"/>
          <w:kern w:val="0"/>
          <w:sz w:val="20"/>
          <w:szCs w:val="20"/>
          <w:lang w:eastAsia="en-GB"/>
          <w14:ligatures w14:val="none"/>
        </w:rPr>
        <w:t>a(</w:t>
      </w:r>
      <w:proofErr w:type="gramEnd"/>
      <w:r w:rsidRPr="004727B9">
        <w:rPr>
          <w:rFonts w:ascii="Arial" w:eastAsia="Times New Roman" w:hAnsi="Arial" w:cs="Arial"/>
          <w:kern w:val="0"/>
          <w:sz w:val="20"/>
          <w:szCs w:val="20"/>
          <w:lang w:eastAsia="en-GB"/>
          <w14:ligatures w14:val="none"/>
        </w:rPr>
        <w:t>1998) stated to control for the Hawthorne Effect, we made an equal number of visits to the control group and the training group" (Latham and Locke 401). In other words, both groups received equal attention, so both had similar reason to be motivated by participation. The potential impact of the Halo effect will be rigorously explored through the utilization of a structured observational instrument, complemented by ongoing training designed to improve data collection methodologies.</w:t>
      </w:r>
      <w:r w:rsidRPr="004727B9">
        <w:rPr>
          <w:rFonts w:ascii="Arial" w:eastAsia="Times New Roman" w:hAnsi="Arial" w:cs="Arial"/>
          <w:kern w:val="0"/>
          <w:sz w:val="20"/>
          <w:szCs w:val="20"/>
          <w:lang w:eastAsia="en-GB"/>
          <w14:ligatures w14:val="none"/>
        </w:rPr>
        <w:t xml:space="preserve"> </w:t>
      </w:r>
      <w:r w:rsidRPr="004727B9">
        <w:rPr>
          <w:rFonts w:ascii="Arial" w:eastAsia="Times New Roman" w:hAnsi="Arial" w:cs="Arial"/>
          <w:kern w:val="0"/>
          <w:sz w:val="20"/>
          <w:szCs w:val="20"/>
          <w:lang w:eastAsia="en-GB"/>
          <w14:ligatures w14:val="none"/>
        </w:rPr>
        <w:t xml:space="preserve">SHIVERS, C.H. </w:t>
      </w:r>
      <w:proofErr w:type="gramStart"/>
      <w:r w:rsidRPr="004727B9">
        <w:rPr>
          <w:rFonts w:ascii="Arial" w:eastAsia="Times New Roman" w:hAnsi="Arial" w:cs="Arial"/>
          <w:kern w:val="0"/>
          <w:sz w:val="20"/>
          <w:szCs w:val="20"/>
          <w:lang w:eastAsia="en-GB"/>
          <w14:ligatures w14:val="none"/>
        </w:rPr>
        <w:t>b(</w:t>
      </w:r>
      <w:proofErr w:type="gramEnd"/>
      <w:r w:rsidRPr="004727B9">
        <w:rPr>
          <w:rFonts w:ascii="Arial" w:eastAsia="Times New Roman" w:hAnsi="Arial" w:cs="Arial"/>
          <w:kern w:val="0"/>
          <w:sz w:val="20"/>
          <w:szCs w:val="20"/>
          <w:lang w:eastAsia="en-GB"/>
          <w14:ligatures w14:val="none"/>
        </w:rPr>
        <w:t>1998)states that according to Kirkpatrick, who describes the effect as it relates to the workplace and employee performance evaluation, the Halo Effect is a tendency to overrate the person being observed.</w:t>
      </w:r>
      <w:r w:rsidRPr="004727B9">
        <w:rPr>
          <w:rFonts w:ascii="Arial" w:eastAsia="Times New Roman" w:hAnsi="Arial" w:cs="Arial"/>
          <w:kern w:val="0"/>
          <w:sz w:val="20"/>
          <w:szCs w:val="20"/>
          <w:lang w:eastAsia="en-GB"/>
          <w14:ligatures w14:val="none"/>
        </w:rPr>
        <w:t xml:space="preserve"> </w:t>
      </w:r>
      <w:r w:rsidRPr="004727B9">
        <w:rPr>
          <w:rFonts w:ascii="Arial" w:eastAsia="Times New Roman" w:hAnsi="Arial" w:cs="Arial"/>
          <w:kern w:val="0"/>
          <w:sz w:val="20"/>
          <w:szCs w:val="20"/>
          <w:lang w:eastAsia="en-GB"/>
          <w14:ligatures w14:val="none"/>
        </w:rPr>
        <w:t>The Halo Effect is relevant to this study and the examination of children's choices in relation to gender-biased play.</w:t>
      </w:r>
    </w:p>
    <w:p w14:paraId="60287AD7" w14:textId="7281AA09" w:rsidR="008B25D6" w:rsidRPr="004727B9" w:rsidRDefault="008B25D6" w:rsidP="008B25D6">
      <w:pPr>
        <w:spacing w:before="100" w:beforeAutospacing="1" w:after="100" w:afterAutospacing="1" w:line="240" w:lineRule="auto"/>
        <w:outlineLvl w:val="1"/>
        <w:rPr>
          <w:rFonts w:ascii="Arial" w:eastAsia="Times New Roman" w:hAnsi="Arial" w:cs="Arial"/>
          <w:kern w:val="0"/>
          <w:sz w:val="20"/>
          <w:szCs w:val="20"/>
          <w:lang w:eastAsia="en-GB"/>
          <w14:ligatures w14:val="none"/>
        </w:rPr>
      </w:pPr>
      <w:r w:rsidRPr="004727B9">
        <w:rPr>
          <w:rFonts w:ascii="Arial" w:eastAsia="Times New Roman" w:hAnsi="Arial" w:cs="Arial"/>
          <w:kern w:val="0"/>
          <w:sz w:val="20"/>
          <w:szCs w:val="20"/>
          <w:lang w:eastAsia="en-GB"/>
          <w14:ligatures w14:val="none"/>
        </w:rPr>
        <w:t>Semi-structured interviews facilitate a comprehensive exploration of the perceptions held by educators and parents, thereby enhancing the understanding of the observed behaviours. The mixed methods approach facilitates triangulation, which involves integrating data from diverse sources to enhance the validity of the study and to offer a more comprehensive understanding of the phenomenon under investigation.</w:t>
      </w:r>
      <w:r w:rsidR="00D47993" w:rsidRPr="004727B9">
        <w:t xml:space="preserve"> </w:t>
      </w:r>
      <w:r w:rsidR="00D47993" w:rsidRPr="004727B9">
        <w:rPr>
          <w:rFonts w:ascii="Arial" w:hAnsi="Arial" w:cs="Arial"/>
          <w:sz w:val="20"/>
          <w:szCs w:val="20"/>
        </w:rPr>
        <w:t xml:space="preserve">Research Method </w:t>
      </w:r>
      <w:r w:rsidR="00F63B13" w:rsidRPr="004727B9">
        <w:rPr>
          <w:rFonts w:ascii="Arial" w:hAnsi="Arial" w:cs="Arial"/>
          <w:sz w:val="20"/>
          <w:szCs w:val="20"/>
        </w:rPr>
        <w:t>Net (2005) identifies that</w:t>
      </w:r>
      <w:r w:rsidR="00F63B13" w:rsidRPr="004727B9">
        <w:rPr>
          <w:rFonts w:ascii="Arial" w:hAnsi="Arial" w:cs="Arial"/>
        </w:rPr>
        <w:t xml:space="preserve"> </w:t>
      </w:r>
      <w:r w:rsidR="00F63B13" w:rsidRPr="004727B9">
        <w:rPr>
          <w:rFonts w:ascii="Arial" w:eastAsia="Times New Roman" w:hAnsi="Arial" w:cs="Arial"/>
          <w:kern w:val="0"/>
          <w:sz w:val="20"/>
          <w:szCs w:val="20"/>
          <w:lang w:eastAsia="en-GB"/>
          <w14:ligatures w14:val="none"/>
        </w:rPr>
        <w:t>s</w:t>
      </w:r>
      <w:r w:rsidR="00D47993" w:rsidRPr="004727B9">
        <w:rPr>
          <w:rFonts w:ascii="Arial" w:eastAsia="Times New Roman" w:hAnsi="Arial" w:cs="Arial"/>
          <w:kern w:val="0"/>
          <w:sz w:val="20"/>
          <w:szCs w:val="20"/>
          <w:lang w:eastAsia="en-GB"/>
          <w14:ligatures w14:val="none"/>
        </w:rPr>
        <w:t xml:space="preserve">urveys involve collecting data from </w:t>
      </w:r>
      <w:proofErr w:type="gramStart"/>
      <w:r w:rsidR="00D47993" w:rsidRPr="004727B9">
        <w:rPr>
          <w:rFonts w:ascii="Arial" w:eastAsia="Times New Roman" w:hAnsi="Arial" w:cs="Arial"/>
          <w:kern w:val="0"/>
          <w:sz w:val="20"/>
          <w:szCs w:val="20"/>
          <w:lang w:eastAsia="en-GB"/>
          <w14:ligatures w14:val="none"/>
        </w:rPr>
        <w:t>a large number of</w:t>
      </w:r>
      <w:proofErr w:type="gramEnd"/>
      <w:r w:rsidR="00D47993" w:rsidRPr="004727B9">
        <w:rPr>
          <w:rFonts w:ascii="Arial" w:eastAsia="Times New Roman" w:hAnsi="Arial" w:cs="Arial"/>
          <w:kern w:val="0"/>
          <w:sz w:val="20"/>
          <w:szCs w:val="20"/>
          <w:lang w:eastAsia="en-GB"/>
          <w14:ligatures w14:val="none"/>
        </w:rPr>
        <w:t xml:space="preserve"> participants using standardized questionnaires.</w:t>
      </w:r>
      <w:r w:rsidR="00A013D5" w:rsidRPr="004727B9">
        <w:rPr>
          <w:rFonts w:ascii="Arial" w:eastAsia="Times New Roman" w:hAnsi="Arial" w:cs="Arial"/>
          <w:kern w:val="0"/>
          <w:sz w:val="20"/>
          <w:szCs w:val="20"/>
          <w:lang w:eastAsia="en-GB"/>
          <w14:ligatures w14:val="none"/>
        </w:rPr>
        <w:t xml:space="preserve"> </w:t>
      </w:r>
      <w:r w:rsidR="00A013D5" w:rsidRPr="004727B9">
        <w:rPr>
          <w:rFonts w:ascii="Arial" w:eastAsia="Times New Roman" w:hAnsi="Arial" w:cs="Arial"/>
          <w:kern w:val="0"/>
          <w:sz w:val="20"/>
          <w:szCs w:val="20"/>
          <w:lang w:eastAsia="en-GB"/>
          <w14:ligatures w14:val="none"/>
        </w:rPr>
        <w:t xml:space="preserve">This approach to collecting information could enhance the comprehension of how parents and practitioners view the impact of gender </w:t>
      </w:r>
      <w:r w:rsidR="00A013D5" w:rsidRPr="004727B9">
        <w:rPr>
          <w:rFonts w:ascii="Arial" w:eastAsia="Times New Roman" w:hAnsi="Arial" w:cs="Arial"/>
          <w:kern w:val="0"/>
          <w:sz w:val="20"/>
          <w:szCs w:val="20"/>
          <w:lang w:eastAsia="en-GB"/>
          <w14:ligatures w14:val="none"/>
        </w:rPr>
        <w:t>bias. However</w:t>
      </w:r>
      <w:r w:rsidR="00A013D5" w:rsidRPr="004727B9">
        <w:rPr>
          <w:rFonts w:ascii="Arial" w:eastAsia="Times New Roman" w:hAnsi="Arial" w:cs="Arial"/>
          <w:kern w:val="0"/>
          <w:sz w:val="20"/>
          <w:szCs w:val="20"/>
          <w:lang w:eastAsia="en-GB"/>
          <w14:ligatures w14:val="none"/>
        </w:rPr>
        <w:t>, it is important to note that administering surveys to young children may present significant challenges. Children may struggle to comprehend the questions posed or may subsequently lose interest in the activity. Engaging in discussions</w:t>
      </w:r>
      <w:r w:rsidR="00AB2DAF" w:rsidRPr="004727B9">
        <w:rPr>
          <w:rFonts w:ascii="Arial" w:eastAsia="Times New Roman" w:hAnsi="Arial" w:cs="Arial"/>
          <w:kern w:val="0"/>
          <w:sz w:val="20"/>
          <w:szCs w:val="20"/>
          <w:lang w:eastAsia="en-GB"/>
          <w14:ligatures w14:val="none"/>
        </w:rPr>
        <w:t xml:space="preserve"> or focus groups</w:t>
      </w:r>
      <w:r w:rsidR="00A013D5" w:rsidRPr="004727B9">
        <w:rPr>
          <w:rFonts w:ascii="Arial" w:eastAsia="Times New Roman" w:hAnsi="Arial" w:cs="Arial"/>
          <w:kern w:val="0"/>
          <w:sz w:val="20"/>
          <w:szCs w:val="20"/>
          <w:lang w:eastAsia="en-GB"/>
          <w14:ligatures w14:val="none"/>
        </w:rPr>
        <w:t xml:space="preserve"> regarding their preferred toys and games may serve as a method for data collection.</w:t>
      </w:r>
      <w:r w:rsidR="00AB2DAF" w:rsidRPr="004727B9">
        <w:rPr>
          <w:rFonts w:ascii="Arial" w:eastAsia="Times New Roman" w:hAnsi="Arial" w:cs="Arial"/>
          <w:kern w:val="0"/>
          <w:sz w:val="20"/>
          <w:szCs w:val="20"/>
          <w:lang w:eastAsia="en-GB"/>
          <w14:ligatures w14:val="none"/>
        </w:rPr>
        <w:t xml:space="preserve"> </w:t>
      </w:r>
      <w:r w:rsidR="004F2B40" w:rsidRPr="004727B9">
        <w:rPr>
          <w:rFonts w:ascii="Arial" w:eastAsia="Times New Roman" w:hAnsi="Arial" w:cs="Arial"/>
          <w:kern w:val="0"/>
          <w:sz w:val="20"/>
          <w:szCs w:val="20"/>
          <w:lang w:eastAsia="en-GB"/>
          <w14:ligatures w14:val="none"/>
        </w:rPr>
        <w:t>Research Method Net (2005) highlight r</w:t>
      </w:r>
      <w:r w:rsidR="00AB2DAF" w:rsidRPr="004727B9">
        <w:rPr>
          <w:rFonts w:ascii="Arial" w:eastAsia="Times New Roman" w:hAnsi="Arial" w:cs="Arial"/>
          <w:kern w:val="0"/>
          <w:sz w:val="20"/>
          <w:szCs w:val="20"/>
          <w:lang w:eastAsia="en-GB"/>
          <w14:ligatures w14:val="none"/>
        </w:rPr>
        <w:t>esearchers may use different types of focus groups, such as traditional focus groups or online focus groups, to collect data.</w:t>
      </w:r>
      <w:r w:rsidR="004F2B40" w:rsidRPr="004727B9">
        <w:rPr>
          <w:rFonts w:ascii="Arial" w:eastAsia="Times New Roman" w:hAnsi="Arial" w:cs="Arial"/>
          <w:kern w:val="0"/>
          <w:sz w:val="20"/>
          <w:szCs w:val="20"/>
          <w:lang w:eastAsia="en-GB"/>
          <w14:ligatures w14:val="none"/>
        </w:rPr>
        <w:t xml:space="preserve"> </w:t>
      </w:r>
    </w:p>
    <w:p w14:paraId="46391DC1" w14:textId="77777777" w:rsidR="00A013D5" w:rsidRPr="004727B9" w:rsidRDefault="00A013D5" w:rsidP="00A013D5">
      <w:pPr>
        <w:rPr>
          <w:rFonts w:ascii="Arial" w:hAnsi="Arial" w:cs="Arial"/>
          <w:b/>
          <w:bCs/>
          <w:sz w:val="20"/>
          <w:szCs w:val="20"/>
          <w:u w:val="single"/>
        </w:rPr>
      </w:pPr>
    </w:p>
    <w:p w14:paraId="21002B0C" w14:textId="1AA1A4B9" w:rsidR="000B5195" w:rsidRPr="004727B9" w:rsidRDefault="000B5195" w:rsidP="000B5195">
      <w:pPr>
        <w:jc w:val="center"/>
        <w:rPr>
          <w:rFonts w:ascii="Arial" w:hAnsi="Arial" w:cs="Arial"/>
          <w:b/>
          <w:bCs/>
          <w:sz w:val="20"/>
          <w:szCs w:val="20"/>
          <w:u w:val="single"/>
        </w:rPr>
      </w:pPr>
      <w:r w:rsidRPr="004727B9">
        <w:rPr>
          <w:rFonts w:ascii="Arial" w:hAnsi="Arial" w:cs="Arial"/>
          <w:b/>
          <w:bCs/>
          <w:sz w:val="20"/>
          <w:szCs w:val="20"/>
          <w:u w:val="single"/>
        </w:rPr>
        <w:t>Ethical Considerations in Working and Researching with Young Children</w:t>
      </w:r>
    </w:p>
    <w:p w14:paraId="649990C0" w14:textId="77777777" w:rsidR="00BE5EF0" w:rsidRPr="004727B9" w:rsidRDefault="00BE5EF0" w:rsidP="000B5195">
      <w:pPr>
        <w:rPr>
          <w:rFonts w:ascii="Arial" w:hAnsi="Arial" w:cs="Arial"/>
          <w:sz w:val="20"/>
          <w:szCs w:val="20"/>
        </w:rPr>
      </w:pPr>
    </w:p>
    <w:p w14:paraId="513CD205" w14:textId="772B8C19" w:rsidR="000B5195" w:rsidRPr="004727B9" w:rsidRDefault="000B5195" w:rsidP="00C33FD8">
      <w:pPr>
        <w:rPr>
          <w:rFonts w:ascii="Arial" w:hAnsi="Arial" w:cs="Arial"/>
          <w:sz w:val="20"/>
          <w:szCs w:val="20"/>
        </w:rPr>
      </w:pPr>
      <w:r w:rsidRPr="004727B9">
        <w:rPr>
          <w:rFonts w:ascii="Arial" w:hAnsi="Arial" w:cs="Arial"/>
          <w:sz w:val="20"/>
          <w:szCs w:val="20"/>
        </w:rPr>
        <w:t xml:space="preserve">Working and researching with young children presents a unique set of ethical challenges. Their developing capacity for understanding, vulnerability, and dependence on adults necessitates careful consideration to ensure their well-being and respect for their rights. </w:t>
      </w:r>
      <w:r w:rsidR="00E22BF1" w:rsidRPr="004727B9">
        <w:rPr>
          <w:rFonts w:ascii="Arial" w:hAnsi="Arial" w:cs="Arial"/>
          <w:sz w:val="20"/>
          <w:szCs w:val="20"/>
        </w:rPr>
        <w:t xml:space="preserve">Legal Services </w:t>
      </w:r>
      <w:r w:rsidR="00037DEA" w:rsidRPr="004727B9">
        <w:rPr>
          <w:rFonts w:ascii="Arial" w:hAnsi="Arial" w:cs="Arial"/>
          <w:sz w:val="20"/>
          <w:szCs w:val="20"/>
        </w:rPr>
        <w:t xml:space="preserve">Data Protection </w:t>
      </w:r>
      <w:r w:rsidR="004727B9" w:rsidRPr="004727B9">
        <w:rPr>
          <w:rFonts w:ascii="Arial" w:hAnsi="Arial" w:cs="Arial"/>
          <w:sz w:val="20"/>
          <w:szCs w:val="20"/>
        </w:rPr>
        <w:t xml:space="preserve">Office </w:t>
      </w:r>
      <w:proofErr w:type="spellStart"/>
      <w:proofErr w:type="gramStart"/>
      <w:r w:rsidR="004727B9" w:rsidRPr="004727B9">
        <w:rPr>
          <w:rFonts w:ascii="Arial" w:hAnsi="Arial" w:cs="Arial"/>
          <w:sz w:val="20"/>
          <w:szCs w:val="20"/>
        </w:rPr>
        <w:t>a</w:t>
      </w:r>
      <w:proofErr w:type="spellEnd"/>
      <w:r w:rsidR="00037DEA" w:rsidRPr="004727B9">
        <w:rPr>
          <w:rFonts w:ascii="Arial" w:hAnsi="Arial" w:cs="Arial"/>
          <w:sz w:val="20"/>
          <w:szCs w:val="20"/>
        </w:rPr>
        <w:t>(</w:t>
      </w:r>
      <w:proofErr w:type="gramEnd"/>
      <w:r w:rsidR="00037DEA" w:rsidRPr="004727B9">
        <w:rPr>
          <w:rFonts w:ascii="Arial" w:hAnsi="Arial" w:cs="Arial"/>
          <w:sz w:val="20"/>
          <w:szCs w:val="20"/>
        </w:rPr>
        <w:t xml:space="preserve">2019) identifies that </w:t>
      </w:r>
      <w:r w:rsidR="00037DEA" w:rsidRPr="004727B9">
        <w:rPr>
          <w:rFonts w:ascii="Arial" w:hAnsi="Arial" w:cs="Arial"/>
          <w:sz w:val="20"/>
          <w:szCs w:val="20"/>
        </w:rPr>
        <w:t xml:space="preserve">Article 6(1) GDPR lists consent as one potential basis for processing personal data. However, the GDPR imposes very strict requirements </w:t>
      </w:r>
      <w:proofErr w:type="gramStart"/>
      <w:r w:rsidR="00037DEA" w:rsidRPr="004727B9">
        <w:rPr>
          <w:rFonts w:ascii="Arial" w:hAnsi="Arial" w:cs="Arial"/>
          <w:sz w:val="20"/>
          <w:szCs w:val="20"/>
        </w:rPr>
        <w:t>in order for</w:t>
      </w:r>
      <w:proofErr w:type="gramEnd"/>
      <w:r w:rsidR="00037DEA" w:rsidRPr="004727B9">
        <w:rPr>
          <w:rFonts w:ascii="Arial" w:hAnsi="Arial" w:cs="Arial"/>
          <w:sz w:val="20"/>
          <w:szCs w:val="20"/>
        </w:rPr>
        <w:t xml:space="preserve"> consent to be valid. </w:t>
      </w:r>
      <w:proofErr w:type="gramStart"/>
      <w:r w:rsidR="00037DEA" w:rsidRPr="004727B9">
        <w:rPr>
          <w:rFonts w:ascii="Arial" w:hAnsi="Arial" w:cs="Arial"/>
          <w:sz w:val="20"/>
          <w:szCs w:val="20"/>
        </w:rPr>
        <w:t>In particular, consent</w:t>
      </w:r>
      <w:proofErr w:type="gramEnd"/>
      <w:r w:rsidR="00037DEA" w:rsidRPr="004727B9">
        <w:rPr>
          <w:rFonts w:ascii="Arial" w:hAnsi="Arial" w:cs="Arial"/>
          <w:sz w:val="20"/>
          <w:szCs w:val="20"/>
        </w:rPr>
        <w:t xml:space="preserve"> must be freely given, specific and informed</w:t>
      </w:r>
      <w:r w:rsidR="00061328" w:rsidRPr="004727B9">
        <w:rPr>
          <w:rFonts w:ascii="Arial" w:hAnsi="Arial" w:cs="Arial"/>
          <w:sz w:val="20"/>
          <w:szCs w:val="20"/>
        </w:rPr>
        <w:t xml:space="preserve"> </w:t>
      </w:r>
      <w:r w:rsidR="00037DEA" w:rsidRPr="004727B9">
        <w:rPr>
          <w:rFonts w:ascii="Arial" w:hAnsi="Arial" w:cs="Arial"/>
          <w:sz w:val="20"/>
          <w:szCs w:val="20"/>
        </w:rPr>
        <w:t>and unambiguous</w:t>
      </w:r>
      <w:r w:rsidR="00E61441" w:rsidRPr="004727B9">
        <w:rPr>
          <w:rFonts w:ascii="Arial" w:hAnsi="Arial" w:cs="Arial"/>
          <w:sz w:val="20"/>
          <w:szCs w:val="20"/>
        </w:rPr>
        <w:t xml:space="preserve">. </w:t>
      </w:r>
      <w:r w:rsidR="00037DEA" w:rsidRPr="004727B9">
        <w:rPr>
          <w:rFonts w:ascii="Arial" w:hAnsi="Arial" w:cs="Arial"/>
          <w:sz w:val="20"/>
          <w:szCs w:val="20"/>
        </w:rPr>
        <w:t>Individuals may withdraw their consent at any time.</w:t>
      </w:r>
      <w:r w:rsidR="00E61441" w:rsidRPr="004727B9">
        <w:rPr>
          <w:rFonts w:ascii="Arial" w:hAnsi="Arial" w:cs="Arial"/>
          <w:sz w:val="20"/>
          <w:szCs w:val="20"/>
        </w:rPr>
        <w:t xml:space="preserve"> </w:t>
      </w:r>
      <w:r w:rsidR="00E61441" w:rsidRPr="004727B9">
        <w:rPr>
          <w:rFonts w:ascii="Arial" w:hAnsi="Arial" w:cs="Arial"/>
          <w:sz w:val="20"/>
          <w:szCs w:val="20"/>
        </w:rPr>
        <w:t>Acquiring informed consent is a key aspect of maintaining ethical standards in research practices. However, due to the limited cognitive abilities exhibited by young children, it is essential to adopt a dual approach in their educational and developmental processes. Parental consent is essential in the research process, as it ensures that guardians possess a comprehensive understanding of the study's objectives, methodologies, and the potential risks and benefits associated with participation.</w:t>
      </w:r>
      <w:r w:rsidR="00C33FD8" w:rsidRPr="004727B9">
        <w:t xml:space="preserve"> </w:t>
      </w:r>
      <w:r w:rsidR="00944C57" w:rsidRPr="004727B9">
        <w:rPr>
          <w:rFonts w:ascii="Arial" w:hAnsi="Arial" w:cs="Arial"/>
          <w:sz w:val="20"/>
          <w:szCs w:val="20"/>
        </w:rPr>
        <w:t xml:space="preserve">Legal Service Data Protection </w:t>
      </w:r>
      <w:r w:rsidR="004727B9" w:rsidRPr="004727B9">
        <w:rPr>
          <w:rFonts w:ascii="Arial" w:hAnsi="Arial" w:cs="Arial"/>
          <w:sz w:val="20"/>
          <w:szCs w:val="20"/>
        </w:rPr>
        <w:t xml:space="preserve">Office </w:t>
      </w:r>
      <w:proofErr w:type="gramStart"/>
      <w:r w:rsidR="004727B9" w:rsidRPr="004727B9">
        <w:rPr>
          <w:rFonts w:ascii="Arial" w:hAnsi="Arial" w:cs="Arial"/>
          <w:sz w:val="20"/>
          <w:szCs w:val="20"/>
        </w:rPr>
        <w:t>b</w:t>
      </w:r>
      <w:r w:rsidR="00944C57" w:rsidRPr="004727B9">
        <w:rPr>
          <w:rFonts w:ascii="Arial" w:hAnsi="Arial" w:cs="Arial"/>
          <w:sz w:val="20"/>
          <w:szCs w:val="20"/>
        </w:rPr>
        <w:t>(</w:t>
      </w:r>
      <w:proofErr w:type="gramEnd"/>
      <w:r w:rsidR="00944C57" w:rsidRPr="004727B9">
        <w:rPr>
          <w:rFonts w:ascii="Arial" w:hAnsi="Arial" w:cs="Arial"/>
          <w:sz w:val="20"/>
          <w:szCs w:val="20"/>
        </w:rPr>
        <w:t xml:space="preserve">2019) highlights that </w:t>
      </w:r>
      <w:r w:rsidR="00C33FD8" w:rsidRPr="004727B9">
        <w:rPr>
          <w:rFonts w:ascii="Arial" w:hAnsi="Arial" w:cs="Arial"/>
          <w:sz w:val="20"/>
          <w:szCs w:val="20"/>
        </w:rPr>
        <w:t xml:space="preserve">in exceptional circumstances and following the receipt of approval from the Data Protection Office, you do choose to rely on consent as the legal basis for processing you must always consider whether the individual child has the competence to understand and consent for themselves. If not, the child’s consent will not be valid. </w:t>
      </w:r>
      <w:r w:rsidR="003943F0" w:rsidRPr="004727B9">
        <w:rPr>
          <w:rFonts w:ascii="Arial" w:hAnsi="Arial" w:cs="Arial"/>
          <w:sz w:val="20"/>
          <w:szCs w:val="20"/>
        </w:rPr>
        <w:t xml:space="preserve"> </w:t>
      </w:r>
      <w:r w:rsidR="00C33FD8" w:rsidRPr="004727B9">
        <w:rPr>
          <w:rFonts w:ascii="Arial" w:hAnsi="Arial" w:cs="Arial"/>
          <w:sz w:val="20"/>
          <w:szCs w:val="20"/>
        </w:rPr>
        <w:t>Where a child is not competent to give consent, the consent of someone with parental authority over them will need to be obtained.</w:t>
      </w:r>
      <w:r w:rsidR="00E61441" w:rsidRPr="004727B9">
        <w:rPr>
          <w:rFonts w:ascii="Arial" w:hAnsi="Arial" w:cs="Arial"/>
          <w:sz w:val="20"/>
          <w:szCs w:val="20"/>
        </w:rPr>
        <w:t xml:space="preserve"> </w:t>
      </w:r>
      <w:r w:rsidR="009A0B64" w:rsidRPr="004727B9">
        <w:rPr>
          <w:rFonts w:ascii="Arial" w:hAnsi="Arial" w:cs="Arial"/>
          <w:sz w:val="20"/>
          <w:szCs w:val="20"/>
        </w:rPr>
        <w:t xml:space="preserve">In addition to obtaining parental consent, researchers should seek to secure assent from child participants whenever feasible. </w:t>
      </w:r>
      <w:r w:rsidR="00444520" w:rsidRPr="004727B9">
        <w:rPr>
          <w:rFonts w:ascii="Arial" w:hAnsi="Arial" w:cs="Arial"/>
          <w:sz w:val="20"/>
          <w:szCs w:val="20"/>
        </w:rPr>
        <w:t>Researchers must refrain from employing any form of coercion or undue pressure to solicit participation in their studies. This may necessitate the implementation of measures to ensure that participation does not provide disproportionate advantages to children or their families.</w:t>
      </w:r>
    </w:p>
    <w:p w14:paraId="0115B53C" w14:textId="3428F163" w:rsidR="003E04F6" w:rsidRPr="004727B9" w:rsidRDefault="003E04F6" w:rsidP="003E04F6">
      <w:pPr>
        <w:rPr>
          <w:rFonts w:ascii="Arial" w:hAnsi="Arial" w:cs="Arial"/>
          <w:sz w:val="20"/>
          <w:szCs w:val="20"/>
        </w:rPr>
      </w:pPr>
      <w:r w:rsidRPr="004727B9">
        <w:rPr>
          <w:rFonts w:ascii="Arial" w:hAnsi="Arial" w:cs="Arial"/>
          <w:sz w:val="20"/>
          <w:szCs w:val="20"/>
        </w:rPr>
        <w:lastRenderedPageBreak/>
        <w:t>Research involving children should be conducted with careful consideration to ensure that participants are not subjected to excessive risks. This encompasses the potential for emotional distress, the presence of social stigmas, and the pressure to engage in participation. The research design must prioritize a minimal intrusion into the lives of children. Furthermore, it is imperative for researchers to establish well-defined protocols to manage any unforeseen risks that may occur throughout the research process</w:t>
      </w:r>
      <w:r w:rsidR="00F71B9C" w:rsidRPr="004727B9">
        <w:rPr>
          <w:rFonts w:ascii="Arial" w:hAnsi="Arial" w:cs="Arial"/>
          <w:sz w:val="20"/>
          <w:szCs w:val="20"/>
        </w:rPr>
        <w:t>.</w:t>
      </w:r>
      <w:r w:rsidRPr="004727B9">
        <w:rPr>
          <w:rFonts w:ascii="Arial" w:hAnsi="Arial" w:cs="Arial"/>
          <w:sz w:val="20"/>
          <w:szCs w:val="20"/>
        </w:rPr>
        <w:t xml:space="preserve"> Researchers are encouraged to undertake comprehensive risk assessments and to develop well-defined strategies for the management of potential hazards.</w:t>
      </w:r>
      <w:r w:rsidR="009372B0" w:rsidRPr="004727B9">
        <w:rPr>
          <w:rFonts w:ascii="Arial" w:hAnsi="Arial" w:cs="Arial"/>
          <w:sz w:val="20"/>
          <w:szCs w:val="20"/>
        </w:rPr>
        <w:t xml:space="preserve"> </w:t>
      </w:r>
      <w:r w:rsidR="009372B0" w:rsidRPr="004727B9">
        <w:rPr>
          <w:rFonts w:ascii="Arial" w:hAnsi="Arial" w:cs="Arial"/>
          <w:sz w:val="20"/>
          <w:szCs w:val="20"/>
        </w:rPr>
        <w:t>G</w:t>
      </w:r>
      <w:r w:rsidR="00F4515B" w:rsidRPr="004727B9">
        <w:rPr>
          <w:rFonts w:ascii="Arial" w:hAnsi="Arial" w:cs="Arial"/>
          <w:sz w:val="20"/>
          <w:szCs w:val="20"/>
        </w:rPr>
        <w:t>OV.UK (2022) identifies t</w:t>
      </w:r>
      <w:r w:rsidR="009372B0" w:rsidRPr="004727B9">
        <w:rPr>
          <w:rFonts w:ascii="Arial" w:hAnsi="Arial" w:cs="Arial"/>
          <w:sz w:val="20"/>
          <w:szCs w:val="20"/>
        </w:rPr>
        <w:t>he risk assessment must be specific to the proposed trial and whilst the process may include templates or a guide on the areas to consider in the risk assessment, care should be taken to examine the potential risks of the proposed trial, which may present new areas that have not been considered in previous trials. This is why it is a bespoke approach.</w:t>
      </w:r>
      <w:r w:rsidRPr="004727B9">
        <w:rPr>
          <w:rFonts w:ascii="Arial" w:hAnsi="Arial" w:cs="Arial"/>
          <w:sz w:val="20"/>
          <w:szCs w:val="20"/>
        </w:rPr>
        <w:t xml:space="preserve"> This may involve ensuring the availability of qualified personnel to effectively address any emotional or psychological concerns that may emerge.</w:t>
      </w:r>
    </w:p>
    <w:p w14:paraId="6C3C1E19" w14:textId="77777777" w:rsidR="001E246C" w:rsidRPr="004727B9" w:rsidRDefault="001E246C" w:rsidP="001E246C">
      <w:pPr>
        <w:rPr>
          <w:rFonts w:ascii="Arial" w:hAnsi="Arial" w:cs="Arial"/>
          <w:sz w:val="20"/>
          <w:szCs w:val="20"/>
        </w:rPr>
      </w:pPr>
      <w:r w:rsidRPr="004727B9">
        <w:rPr>
          <w:rFonts w:ascii="Arial" w:hAnsi="Arial" w:cs="Arial"/>
          <w:sz w:val="20"/>
          <w:szCs w:val="20"/>
        </w:rPr>
        <w:t>Transparent and candid communication is essential throughout the research process. Researchers should be consistently accessible to respond to inquiries from children and their parents, as well as to address any arising concerns. This cultivates trust and facilitates informed decision-making. Furthermore, it is imperative for researchers to furnish participants with explicit information regarding the methods of dissemination and intended applications of the research findings.</w:t>
      </w:r>
    </w:p>
    <w:p w14:paraId="595BA3A2" w14:textId="20E28234" w:rsidR="001E246C" w:rsidRPr="004727B9" w:rsidRDefault="001E246C" w:rsidP="001E246C">
      <w:pPr>
        <w:rPr>
          <w:rFonts w:ascii="Arial" w:hAnsi="Arial" w:cs="Arial"/>
          <w:sz w:val="20"/>
          <w:szCs w:val="20"/>
        </w:rPr>
      </w:pPr>
      <w:r w:rsidRPr="004727B9">
        <w:rPr>
          <w:rFonts w:ascii="Arial" w:hAnsi="Arial" w:cs="Arial"/>
          <w:sz w:val="20"/>
          <w:szCs w:val="20"/>
        </w:rPr>
        <w:t xml:space="preserve">The information sheet distributed to parents and, when appropriate, to children should be characterized by clarity, conciseness, and suitability for the developmental level of the intended audience. The research protocol must comprehensively outline the purpose of the study, the methodologies employed, potential risks and benefits associated with participation, measures taken to ensure confidentiality, and participants' rights, including the option to withdraw from the research at any time without penalty. </w:t>
      </w:r>
      <w:r w:rsidR="00396AD6" w:rsidRPr="004727B9">
        <w:rPr>
          <w:rFonts w:ascii="Arial" w:hAnsi="Arial" w:cs="Arial"/>
          <w:sz w:val="20"/>
          <w:szCs w:val="20"/>
        </w:rPr>
        <w:t>National Library of Medicine (2020) informs that i</w:t>
      </w:r>
      <w:r w:rsidR="002441C4" w:rsidRPr="004727B9">
        <w:rPr>
          <w:rFonts w:ascii="Arial" w:hAnsi="Arial" w:cs="Arial"/>
          <w:sz w:val="20"/>
          <w:szCs w:val="20"/>
        </w:rPr>
        <w:t xml:space="preserve">nstitutional review boards (IRBs), duly constituted under the Office of Human Research Protection, have the federally mandated responsibility of reviewing research involving human subjects to ensure that a proposed protocol meets the appropriate ethical guidelines before subjects may be enrolled in any study. </w:t>
      </w:r>
      <w:r w:rsidRPr="004727B9">
        <w:rPr>
          <w:rFonts w:ascii="Arial" w:hAnsi="Arial" w:cs="Arial"/>
          <w:sz w:val="20"/>
          <w:szCs w:val="20"/>
        </w:rPr>
        <w:t>These resources may prove to be especially advantageous when developing information sheets for research conducted with young children.</w:t>
      </w:r>
    </w:p>
    <w:p w14:paraId="7A0A2DDA" w14:textId="1F38C447" w:rsidR="0091529A" w:rsidRPr="00664A08" w:rsidRDefault="0091529A" w:rsidP="0091529A">
      <w:pPr>
        <w:rPr>
          <w:rFonts w:ascii="Arial" w:hAnsi="Arial" w:cs="Arial"/>
          <w:sz w:val="20"/>
          <w:szCs w:val="20"/>
        </w:rPr>
      </w:pPr>
      <w:r w:rsidRPr="004727B9">
        <w:rPr>
          <w:rFonts w:ascii="Arial" w:hAnsi="Arial" w:cs="Arial"/>
          <w:sz w:val="20"/>
          <w:szCs w:val="20"/>
        </w:rPr>
        <w:t xml:space="preserve">Protecting the privacy of children is extremely </w:t>
      </w:r>
      <w:r w:rsidR="003D6121" w:rsidRPr="004727B9">
        <w:rPr>
          <w:rFonts w:ascii="Arial" w:hAnsi="Arial" w:cs="Arial"/>
          <w:sz w:val="20"/>
          <w:szCs w:val="20"/>
        </w:rPr>
        <w:t>important. Researchers</w:t>
      </w:r>
      <w:r w:rsidRPr="004727B9">
        <w:rPr>
          <w:rFonts w:ascii="Arial" w:hAnsi="Arial" w:cs="Arial"/>
          <w:sz w:val="20"/>
          <w:szCs w:val="20"/>
        </w:rPr>
        <w:t xml:space="preserve"> are required to uphold data confidentiality by anonymizing the information collected whenever feasible. </w:t>
      </w:r>
      <w:r w:rsidR="002A3CCC" w:rsidRPr="004727B9">
        <w:rPr>
          <w:rFonts w:ascii="Arial" w:hAnsi="Arial" w:cs="Arial"/>
          <w:sz w:val="20"/>
          <w:szCs w:val="20"/>
        </w:rPr>
        <w:t xml:space="preserve">GOV.UK (2024) highlights </w:t>
      </w:r>
      <w:r w:rsidR="002A3CCC" w:rsidRPr="004727B9">
        <w:rPr>
          <w:rFonts w:ascii="Arial" w:hAnsi="Arial" w:cs="Arial"/>
          <w:sz w:val="20"/>
          <w:szCs w:val="20"/>
        </w:rPr>
        <w:t xml:space="preserve">The General Data Protection Regulation (GDPR) came into force on 25 May 2018 through the Data Protection Act 2018. It’s about protecting citizens’ personal data when it is being processed or moved. </w:t>
      </w:r>
      <w:r w:rsidRPr="004727B9">
        <w:rPr>
          <w:rFonts w:ascii="Arial" w:hAnsi="Arial" w:cs="Arial"/>
          <w:sz w:val="20"/>
          <w:szCs w:val="20"/>
        </w:rPr>
        <w:t xml:space="preserve">The United Kingdom's General Data Protection Regulation (GDPR) delineates rigorous standards pertaining to data protection and privacy, which are crucial to </w:t>
      </w:r>
      <w:proofErr w:type="gramStart"/>
      <w:r w:rsidRPr="004727B9">
        <w:rPr>
          <w:rFonts w:ascii="Arial" w:hAnsi="Arial" w:cs="Arial"/>
          <w:sz w:val="20"/>
          <w:szCs w:val="20"/>
        </w:rPr>
        <w:t>take into account</w:t>
      </w:r>
      <w:proofErr w:type="gramEnd"/>
      <w:r w:rsidRPr="004727B9">
        <w:rPr>
          <w:rFonts w:ascii="Arial" w:hAnsi="Arial" w:cs="Arial"/>
          <w:sz w:val="20"/>
          <w:szCs w:val="20"/>
        </w:rPr>
        <w:t xml:space="preserve"> when engaging with children. Ensuring confidentiality is vital, particularly in studies that deal with sensitive </w:t>
      </w:r>
      <w:r w:rsidR="003D6121" w:rsidRPr="004727B9">
        <w:rPr>
          <w:rFonts w:ascii="Arial" w:hAnsi="Arial" w:cs="Arial"/>
          <w:sz w:val="20"/>
          <w:szCs w:val="20"/>
        </w:rPr>
        <w:t>issues. This</w:t>
      </w:r>
      <w:r w:rsidRPr="004727B9">
        <w:rPr>
          <w:rFonts w:ascii="Arial" w:hAnsi="Arial" w:cs="Arial"/>
          <w:sz w:val="20"/>
          <w:szCs w:val="20"/>
        </w:rPr>
        <w:t xml:space="preserve"> entails implementing measures to guarantee that no participant can be readily identifiable from the research outcomes. Researchers ought to rigorously evaluate the potential implications of their findings on children's social status and future opportunities.</w:t>
      </w:r>
      <w:r w:rsidR="00BB1E97" w:rsidRPr="004727B9">
        <w:rPr>
          <w:rFonts w:ascii="Arial" w:hAnsi="Arial" w:cs="Arial"/>
          <w:sz w:val="20"/>
          <w:szCs w:val="20"/>
        </w:rPr>
        <w:t xml:space="preserve"> </w:t>
      </w:r>
      <w:r w:rsidRPr="004727B9">
        <w:rPr>
          <w:rFonts w:ascii="Arial" w:hAnsi="Arial" w:cs="Arial"/>
          <w:sz w:val="20"/>
          <w:szCs w:val="20"/>
        </w:rPr>
        <w:t xml:space="preserve">Data collection methods ought to be tailored to be developmentally appropriate for children and should be designed to minimize any disruption to their daily </w:t>
      </w:r>
      <w:r w:rsidR="004727B9" w:rsidRPr="004727B9">
        <w:rPr>
          <w:rFonts w:ascii="Arial" w:hAnsi="Arial" w:cs="Arial"/>
          <w:sz w:val="20"/>
          <w:szCs w:val="20"/>
        </w:rPr>
        <w:t>routines.</w:t>
      </w:r>
      <w:r w:rsidRPr="004727B9">
        <w:rPr>
          <w:rFonts w:ascii="Arial" w:hAnsi="Arial" w:cs="Arial"/>
          <w:sz w:val="20"/>
          <w:szCs w:val="20"/>
        </w:rPr>
        <w:t xml:space="preserve"> Data storage practices must adhere to applicable governmental regulations, such as the General Data Protection Regulation (GDPR) in the United Kingdom</w:t>
      </w:r>
      <w:r w:rsidR="0007068D" w:rsidRPr="004727B9">
        <w:rPr>
          <w:rFonts w:ascii="Arial" w:hAnsi="Arial" w:cs="Arial"/>
          <w:sz w:val="20"/>
          <w:szCs w:val="20"/>
        </w:rPr>
        <w:t xml:space="preserve">. </w:t>
      </w:r>
      <w:r w:rsidRPr="004727B9">
        <w:rPr>
          <w:rFonts w:ascii="Arial" w:hAnsi="Arial" w:cs="Arial"/>
          <w:sz w:val="20"/>
          <w:szCs w:val="20"/>
        </w:rPr>
        <w:t>These regulations mandate the implementation of secure storage protocols and robust data protection measures.</w:t>
      </w:r>
      <w:r w:rsidR="00011195" w:rsidRPr="004727B9">
        <w:t xml:space="preserve"> </w:t>
      </w:r>
      <w:r w:rsidR="00011195" w:rsidRPr="004727B9">
        <w:rPr>
          <w:rFonts w:ascii="Arial" w:hAnsi="Arial" w:cs="Arial"/>
          <w:sz w:val="20"/>
          <w:szCs w:val="20"/>
        </w:rPr>
        <w:t>Understanding data management and sharing plans is essential, as these components serve as necessary conditions for the successful execution of research studies.</w:t>
      </w:r>
      <w:r w:rsidR="00011195" w:rsidRPr="004727B9">
        <w:rPr>
          <w:rFonts w:ascii="Arial" w:hAnsi="Arial" w:cs="Arial"/>
          <w:sz w:val="20"/>
          <w:szCs w:val="20"/>
        </w:rPr>
        <w:t xml:space="preserve"> </w:t>
      </w:r>
      <w:r w:rsidR="00011195" w:rsidRPr="004727B9">
        <w:rPr>
          <w:rFonts w:ascii="Arial" w:hAnsi="Arial" w:cs="Arial"/>
          <w:sz w:val="20"/>
          <w:szCs w:val="20"/>
        </w:rPr>
        <w:t>Establishing a strategic plan improves the allocation of time and effort, resulting in a streamlined research process.</w:t>
      </w:r>
      <w:r w:rsidR="004727B9">
        <w:rPr>
          <w:rFonts w:ascii="Arial" w:hAnsi="Arial" w:cs="Arial"/>
          <w:sz w:val="20"/>
          <w:szCs w:val="20"/>
        </w:rPr>
        <w:t xml:space="preserve"> </w:t>
      </w:r>
      <w:r w:rsidR="00011195" w:rsidRPr="004727B9">
        <w:rPr>
          <w:rFonts w:ascii="Arial" w:hAnsi="Arial" w:cs="Arial"/>
          <w:sz w:val="20"/>
          <w:szCs w:val="20"/>
        </w:rPr>
        <w:t xml:space="preserve">By examining the types of data that will be generated and the methodologies employed in their creation, one can ascertain whether the requisite support systems are adequately established. Strategic planning facilitates the formulation of informed decisions by </w:t>
      </w:r>
      <w:proofErr w:type="gramStart"/>
      <w:r w:rsidR="00011195" w:rsidRPr="004727B9">
        <w:rPr>
          <w:rFonts w:ascii="Arial" w:hAnsi="Arial" w:cs="Arial"/>
          <w:sz w:val="20"/>
          <w:szCs w:val="20"/>
        </w:rPr>
        <w:t>taking into account</w:t>
      </w:r>
      <w:proofErr w:type="gramEnd"/>
      <w:r w:rsidR="00011195" w:rsidRPr="004727B9">
        <w:rPr>
          <w:rFonts w:ascii="Arial" w:hAnsi="Arial" w:cs="Arial"/>
          <w:sz w:val="20"/>
          <w:szCs w:val="20"/>
        </w:rPr>
        <w:t xml:space="preserve"> the broader context and potential implications associated with various alternative.</w:t>
      </w:r>
      <w:r w:rsidR="00303665" w:rsidRPr="004727B9">
        <w:rPr>
          <w:rFonts w:ascii="Arial" w:hAnsi="Arial" w:cs="Arial"/>
          <w:sz w:val="20"/>
          <w:szCs w:val="20"/>
        </w:rPr>
        <w:t xml:space="preserve"> DCC (2011)</w:t>
      </w:r>
      <w:r w:rsidR="00011195" w:rsidRPr="004727B9">
        <w:rPr>
          <w:rFonts w:ascii="Arial" w:hAnsi="Arial" w:cs="Arial"/>
          <w:sz w:val="20"/>
          <w:szCs w:val="20"/>
        </w:rPr>
        <w:t xml:space="preserve"> </w:t>
      </w:r>
      <w:r w:rsidR="00F30E84" w:rsidRPr="004727B9">
        <w:rPr>
          <w:rFonts w:ascii="Arial" w:hAnsi="Arial" w:cs="Arial"/>
          <w:sz w:val="20"/>
          <w:szCs w:val="20"/>
        </w:rPr>
        <w:t xml:space="preserve">Publishers and research funders may require that you share your </w:t>
      </w:r>
      <w:proofErr w:type="gramStart"/>
      <w:r w:rsidR="00F30E84" w:rsidRPr="004727B9">
        <w:rPr>
          <w:rFonts w:ascii="Arial" w:hAnsi="Arial" w:cs="Arial"/>
          <w:sz w:val="20"/>
          <w:szCs w:val="20"/>
        </w:rPr>
        <w:t>data</w:t>
      </w:r>
      <w:proofErr w:type="gramEnd"/>
      <w:r w:rsidR="00F30E84" w:rsidRPr="004727B9">
        <w:rPr>
          <w:rFonts w:ascii="Arial" w:hAnsi="Arial" w:cs="Arial"/>
          <w:sz w:val="20"/>
          <w:szCs w:val="20"/>
        </w:rPr>
        <w:t xml:space="preserve"> so it is worth investing time to plan for effective data management. Several funders ask for data plans as part of grant proposals.</w:t>
      </w:r>
    </w:p>
    <w:p w14:paraId="5770B01E" w14:textId="77777777" w:rsidR="00045075" w:rsidRPr="00664A08" w:rsidRDefault="00045075" w:rsidP="0091529A">
      <w:pPr>
        <w:rPr>
          <w:rFonts w:ascii="Arial" w:hAnsi="Arial" w:cs="Arial"/>
          <w:sz w:val="20"/>
          <w:szCs w:val="20"/>
        </w:rPr>
      </w:pPr>
    </w:p>
    <w:p w14:paraId="2962B95A" w14:textId="2FA22D4C" w:rsidR="0091529A" w:rsidRPr="00664A08" w:rsidRDefault="00045075" w:rsidP="00045075">
      <w:pPr>
        <w:jc w:val="center"/>
        <w:rPr>
          <w:rFonts w:ascii="Arial" w:hAnsi="Arial" w:cs="Arial"/>
          <w:b/>
          <w:bCs/>
          <w:sz w:val="20"/>
          <w:szCs w:val="20"/>
          <w:u w:val="single"/>
        </w:rPr>
      </w:pPr>
      <w:r w:rsidRPr="00664A08">
        <w:rPr>
          <w:rFonts w:ascii="Arial" w:hAnsi="Arial" w:cs="Arial"/>
          <w:b/>
          <w:bCs/>
          <w:sz w:val="20"/>
          <w:szCs w:val="20"/>
          <w:u w:val="single"/>
        </w:rPr>
        <w:t>C</w:t>
      </w:r>
      <w:r w:rsidR="0091529A" w:rsidRPr="00664A08">
        <w:rPr>
          <w:rFonts w:ascii="Arial" w:hAnsi="Arial" w:cs="Arial"/>
          <w:b/>
          <w:bCs/>
          <w:sz w:val="20"/>
          <w:szCs w:val="20"/>
          <w:u w:val="single"/>
        </w:rPr>
        <w:t>onclusio</w:t>
      </w:r>
      <w:r w:rsidRPr="00664A08">
        <w:rPr>
          <w:rFonts w:ascii="Arial" w:hAnsi="Arial" w:cs="Arial"/>
          <w:b/>
          <w:bCs/>
          <w:sz w:val="20"/>
          <w:szCs w:val="20"/>
          <w:u w:val="single"/>
        </w:rPr>
        <w:t>n</w:t>
      </w:r>
    </w:p>
    <w:p w14:paraId="4B6D8DA2" w14:textId="26AD2464" w:rsidR="0091529A" w:rsidRPr="00664A08" w:rsidRDefault="00215347" w:rsidP="0091529A">
      <w:pPr>
        <w:rPr>
          <w:rFonts w:ascii="Arial" w:hAnsi="Arial" w:cs="Arial"/>
          <w:sz w:val="20"/>
          <w:szCs w:val="20"/>
        </w:rPr>
      </w:pPr>
      <w:r w:rsidRPr="00215347">
        <w:rPr>
          <w:rFonts w:ascii="Arial" w:hAnsi="Arial" w:cs="Arial"/>
          <w:sz w:val="20"/>
          <w:szCs w:val="20"/>
        </w:rPr>
        <w:t xml:space="preserve">An extensive analysis of gender bias in play is necessary to shed light on the nuanced ways that gender affects children's experiences and their overall </w:t>
      </w:r>
      <w:r w:rsidR="00F264C4" w:rsidRPr="00215347">
        <w:rPr>
          <w:rFonts w:ascii="Arial" w:hAnsi="Arial" w:cs="Arial"/>
          <w:sz w:val="20"/>
          <w:szCs w:val="20"/>
        </w:rPr>
        <w:t>development. By</w:t>
      </w:r>
      <w:r w:rsidRPr="00215347">
        <w:rPr>
          <w:rFonts w:ascii="Arial" w:hAnsi="Arial" w:cs="Arial"/>
          <w:sz w:val="20"/>
          <w:szCs w:val="20"/>
        </w:rPr>
        <w:t xml:space="preserve"> deeply exploring this field, one can identify intricate and prevalent biases that may greatly influence the continuation of inequalities as individuals </w:t>
      </w:r>
      <w:proofErr w:type="gramStart"/>
      <w:r w:rsidRPr="00215347">
        <w:rPr>
          <w:rFonts w:ascii="Arial" w:hAnsi="Arial" w:cs="Arial"/>
          <w:sz w:val="20"/>
          <w:szCs w:val="20"/>
        </w:rPr>
        <w:t>age..</w:t>
      </w:r>
      <w:proofErr w:type="gramEnd"/>
      <w:r w:rsidRPr="00215347">
        <w:rPr>
          <w:rFonts w:ascii="Arial" w:hAnsi="Arial" w:cs="Arial"/>
          <w:sz w:val="20"/>
          <w:szCs w:val="20"/>
        </w:rPr>
        <w:t xml:space="preserve"> Furthermore, interdisciplinary collaborations among psychologists, sociologists, and educators may yield a more comprehensive understanding of the issue at hand. To conclude, a thorough investigation of gender bias in play is vital for creating successful interventions that enhance gender equality and nurture more equitable play settings for every child.</w:t>
      </w:r>
    </w:p>
    <w:p w14:paraId="6851A6EA" w14:textId="613B4E40" w:rsidR="00B202EA" w:rsidRPr="0028460A" w:rsidRDefault="00B202EA" w:rsidP="00B202EA">
      <w:pPr>
        <w:rPr>
          <w:b/>
          <w:bCs/>
          <w:u w:val="single"/>
        </w:rPr>
      </w:pPr>
      <w:r w:rsidRPr="00986AA7">
        <w:rPr>
          <w:b/>
          <w:bCs/>
          <w:u w:val="single"/>
        </w:rPr>
        <w:lastRenderedPageBreak/>
        <w:t>References</w:t>
      </w:r>
    </w:p>
    <w:p w14:paraId="1F7D5CBE"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APA Phys Net (2016) </w:t>
      </w:r>
      <w:r w:rsidRPr="008B00D0">
        <w:rPr>
          <w:rFonts w:ascii="Arial" w:hAnsi="Arial" w:cs="Arial"/>
          <w:i/>
          <w:iCs/>
          <w:sz w:val="20"/>
          <w:szCs w:val="20"/>
        </w:rPr>
        <w:t>Gender play: Girls and boys in school</w:t>
      </w:r>
      <w:r w:rsidRPr="008B00D0">
        <w:rPr>
          <w:rFonts w:ascii="Arial" w:hAnsi="Arial" w:cs="Arial"/>
          <w:sz w:val="20"/>
          <w:szCs w:val="20"/>
        </w:rPr>
        <w:t xml:space="preserve">. </w:t>
      </w:r>
      <w:proofErr w:type="gramStart"/>
      <w:r w:rsidRPr="008B00D0">
        <w:rPr>
          <w:rFonts w:ascii="Arial" w:hAnsi="Arial" w:cs="Arial"/>
          <w:sz w:val="20"/>
          <w:szCs w:val="20"/>
        </w:rPr>
        <w:t>.Available</w:t>
      </w:r>
      <w:proofErr w:type="gramEnd"/>
      <w:r w:rsidRPr="008B00D0">
        <w:rPr>
          <w:rFonts w:ascii="Arial" w:hAnsi="Arial" w:cs="Arial"/>
          <w:sz w:val="20"/>
          <w:szCs w:val="20"/>
        </w:rPr>
        <w:t xml:space="preserve"> at: </w:t>
      </w:r>
      <w:hyperlink r:id="rId6" w:history="1">
        <w:r w:rsidRPr="008B00D0">
          <w:rPr>
            <w:rStyle w:val="Hyperlink"/>
            <w:rFonts w:ascii="Arial" w:hAnsi="Arial" w:cs="Arial"/>
            <w:sz w:val="20"/>
            <w:szCs w:val="20"/>
          </w:rPr>
          <w:t>https://psycnet.apa.org/record/1993-97672-000</w:t>
        </w:r>
      </w:hyperlink>
      <w:r w:rsidRPr="008B00D0">
        <w:rPr>
          <w:rFonts w:ascii="Arial" w:hAnsi="Arial" w:cs="Arial"/>
          <w:sz w:val="20"/>
          <w:szCs w:val="20"/>
        </w:rPr>
        <w:t xml:space="preserve"> (Accessed 19th August 2024)</w:t>
      </w:r>
    </w:p>
    <w:p w14:paraId="275BA790"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AQR (2024) </w:t>
      </w:r>
      <w:r w:rsidRPr="008B00D0">
        <w:rPr>
          <w:rFonts w:ascii="Arial" w:hAnsi="Arial" w:cs="Arial"/>
          <w:i/>
          <w:iCs/>
          <w:sz w:val="20"/>
          <w:szCs w:val="20"/>
        </w:rPr>
        <w:t xml:space="preserve">Hawthorne Effect. </w:t>
      </w:r>
      <w:r w:rsidRPr="008B00D0">
        <w:rPr>
          <w:rFonts w:ascii="Arial" w:hAnsi="Arial" w:cs="Arial"/>
          <w:sz w:val="20"/>
          <w:szCs w:val="20"/>
        </w:rPr>
        <w:t xml:space="preserve">Available at: </w:t>
      </w:r>
      <w:hyperlink r:id="rId7" w:history="1">
        <w:r w:rsidRPr="008B00D0">
          <w:rPr>
            <w:rStyle w:val="Hyperlink"/>
            <w:rFonts w:ascii="Arial" w:hAnsi="Arial" w:cs="Arial"/>
            <w:sz w:val="20"/>
            <w:szCs w:val="20"/>
          </w:rPr>
          <w:t>https://www.aqr.org.uk/glossary/hawthorne-effect</w:t>
        </w:r>
      </w:hyperlink>
      <w:r w:rsidRPr="008B00D0">
        <w:rPr>
          <w:rFonts w:ascii="Arial" w:hAnsi="Arial" w:cs="Arial"/>
          <w:sz w:val="20"/>
          <w:szCs w:val="20"/>
        </w:rPr>
        <w:t xml:space="preserve"> (Accessed 19th August 2024)</w:t>
      </w:r>
    </w:p>
    <w:p w14:paraId="0237FE2E" w14:textId="77777777" w:rsidR="00B202EA" w:rsidRDefault="00B202EA" w:rsidP="00B202EA">
      <w:pPr>
        <w:rPr>
          <w:rFonts w:ascii="Arial" w:hAnsi="Arial" w:cs="Arial"/>
          <w:sz w:val="20"/>
          <w:szCs w:val="20"/>
        </w:rPr>
      </w:pPr>
      <w:proofErr w:type="spellStart"/>
      <w:r w:rsidRPr="008B00D0">
        <w:rPr>
          <w:rFonts w:ascii="Arial" w:hAnsi="Arial" w:cs="Arial"/>
          <w:sz w:val="20"/>
          <w:szCs w:val="20"/>
        </w:rPr>
        <w:t>Childrens</w:t>
      </w:r>
      <w:proofErr w:type="spellEnd"/>
      <w:r w:rsidRPr="008B00D0">
        <w:rPr>
          <w:rFonts w:ascii="Arial" w:hAnsi="Arial" w:cs="Arial"/>
          <w:sz w:val="20"/>
          <w:szCs w:val="20"/>
        </w:rPr>
        <w:t xml:space="preserve"> Rights </w:t>
      </w:r>
      <w:proofErr w:type="spellStart"/>
      <w:r w:rsidRPr="008B00D0">
        <w:rPr>
          <w:rFonts w:ascii="Arial" w:hAnsi="Arial" w:cs="Arial"/>
          <w:sz w:val="20"/>
          <w:szCs w:val="20"/>
        </w:rPr>
        <w:t>Allience</w:t>
      </w:r>
      <w:proofErr w:type="spellEnd"/>
      <w:r w:rsidRPr="008B00D0">
        <w:rPr>
          <w:rFonts w:ascii="Arial" w:hAnsi="Arial" w:cs="Arial"/>
          <w:sz w:val="20"/>
          <w:szCs w:val="20"/>
        </w:rPr>
        <w:t xml:space="preserve"> (no date). </w:t>
      </w:r>
      <w:r w:rsidRPr="008B00D0">
        <w:rPr>
          <w:rFonts w:ascii="Arial" w:hAnsi="Arial" w:cs="Arial"/>
          <w:i/>
          <w:iCs/>
          <w:sz w:val="20"/>
          <w:szCs w:val="20"/>
        </w:rPr>
        <w:t>Equality Act 2010</w:t>
      </w:r>
      <w:r w:rsidRPr="008B00D0">
        <w:rPr>
          <w:rFonts w:ascii="Arial" w:hAnsi="Arial" w:cs="Arial"/>
          <w:sz w:val="20"/>
          <w:szCs w:val="20"/>
        </w:rPr>
        <w:t xml:space="preserve">. Available at: </w:t>
      </w:r>
      <w:hyperlink r:id="rId8" w:history="1">
        <w:r w:rsidRPr="008B00D0">
          <w:rPr>
            <w:rStyle w:val="Hyperlink"/>
            <w:rFonts w:ascii="Arial" w:hAnsi="Arial" w:cs="Arial"/>
            <w:sz w:val="20"/>
            <w:szCs w:val="20"/>
          </w:rPr>
          <w:t>https://crae.org.uk/our-guide-childrens-rights-and-law/laws-protecting-childrens-rights/equality-act-2010#:~:text=The%20Equality%20Act%20came%20into%20force%20in%202010,services%2C%20work%20and%20other%20areas%20of%20public%20life</w:t>
        </w:r>
      </w:hyperlink>
      <w:r w:rsidRPr="008B00D0">
        <w:rPr>
          <w:rFonts w:ascii="Arial" w:hAnsi="Arial" w:cs="Arial"/>
          <w:sz w:val="20"/>
          <w:szCs w:val="20"/>
        </w:rPr>
        <w:t>. (Accessed 19</w:t>
      </w:r>
      <w:r w:rsidRPr="008B00D0">
        <w:rPr>
          <w:rFonts w:ascii="Arial" w:hAnsi="Arial" w:cs="Arial"/>
          <w:sz w:val="20"/>
          <w:szCs w:val="20"/>
          <w:vertAlign w:val="superscript"/>
        </w:rPr>
        <w:t>th</w:t>
      </w:r>
      <w:r w:rsidRPr="008B00D0">
        <w:rPr>
          <w:rFonts w:ascii="Arial" w:hAnsi="Arial" w:cs="Arial"/>
          <w:sz w:val="20"/>
          <w:szCs w:val="20"/>
        </w:rPr>
        <w:t xml:space="preserve"> August 2024)</w:t>
      </w:r>
    </w:p>
    <w:p w14:paraId="7BF5AEF3" w14:textId="5615C40F" w:rsidR="00303665" w:rsidRPr="008B00D0" w:rsidRDefault="00303665" w:rsidP="00B202EA">
      <w:pPr>
        <w:rPr>
          <w:rFonts w:ascii="Arial" w:hAnsi="Arial" w:cs="Arial"/>
          <w:sz w:val="20"/>
          <w:szCs w:val="20"/>
        </w:rPr>
      </w:pPr>
      <w:r>
        <w:rPr>
          <w:rFonts w:ascii="Arial" w:hAnsi="Arial" w:cs="Arial"/>
          <w:sz w:val="20"/>
          <w:szCs w:val="20"/>
        </w:rPr>
        <w:t>DCC (2011</w:t>
      </w:r>
      <w:r w:rsidRPr="002918E7">
        <w:rPr>
          <w:rFonts w:ascii="Arial" w:hAnsi="Arial" w:cs="Arial"/>
          <w:i/>
          <w:iCs/>
          <w:sz w:val="20"/>
          <w:szCs w:val="20"/>
        </w:rPr>
        <w:t xml:space="preserve">) </w:t>
      </w:r>
      <w:r w:rsidRPr="002918E7">
        <w:rPr>
          <w:rFonts w:ascii="Arial" w:hAnsi="Arial" w:cs="Arial"/>
          <w:i/>
          <w:iCs/>
          <w:sz w:val="20"/>
          <w:szCs w:val="20"/>
        </w:rPr>
        <w:t>How to Develop a Data Management and Sharing Plan</w:t>
      </w:r>
      <w:r>
        <w:rPr>
          <w:rFonts w:ascii="Arial" w:hAnsi="Arial" w:cs="Arial"/>
          <w:sz w:val="20"/>
          <w:szCs w:val="20"/>
        </w:rPr>
        <w:t xml:space="preserve">. Available at: </w:t>
      </w:r>
      <w:hyperlink r:id="rId9" w:history="1">
        <w:r w:rsidR="002918E7" w:rsidRPr="002F7940">
          <w:rPr>
            <w:rStyle w:val="Hyperlink"/>
            <w:rFonts w:ascii="Arial" w:hAnsi="Arial" w:cs="Arial"/>
            <w:sz w:val="20"/>
            <w:szCs w:val="20"/>
          </w:rPr>
          <w:t>https://www.dcc.ac.uk/guidance/how-guides/develop-data-plan</w:t>
        </w:r>
      </w:hyperlink>
      <w:r w:rsidR="002918E7">
        <w:rPr>
          <w:rFonts w:ascii="Arial" w:hAnsi="Arial" w:cs="Arial"/>
          <w:sz w:val="20"/>
          <w:szCs w:val="20"/>
        </w:rPr>
        <w:t xml:space="preserve"> (Accessed 18th August 2024)</w:t>
      </w:r>
    </w:p>
    <w:p w14:paraId="391EED66" w14:textId="77777777" w:rsidR="00B202EA" w:rsidRDefault="00B202EA" w:rsidP="00B202EA">
      <w:pPr>
        <w:rPr>
          <w:rFonts w:ascii="Arial" w:hAnsi="Arial" w:cs="Arial"/>
          <w:sz w:val="20"/>
          <w:szCs w:val="20"/>
        </w:rPr>
      </w:pPr>
      <w:r>
        <w:rPr>
          <w:rFonts w:ascii="Arial" w:hAnsi="Arial" w:cs="Arial"/>
          <w:sz w:val="20"/>
          <w:szCs w:val="20"/>
        </w:rPr>
        <w:t xml:space="preserve">GOV.UK (2022) </w:t>
      </w:r>
      <w:r w:rsidRPr="00710B0B">
        <w:rPr>
          <w:rFonts w:ascii="Arial" w:hAnsi="Arial" w:cs="Arial"/>
          <w:i/>
          <w:iCs/>
          <w:sz w:val="20"/>
          <w:szCs w:val="20"/>
        </w:rPr>
        <w:t>Risk Assessment Process</w:t>
      </w:r>
      <w:r>
        <w:rPr>
          <w:rFonts w:ascii="Arial" w:hAnsi="Arial" w:cs="Arial"/>
          <w:sz w:val="20"/>
          <w:szCs w:val="20"/>
        </w:rPr>
        <w:t xml:space="preserve">. Available at: </w:t>
      </w:r>
      <w:hyperlink r:id="rId10" w:history="1">
        <w:r w:rsidRPr="002F7940">
          <w:rPr>
            <w:rStyle w:val="Hyperlink"/>
            <w:rFonts w:ascii="Arial" w:hAnsi="Arial" w:cs="Arial"/>
            <w:sz w:val="20"/>
            <w:szCs w:val="20"/>
          </w:rPr>
          <w:t>https://www.gov.uk/government/publications/risk-adapted-approach-to-clinical-trials-and-risk-assessments/risk-adapted-approach-to-clinical-trials-and-risk-assessments</w:t>
        </w:r>
      </w:hyperlink>
      <w:r>
        <w:rPr>
          <w:rFonts w:ascii="Arial" w:hAnsi="Arial" w:cs="Arial"/>
          <w:sz w:val="20"/>
          <w:szCs w:val="20"/>
        </w:rPr>
        <w:t xml:space="preserve"> (Accessed 18th August 2022)</w:t>
      </w:r>
    </w:p>
    <w:p w14:paraId="72862EDB"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GOV.UK (2024) </w:t>
      </w:r>
      <w:r w:rsidRPr="008B00D0">
        <w:rPr>
          <w:rFonts w:ascii="Arial" w:hAnsi="Arial" w:cs="Arial"/>
          <w:i/>
          <w:iCs/>
          <w:sz w:val="20"/>
          <w:szCs w:val="20"/>
        </w:rPr>
        <w:t>Early years foundation stage (EYFS) statutory framework</w:t>
      </w:r>
      <w:r w:rsidRPr="008B00D0">
        <w:rPr>
          <w:rFonts w:ascii="Arial" w:hAnsi="Arial" w:cs="Arial"/>
          <w:sz w:val="20"/>
          <w:szCs w:val="20"/>
        </w:rPr>
        <w:t xml:space="preserve">. Available at: </w:t>
      </w:r>
      <w:hyperlink r:id="rId11" w:history="1">
        <w:r w:rsidRPr="008B00D0">
          <w:rPr>
            <w:rStyle w:val="Hyperlink"/>
            <w:rFonts w:ascii="Arial" w:hAnsi="Arial" w:cs="Arial"/>
            <w:sz w:val="20"/>
            <w:szCs w:val="20"/>
          </w:rPr>
          <w:t>https://www.gov.uk/government/publications/early-years-foundation-stage-framework--2</w:t>
        </w:r>
      </w:hyperlink>
      <w:r w:rsidRPr="008B00D0">
        <w:rPr>
          <w:rFonts w:ascii="Arial" w:hAnsi="Arial" w:cs="Arial"/>
          <w:sz w:val="20"/>
          <w:szCs w:val="20"/>
        </w:rPr>
        <w:t xml:space="preserve"> (Accessed 10th August 2024)</w:t>
      </w:r>
    </w:p>
    <w:p w14:paraId="20C07F5F" w14:textId="77777777" w:rsidR="00B202EA" w:rsidRDefault="00B202EA" w:rsidP="00B202EA">
      <w:pPr>
        <w:rPr>
          <w:rFonts w:ascii="Arial" w:hAnsi="Arial" w:cs="Arial"/>
          <w:sz w:val="20"/>
          <w:szCs w:val="20"/>
        </w:rPr>
      </w:pPr>
      <w:r>
        <w:rPr>
          <w:rFonts w:ascii="Arial" w:hAnsi="Arial" w:cs="Arial"/>
          <w:sz w:val="20"/>
          <w:szCs w:val="20"/>
        </w:rPr>
        <w:t xml:space="preserve">GOV.UK (2024) </w:t>
      </w:r>
      <w:r w:rsidRPr="00EB7B3A">
        <w:rPr>
          <w:rFonts w:ascii="Arial" w:hAnsi="Arial" w:cs="Arial"/>
          <w:i/>
          <w:iCs/>
          <w:sz w:val="20"/>
          <w:szCs w:val="20"/>
        </w:rPr>
        <w:t>Meet the requirements of data privacy regulations.</w:t>
      </w:r>
      <w:r>
        <w:rPr>
          <w:rFonts w:ascii="Arial" w:hAnsi="Arial" w:cs="Arial"/>
          <w:sz w:val="20"/>
          <w:szCs w:val="20"/>
        </w:rPr>
        <w:t xml:space="preserve"> Available at: </w:t>
      </w:r>
      <w:hyperlink r:id="rId12" w:history="1">
        <w:r w:rsidRPr="002F7940">
          <w:rPr>
            <w:rStyle w:val="Hyperlink"/>
            <w:rFonts w:ascii="Arial" w:hAnsi="Arial" w:cs="Arial"/>
            <w:sz w:val="20"/>
            <w:szCs w:val="20"/>
          </w:rPr>
          <w:t>https://www.gov.uk/guidance/meet-the-requirements-of-data-privacy-regulations</w:t>
        </w:r>
      </w:hyperlink>
      <w:r>
        <w:rPr>
          <w:rFonts w:ascii="Arial" w:hAnsi="Arial" w:cs="Arial"/>
          <w:sz w:val="20"/>
          <w:szCs w:val="20"/>
        </w:rPr>
        <w:t xml:space="preserve"> (Accessed 18 August 2024)</w:t>
      </w:r>
    </w:p>
    <w:p w14:paraId="13E32413"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Harvard Catalyst (2024). </w:t>
      </w:r>
      <w:r w:rsidRPr="008B00D0">
        <w:rPr>
          <w:rFonts w:ascii="Arial" w:hAnsi="Arial" w:cs="Arial"/>
          <w:i/>
          <w:iCs/>
          <w:sz w:val="20"/>
          <w:szCs w:val="20"/>
        </w:rPr>
        <w:t>Mixed Methods Research</w:t>
      </w:r>
      <w:r w:rsidRPr="008B00D0">
        <w:rPr>
          <w:rFonts w:ascii="Arial" w:hAnsi="Arial" w:cs="Arial"/>
          <w:sz w:val="20"/>
          <w:szCs w:val="20"/>
        </w:rPr>
        <w:t xml:space="preserve">.  Available at: </w:t>
      </w:r>
      <w:hyperlink r:id="rId13" w:history="1">
        <w:r w:rsidRPr="008B00D0">
          <w:rPr>
            <w:rStyle w:val="Hyperlink"/>
            <w:rFonts w:ascii="Arial" w:hAnsi="Arial" w:cs="Arial"/>
            <w:sz w:val="20"/>
            <w:szCs w:val="20"/>
          </w:rPr>
          <w:t>https://catalyst.harvard.edu/community-engagement/mmr/</w:t>
        </w:r>
      </w:hyperlink>
      <w:r w:rsidRPr="008B00D0">
        <w:rPr>
          <w:rFonts w:ascii="Arial" w:hAnsi="Arial" w:cs="Arial"/>
          <w:sz w:val="20"/>
          <w:szCs w:val="20"/>
        </w:rPr>
        <w:t xml:space="preserve"> (Accessed19th August 2024)</w:t>
      </w:r>
    </w:p>
    <w:p w14:paraId="0BEBA819"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Journal of Childhood Studies (2020). </w:t>
      </w:r>
      <w:r w:rsidRPr="008B00D0">
        <w:rPr>
          <w:rFonts w:ascii="Arial" w:hAnsi="Arial" w:cs="Arial"/>
          <w:i/>
          <w:iCs/>
          <w:sz w:val="20"/>
          <w:szCs w:val="20"/>
        </w:rPr>
        <w:t xml:space="preserve">Early Childhood Educators’ Understandings of How Young Children Perform Gender During Unstructured </w:t>
      </w:r>
      <w:proofErr w:type="gramStart"/>
      <w:r w:rsidRPr="008B00D0">
        <w:rPr>
          <w:rFonts w:ascii="Arial" w:hAnsi="Arial" w:cs="Arial"/>
          <w:i/>
          <w:iCs/>
          <w:sz w:val="20"/>
          <w:szCs w:val="20"/>
        </w:rPr>
        <w:t>Play</w:t>
      </w:r>
      <w:r w:rsidRPr="008B00D0">
        <w:rPr>
          <w:rFonts w:ascii="Arial" w:hAnsi="Arial" w:cs="Arial"/>
          <w:sz w:val="20"/>
          <w:szCs w:val="20"/>
        </w:rPr>
        <w:t xml:space="preserve"> .</w:t>
      </w:r>
      <w:proofErr w:type="gramEnd"/>
      <w:r w:rsidRPr="008B00D0">
        <w:rPr>
          <w:rFonts w:ascii="Arial" w:hAnsi="Arial" w:cs="Arial"/>
          <w:sz w:val="20"/>
          <w:szCs w:val="20"/>
        </w:rPr>
        <w:t xml:space="preserve"> Available at: </w:t>
      </w:r>
      <w:hyperlink r:id="rId14" w:history="1">
        <w:r w:rsidRPr="008B00D0">
          <w:rPr>
            <w:rStyle w:val="Hyperlink"/>
            <w:rFonts w:ascii="Arial" w:hAnsi="Arial" w:cs="Arial"/>
            <w:sz w:val="20"/>
            <w:szCs w:val="20"/>
          </w:rPr>
          <w:t>file:///C:/Users/Rach/Downloads/19142-Article%20Text-21666-1-10-20201113.pdf</w:t>
        </w:r>
      </w:hyperlink>
      <w:r w:rsidRPr="008B00D0">
        <w:rPr>
          <w:rFonts w:ascii="Arial" w:hAnsi="Arial" w:cs="Arial"/>
          <w:sz w:val="20"/>
          <w:szCs w:val="20"/>
        </w:rPr>
        <w:t xml:space="preserve"> (Accessed 1</w:t>
      </w:r>
      <w:r w:rsidRPr="008B00D0">
        <w:rPr>
          <w:rFonts w:ascii="Arial" w:hAnsi="Arial" w:cs="Arial"/>
          <w:sz w:val="20"/>
          <w:szCs w:val="20"/>
          <w:vertAlign w:val="superscript"/>
        </w:rPr>
        <w:t>st</w:t>
      </w:r>
      <w:r w:rsidRPr="008B00D0">
        <w:rPr>
          <w:rFonts w:ascii="Arial" w:hAnsi="Arial" w:cs="Arial"/>
          <w:sz w:val="20"/>
          <w:szCs w:val="20"/>
        </w:rPr>
        <w:t xml:space="preserve"> August 20204)</w:t>
      </w:r>
    </w:p>
    <w:p w14:paraId="6A9C8D96" w14:textId="77777777" w:rsidR="00B202EA" w:rsidRPr="008B00D0" w:rsidRDefault="00B202EA" w:rsidP="00B202EA">
      <w:pPr>
        <w:rPr>
          <w:rStyle w:val="Hyperlink"/>
          <w:rFonts w:ascii="Arial" w:hAnsi="Arial" w:cs="Arial"/>
          <w:color w:val="006ACC"/>
          <w:sz w:val="20"/>
          <w:szCs w:val="20"/>
          <w:shd w:val="clear" w:color="auto" w:fill="FFFFFF"/>
        </w:rPr>
      </w:pPr>
      <w:r w:rsidRPr="008B00D0">
        <w:rPr>
          <w:rFonts w:ascii="Arial" w:hAnsi="Arial" w:cs="Arial"/>
          <w:color w:val="333333"/>
          <w:sz w:val="20"/>
          <w:szCs w:val="20"/>
          <w:shd w:val="clear" w:color="auto" w:fill="FFFFFF"/>
        </w:rPr>
        <w:t xml:space="preserve">King, T. L., </w:t>
      </w:r>
      <w:proofErr w:type="spellStart"/>
      <w:r w:rsidRPr="008B00D0">
        <w:rPr>
          <w:rFonts w:ascii="Arial" w:hAnsi="Arial" w:cs="Arial"/>
          <w:color w:val="333333"/>
          <w:sz w:val="20"/>
          <w:szCs w:val="20"/>
          <w:shd w:val="clear" w:color="auto" w:fill="FFFFFF"/>
        </w:rPr>
        <w:t>Scovelle</w:t>
      </w:r>
      <w:proofErr w:type="spellEnd"/>
      <w:r w:rsidRPr="008B00D0">
        <w:rPr>
          <w:rFonts w:ascii="Arial" w:hAnsi="Arial" w:cs="Arial"/>
          <w:color w:val="333333"/>
          <w:sz w:val="20"/>
          <w:szCs w:val="20"/>
          <w:shd w:val="clear" w:color="auto" w:fill="FFFFFF"/>
        </w:rPr>
        <w:t xml:space="preserve">, A. J., Meehl, A., Milner, A. J., &amp; Priest, N.   </w:t>
      </w:r>
      <w:proofErr w:type="gramStart"/>
      <w:r w:rsidRPr="008B00D0">
        <w:rPr>
          <w:rFonts w:ascii="Arial" w:hAnsi="Arial" w:cs="Arial"/>
          <w:color w:val="333333"/>
          <w:sz w:val="20"/>
          <w:szCs w:val="20"/>
          <w:shd w:val="clear" w:color="auto" w:fill="FFFFFF"/>
        </w:rPr>
        <w:t>a(</w:t>
      </w:r>
      <w:proofErr w:type="gramEnd"/>
      <w:r w:rsidRPr="008B00D0">
        <w:rPr>
          <w:rFonts w:ascii="Arial" w:hAnsi="Arial" w:cs="Arial"/>
          <w:color w:val="333333"/>
          <w:sz w:val="20"/>
          <w:szCs w:val="20"/>
          <w:shd w:val="clear" w:color="auto" w:fill="FFFFFF"/>
        </w:rPr>
        <w:t>2021). Gender stereotypes and biases in early childhood</w:t>
      </w:r>
      <w:r w:rsidRPr="008B00D0">
        <w:rPr>
          <w:rFonts w:ascii="Arial" w:hAnsi="Arial" w:cs="Arial"/>
          <w:i/>
          <w:iCs/>
          <w:color w:val="333333"/>
          <w:sz w:val="20"/>
          <w:szCs w:val="20"/>
          <w:shd w:val="clear" w:color="auto" w:fill="FFFFFF"/>
        </w:rPr>
        <w:t>: A systematic review. Australasian Journal of Early Childhood,</w:t>
      </w:r>
      <w:r w:rsidRPr="008B00D0">
        <w:rPr>
          <w:rFonts w:ascii="Arial" w:hAnsi="Arial" w:cs="Arial"/>
          <w:color w:val="333333"/>
          <w:sz w:val="20"/>
          <w:szCs w:val="20"/>
          <w:shd w:val="clear" w:color="auto" w:fill="FFFFFF"/>
        </w:rPr>
        <w:t> </w:t>
      </w:r>
      <w:r w:rsidRPr="008B00D0">
        <w:rPr>
          <w:rFonts w:ascii="Arial" w:hAnsi="Arial" w:cs="Arial"/>
          <w:i/>
          <w:iCs/>
          <w:color w:val="333333"/>
          <w:sz w:val="20"/>
          <w:szCs w:val="20"/>
          <w:shd w:val="clear" w:color="auto" w:fill="FFFFFF"/>
        </w:rPr>
        <w:t>46</w:t>
      </w:r>
      <w:r w:rsidRPr="008B00D0">
        <w:rPr>
          <w:rFonts w:ascii="Arial" w:hAnsi="Arial" w:cs="Arial"/>
          <w:color w:val="333333"/>
          <w:sz w:val="20"/>
          <w:szCs w:val="20"/>
          <w:shd w:val="clear" w:color="auto" w:fill="FFFFFF"/>
        </w:rPr>
        <w:t>(2), 112-125. </w:t>
      </w:r>
      <w:hyperlink r:id="rId15" w:history="1">
        <w:r w:rsidRPr="008B00D0">
          <w:rPr>
            <w:rStyle w:val="Hyperlink"/>
            <w:rFonts w:ascii="Arial" w:hAnsi="Arial" w:cs="Arial"/>
            <w:sz w:val="20"/>
            <w:szCs w:val="20"/>
            <w:shd w:val="clear" w:color="auto" w:fill="FFFFFF"/>
          </w:rPr>
          <w:t>https://doi.org/10.1177/1836939121999849</w:t>
        </w:r>
      </w:hyperlink>
    </w:p>
    <w:p w14:paraId="12F0B0C6" w14:textId="77777777" w:rsidR="00B202EA" w:rsidRPr="008B00D0" w:rsidRDefault="00B202EA" w:rsidP="00B202EA">
      <w:pPr>
        <w:rPr>
          <w:rStyle w:val="Hyperlink"/>
          <w:rFonts w:ascii="Arial" w:hAnsi="Arial" w:cs="Arial"/>
          <w:color w:val="auto"/>
          <w:sz w:val="20"/>
          <w:szCs w:val="20"/>
          <w:shd w:val="clear" w:color="auto" w:fill="FFFFFF"/>
        </w:rPr>
      </w:pPr>
      <w:r w:rsidRPr="008B00D0">
        <w:rPr>
          <w:rStyle w:val="Hyperlink"/>
          <w:rFonts w:ascii="Arial" w:hAnsi="Arial" w:cs="Arial"/>
          <w:color w:val="auto"/>
          <w:sz w:val="20"/>
          <w:szCs w:val="20"/>
          <w:u w:val="none"/>
          <w:shd w:val="clear" w:color="auto" w:fill="FFFFFF"/>
        </w:rPr>
        <w:t xml:space="preserve">King, T. L., </w:t>
      </w:r>
      <w:proofErr w:type="spellStart"/>
      <w:r w:rsidRPr="008B00D0">
        <w:rPr>
          <w:rStyle w:val="Hyperlink"/>
          <w:rFonts w:ascii="Arial" w:hAnsi="Arial" w:cs="Arial"/>
          <w:color w:val="auto"/>
          <w:sz w:val="20"/>
          <w:szCs w:val="20"/>
          <w:u w:val="none"/>
          <w:shd w:val="clear" w:color="auto" w:fill="FFFFFF"/>
        </w:rPr>
        <w:t>Scovelle</w:t>
      </w:r>
      <w:proofErr w:type="spellEnd"/>
      <w:r w:rsidRPr="008B00D0">
        <w:rPr>
          <w:rStyle w:val="Hyperlink"/>
          <w:rFonts w:ascii="Arial" w:hAnsi="Arial" w:cs="Arial"/>
          <w:color w:val="auto"/>
          <w:sz w:val="20"/>
          <w:szCs w:val="20"/>
          <w:u w:val="none"/>
          <w:shd w:val="clear" w:color="auto" w:fill="FFFFFF"/>
        </w:rPr>
        <w:t xml:space="preserve">, A. J., Meehl, A., Milner, A. J., &amp; Priest, N.  </w:t>
      </w:r>
      <w:proofErr w:type="gramStart"/>
      <w:r w:rsidRPr="008B00D0">
        <w:rPr>
          <w:rStyle w:val="Hyperlink"/>
          <w:rFonts w:ascii="Arial" w:hAnsi="Arial" w:cs="Arial"/>
          <w:color w:val="auto"/>
          <w:sz w:val="20"/>
          <w:szCs w:val="20"/>
          <w:u w:val="none"/>
          <w:shd w:val="clear" w:color="auto" w:fill="FFFFFF"/>
        </w:rPr>
        <w:t>b(</w:t>
      </w:r>
      <w:proofErr w:type="gramEnd"/>
      <w:r w:rsidRPr="008B00D0">
        <w:rPr>
          <w:rStyle w:val="Hyperlink"/>
          <w:rFonts w:ascii="Arial" w:hAnsi="Arial" w:cs="Arial"/>
          <w:color w:val="auto"/>
          <w:sz w:val="20"/>
          <w:szCs w:val="20"/>
          <w:u w:val="none"/>
          <w:shd w:val="clear" w:color="auto" w:fill="FFFFFF"/>
        </w:rPr>
        <w:t xml:space="preserve">2021). Gender stereotypes and biases in early childhood: </w:t>
      </w:r>
      <w:r w:rsidRPr="008B00D0">
        <w:rPr>
          <w:rStyle w:val="Hyperlink"/>
          <w:rFonts w:ascii="Arial" w:hAnsi="Arial" w:cs="Arial"/>
          <w:i/>
          <w:iCs/>
          <w:color w:val="auto"/>
          <w:sz w:val="20"/>
          <w:szCs w:val="20"/>
          <w:u w:val="none"/>
          <w:shd w:val="clear" w:color="auto" w:fill="FFFFFF"/>
        </w:rPr>
        <w:t>A systematic review. Australasian Journal of Early Childhood</w:t>
      </w:r>
      <w:r w:rsidRPr="008B00D0">
        <w:rPr>
          <w:rStyle w:val="Hyperlink"/>
          <w:rFonts w:ascii="Arial" w:hAnsi="Arial" w:cs="Arial"/>
          <w:color w:val="auto"/>
          <w:sz w:val="20"/>
          <w:szCs w:val="20"/>
          <w:u w:val="none"/>
          <w:shd w:val="clear" w:color="auto" w:fill="FFFFFF"/>
        </w:rPr>
        <w:t xml:space="preserve">, 46(2), 112-125. </w:t>
      </w:r>
      <w:hyperlink r:id="rId16" w:history="1">
        <w:r w:rsidRPr="008B00D0">
          <w:rPr>
            <w:rStyle w:val="Hyperlink"/>
            <w:rFonts w:ascii="Arial" w:hAnsi="Arial" w:cs="Arial"/>
            <w:sz w:val="20"/>
            <w:szCs w:val="20"/>
            <w:shd w:val="clear" w:color="auto" w:fill="FFFFFF"/>
          </w:rPr>
          <w:t>https://doi.org/10.1177/1836939121999849</w:t>
        </w:r>
      </w:hyperlink>
      <w:r w:rsidRPr="008B00D0">
        <w:rPr>
          <w:rStyle w:val="Hyperlink"/>
          <w:rFonts w:ascii="Arial" w:hAnsi="Arial" w:cs="Arial"/>
          <w:color w:val="auto"/>
          <w:sz w:val="20"/>
          <w:szCs w:val="20"/>
          <w:shd w:val="clear" w:color="auto" w:fill="FFFFFF"/>
        </w:rPr>
        <w:t xml:space="preserve"> </w:t>
      </w:r>
    </w:p>
    <w:p w14:paraId="36BA6A61" w14:textId="77777777" w:rsidR="00B202EA" w:rsidRPr="008B00D0" w:rsidRDefault="00B202EA" w:rsidP="00B202EA">
      <w:pPr>
        <w:rPr>
          <w:rStyle w:val="Hyperlink"/>
          <w:rFonts w:ascii="Arial" w:hAnsi="Arial" w:cs="Arial"/>
          <w:color w:val="auto"/>
          <w:sz w:val="20"/>
          <w:szCs w:val="20"/>
          <w:u w:val="none"/>
          <w:shd w:val="clear" w:color="auto" w:fill="FFFFFF"/>
        </w:rPr>
      </w:pPr>
      <w:r w:rsidRPr="008B00D0">
        <w:rPr>
          <w:rStyle w:val="Hyperlink"/>
          <w:rFonts w:ascii="Arial" w:hAnsi="Arial" w:cs="Arial"/>
          <w:color w:val="auto"/>
          <w:sz w:val="20"/>
          <w:szCs w:val="20"/>
          <w:u w:val="none"/>
          <w:shd w:val="clear" w:color="auto" w:fill="FFFFFF"/>
        </w:rPr>
        <w:t xml:space="preserve">King, T. L., </w:t>
      </w:r>
      <w:proofErr w:type="spellStart"/>
      <w:r w:rsidRPr="008B00D0">
        <w:rPr>
          <w:rStyle w:val="Hyperlink"/>
          <w:rFonts w:ascii="Arial" w:hAnsi="Arial" w:cs="Arial"/>
          <w:color w:val="auto"/>
          <w:sz w:val="20"/>
          <w:szCs w:val="20"/>
          <w:u w:val="none"/>
          <w:shd w:val="clear" w:color="auto" w:fill="FFFFFF"/>
        </w:rPr>
        <w:t>Scovelle</w:t>
      </w:r>
      <w:proofErr w:type="spellEnd"/>
      <w:r w:rsidRPr="008B00D0">
        <w:rPr>
          <w:rStyle w:val="Hyperlink"/>
          <w:rFonts w:ascii="Arial" w:hAnsi="Arial" w:cs="Arial"/>
          <w:color w:val="auto"/>
          <w:sz w:val="20"/>
          <w:szCs w:val="20"/>
          <w:u w:val="none"/>
          <w:shd w:val="clear" w:color="auto" w:fill="FFFFFF"/>
        </w:rPr>
        <w:t xml:space="preserve">, A. J., Meehl, A., Milner, A. J., &amp; Priest, N.  </w:t>
      </w:r>
      <w:proofErr w:type="gramStart"/>
      <w:r w:rsidRPr="008B00D0">
        <w:rPr>
          <w:rStyle w:val="Hyperlink"/>
          <w:rFonts w:ascii="Arial" w:hAnsi="Arial" w:cs="Arial"/>
          <w:color w:val="auto"/>
          <w:sz w:val="20"/>
          <w:szCs w:val="20"/>
          <w:u w:val="none"/>
          <w:shd w:val="clear" w:color="auto" w:fill="FFFFFF"/>
        </w:rPr>
        <w:t>c(</w:t>
      </w:r>
      <w:proofErr w:type="gramEnd"/>
      <w:r w:rsidRPr="008B00D0">
        <w:rPr>
          <w:rStyle w:val="Hyperlink"/>
          <w:rFonts w:ascii="Arial" w:hAnsi="Arial" w:cs="Arial"/>
          <w:color w:val="auto"/>
          <w:sz w:val="20"/>
          <w:szCs w:val="20"/>
          <w:u w:val="none"/>
          <w:shd w:val="clear" w:color="auto" w:fill="FFFFFF"/>
        </w:rPr>
        <w:t>2021). Gender stereotypes and biases in early childhood</w:t>
      </w:r>
      <w:r w:rsidRPr="008B00D0">
        <w:rPr>
          <w:rStyle w:val="Hyperlink"/>
          <w:rFonts w:ascii="Arial" w:hAnsi="Arial" w:cs="Arial"/>
          <w:i/>
          <w:iCs/>
          <w:color w:val="auto"/>
          <w:sz w:val="20"/>
          <w:szCs w:val="20"/>
          <w:u w:val="none"/>
          <w:shd w:val="clear" w:color="auto" w:fill="FFFFFF"/>
        </w:rPr>
        <w:t>: A systematic review. Australasian Journal of Early Childhood</w:t>
      </w:r>
      <w:r w:rsidRPr="008B00D0">
        <w:rPr>
          <w:rStyle w:val="Hyperlink"/>
          <w:rFonts w:ascii="Arial" w:hAnsi="Arial" w:cs="Arial"/>
          <w:color w:val="auto"/>
          <w:sz w:val="20"/>
          <w:szCs w:val="20"/>
          <w:u w:val="none"/>
          <w:shd w:val="clear" w:color="auto" w:fill="FFFFFF"/>
        </w:rPr>
        <w:t xml:space="preserve">, 46(2), 112-125. </w:t>
      </w:r>
      <w:hyperlink r:id="rId17" w:history="1">
        <w:r w:rsidRPr="008B00D0">
          <w:rPr>
            <w:rStyle w:val="Hyperlink"/>
            <w:rFonts w:ascii="Arial" w:hAnsi="Arial" w:cs="Arial"/>
            <w:sz w:val="20"/>
            <w:szCs w:val="20"/>
            <w:shd w:val="clear" w:color="auto" w:fill="FFFFFF"/>
          </w:rPr>
          <w:t>https://doi.org/10.1177/1836939121999849</w:t>
        </w:r>
      </w:hyperlink>
      <w:r w:rsidRPr="008B00D0">
        <w:rPr>
          <w:rStyle w:val="Hyperlink"/>
          <w:rFonts w:ascii="Arial" w:hAnsi="Arial" w:cs="Arial"/>
          <w:color w:val="auto"/>
          <w:sz w:val="20"/>
          <w:szCs w:val="20"/>
          <w:u w:val="none"/>
          <w:shd w:val="clear" w:color="auto" w:fill="FFFFFF"/>
        </w:rPr>
        <w:t xml:space="preserve"> </w:t>
      </w:r>
    </w:p>
    <w:p w14:paraId="288FEBE6" w14:textId="77777777" w:rsidR="00B202EA" w:rsidRPr="008B00D0" w:rsidRDefault="00B202EA" w:rsidP="00B202EA">
      <w:pPr>
        <w:rPr>
          <w:rStyle w:val="Hyperlink"/>
          <w:rFonts w:ascii="Arial" w:hAnsi="Arial" w:cs="Arial"/>
          <w:color w:val="auto"/>
          <w:sz w:val="20"/>
          <w:szCs w:val="20"/>
          <w:u w:val="none"/>
          <w:shd w:val="clear" w:color="auto" w:fill="FFFFFF"/>
        </w:rPr>
      </w:pPr>
      <w:r w:rsidRPr="008B00D0">
        <w:rPr>
          <w:rStyle w:val="Hyperlink"/>
          <w:rFonts w:ascii="Arial" w:hAnsi="Arial" w:cs="Arial"/>
          <w:color w:val="auto"/>
          <w:sz w:val="20"/>
          <w:szCs w:val="20"/>
          <w:u w:val="none"/>
          <w:shd w:val="clear" w:color="auto" w:fill="FFFFFF"/>
        </w:rPr>
        <w:t xml:space="preserve">King, T. L., </w:t>
      </w:r>
      <w:proofErr w:type="spellStart"/>
      <w:r w:rsidRPr="008B00D0">
        <w:rPr>
          <w:rStyle w:val="Hyperlink"/>
          <w:rFonts w:ascii="Arial" w:hAnsi="Arial" w:cs="Arial"/>
          <w:color w:val="auto"/>
          <w:sz w:val="20"/>
          <w:szCs w:val="20"/>
          <w:u w:val="none"/>
          <w:shd w:val="clear" w:color="auto" w:fill="FFFFFF"/>
        </w:rPr>
        <w:t>Scovelle</w:t>
      </w:r>
      <w:proofErr w:type="spellEnd"/>
      <w:r w:rsidRPr="008B00D0">
        <w:rPr>
          <w:rStyle w:val="Hyperlink"/>
          <w:rFonts w:ascii="Arial" w:hAnsi="Arial" w:cs="Arial"/>
          <w:color w:val="auto"/>
          <w:sz w:val="20"/>
          <w:szCs w:val="20"/>
          <w:u w:val="none"/>
          <w:shd w:val="clear" w:color="auto" w:fill="FFFFFF"/>
        </w:rPr>
        <w:t xml:space="preserve">, A. J., Meehl, A., Milner, A. J., &amp; Priest, N.  </w:t>
      </w:r>
      <w:proofErr w:type="gramStart"/>
      <w:r w:rsidRPr="008B00D0">
        <w:rPr>
          <w:rStyle w:val="Hyperlink"/>
          <w:rFonts w:ascii="Arial" w:hAnsi="Arial" w:cs="Arial"/>
          <w:color w:val="auto"/>
          <w:sz w:val="20"/>
          <w:szCs w:val="20"/>
          <w:u w:val="none"/>
          <w:shd w:val="clear" w:color="auto" w:fill="FFFFFF"/>
        </w:rPr>
        <w:t>d(</w:t>
      </w:r>
      <w:proofErr w:type="gramEnd"/>
      <w:r w:rsidRPr="008B00D0">
        <w:rPr>
          <w:rStyle w:val="Hyperlink"/>
          <w:rFonts w:ascii="Arial" w:hAnsi="Arial" w:cs="Arial"/>
          <w:color w:val="auto"/>
          <w:sz w:val="20"/>
          <w:szCs w:val="20"/>
          <w:u w:val="none"/>
          <w:shd w:val="clear" w:color="auto" w:fill="FFFFFF"/>
        </w:rPr>
        <w:t xml:space="preserve">2021). Gender stereotypes and biases in early childhood: </w:t>
      </w:r>
      <w:r w:rsidRPr="008B00D0">
        <w:rPr>
          <w:rStyle w:val="Hyperlink"/>
          <w:rFonts w:ascii="Arial" w:hAnsi="Arial" w:cs="Arial"/>
          <w:i/>
          <w:iCs/>
          <w:color w:val="auto"/>
          <w:sz w:val="20"/>
          <w:szCs w:val="20"/>
          <w:u w:val="none"/>
          <w:shd w:val="clear" w:color="auto" w:fill="FFFFFF"/>
        </w:rPr>
        <w:t>A systematic review. Australasian Journal of Early Childhood</w:t>
      </w:r>
      <w:r w:rsidRPr="008B00D0">
        <w:rPr>
          <w:rStyle w:val="Hyperlink"/>
          <w:rFonts w:ascii="Arial" w:hAnsi="Arial" w:cs="Arial"/>
          <w:color w:val="auto"/>
          <w:sz w:val="20"/>
          <w:szCs w:val="20"/>
          <w:u w:val="none"/>
          <w:shd w:val="clear" w:color="auto" w:fill="FFFFFF"/>
        </w:rPr>
        <w:t xml:space="preserve">, 46(2), 112-125. </w:t>
      </w:r>
      <w:hyperlink r:id="rId18" w:history="1">
        <w:r w:rsidRPr="008B00D0">
          <w:rPr>
            <w:rStyle w:val="Hyperlink"/>
            <w:rFonts w:ascii="Arial" w:hAnsi="Arial" w:cs="Arial"/>
            <w:sz w:val="20"/>
            <w:szCs w:val="20"/>
            <w:shd w:val="clear" w:color="auto" w:fill="FFFFFF"/>
          </w:rPr>
          <w:t>https://doi.org/10.1177/1836939121999849</w:t>
        </w:r>
      </w:hyperlink>
      <w:r w:rsidRPr="008B00D0">
        <w:rPr>
          <w:rStyle w:val="Hyperlink"/>
          <w:rFonts w:ascii="Arial" w:hAnsi="Arial" w:cs="Arial"/>
          <w:color w:val="auto"/>
          <w:sz w:val="20"/>
          <w:szCs w:val="20"/>
          <w:u w:val="none"/>
          <w:shd w:val="clear" w:color="auto" w:fill="FFFFFF"/>
        </w:rPr>
        <w:t xml:space="preserve"> </w:t>
      </w:r>
    </w:p>
    <w:p w14:paraId="3459962B" w14:textId="77777777" w:rsidR="00B202EA" w:rsidRDefault="00B202EA" w:rsidP="00B202EA">
      <w:pPr>
        <w:rPr>
          <w:rFonts w:ascii="Arial" w:hAnsi="Arial" w:cs="Arial"/>
          <w:sz w:val="20"/>
          <w:szCs w:val="20"/>
        </w:rPr>
      </w:pPr>
      <w:r>
        <w:rPr>
          <w:rFonts w:ascii="Arial" w:hAnsi="Arial" w:cs="Arial"/>
          <w:sz w:val="20"/>
          <w:szCs w:val="20"/>
        </w:rPr>
        <w:t xml:space="preserve">Legal Services Data Protection Office </w:t>
      </w:r>
      <w:proofErr w:type="spellStart"/>
      <w:proofErr w:type="gramStart"/>
      <w:r>
        <w:rPr>
          <w:rFonts w:ascii="Arial" w:hAnsi="Arial" w:cs="Arial"/>
          <w:sz w:val="20"/>
          <w:szCs w:val="20"/>
        </w:rPr>
        <w:t>a</w:t>
      </w:r>
      <w:proofErr w:type="spellEnd"/>
      <w:r>
        <w:rPr>
          <w:rFonts w:ascii="Arial" w:hAnsi="Arial" w:cs="Arial"/>
          <w:sz w:val="20"/>
          <w:szCs w:val="20"/>
        </w:rPr>
        <w:t>(</w:t>
      </w:r>
      <w:proofErr w:type="gramEnd"/>
      <w:r>
        <w:rPr>
          <w:rFonts w:ascii="Arial" w:hAnsi="Arial" w:cs="Arial"/>
          <w:sz w:val="20"/>
          <w:szCs w:val="20"/>
        </w:rPr>
        <w:t>2019)</w:t>
      </w:r>
      <w:r w:rsidRPr="00511343">
        <w:rPr>
          <w:rFonts w:ascii="Arial" w:hAnsi="Arial" w:cs="Arial"/>
          <w:i/>
          <w:iCs/>
          <w:sz w:val="20"/>
          <w:szCs w:val="20"/>
        </w:rPr>
        <w:t xml:space="preserve"> Research with Children: Guidance on Data Protection Issues</w:t>
      </w:r>
      <w:r>
        <w:rPr>
          <w:rFonts w:ascii="Arial" w:hAnsi="Arial" w:cs="Arial"/>
          <w:i/>
          <w:iCs/>
          <w:sz w:val="20"/>
          <w:szCs w:val="20"/>
        </w:rPr>
        <w:t xml:space="preserve">. </w:t>
      </w:r>
      <w:r>
        <w:rPr>
          <w:rFonts w:ascii="Arial" w:hAnsi="Arial" w:cs="Arial"/>
          <w:sz w:val="20"/>
          <w:szCs w:val="20"/>
        </w:rPr>
        <w:t xml:space="preserve">Available at: </w:t>
      </w:r>
      <w:hyperlink r:id="rId19" w:history="1">
        <w:r w:rsidRPr="002F7940">
          <w:rPr>
            <w:rStyle w:val="Hyperlink"/>
            <w:rFonts w:ascii="Arial" w:hAnsi="Arial" w:cs="Arial"/>
            <w:sz w:val="20"/>
            <w:szCs w:val="20"/>
          </w:rPr>
          <w:t>https://www.ucl.ac.uk/data-protection/sites/data_protection/files/research_with_children_guidance_v1.2.pdf</w:t>
        </w:r>
      </w:hyperlink>
      <w:r>
        <w:rPr>
          <w:rFonts w:ascii="Arial" w:hAnsi="Arial" w:cs="Arial"/>
          <w:sz w:val="20"/>
          <w:szCs w:val="20"/>
        </w:rPr>
        <w:t xml:space="preserve"> (Accessed 19th August 2024)</w:t>
      </w:r>
    </w:p>
    <w:p w14:paraId="6BE2D1A0" w14:textId="77777777" w:rsidR="00B202EA" w:rsidRDefault="00B202EA" w:rsidP="00B202EA">
      <w:pPr>
        <w:rPr>
          <w:rFonts w:ascii="Arial" w:hAnsi="Arial" w:cs="Arial"/>
          <w:sz w:val="20"/>
          <w:szCs w:val="20"/>
        </w:rPr>
      </w:pPr>
      <w:r w:rsidRPr="00CB291A">
        <w:rPr>
          <w:rFonts w:ascii="Arial" w:hAnsi="Arial" w:cs="Arial"/>
          <w:sz w:val="20"/>
          <w:szCs w:val="20"/>
        </w:rPr>
        <w:t xml:space="preserve">Legal Services Data Protection Office </w:t>
      </w:r>
      <w:proofErr w:type="gramStart"/>
      <w:r>
        <w:rPr>
          <w:rFonts w:ascii="Arial" w:hAnsi="Arial" w:cs="Arial"/>
          <w:sz w:val="20"/>
          <w:szCs w:val="20"/>
        </w:rPr>
        <w:t>b</w:t>
      </w:r>
      <w:r w:rsidRPr="00CB291A">
        <w:rPr>
          <w:rFonts w:ascii="Arial" w:hAnsi="Arial" w:cs="Arial"/>
          <w:sz w:val="20"/>
          <w:szCs w:val="20"/>
        </w:rPr>
        <w:t>(</w:t>
      </w:r>
      <w:proofErr w:type="gramEnd"/>
      <w:r w:rsidRPr="00CB291A">
        <w:rPr>
          <w:rFonts w:ascii="Arial" w:hAnsi="Arial" w:cs="Arial"/>
          <w:sz w:val="20"/>
          <w:szCs w:val="20"/>
        </w:rPr>
        <w:t xml:space="preserve">2019) Research with Children: Guidance on Data Protection Issues. Available at: </w:t>
      </w:r>
      <w:hyperlink r:id="rId20" w:history="1">
        <w:r w:rsidRPr="002F7940">
          <w:rPr>
            <w:rStyle w:val="Hyperlink"/>
            <w:rFonts w:ascii="Arial" w:hAnsi="Arial" w:cs="Arial"/>
            <w:sz w:val="20"/>
            <w:szCs w:val="20"/>
          </w:rPr>
          <w:t>https://www.ucl.ac.uk/data-protection/sites/data_protection/files/research_with_children_guidance_v1.2.pdf</w:t>
        </w:r>
      </w:hyperlink>
      <w:r>
        <w:rPr>
          <w:rFonts w:ascii="Arial" w:hAnsi="Arial" w:cs="Arial"/>
          <w:sz w:val="20"/>
          <w:szCs w:val="20"/>
        </w:rPr>
        <w:t xml:space="preserve"> </w:t>
      </w:r>
      <w:r w:rsidRPr="00CB291A">
        <w:rPr>
          <w:rFonts w:ascii="Arial" w:hAnsi="Arial" w:cs="Arial"/>
          <w:sz w:val="20"/>
          <w:szCs w:val="20"/>
        </w:rPr>
        <w:t>(Accessed 19th August 2024)</w:t>
      </w:r>
    </w:p>
    <w:p w14:paraId="7790D770" w14:textId="77777777" w:rsidR="00B202EA" w:rsidRDefault="00B202EA" w:rsidP="00B202EA">
      <w:pPr>
        <w:rPr>
          <w:rFonts w:ascii="Arial" w:hAnsi="Arial" w:cs="Arial"/>
          <w:sz w:val="20"/>
          <w:szCs w:val="20"/>
        </w:rPr>
      </w:pPr>
      <w:r>
        <w:rPr>
          <w:rFonts w:ascii="Arial" w:hAnsi="Arial" w:cs="Arial"/>
          <w:sz w:val="20"/>
          <w:szCs w:val="20"/>
        </w:rPr>
        <w:t>National Library of Medicine (2020</w:t>
      </w:r>
      <w:r w:rsidRPr="000F2B99">
        <w:rPr>
          <w:rFonts w:ascii="Arial" w:hAnsi="Arial" w:cs="Arial"/>
          <w:i/>
          <w:iCs/>
          <w:sz w:val="20"/>
          <w:szCs w:val="20"/>
        </w:rPr>
        <w:t>) Why Human Subjects Research Protection Is Important.</w:t>
      </w:r>
      <w:r>
        <w:rPr>
          <w:rFonts w:ascii="Arial" w:hAnsi="Arial" w:cs="Arial"/>
          <w:sz w:val="20"/>
          <w:szCs w:val="20"/>
        </w:rPr>
        <w:t xml:space="preserve"> Available at: </w:t>
      </w:r>
      <w:hyperlink r:id="rId21" w:history="1">
        <w:r w:rsidRPr="002F7940">
          <w:rPr>
            <w:rStyle w:val="Hyperlink"/>
            <w:rFonts w:ascii="Arial" w:hAnsi="Arial" w:cs="Arial"/>
            <w:sz w:val="20"/>
            <w:szCs w:val="20"/>
          </w:rPr>
          <w:t>https://www.ncbi.nlm.nih.gov/pmc/articles/PMC7122250/</w:t>
        </w:r>
      </w:hyperlink>
      <w:r>
        <w:rPr>
          <w:rFonts w:ascii="Arial" w:hAnsi="Arial" w:cs="Arial"/>
          <w:sz w:val="20"/>
          <w:szCs w:val="20"/>
        </w:rPr>
        <w:t xml:space="preserve"> (Accessed 18</w:t>
      </w:r>
      <w:r w:rsidRPr="003D2229">
        <w:rPr>
          <w:rFonts w:ascii="Arial" w:hAnsi="Arial" w:cs="Arial"/>
          <w:sz w:val="20"/>
          <w:szCs w:val="20"/>
          <w:vertAlign w:val="superscript"/>
        </w:rPr>
        <w:t>th</w:t>
      </w:r>
      <w:r>
        <w:rPr>
          <w:rFonts w:ascii="Arial" w:hAnsi="Arial" w:cs="Arial"/>
          <w:sz w:val="20"/>
          <w:szCs w:val="20"/>
        </w:rPr>
        <w:t xml:space="preserve"> August 2024)</w:t>
      </w:r>
    </w:p>
    <w:p w14:paraId="0AA5EEAF"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National Library of Medicine (2024). </w:t>
      </w:r>
      <w:r w:rsidRPr="008B00D0">
        <w:rPr>
          <w:rFonts w:ascii="Arial" w:hAnsi="Arial" w:cs="Arial"/>
          <w:i/>
          <w:iCs/>
          <w:sz w:val="20"/>
          <w:szCs w:val="20"/>
        </w:rPr>
        <w:t xml:space="preserve">How Large Are Gender Differences in Toy Preferences? A Systematic Review and Meta-Analysis of Toy Preference Research. </w:t>
      </w:r>
      <w:r w:rsidRPr="008B00D0">
        <w:rPr>
          <w:rFonts w:ascii="Arial" w:hAnsi="Arial" w:cs="Arial"/>
          <w:sz w:val="20"/>
          <w:szCs w:val="20"/>
        </w:rPr>
        <w:t xml:space="preserve">Available at: </w:t>
      </w:r>
      <w:hyperlink r:id="rId22" w:history="1">
        <w:r w:rsidRPr="008B00D0">
          <w:rPr>
            <w:rStyle w:val="Hyperlink"/>
            <w:rFonts w:ascii="Arial" w:hAnsi="Arial" w:cs="Arial"/>
            <w:sz w:val="20"/>
            <w:szCs w:val="20"/>
          </w:rPr>
          <w:t>https://www.ncbi.nlm.nih.gov/pmc/articles/PMC7031194/</w:t>
        </w:r>
      </w:hyperlink>
      <w:r w:rsidRPr="008B00D0">
        <w:rPr>
          <w:rFonts w:ascii="Arial" w:hAnsi="Arial" w:cs="Arial"/>
          <w:sz w:val="20"/>
          <w:szCs w:val="20"/>
        </w:rPr>
        <w:t xml:space="preserve"> (Accessed 26</w:t>
      </w:r>
      <w:r w:rsidRPr="008B00D0">
        <w:rPr>
          <w:rFonts w:ascii="Arial" w:hAnsi="Arial" w:cs="Arial"/>
          <w:sz w:val="20"/>
          <w:szCs w:val="20"/>
          <w:vertAlign w:val="superscript"/>
        </w:rPr>
        <w:t>th</w:t>
      </w:r>
      <w:r w:rsidRPr="008B00D0">
        <w:rPr>
          <w:rFonts w:ascii="Arial" w:hAnsi="Arial" w:cs="Arial"/>
          <w:sz w:val="20"/>
          <w:szCs w:val="20"/>
        </w:rPr>
        <w:t xml:space="preserve"> May 2024)</w:t>
      </w:r>
    </w:p>
    <w:p w14:paraId="1AC260F4" w14:textId="77777777" w:rsidR="00B202EA" w:rsidRPr="008B00D0" w:rsidRDefault="00B202EA" w:rsidP="00B202EA">
      <w:pPr>
        <w:rPr>
          <w:rFonts w:ascii="Arial" w:hAnsi="Arial" w:cs="Arial"/>
          <w:sz w:val="20"/>
          <w:szCs w:val="20"/>
          <w:shd w:val="clear" w:color="auto" w:fill="FFFFFF"/>
        </w:rPr>
      </w:pPr>
      <w:proofErr w:type="spellStart"/>
      <w:r w:rsidRPr="008B00D0">
        <w:rPr>
          <w:rFonts w:ascii="Arial" w:hAnsi="Arial" w:cs="Arial"/>
          <w:sz w:val="20"/>
          <w:szCs w:val="20"/>
          <w:shd w:val="clear" w:color="auto" w:fill="FFFFFF"/>
        </w:rPr>
        <w:t>Nidirect</w:t>
      </w:r>
      <w:proofErr w:type="spellEnd"/>
      <w:r w:rsidRPr="008B00D0">
        <w:rPr>
          <w:rFonts w:ascii="Arial" w:hAnsi="Arial" w:cs="Arial"/>
          <w:sz w:val="20"/>
          <w:szCs w:val="20"/>
          <w:shd w:val="clear" w:color="auto" w:fill="FFFFFF"/>
        </w:rPr>
        <w:t xml:space="preserve"> Government Service (no date)</w:t>
      </w:r>
      <w:r w:rsidRPr="008B00D0">
        <w:rPr>
          <w:rFonts w:ascii="Arial" w:hAnsi="Arial" w:cs="Arial"/>
          <w:sz w:val="20"/>
          <w:szCs w:val="20"/>
        </w:rPr>
        <w:t xml:space="preserve"> </w:t>
      </w:r>
      <w:r w:rsidRPr="008B00D0">
        <w:rPr>
          <w:rFonts w:ascii="Arial" w:hAnsi="Arial" w:cs="Arial"/>
          <w:i/>
          <w:iCs/>
          <w:sz w:val="20"/>
          <w:szCs w:val="20"/>
          <w:shd w:val="clear" w:color="auto" w:fill="FFFFFF"/>
        </w:rPr>
        <w:t>How play helps children's development</w:t>
      </w:r>
      <w:r w:rsidRPr="008B00D0">
        <w:rPr>
          <w:rFonts w:ascii="Arial" w:hAnsi="Arial" w:cs="Arial"/>
          <w:sz w:val="20"/>
          <w:szCs w:val="20"/>
          <w:shd w:val="clear" w:color="auto" w:fill="FFFFFF"/>
        </w:rPr>
        <w:t xml:space="preserve"> Available at:</w:t>
      </w:r>
      <w:r w:rsidRPr="008B00D0">
        <w:rPr>
          <w:rFonts w:ascii="Arial" w:hAnsi="Arial" w:cs="Arial"/>
          <w:sz w:val="20"/>
          <w:szCs w:val="20"/>
          <w:u w:val="single"/>
          <w:shd w:val="clear" w:color="auto" w:fill="FFFFFF"/>
        </w:rPr>
        <w:t xml:space="preserve"> </w:t>
      </w:r>
      <w:hyperlink r:id="rId23" w:history="1">
        <w:r w:rsidRPr="008B00D0">
          <w:rPr>
            <w:rStyle w:val="Hyperlink"/>
            <w:rFonts w:ascii="Arial" w:hAnsi="Arial" w:cs="Arial"/>
            <w:sz w:val="20"/>
            <w:szCs w:val="20"/>
            <w:shd w:val="clear" w:color="auto" w:fill="FFFFFF"/>
          </w:rPr>
          <w:t>https://www.nidirect.gov.uk/articles/how-play-helps-childrens-development</w:t>
        </w:r>
      </w:hyperlink>
      <w:r w:rsidRPr="008B00D0">
        <w:rPr>
          <w:rFonts w:ascii="Arial" w:hAnsi="Arial" w:cs="Arial"/>
          <w:color w:val="006ACC"/>
          <w:sz w:val="20"/>
          <w:szCs w:val="20"/>
          <w:u w:val="single"/>
          <w:shd w:val="clear" w:color="auto" w:fill="FFFFFF"/>
        </w:rPr>
        <w:t xml:space="preserve"> </w:t>
      </w:r>
      <w:r w:rsidRPr="008B00D0">
        <w:rPr>
          <w:rFonts w:ascii="Arial" w:hAnsi="Arial" w:cs="Arial"/>
          <w:sz w:val="20"/>
          <w:szCs w:val="20"/>
          <w:shd w:val="clear" w:color="auto" w:fill="FFFFFF"/>
        </w:rPr>
        <w:t>(Accessed 19th August 2024)</w:t>
      </w:r>
    </w:p>
    <w:p w14:paraId="2E0E3F04"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Paterson, B. L., Bottorff, J. L., &amp; </w:t>
      </w:r>
      <w:proofErr w:type="spellStart"/>
      <w:r w:rsidRPr="008B00D0">
        <w:rPr>
          <w:rFonts w:ascii="Arial" w:hAnsi="Arial" w:cs="Arial"/>
          <w:sz w:val="20"/>
          <w:szCs w:val="20"/>
        </w:rPr>
        <w:t>Hewat</w:t>
      </w:r>
      <w:proofErr w:type="spellEnd"/>
      <w:r w:rsidRPr="008B00D0">
        <w:rPr>
          <w:rFonts w:ascii="Arial" w:hAnsi="Arial" w:cs="Arial"/>
          <w:sz w:val="20"/>
          <w:szCs w:val="20"/>
        </w:rPr>
        <w:t xml:space="preserve">, R. (2003). Blending Observational Methods: Possibilities, Strategies, and Challenges. International Journal of Qualitative Methods, 2(1), 29-38. </w:t>
      </w:r>
      <w:hyperlink r:id="rId24" w:history="1">
        <w:r w:rsidRPr="008B00D0">
          <w:rPr>
            <w:rStyle w:val="Hyperlink"/>
            <w:rFonts w:ascii="Arial" w:hAnsi="Arial" w:cs="Arial"/>
            <w:sz w:val="20"/>
            <w:szCs w:val="20"/>
          </w:rPr>
          <w:t>https://doi.org/10.1177/160940690300200103</w:t>
        </w:r>
      </w:hyperlink>
      <w:r w:rsidRPr="008B00D0">
        <w:rPr>
          <w:rFonts w:ascii="Arial" w:hAnsi="Arial" w:cs="Arial"/>
          <w:sz w:val="20"/>
          <w:szCs w:val="20"/>
        </w:rPr>
        <w:t xml:space="preserve"> (Accessed 19th August 2024)</w:t>
      </w:r>
    </w:p>
    <w:p w14:paraId="73945624"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Research Gate (2022) Semi-structured Interview: </w:t>
      </w:r>
      <w:r w:rsidRPr="008B00D0">
        <w:rPr>
          <w:rFonts w:ascii="Arial" w:hAnsi="Arial" w:cs="Arial"/>
          <w:i/>
          <w:iCs/>
          <w:sz w:val="20"/>
          <w:szCs w:val="20"/>
        </w:rPr>
        <w:t xml:space="preserve">A Methodological Reflection on the Development of a Qualitative Research Instrument in Educational Studies. </w:t>
      </w:r>
      <w:r w:rsidRPr="008B00D0">
        <w:rPr>
          <w:rFonts w:ascii="Arial" w:hAnsi="Arial" w:cs="Arial"/>
          <w:sz w:val="20"/>
          <w:szCs w:val="20"/>
        </w:rPr>
        <w:t xml:space="preserve">Available at: </w:t>
      </w:r>
      <w:hyperlink r:id="rId25" w:history="1">
        <w:r w:rsidRPr="008B00D0">
          <w:rPr>
            <w:rStyle w:val="Hyperlink"/>
            <w:rFonts w:ascii="Arial" w:hAnsi="Arial" w:cs="Arial"/>
            <w:sz w:val="20"/>
            <w:szCs w:val="20"/>
          </w:rPr>
          <w:t>https://www.researchgate.net/publication/358893176_Semi-structured_Interview_A_Methodological_Reflection_on_the_Development_of_a_Qualitative_Research_Instrument_in_Educational_Studies</w:t>
        </w:r>
      </w:hyperlink>
      <w:r w:rsidRPr="008B00D0">
        <w:rPr>
          <w:rFonts w:ascii="Arial" w:hAnsi="Arial" w:cs="Arial"/>
          <w:sz w:val="20"/>
          <w:szCs w:val="20"/>
        </w:rPr>
        <w:t xml:space="preserve"> (Accessed 19th August 2024)</w:t>
      </w:r>
    </w:p>
    <w:p w14:paraId="1CB98D2E"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Research Method (2024) </w:t>
      </w:r>
      <w:r w:rsidRPr="008B00D0">
        <w:rPr>
          <w:rFonts w:ascii="Arial" w:hAnsi="Arial" w:cs="Arial"/>
          <w:i/>
          <w:iCs/>
          <w:sz w:val="20"/>
          <w:szCs w:val="20"/>
        </w:rPr>
        <w:t>Data Collection</w:t>
      </w:r>
      <w:r w:rsidRPr="008B00D0">
        <w:rPr>
          <w:rFonts w:ascii="Arial" w:hAnsi="Arial" w:cs="Arial"/>
          <w:sz w:val="20"/>
          <w:szCs w:val="20"/>
        </w:rPr>
        <w:t xml:space="preserve">. Available at: </w:t>
      </w:r>
      <w:hyperlink r:id="rId26" w:history="1">
        <w:r w:rsidRPr="008B00D0">
          <w:rPr>
            <w:rStyle w:val="Hyperlink"/>
            <w:rFonts w:ascii="Arial" w:hAnsi="Arial" w:cs="Arial"/>
            <w:sz w:val="20"/>
            <w:szCs w:val="20"/>
          </w:rPr>
          <w:t>https://researchmethod.net/data-collection/</w:t>
        </w:r>
      </w:hyperlink>
      <w:r w:rsidRPr="008B00D0">
        <w:rPr>
          <w:rFonts w:ascii="Arial" w:hAnsi="Arial" w:cs="Arial"/>
          <w:sz w:val="20"/>
          <w:szCs w:val="20"/>
        </w:rPr>
        <w:t xml:space="preserve"> (Accessed 19</w:t>
      </w:r>
      <w:r w:rsidRPr="008B00D0">
        <w:rPr>
          <w:rFonts w:ascii="Arial" w:hAnsi="Arial" w:cs="Arial"/>
          <w:sz w:val="20"/>
          <w:szCs w:val="20"/>
          <w:vertAlign w:val="superscript"/>
        </w:rPr>
        <w:t>th</w:t>
      </w:r>
      <w:r w:rsidRPr="008B00D0">
        <w:rPr>
          <w:rFonts w:ascii="Arial" w:hAnsi="Arial" w:cs="Arial"/>
          <w:sz w:val="20"/>
          <w:szCs w:val="20"/>
        </w:rPr>
        <w:t xml:space="preserve"> August 2024)</w:t>
      </w:r>
    </w:p>
    <w:p w14:paraId="1569D8FB"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Research Method Net </w:t>
      </w:r>
      <w:proofErr w:type="gramStart"/>
      <w:r w:rsidRPr="008B00D0">
        <w:rPr>
          <w:rFonts w:ascii="Arial" w:hAnsi="Arial" w:cs="Arial"/>
          <w:sz w:val="20"/>
          <w:szCs w:val="20"/>
        </w:rPr>
        <w:t>b(</w:t>
      </w:r>
      <w:proofErr w:type="gramEnd"/>
      <w:r w:rsidRPr="008B00D0">
        <w:rPr>
          <w:rFonts w:ascii="Arial" w:hAnsi="Arial" w:cs="Arial"/>
          <w:sz w:val="20"/>
          <w:szCs w:val="20"/>
        </w:rPr>
        <w:t xml:space="preserve">2005) Ways of seeing: Using the Mosaic approach to listen to young children’s perspectives. Available at: </w:t>
      </w:r>
      <w:hyperlink r:id="rId27" w:history="1">
        <w:r w:rsidRPr="008B00D0">
          <w:rPr>
            <w:rStyle w:val="Hyperlink"/>
            <w:rFonts w:ascii="Arial" w:hAnsi="Arial" w:cs="Arial"/>
            <w:sz w:val="20"/>
            <w:szCs w:val="20"/>
          </w:rPr>
          <w:t>https://www.researchgate.net/publication/321156718_Ways_of_seeing_Using_the_Mosaic_approach_to_listen_to_young_children's_perspectives</w:t>
        </w:r>
      </w:hyperlink>
      <w:r w:rsidRPr="008B00D0">
        <w:rPr>
          <w:rFonts w:ascii="Arial" w:hAnsi="Arial" w:cs="Arial"/>
          <w:sz w:val="20"/>
          <w:szCs w:val="20"/>
        </w:rPr>
        <w:t xml:space="preserve"> (Accessed 19th August 2024)</w:t>
      </w:r>
    </w:p>
    <w:p w14:paraId="18B5E2AA"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Research Net </w:t>
      </w:r>
      <w:proofErr w:type="gramStart"/>
      <w:r w:rsidRPr="008B00D0">
        <w:rPr>
          <w:rFonts w:ascii="Arial" w:hAnsi="Arial" w:cs="Arial"/>
          <w:sz w:val="20"/>
          <w:szCs w:val="20"/>
        </w:rPr>
        <w:t>a(</w:t>
      </w:r>
      <w:proofErr w:type="gramEnd"/>
      <w:r w:rsidRPr="008B00D0">
        <w:rPr>
          <w:rFonts w:ascii="Arial" w:hAnsi="Arial" w:cs="Arial"/>
          <w:sz w:val="20"/>
          <w:szCs w:val="20"/>
        </w:rPr>
        <w:t xml:space="preserve">2005) </w:t>
      </w:r>
      <w:r w:rsidRPr="008B00D0">
        <w:rPr>
          <w:rFonts w:ascii="Arial" w:hAnsi="Arial" w:cs="Arial"/>
          <w:i/>
          <w:iCs/>
          <w:sz w:val="20"/>
          <w:szCs w:val="20"/>
        </w:rPr>
        <w:t>Ways of seeing: Using the Mosaic approach to listen to young children’s perspectives</w:t>
      </w:r>
      <w:r w:rsidRPr="008B00D0">
        <w:rPr>
          <w:rFonts w:ascii="Arial" w:hAnsi="Arial" w:cs="Arial"/>
          <w:sz w:val="20"/>
          <w:szCs w:val="20"/>
        </w:rPr>
        <w:t xml:space="preserve">. Available at: </w:t>
      </w:r>
      <w:hyperlink r:id="rId28" w:history="1">
        <w:r w:rsidRPr="008B00D0">
          <w:rPr>
            <w:rStyle w:val="Hyperlink"/>
            <w:rFonts w:ascii="Arial" w:hAnsi="Arial" w:cs="Arial"/>
            <w:sz w:val="20"/>
            <w:szCs w:val="20"/>
          </w:rPr>
          <w:t>https://www.researchgate.net/publication/321156718_Ways_of_seeing_Using_the_Mosaic_approach_to_listen_to_young_children's_perspectives</w:t>
        </w:r>
      </w:hyperlink>
      <w:r w:rsidRPr="008B00D0">
        <w:rPr>
          <w:rFonts w:ascii="Arial" w:hAnsi="Arial" w:cs="Arial"/>
          <w:sz w:val="20"/>
          <w:szCs w:val="20"/>
        </w:rPr>
        <w:t xml:space="preserve"> (Accessed 19th August 2024)</w:t>
      </w:r>
    </w:p>
    <w:p w14:paraId="14C54031"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Researchers Life (2024) </w:t>
      </w:r>
      <w:r w:rsidRPr="008B00D0">
        <w:rPr>
          <w:rFonts w:ascii="Arial" w:hAnsi="Arial" w:cs="Arial"/>
          <w:i/>
          <w:iCs/>
          <w:sz w:val="20"/>
          <w:szCs w:val="20"/>
        </w:rPr>
        <w:t xml:space="preserve">What is Purposive Sampling? Methods, Techniques, and Examples. </w:t>
      </w:r>
      <w:r w:rsidRPr="008B00D0">
        <w:rPr>
          <w:rFonts w:ascii="Arial" w:hAnsi="Arial" w:cs="Arial"/>
          <w:sz w:val="20"/>
          <w:szCs w:val="20"/>
        </w:rPr>
        <w:t xml:space="preserve">Available at: </w:t>
      </w:r>
      <w:hyperlink r:id="rId29" w:history="1">
        <w:r w:rsidRPr="008B00D0">
          <w:rPr>
            <w:rStyle w:val="Hyperlink"/>
            <w:rFonts w:ascii="Arial" w:hAnsi="Arial" w:cs="Arial"/>
            <w:sz w:val="20"/>
            <w:szCs w:val="20"/>
          </w:rPr>
          <w:t>https://researcher.life/blog/article/what-is-purposive-sampling-methods-techniques-and-examples/#What_is_a_purposive_sampling</w:t>
        </w:r>
      </w:hyperlink>
      <w:r w:rsidRPr="008B00D0">
        <w:rPr>
          <w:rFonts w:ascii="Arial" w:hAnsi="Arial" w:cs="Arial"/>
          <w:sz w:val="20"/>
          <w:szCs w:val="20"/>
        </w:rPr>
        <w:t xml:space="preserve"> (Accessed 19</w:t>
      </w:r>
      <w:r w:rsidRPr="008B00D0">
        <w:rPr>
          <w:rFonts w:ascii="Arial" w:hAnsi="Arial" w:cs="Arial"/>
          <w:sz w:val="20"/>
          <w:szCs w:val="20"/>
          <w:vertAlign w:val="superscript"/>
        </w:rPr>
        <w:t>th</w:t>
      </w:r>
      <w:r w:rsidRPr="008B00D0">
        <w:rPr>
          <w:rFonts w:ascii="Arial" w:hAnsi="Arial" w:cs="Arial"/>
          <w:sz w:val="20"/>
          <w:szCs w:val="20"/>
        </w:rPr>
        <w:t xml:space="preserve"> August 2024)</w:t>
      </w:r>
    </w:p>
    <w:p w14:paraId="6E3C669F"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  SHIVERS, C.H. </w:t>
      </w:r>
      <w:proofErr w:type="gramStart"/>
      <w:r w:rsidRPr="008B00D0">
        <w:rPr>
          <w:rFonts w:ascii="Arial" w:hAnsi="Arial" w:cs="Arial"/>
          <w:sz w:val="20"/>
          <w:szCs w:val="20"/>
        </w:rPr>
        <w:t>a(</w:t>
      </w:r>
      <w:proofErr w:type="gramEnd"/>
      <w:r w:rsidRPr="008B00D0">
        <w:rPr>
          <w:rFonts w:ascii="Arial" w:hAnsi="Arial" w:cs="Arial"/>
          <w:sz w:val="20"/>
          <w:szCs w:val="20"/>
        </w:rPr>
        <w:t>1998) ‘HALOS, HORNS &amp; HAWTHORNE: Potential Flaws in the Evaluation Process’, Professional safety, 43(3), pp. 38–41.</w:t>
      </w:r>
    </w:p>
    <w:p w14:paraId="1E39E543"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SHIVERS, C.H. </w:t>
      </w:r>
      <w:proofErr w:type="gramStart"/>
      <w:r w:rsidRPr="008B00D0">
        <w:rPr>
          <w:rFonts w:ascii="Arial" w:hAnsi="Arial" w:cs="Arial"/>
          <w:sz w:val="20"/>
          <w:szCs w:val="20"/>
        </w:rPr>
        <w:t>b(</w:t>
      </w:r>
      <w:proofErr w:type="gramEnd"/>
      <w:r w:rsidRPr="008B00D0">
        <w:rPr>
          <w:rFonts w:ascii="Arial" w:hAnsi="Arial" w:cs="Arial"/>
          <w:sz w:val="20"/>
          <w:szCs w:val="20"/>
        </w:rPr>
        <w:t>1998) ‘HALOS, HORNS &amp; HAWTHORNE: Potential Flaws in the Evaluation Process’, Professional safety, 43(3), pp. 38–41</w:t>
      </w:r>
    </w:p>
    <w:p w14:paraId="2E1D0CCA"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UNESDOC a(no date) </w:t>
      </w:r>
      <w:r w:rsidRPr="008B00D0">
        <w:rPr>
          <w:rFonts w:ascii="Arial" w:hAnsi="Arial" w:cs="Arial"/>
          <w:i/>
          <w:iCs/>
          <w:sz w:val="20"/>
          <w:szCs w:val="20"/>
        </w:rPr>
        <w:t xml:space="preserve">Importance of gender equality to inclusive education </w:t>
      </w:r>
      <w:r w:rsidRPr="008B00D0">
        <w:rPr>
          <w:rFonts w:ascii="Arial" w:hAnsi="Arial" w:cs="Arial"/>
          <w:sz w:val="20"/>
          <w:szCs w:val="20"/>
        </w:rPr>
        <w:t xml:space="preserve">.Available at: </w:t>
      </w:r>
      <w:hyperlink r:id="rId30" w:history="1">
        <w:r w:rsidRPr="008B00D0">
          <w:rPr>
            <w:rStyle w:val="Hyperlink"/>
            <w:rFonts w:ascii="Arial" w:hAnsi="Arial" w:cs="Arial"/>
            <w:sz w:val="20"/>
            <w:szCs w:val="20"/>
          </w:rPr>
          <w:t>https://unesdoc.unesco.org/ark:/48223/pf0000387889#:~:text=By%20examining%2C%20challenging%20and%20changing%20harmful%20gender%20norms%2C,that%20the%20diverse%20needs%20of%20students%20are%20met</w:t>
        </w:r>
      </w:hyperlink>
      <w:r w:rsidRPr="008B00D0">
        <w:rPr>
          <w:rFonts w:ascii="Arial" w:hAnsi="Arial" w:cs="Arial"/>
          <w:sz w:val="20"/>
          <w:szCs w:val="20"/>
        </w:rPr>
        <w:t>. (Accessed 19</w:t>
      </w:r>
      <w:r w:rsidRPr="008B00D0">
        <w:rPr>
          <w:rFonts w:ascii="Arial" w:hAnsi="Arial" w:cs="Arial"/>
          <w:sz w:val="20"/>
          <w:szCs w:val="20"/>
          <w:vertAlign w:val="superscript"/>
        </w:rPr>
        <w:t>th</w:t>
      </w:r>
      <w:r w:rsidRPr="008B00D0">
        <w:rPr>
          <w:rFonts w:ascii="Arial" w:hAnsi="Arial" w:cs="Arial"/>
          <w:sz w:val="20"/>
          <w:szCs w:val="20"/>
        </w:rPr>
        <w:t xml:space="preserve"> August 2024)</w:t>
      </w:r>
    </w:p>
    <w:p w14:paraId="2B8065DE"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UNESDOC </w:t>
      </w:r>
      <w:proofErr w:type="gramStart"/>
      <w:r w:rsidRPr="008B00D0">
        <w:rPr>
          <w:rFonts w:ascii="Arial" w:hAnsi="Arial" w:cs="Arial"/>
          <w:sz w:val="20"/>
          <w:szCs w:val="20"/>
        </w:rPr>
        <w:t>b(</w:t>
      </w:r>
      <w:proofErr w:type="gramEnd"/>
      <w:r w:rsidRPr="008B00D0">
        <w:rPr>
          <w:rFonts w:ascii="Arial" w:hAnsi="Arial" w:cs="Arial"/>
          <w:sz w:val="20"/>
          <w:szCs w:val="20"/>
        </w:rPr>
        <w:t xml:space="preserve">no date) Importance of gender equality to inclusive education. Available at: </w:t>
      </w:r>
      <w:hyperlink r:id="rId31" w:history="1">
        <w:r w:rsidRPr="008B00D0">
          <w:rPr>
            <w:rStyle w:val="Hyperlink"/>
            <w:rFonts w:ascii="Arial" w:hAnsi="Arial" w:cs="Arial"/>
            <w:sz w:val="20"/>
            <w:szCs w:val="20"/>
          </w:rPr>
          <w:t>https://unesdoc.unesco.org/ark:/48223/pf0000387889#:~:text=By%20examining%2C%20challenging%20and%20changing%20harmful%20gender%20norms%2C,that%20the%20diverse%20needs%20of%20students%20are%20met</w:t>
        </w:r>
      </w:hyperlink>
      <w:r w:rsidRPr="008B00D0">
        <w:rPr>
          <w:rFonts w:ascii="Arial" w:hAnsi="Arial" w:cs="Arial"/>
          <w:sz w:val="20"/>
          <w:szCs w:val="20"/>
        </w:rPr>
        <w:t>.  (Accessed 19th August 2024)</w:t>
      </w:r>
    </w:p>
    <w:p w14:paraId="77D0D03C"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USC Libraries (2024) </w:t>
      </w:r>
      <w:r w:rsidRPr="008B00D0">
        <w:rPr>
          <w:rFonts w:ascii="Arial" w:hAnsi="Arial" w:cs="Arial"/>
          <w:i/>
          <w:iCs/>
          <w:sz w:val="20"/>
          <w:szCs w:val="20"/>
        </w:rPr>
        <w:t>Research Guides</w:t>
      </w:r>
      <w:r w:rsidRPr="008B00D0">
        <w:rPr>
          <w:rFonts w:ascii="Arial" w:hAnsi="Arial" w:cs="Arial"/>
          <w:sz w:val="20"/>
          <w:szCs w:val="20"/>
        </w:rPr>
        <w:t xml:space="preserve">. Available at: </w:t>
      </w:r>
      <w:hyperlink r:id="rId32" w:history="1">
        <w:r w:rsidRPr="008B00D0">
          <w:rPr>
            <w:rStyle w:val="Hyperlink"/>
            <w:rFonts w:ascii="Arial" w:hAnsi="Arial" w:cs="Arial"/>
            <w:sz w:val="20"/>
            <w:szCs w:val="20"/>
          </w:rPr>
          <w:t>https://libguides.usc.edu/writingguide/methodology#:~:text=The%20methods%20section%20describes%20actions%20taken%20to%20investigate,critically%20evaluate%20a%20study%E2%80%99s%20overall%20validity%20and%20reliability</w:t>
        </w:r>
      </w:hyperlink>
      <w:r w:rsidRPr="008B00D0">
        <w:rPr>
          <w:rFonts w:ascii="Arial" w:hAnsi="Arial" w:cs="Arial"/>
          <w:sz w:val="20"/>
          <w:szCs w:val="20"/>
        </w:rPr>
        <w:t>. (Accessed 19</w:t>
      </w:r>
      <w:r w:rsidRPr="008B00D0">
        <w:rPr>
          <w:rFonts w:ascii="Arial" w:hAnsi="Arial" w:cs="Arial"/>
          <w:sz w:val="20"/>
          <w:szCs w:val="20"/>
          <w:vertAlign w:val="superscript"/>
        </w:rPr>
        <w:t>th</w:t>
      </w:r>
      <w:r w:rsidRPr="008B00D0">
        <w:rPr>
          <w:rFonts w:ascii="Arial" w:hAnsi="Arial" w:cs="Arial"/>
          <w:sz w:val="20"/>
          <w:szCs w:val="20"/>
        </w:rPr>
        <w:t xml:space="preserve"> August 2024)</w:t>
      </w:r>
    </w:p>
    <w:p w14:paraId="20D17ECA" w14:textId="77777777" w:rsidR="00B202EA" w:rsidRPr="008B00D0" w:rsidRDefault="00B202EA" w:rsidP="00B202EA">
      <w:pPr>
        <w:rPr>
          <w:rFonts w:ascii="Arial" w:hAnsi="Arial" w:cs="Arial"/>
          <w:sz w:val="20"/>
          <w:szCs w:val="20"/>
        </w:rPr>
      </w:pPr>
      <w:r w:rsidRPr="008B00D0">
        <w:rPr>
          <w:rFonts w:ascii="Arial" w:hAnsi="Arial" w:cs="Arial"/>
          <w:sz w:val="20"/>
          <w:szCs w:val="20"/>
        </w:rPr>
        <w:t xml:space="preserve">Westminster Foundation (2023). </w:t>
      </w:r>
      <w:r w:rsidRPr="008B00D0">
        <w:rPr>
          <w:rFonts w:ascii="Arial" w:hAnsi="Arial" w:cs="Arial"/>
          <w:i/>
          <w:iCs/>
          <w:sz w:val="20"/>
          <w:szCs w:val="20"/>
        </w:rPr>
        <w:t>The importance of gender equity in Early Years education</w:t>
      </w:r>
      <w:r w:rsidRPr="008B00D0">
        <w:rPr>
          <w:rFonts w:ascii="Arial" w:hAnsi="Arial" w:cs="Arial"/>
          <w:sz w:val="20"/>
          <w:szCs w:val="20"/>
        </w:rPr>
        <w:t xml:space="preserve">.  Available at: </w:t>
      </w:r>
      <w:hyperlink r:id="rId33" w:history="1">
        <w:r w:rsidRPr="008B00D0">
          <w:rPr>
            <w:rStyle w:val="Hyperlink"/>
            <w:rFonts w:ascii="Arial" w:hAnsi="Arial" w:cs="Arial"/>
            <w:sz w:val="20"/>
            <w:szCs w:val="20"/>
          </w:rPr>
          <w:t>https://westminsterfoundation.org.uk/news/the-importance-of-gender-equity-in-early-years-education</w:t>
        </w:r>
      </w:hyperlink>
      <w:r w:rsidRPr="008B00D0">
        <w:rPr>
          <w:rFonts w:ascii="Arial" w:hAnsi="Arial" w:cs="Arial"/>
          <w:sz w:val="20"/>
          <w:szCs w:val="20"/>
        </w:rPr>
        <w:t xml:space="preserve"> (Accessed 29th May 2024)</w:t>
      </w:r>
    </w:p>
    <w:p w14:paraId="1FF9E1ED" w14:textId="77777777" w:rsidR="00B202EA" w:rsidRDefault="00B202EA" w:rsidP="00B202EA">
      <w:pPr>
        <w:rPr>
          <w:rFonts w:ascii="Arial" w:hAnsi="Arial" w:cs="Arial"/>
          <w:sz w:val="20"/>
          <w:szCs w:val="20"/>
        </w:rPr>
      </w:pPr>
      <w:proofErr w:type="spellStart"/>
      <w:r w:rsidRPr="008B00D0">
        <w:rPr>
          <w:rFonts w:ascii="Arial" w:hAnsi="Arial" w:cs="Arial"/>
          <w:sz w:val="20"/>
          <w:szCs w:val="20"/>
        </w:rPr>
        <w:t>Wingrave</w:t>
      </w:r>
      <w:proofErr w:type="spellEnd"/>
      <w:r w:rsidRPr="008B00D0">
        <w:rPr>
          <w:rFonts w:ascii="Arial" w:hAnsi="Arial" w:cs="Arial"/>
          <w:sz w:val="20"/>
          <w:szCs w:val="20"/>
        </w:rPr>
        <w:t xml:space="preserve">, M. (2016). </w:t>
      </w:r>
      <w:r w:rsidRPr="008B00D0">
        <w:rPr>
          <w:rFonts w:ascii="Arial" w:hAnsi="Arial" w:cs="Arial"/>
          <w:i/>
          <w:iCs/>
          <w:sz w:val="20"/>
          <w:szCs w:val="20"/>
        </w:rPr>
        <w:t>Perceptions of gender in early years. Gender and Education</w:t>
      </w:r>
      <w:r w:rsidRPr="008B00D0">
        <w:rPr>
          <w:rFonts w:ascii="Arial" w:hAnsi="Arial" w:cs="Arial"/>
          <w:sz w:val="20"/>
          <w:szCs w:val="20"/>
        </w:rPr>
        <w:t xml:space="preserve">, 30(5), 587–606. Available at: </w:t>
      </w:r>
      <w:hyperlink r:id="rId34" w:history="1">
        <w:r w:rsidRPr="008B00D0">
          <w:rPr>
            <w:rStyle w:val="Hyperlink"/>
            <w:rFonts w:ascii="Arial" w:hAnsi="Arial" w:cs="Arial"/>
            <w:sz w:val="20"/>
            <w:szCs w:val="20"/>
          </w:rPr>
          <w:t>https://doi.org/10.1080/09540253.2016.1258457</w:t>
        </w:r>
      </w:hyperlink>
      <w:r w:rsidRPr="008B00D0">
        <w:rPr>
          <w:rFonts w:ascii="Arial" w:hAnsi="Arial" w:cs="Arial"/>
          <w:sz w:val="20"/>
          <w:szCs w:val="20"/>
        </w:rPr>
        <w:t xml:space="preserve"> (</w:t>
      </w:r>
      <w:proofErr w:type="spellStart"/>
      <w:r w:rsidRPr="008B00D0">
        <w:rPr>
          <w:rFonts w:ascii="Arial" w:hAnsi="Arial" w:cs="Arial"/>
          <w:sz w:val="20"/>
          <w:szCs w:val="20"/>
        </w:rPr>
        <w:t>Acessed</w:t>
      </w:r>
      <w:proofErr w:type="spellEnd"/>
      <w:r w:rsidRPr="008B00D0">
        <w:rPr>
          <w:rFonts w:ascii="Arial" w:hAnsi="Arial" w:cs="Arial"/>
          <w:sz w:val="20"/>
          <w:szCs w:val="20"/>
        </w:rPr>
        <w:t xml:space="preserve"> 18th August 2024)</w:t>
      </w:r>
    </w:p>
    <w:p w14:paraId="505D1312" w14:textId="77777777" w:rsidR="00B202EA" w:rsidRPr="00EB7B3A" w:rsidRDefault="00B202EA" w:rsidP="00B202EA">
      <w:pPr>
        <w:rPr>
          <w:rFonts w:ascii="Arial" w:hAnsi="Arial" w:cs="Arial"/>
          <w:sz w:val="20"/>
          <w:szCs w:val="20"/>
        </w:rPr>
      </w:pPr>
    </w:p>
    <w:p w14:paraId="1DB16871" w14:textId="77777777" w:rsidR="00B202EA" w:rsidRPr="00664A08" w:rsidRDefault="00B202EA" w:rsidP="00B202EA">
      <w:pPr>
        <w:rPr>
          <w:rFonts w:ascii="Arial" w:hAnsi="Arial" w:cs="Arial"/>
          <w:sz w:val="20"/>
          <w:szCs w:val="20"/>
        </w:rPr>
      </w:pPr>
    </w:p>
    <w:p w14:paraId="6B176A42" w14:textId="77777777" w:rsidR="00054753" w:rsidRDefault="00054753" w:rsidP="0091529A">
      <w:pPr>
        <w:rPr>
          <w:rFonts w:ascii="Arial" w:hAnsi="Arial" w:cs="Arial"/>
          <w:sz w:val="20"/>
          <w:szCs w:val="20"/>
        </w:rPr>
      </w:pPr>
    </w:p>
    <w:sectPr w:rsidR="00054753">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EC6061" w14:textId="77777777" w:rsidR="004451DD" w:rsidRDefault="004451DD" w:rsidP="004451DD">
      <w:pPr>
        <w:spacing w:after="0" w:line="240" w:lineRule="auto"/>
      </w:pPr>
      <w:r>
        <w:separator/>
      </w:r>
    </w:p>
  </w:endnote>
  <w:endnote w:type="continuationSeparator" w:id="0">
    <w:p w14:paraId="7A90A489" w14:textId="77777777" w:rsidR="004451DD" w:rsidRDefault="004451DD" w:rsidP="00445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520655" w14:textId="77777777" w:rsidR="004451DD" w:rsidRDefault="004451DD" w:rsidP="004451DD">
      <w:pPr>
        <w:spacing w:after="0" w:line="240" w:lineRule="auto"/>
      </w:pPr>
      <w:r>
        <w:separator/>
      </w:r>
    </w:p>
  </w:footnote>
  <w:footnote w:type="continuationSeparator" w:id="0">
    <w:p w14:paraId="5BD75A8C" w14:textId="77777777" w:rsidR="004451DD" w:rsidRDefault="004451DD" w:rsidP="004451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E8FF55" w14:textId="20605F1E" w:rsidR="004451DD" w:rsidRPr="004451DD" w:rsidRDefault="004451DD">
    <w:pPr>
      <w:pStyle w:val="Header"/>
      <w:rPr>
        <w:rFonts w:ascii="Arial" w:hAnsi="Arial" w:cs="Arial"/>
        <w:sz w:val="20"/>
        <w:szCs w:val="20"/>
      </w:rPr>
    </w:pPr>
  </w:p>
  <w:p w14:paraId="696C1ED0" w14:textId="77777777" w:rsidR="008266DE" w:rsidRPr="008266DE" w:rsidRDefault="008266DE" w:rsidP="008266DE">
    <w:pPr>
      <w:pStyle w:val="Header"/>
      <w:rPr>
        <w:rFonts w:ascii="Arial" w:hAnsi="Arial" w:cs="Arial"/>
        <w:sz w:val="20"/>
        <w:szCs w:val="20"/>
      </w:rPr>
    </w:pPr>
    <w:r w:rsidRPr="008266DE">
      <w:rPr>
        <w:rFonts w:ascii="Arial" w:hAnsi="Arial" w:cs="Arial"/>
        <w:sz w:val="20"/>
        <w:szCs w:val="20"/>
      </w:rPr>
      <w:t>2314176</w:t>
    </w:r>
  </w:p>
  <w:p w14:paraId="73E6FD75" w14:textId="12F3E5B6" w:rsidR="008266DE" w:rsidRPr="008266DE" w:rsidRDefault="008266DE" w:rsidP="008266DE">
    <w:pPr>
      <w:pStyle w:val="Header"/>
      <w:rPr>
        <w:rFonts w:ascii="Arial" w:hAnsi="Arial" w:cs="Arial"/>
        <w:sz w:val="20"/>
        <w:szCs w:val="20"/>
      </w:rPr>
    </w:pPr>
    <w:r w:rsidRPr="008266DE">
      <w:rPr>
        <w:rFonts w:ascii="Arial" w:hAnsi="Arial" w:cs="Arial"/>
        <w:sz w:val="20"/>
        <w:szCs w:val="20"/>
      </w:rPr>
      <w:t>EYCY</w:t>
    </w:r>
    <w:r>
      <w:rPr>
        <w:rFonts w:ascii="Arial" w:hAnsi="Arial" w:cs="Arial"/>
        <w:sz w:val="20"/>
        <w:szCs w:val="20"/>
      </w:rPr>
      <w:t>5010</w:t>
    </w:r>
  </w:p>
  <w:p w14:paraId="1CF62DCF" w14:textId="7AF30B6C" w:rsidR="004451DD" w:rsidRPr="008266DE" w:rsidRDefault="008266DE" w:rsidP="008266DE">
    <w:pPr>
      <w:pStyle w:val="Header"/>
      <w:rPr>
        <w:rFonts w:ascii="Arial" w:hAnsi="Arial" w:cs="Arial"/>
        <w:sz w:val="20"/>
        <w:szCs w:val="20"/>
      </w:rPr>
    </w:pPr>
    <w:r w:rsidRPr="008266DE">
      <w:rPr>
        <w:rFonts w:ascii="Arial" w:hAnsi="Arial" w:cs="Arial"/>
        <w:sz w:val="20"/>
        <w:szCs w:val="20"/>
      </w:rPr>
      <w:t xml:space="preserve">Words </w:t>
    </w:r>
    <w:r w:rsidR="008E0751">
      <w:rPr>
        <w:rFonts w:ascii="Arial" w:hAnsi="Arial" w:cs="Arial"/>
        <w:sz w:val="20"/>
        <w:szCs w:val="20"/>
      </w:rPr>
      <w:t>4004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F9E"/>
    <w:rsid w:val="000042B7"/>
    <w:rsid w:val="00011195"/>
    <w:rsid w:val="00037DEA"/>
    <w:rsid w:val="00042558"/>
    <w:rsid w:val="00045075"/>
    <w:rsid w:val="0004531E"/>
    <w:rsid w:val="000468EA"/>
    <w:rsid w:val="00054753"/>
    <w:rsid w:val="00057658"/>
    <w:rsid w:val="00061328"/>
    <w:rsid w:val="00063C36"/>
    <w:rsid w:val="0007068D"/>
    <w:rsid w:val="000A0B4B"/>
    <w:rsid w:val="000A1BA9"/>
    <w:rsid w:val="000A62B2"/>
    <w:rsid w:val="000B5195"/>
    <w:rsid w:val="000B65B4"/>
    <w:rsid w:val="000E6CFC"/>
    <w:rsid w:val="0010300B"/>
    <w:rsid w:val="001207CD"/>
    <w:rsid w:val="001222DA"/>
    <w:rsid w:val="0016430E"/>
    <w:rsid w:val="0016738F"/>
    <w:rsid w:val="001A0779"/>
    <w:rsid w:val="001A568A"/>
    <w:rsid w:val="001A681D"/>
    <w:rsid w:val="001E246C"/>
    <w:rsid w:val="001E473F"/>
    <w:rsid w:val="00204AEE"/>
    <w:rsid w:val="00206BC9"/>
    <w:rsid w:val="00215347"/>
    <w:rsid w:val="002203B0"/>
    <w:rsid w:val="00223AB2"/>
    <w:rsid w:val="002441C4"/>
    <w:rsid w:val="002445E4"/>
    <w:rsid w:val="00253E8E"/>
    <w:rsid w:val="00255C97"/>
    <w:rsid w:val="00266B62"/>
    <w:rsid w:val="0027750E"/>
    <w:rsid w:val="0028064A"/>
    <w:rsid w:val="002918E7"/>
    <w:rsid w:val="00294680"/>
    <w:rsid w:val="002A3CCC"/>
    <w:rsid w:val="002B62CE"/>
    <w:rsid w:val="002B6563"/>
    <w:rsid w:val="002B6808"/>
    <w:rsid w:val="002C51F5"/>
    <w:rsid w:val="002E56F6"/>
    <w:rsid w:val="002F56F2"/>
    <w:rsid w:val="00303665"/>
    <w:rsid w:val="00345E20"/>
    <w:rsid w:val="003659F1"/>
    <w:rsid w:val="003843D3"/>
    <w:rsid w:val="00390785"/>
    <w:rsid w:val="003943F0"/>
    <w:rsid w:val="00396AD6"/>
    <w:rsid w:val="003A13A8"/>
    <w:rsid w:val="003D6121"/>
    <w:rsid w:val="003D7500"/>
    <w:rsid w:val="003E04F6"/>
    <w:rsid w:val="003E4E76"/>
    <w:rsid w:val="003E67E0"/>
    <w:rsid w:val="003F1A98"/>
    <w:rsid w:val="00414A2E"/>
    <w:rsid w:val="00424161"/>
    <w:rsid w:val="00430B1C"/>
    <w:rsid w:val="00437FD4"/>
    <w:rsid w:val="00444520"/>
    <w:rsid w:val="004451DD"/>
    <w:rsid w:val="00463263"/>
    <w:rsid w:val="004655BB"/>
    <w:rsid w:val="004727B9"/>
    <w:rsid w:val="0048531A"/>
    <w:rsid w:val="004A4EC2"/>
    <w:rsid w:val="004A7AFD"/>
    <w:rsid w:val="004B6366"/>
    <w:rsid w:val="004B7024"/>
    <w:rsid w:val="004D0BF4"/>
    <w:rsid w:val="004D3A68"/>
    <w:rsid w:val="004D4FFD"/>
    <w:rsid w:val="004F1AC8"/>
    <w:rsid w:val="004F2B40"/>
    <w:rsid w:val="004F6C37"/>
    <w:rsid w:val="00505C31"/>
    <w:rsid w:val="00512340"/>
    <w:rsid w:val="00523C95"/>
    <w:rsid w:val="005548C4"/>
    <w:rsid w:val="00563B20"/>
    <w:rsid w:val="00567995"/>
    <w:rsid w:val="00575D17"/>
    <w:rsid w:val="00582E88"/>
    <w:rsid w:val="005922F0"/>
    <w:rsid w:val="005A1AEE"/>
    <w:rsid w:val="005A6912"/>
    <w:rsid w:val="005A79F7"/>
    <w:rsid w:val="005C185B"/>
    <w:rsid w:val="005C6FFF"/>
    <w:rsid w:val="005D4C4A"/>
    <w:rsid w:val="005F046A"/>
    <w:rsid w:val="00605D23"/>
    <w:rsid w:val="006240D2"/>
    <w:rsid w:val="006531F2"/>
    <w:rsid w:val="00664A08"/>
    <w:rsid w:val="00670168"/>
    <w:rsid w:val="00676F14"/>
    <w:rsid w:val="006936BE"/>
    <w:rsid w:val="006C15D4"/>
    <w:rsid w:val="006C18C0"/>
    <w:rsid w:val="006C48E5"/>
    <w:rsid w:val="006C5381"/>
    <w:rsid w:val="007013D1"/>
    <w:rsid w:val="00705FF1"/>
    <w:rsid w:val="00711316"/>
    <w:rsid w:val="00715E52"/>
    <w:rsid w:val="007457EB"/>
    <w:rsid w:val="00761247"/>
    <w:rsid w:val="00774922"/>
    <w:rsid w:val="007807DE"/>
    <w:rsid w:val="007814EE"/>
    <w:rsid w:val="007901BD"/>
    <w:rsid w:val="0079077B"/>
    <w:rsid w:val="00796288"/>
    <w:rsid w:val="007A123B"/>
    <w:rsid w:val="007C2B02"/>
    <w:rsid w:val="007D24D5"/>
    <w:rsid w:val="00804592"/>
    <w:rsid w:val="00807A01"/>
    <w:rsid w:val="0081768C"/>
    <w:rsid w:val="008266DE"/>
    <w:rsid w:val="00835625"/>
    <w:rsid w:val="008401E6"/>
    <w:rsid w:val="00846416"/>
    <w:rsid w:val="008526EB"/>
    <w:rsid w:val="00852FC7"/>
    <w:rsid w:val="0087016F"/>
    <w:rsid w:val="00876E00"/>
    <w:rsid w:val="00880611"/>
    <w:rsid w:val="0088497A"/>
    <w:rsid w:val="00894491"/>
    <w:rsid w:val="008B25D6"/>
    <w:rsid w:val="008B72EE"/>
    <w:rsid w:val="008C0C17"/>
    <w:rsid w:val="008C5C8A"/>
    <w:rsid w:val="008D7DB4"/>
    <w:rsid w:val="008E0751"/>
    <w:rsid w:val="00913586"/>
    <w:rsid w:val="0091529A"/>
    <w:rsid w:val="00931FC5"/>
    <w:rsid w:val="009372B0"/>
    <w:rsid w:val="00944C57"/>
    <w:rsid w:val="00951F9E"/>
    <w:rsid w:val="00953C8D"/>
    <w:rsid w:val="00970CEF"/>
    <w:rsid w:val="009730E7"/>
    <w:rsid w:val="00982BF2"/>
    <w:rsid w:val="00994199"/>
    <w:rsid w:val="009A0B64"/>
    <w:rsid w:val="009B509E"/>
    <w:rsid w:val="009C39B4"/>
    <w:rsid w:val="009D436F"/>
    <w:rsid w:val="00A013D5"/>
    <w:rsid w:val="00A0300D"/>
    <w:rsid w:val="00A213E6"/>
    <w:rsid w:val="00A21E42"/>
    <w:rsid w:val="00A45D15"/>
    <w:rsid w:val="00A5471F"/>
    <w:rsid w:val="00A74FDC"/>
    <w:rsid w:val="00A82078"/>
    <w:rsid w:val="00A966C0"/>
    <w:rsid w:val="00AA6D13"/>
    <w:rsid w:val="00AB2DAF"/>
    <w:rsid w:val="00AD0A6F"/>
    <w:rsid w:val="00AE6AD2"/>
    <w:rsid w:val="00B06E6C"/>
    <w:rsid w:val="00B202EA"/>
    <w:rsid w:val="00B322A2"/>
    <w:rsid w:val="00B3503C"/>
    <w:rsid w:val="00B3797B"/>
    <w:rsid w:val="00B40B94"/>
    <w:rsid w:val="00B749CC"/>
    <w:rsid w:val="00B77976"/>
    <w:rsid w:val="00BB1E97"/>
    <w:rsid w:val="00BD36DD"/>
    <w:rsid w:val="00BD6770"/>
    <w:rsid w:val="00BE5EF0"/>
    <w:rsid w:val="00BF0996"/>
    <w:rsid w:val="00C02C39"/>
    <w:rsid w:val="00C114BD"/>
    <w:rsid w:val="00C33FD8"/>
    <w:rsid w:val="00C46E0C"/>
    <w:rsid w:val="00C55D46"/>
    <w:rsid w:val="00CB2CA6"/>
    <w:rsid w:val="00CB7743"/>
    <w:rsid w:val="00CE78D0"/>
    <w:rsid w:val="00CF717A"/>
    <w:rsid w:val="00D00451"/>
    <w:rsid w:val="00D06A62"/>
    <w:rsid w:val="00D16A93"/>
    <w:rsid w:val="00D41A76"/>
    <w:rsid w:val="00D47993"/>
    <w:rsid w:val="00D64E7C"/>
    <w:rsid w:val="00D70571"/>
    <w:rsid w:val="00D80AE2"/>
    <w:rsid w:val="00D83488"/>
    <w:rsid w:val="00DB331E"/>
    <w:rsid w:val="00DE4DF1"/>
    <w:rsid w:val="00DF56BD"/>
    <w:rsid w:val="00DF6FBE"/>
    <w:rsid w:val="00E14A22"/>
    <w:rsid w:val="00E22BF1"/>
    <w:rsid w:val="00E61441"/>
    <w:rsid w:val="00EA345F"/>
    <w:rsid w:val="00EB1B42"/>
    <w:rsid w:val="00EB74D0"/>
    <w:rsid w:val="00ED117B"/>
    <w:rsid w:val="00EE6F33"/>
    <w:rsid w:val="00EF6752"/>
    <w:rsid w:val="00F06441"/>
    <w:rsid w:val="00F22E57"/>
    <w:rsid w:val="00F264C4"/>
    <w:rsid w:val="00F30E84"/>
    <w:rsid w:val="00F4515B"/>
    <w:rsid w:val="00F478EA"/>
    <w:rsid w:val="00F63654"/>
    <w:rsid w:val="00F63B13"/>
    <w:rsid w:val="00F71B9C"/>
    <w:rsid w:val="00F90EFA"/>
    <w:rsid w:val="00FB2D01"/>
    <w:rsid w:val="00FB3A8F"/>
    <w:rsid w:val="00FC4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7DA4E"/>
  <w15:chartTrackingRefBased/>
  <w15:docId w15:val="{64C7A44B-96C7-4784-9DAE-DF118F414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F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F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F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F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F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F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F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F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F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F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F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F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F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F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F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F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F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F9E"/>
    <w:rPr>
      <w:rFonts w:eastAsiaTheme="majorEastAsia" w:cstheme="majorBidi"/>
      <w:color w:val="272727" w:themeColor="text1" w:themeTint="D8"/>
    </w:rPr>
  </w:style>
  <w:style w:type="paragraph" w:styleId="Title">
    <w:name w:val="Title"/>
    <w:basedOn w:val="Normal"/>
    <w:next w:val="Normal"/>
    <w:link w:val="TitleChar"/>
    <w:uiPriority w:val="10"/>
    <w:qFormat/>
    <w:rsid w:val="00951F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F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F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F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F9E"/>
    <w:pPr>
      <w:spacing w:before="160"/>
      <w:jc w:val="center"/>
    </w:pPr>
    <w:rPr>
      <w:i/>
      <w:iCs/>
      <w:color w:val="404040" w:themeColor="text1" w:themeTint="BF"/>
    </w:rPr>
  </w:style>
  <w:style w:type="character" w:customStyle="1" w:styleId="QuoteChar">
    <w:name w:val="Quote Char"/>
    <w:basedOn w:val="DefaultParagraphFont"/>
    <w:link w:val="Quote"/>
    <w:uiPriority w:val="29"/>
    <w:rsid w:val="00951F9E"/>
    <w:rPr>
      <w:i/>
      <w:iCs/>
      <w:color w:val="404040" w:themeColor="text1" w:themeTint="BF"/>
    </w:rPr>
  </w:style>
  <w:style w:type="paragraph" w:styleId="ListParagraph">
    <w:name w:val="List Paragraph"/>
    <w:basedOn w:val="Normal"/>
    <w:uiPriority w:val="34"/>
    <w:qFormat/>
    <w:rsid w:val="00951F9E"/>
    <w:pPr>
      <w:ind w:left="720"/>
      <w:contextualSpacing/>
    </w:pPr>
  </w:style>
  <w:style w:type="character" w:styleId="IntenseEmphasis">
    <w:name w:val="Intense Emphasis"/>
    <w:basedOn w:val="DefaultParagraphFont"/>
    <w:uiPriority w:val="21"/>
    <w:qFormat/>
    <w:rsid w:val="00951F9E"/>
    <w:rPr>
      <w:i/>
      <w:iCs/>
      <w:color w:val="0F4761" w:themeColor="accent1" w:themeShade="BF"/>
    </w:rPr>
  </w:style>
  <w:style w:type="paragraph" w:styleId="IntenseQuote">
    <w:name w:val="Intense Quote"/>
    <w:basedOn w:val="Normal"/>
    <w:next w:val="Normal"/>
    <w:link w:val="IntenseQuoteChar"/>
    <w:uiPriority w:val="30"/>
    <w:qFormat/>
    <w:rsid w:val="00951F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F9E"/>
    <w:rPr>
      <w:i/>
      <w:iCs/>
      <w:color w:val="0F4761" w:themeColor="accent1" w:themeShade="BF"/>
    </w:rPr>
  </w:style>
  <w:style w:type="character" w:styleId="IntenseReference">
    <w:name w:val="Intense Reference"/>
    <w:basedOn w:val="DefaultParagraphFont"/>
    <w:uiPriority w:val="32"/>
    <w:qFormat/>
    <w:rsid w:val="00951F9E"/>
    <w:rPr>
      <w:b/>
      <w:bCs/>
      <w:smallCaps/>
      <w:color w:val="0F4761" w:themeColor="accent1" w:themeShade="BF"/>
      <w:spacing w:val="5"/>
    </w:rPr>
  </w:style>
  <w:style w:type="character" w:styleId="Hyperlink">
    <w:name w:val="Hyperlink"/>
    <w:basedOn w:val="DefaultParagraphFont"/>
    <w:uiPriority w:val="99"/>
    <w:unhideWhenUsed/>
    <w:rsid w:val="00951F9E"/>
    <w:rPr>
      <w:color w:val="0000FF"/>
      <w:u w:val="single"/>
    </w:rPr>
  </w:style>
  <w:style w:type="character" w:customStyle="1" w:styleId="multisentence">
    <w:name w:val="multisentence"/>
    <w:basedOn w:val="DefaultParagraphFont"/>
    <w:rsid w:val="00AA6D13"/>
  </w:style>
  <w:style w:type="paragraph" w:styleId="Header">
    <w:name w:val="header"/>
    <w:basedOn w:val="Normal"/>
    <w:link w:val="HeaderChar"/>
    <w:uiPriority w:val="99"/>
    <w:unhideWhenUsed/>
    <w:rsid w:val="00445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51DD"/>
  </w:style>
  <w:style w:type="paragraph" w:styleId="Footer">
    <w:name w:val="footer"/>
    <w:basedOn w:val="Normal"/>
    <w:link w:val="FooterChar"/>
    <w:uiPriority w:val="99"/>
    <w:unhideWhenUsed/>
    <w:rsid w:val="00445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51DD"/>
  </w:style>
  <w:style w:type="character" w:styleId="UnresolvedMention">
    <w:name w:val="Unresolved Mention"/>
    <w:basedOn w:val="DefaultParagraphFont"/>
    <w:uiPriority w:val="99"/>
    <w:semiHidden/>
    <w:unhideWhenUsed/>
    <w:rsid w:val="002918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6722396">
      <w:bodyDiv w:val="1"/>
      <w:marLeft w:val="0"/>
      <w:marRight w:val="0"/>
      <w:marTop w:val="0"/>
      <w:marBottom w:val="0"/>
      <w:divBdr>
        <w:top w:val="none" w:sz="0" w:space="0" w:color="auto"/>
        <w:left w:val="none" w:sz="0" w:space="0" w:color="auto"/>
        <w:bottom w:val="none" w:sz="0" w:space="0" w:color="auto"/>
        <w:right w:val="none" w:sz="0" w:space="0" w:color="auto"/>
      </w:divBdr>
      <w:divsChild>
        <w:div w:id="1648590295">
          <w:marLeft w:val="0"/>
          <w:marRight w:val="0"/>
          <w:marTop w:val="0"/>
          <w:marBottom w:val="0"/>
          <w:divBdr>
            <w:top w:val="none" w:sz="0" w:space="0" w:color="auto"/>
            <w:left w:val="none" w:sz="0" w:space="0" w:color="auto"/>
            <w:bottom w:val="none" w:sz="0" w:space="0" w:color="auto"/>
            <w:right w:val="none" w:sz="0" w:space="0" w:color="auto"/>
          </w:divBdr>
          <w:divsChild>
            <w:div w:id="1832216529">
              <w:marLeft w:val="0"/>
              <w:marRight w:val="0"/>
              <w:marTop w:val="0"/>
              <w:marBottom w:val="0"/>
              <w:divBdr>
                <w:top w:val="none" w:sz="0" w:space="0" w:color="auto"/>
                <w:left w:val="none" w:sz="0" w:space="0" w:color="auto"/>
                <w:bottom w:val="none" w:sz="0" w:space="0" w:color="auto"/>
                <w:right w:val="none" w:sz="0" w:space="0" w:color="auto"/>
              </w:divBdr>
              <w:divsChild>
                <w:div w:id="983240998">
                  <w:marLeft w:val="0"/>
                  <w:marRight w:val="0"/>
                  <w:marTop w:val="0"/>
                  <w:marBottom w:val="0"/>
                  <w:divBdr>
                    <w:top w:val="none" w:sz="0" w:space="0" w:color="auto"/>
                    <w:left w:val="none" w:sz="0" w:space="0" w:color="auto"/>
                    <w:bottom w:val="none" w:sz="0" w:space="0" w:color="auto"/>
                    <w:right w:val="none" w:sz="0" w:space="0" w:color="auto"/>
                  </w:divBdr>
                  <w:divsChild>
                    <w:div w:id="1441947659">
                      <w:marLeft w:val="0"/>
                      <w:marRight w:val="0"/>
                      <w:marTop w:val="0"/>
                      <w:marBottom w:val="0"/>
                      <w:divBdr>
                        <w:top w:val="none" w:sz="0" w:space="0" w:color="auto"/>
                        <w:left w:val="none" w:sz="0" w:space="0" w:color="auto"/>
                        <w:bottom w:val="none" w:sz="0" w:space="0" w:color="auto"/>
                        <w:right w:val="none" w:sz="0" w:space="0" w:color="auto"/>
                      </w:divBdr>
                      <w:divsChild>
                        <w:div w:id="2143186370">
                          <w:marLeft w:val="0"/>
                          <w:marRight w:val="0"/>
                          <w:marTop w:val="0"/>
                          <w:marBottom w:val="0"/>
                          <w:divBdr>
                            <w:top w:val="none" w:sz="0" w:space="0" w:color="auto"/>
                            <w:left w:val="none" w:sz="0" w:space="0" w:color="auto"/>
                            <w:bottom w:val="none" w:sz="0" w:space="0" w:color="auto"/>
                            <w:right w:val="none" w:sz="0" w:space="0" w:color="auto"/>
                          </w:divBdr>
                          <w:divsChild>
                            <w:div w:id="1932156544">
                              <w:marLeft w:val="0"/>
                              <w:marRight w:val="0"/>
                              <w:marTop w:val="0"/>
                              <w:marBottom w:val="0"/>
                              <w:divBdr>
                                <w:top w:val="none" w:sz="0" w:space="0" w:color="auto"/>
                                <w:left w:val="none" w:sz="0" w:space="0" w:color="auto"/>
                                <w:bottom w:val="none" w:sz="0" w:space="0" w:color="auto"/>
                                <w:right w:val="none" w:sz="0" w:space="0" w:color="auto"/>
                              </w:divBdr>
                              <w:divsChild>
                                <w:div w:id="933786087">
                                  <w:marLeft w:val="0"/>
                                  <w:marRight w:val="0"/>
                                  <w:marTop w:val="0"/>
                                  <w:marBottom w:val="0"/>
                                  <w:divBdr>
                                    <w:top w:val="none" w:sz="0" w:space="0" w:color="auto"/>
                                    <w:left w:val="none" w:sz="0" w:space="0" w:color="auto"/>
                                    <w:bottom w:val="none" w:sz="0" w:space="0" w:color="auto"/>
                                    <w:right w:val="none" w:sz="0" w:space="0" w:color="auto"/>
                                  </w:divBdr>
                                  <w:divsChild>
                                    <w:div w:id="278799781">
                                      <w:marLeft w:val="0"/>
                                      <w:marRight w:val="0"/>
                                      <w:marTop w:val="0"/>
                                      <w:marBottom w:val="0"/>
                                      <w:divBdr>
                                        <w:top w:val="none" w:sz="0" w:space="0" w:color="auto"/>
                                        <w:left w:val="none" w:sz="0" w:space="0" w:color="auto"/>
                                        <w:bottom w:val="none" w:sz="0" w:space="0" w:color="auto"/>
                                        <w:right w:val="none" w:sz="0" w:space="0" w:color="auto"/>
                                      </w:divBdr>
                                      <w:divsChild>
                                        <w:div w:id="78342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75439">
                                  <w:marLeft w:val="0"/>
                                  <w:marRight w:val="0"/>
                                  <w:marTop w:val="0"/>
                                  <w:marBottom w:val="0"/>
                                  <w:divBdr>
                                    <w:top w:val="none" w:sz="0" w:space="0" w:color="auto"/>
                                    <w:left w:val="none" w:sz="0" w:space="0" w:color="auto"/>
                                    <w:bottom w:val="none" w:sz="0" w:space="0" w:color="auto"/>
                                    <w:right w:val="none" w:sz="0" w:space="0" w:color="auto"/>
                                  </w:divBdr>
                                  <w:divsChild>
                                    <w:div w:id="121119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talyst.harvard.edu/community-engagement/mmr/" TargetMode="External"/><Relationship Id="rId18" Type="http://schemas.openxmlformats.org/officeDocument/2006/relationships/hyperlink" Target="https://doi.org/10.1177/1836939121999849" TargetMode="External"/><Relationship Id="rId26" Type="http://schemas.openxmlformats.org/officeDocument/2006/relationships/hyperlink" Target="https://researchmethod.net/data-collection/" TargetMode="External"/><Relationship Id="rId21" Type="http://schemas.openxmlformats.org/officeDocument/2006/relationships/hyperlink" Target="https://www.ncbi.nlm.nih.gov/pmc/articles/PMC7122250/" TargetMode="External"/><Relationship Id="rId34" Type="http://schemas.openxmlformats.org/officeDocument/2006/relationships/hyperlink" Target="https://doi.org/10.1080/09540253.2016.1258457" TargetMode="External"/><Relationship Id="rId7" Type="http://schemas.openxmlformats.org/officeDocument/2006/relationships/hyperlink" Target="https://www.aqr.org.uk/glossary/hawthorne-effect" TargetMode="External"/><Relationship Id="rId12" Type="http://schemas.openxmlformats.org/officeDocument/2006/relationships/hyperlink" Target="https://www.gov.uk/guidance/meet-the-requirements-of-data-privacy-regulations" TargetMode="External"/><Relationship Id="rId17" Type="http://schemas.openxmlformats.org/officeDocument/2006/relationships/hyperlink" Target="https://doi.org/10.1177/1836939121999849" TargetMode="External"/><Relationship Id="rId25" Type="http://schemas.openxmlformats.org/officeDocument/2006/relationships/hyperlink" Target="https://www.researchgate.net/publication/358893176_Semi-structured_Interview_A_Methodological_Reflection_on_the_Development_of_a_Qualitative_Research_Instrument_in_Educational_Studies" TargetMode="External"/><Relationship Id="rId33" Type="http://schemas.openxmlformats.org/officeDocument/2006/relationships/hyperlink" Target="https://westminsterfoundation.org.uk/news/the-importance-of-gender-equity-in-early-years-education" TargetMode="External"/><Relationship Id="rId2" Type="http://schemas.openxmlformats.org/officeDocument/2006/relationships/settings" Target="settings.xml"/><Relationship Id="rId16" Type="http://schemas.openxmlformats.org/officeDocument/2006/relationships/hyperlink" Target="https://doi.org/10.1177/1836939121999849" TargetMode="External"/><Relationship Id="rId20" Type="http://schemas.openxmlformats.org/officeDocument/2006/relationships/hyperlink" Target="https://www.ucl.ac.uk/data-protection/sites/data_protection/files/research_with_children_guidance_v1.2.pdf" TargetMode="External"/><Relationship Id="rId29" Type="http://schemas.openxmlformats.org/officeDocument/2006/relationships/hyperlink" Target="https://researcher.life/blog/article/what-is-purposive-sampling-methods-techniques-and-examples/#What_is_a_purposive_sampling" TargetMode="External"/><Relationship Id="rId1" Type="http://schemas.openxmlformats.org/officeDocument/2006/relationships/styles" Target="styles.xml"/><Relationship Id="rId6" Type="http://schemas.openxmlformats.org/officeDocument/2006/relationships/hyperlink" Target="https://psycnet.apa.org/record/1993-97672-000" TargetMode="External"/><Relationship Id="rId11" Type="http://schemas.openxmlformats.org/officeDocument/2006/relationships/hyperlink" Target="https://www.gov.uk/government/publications/early-years-foundation-stage-framework--2" TargetMode="External"/><Relationship Id="rId24" Type="http://schemas.openxmlformats.org/officeDocument/2006/relationships/hyperlink" Target="https://doi.org/10.1177/160940690300200103" TargetMode="External"/><Relationship Id="rId32" Type="http://schemas.openxmlformats.org/officeDocument/2006/relationships/hyperlink" Target="https://libguides.usc.edu/writingguide/methodology#:~:text=The%20methods%20section%20describes%20actions%20taken%20to%20investigate,critically%20evaluate%20a%20study%E2%80%99s%20overall%20validity%20and%20reliability"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77/1836939121999849" TargetMode="External"/><Relationship Id="rId23" Type="http://schemas.openxmlformats.org/officeDocument/2006/relationships/hyperlink" Target="https://www.nidirect.gov.uk/articles/how-play-helps-childrens-development" TargetMode="External"/><Relationship Id="rId28" Type="http://schemas.openxmlformats.org/officeDocument/2006/relationships/hyperlink" Target="https://www.researchgate.net/publication/321156718_Ways_of_seeing_Using_the_Mosaic_approach_to_listen_to_young_children's_perspectives" TargetMode="External"/><Relationship Id="rId36" Type="http://schemas.openxmlformats.org/officeDocument/2006/relationships/fontTable" Target="fontTable.xml"/><Relationship Id="rId10" Type="http://schemas.openxmlformats.org/officeDocument/2006/relationships/hyperlink" Target="https://www.gov.uk/government/publications/risk-adapted-approach-to-clinical-trials-and-risk-assessments/risk-adapted-approach-to-clinical-trials-and-risk-assessments" TargetMode="External"/><Relationship Id="rId19" Type="http://schemas.openxmlformats.org/officeDocument/2006/relationships/hyperlink" Target="https://www.ucl.ac.uk/data-protection/sites/data_protection/files/research_with_children_guidance_v1.2.pdf" TargetMode="External"/><Relationship Id="rId31" Type="http://schemas.openxmlformats.org/officeDocument/2006/relationships/hyperlink" Target="https://unesdoc.unesco.org/ark:/48223/pf0000387889#:~:text=By%20examining%2C%20challenging%20and%20changing%20harmful%20gender%20norms%2C,that%20the%20diverse%20needs%20of%20students%20are%20met" TargetMode="External"/><Relationship Id="rId4" Type="http://schemas.openxmlformats.org/officeDocument/2006/relationships/footnotes" Target="footnotes.xml"/><Relationship Id="rId9" Type="http://schemas.openxmlformats.org/officeDocument/2006/relationships/hyperlink" Target="https://www.dcc.ac.uk/guidance/how-guides/develop-data-plan" TargetMode="External"/><Relationship Id="rId14" Type="http://schemas.openxmlformats.org/officeDocument/2006/relationships/hyperlink" Target="file:///C:/Users/Rach/Downloads/19142-Article%20Text-21666-1-10-20201113.pdf" TargetMode="External"/><Relationship Id="rId22" Type="http://schemas.openxmlformats.org/officeDocument/2006/relationships/hyperlink" Target="https://www.ncbi.nlm.nih.gov/pmc/articles/PMC7031194/" TargetMode="External"/><Relationship Id="rId27" Type="http://schemas.openxmlformats.org/officeDocument/2006/relationships/hyperlink" Target="https://www.researchgate.net/publication/321156718_Ways_of_seeing_Using_the_Mosaic_approach_to_listen_to_young_children's_perspectives" TargetMode="External"/><Relationship Id="rId30" Type="http://schemas.openxmlformats.org/officeDocument/2006/relationships/hyperlink" Target="https://unesdoc.unesco.org/ark:/48223/pf0000387889#:~:text=By%20examining%2C%20challenging%20and%20changing%20harmful%20gender%20norms%2C,that%20the%20diverse%20needs%20of%20students%20are%20met" TargetMode="External"/><Relationship Id="rId35" Type="http://schemas.openxmlformats.org/officeDocument/2006/relationships/header" Target="header1.xml"/><Relationship Id="rId8" Type="http://schemas.openxmlformats.org/officeDocument/2006/relationships/hyperlink" Target="https://crae.org.uk/our-guide-childrens-rights-and-law/laws-protecting-childrens-rights/equality-act-2010#:~:text=The%20Equality%20Act%20came%20into%20force%20in%202010,services%2C%20work%20and%20other%20areas%20of%20public%20lif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731</TotalTime>
  <Pages>9</Pages>
  <Words>5791</Words>
  <Characters>33015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225</cp:revision>
  <dcterms:created xsi:type="dcterms:W3CDTF">2024-08-16T13:11:00Z</dcterms:created>
  <dcterms:modified xsi:type="dcterms:W3CDTF">2024-08-19T21:18:00Z</dcterms:modified>
</cp:coreProperties>
</file>