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F77D0E" w14:textId="77777777" w:rsidR="009B3F8E" w:rsidRDefault="00000000">
      <w:pPr>
        <w:spacing w:line="360" w:lineRule="auto"/>
        <w:jc w:val="center"/>
      </w:pPr>
      <w:r>
        <w:rPr>
          <w:b/>
        </w:rPr>
        <w:t>UNIVERSITY OF WALES TRINITY SAINT DAVID</w:t>
      </w:r>
    </w:p>
    <w:p w14:paraId="0B853B43" w14:textId="77777777" w:rsidR="009B3F8E" w:rsidRDefault="00000000">
      <w:pPr>
        <w:spacing w:line="360" w:lineRule="auto"/>
        <w:jc w:val="center"/>
      </w:pPr>
      <w:r>
        <w:rPr>
          <w:b/>
        </w:rPr>
        <w:t>Component 2 - Written Assignment</w:t>
      </w:r>
    </w:p>
    <w:p w14:paraId="113F2B8C" w14:textId="77777777" w:rsidR="009B3F8E" w:rsidRDefault="00000000">
      <w:pPr>
        <w:spacing w:line="360" w:lineRule="auto"/>
        <w:jc w:val="center"/>
      </w:pPr>
      <w:r>
        <w:rPr>
          <w:b/>
        </w:rPr>
        <w:t>Case Study Report: Mrs Thompson</w:t>
      </w:r>
    </w:p>
    <w:p w14:paraId="3F7641CC" w14:textId="77777777" w:rsidR="009B3F8E" w:rsidRDefault="009B3F8E"/>
    <w:tbl>
      <w:tblPr>
        <w:tblW w:w="0" w:type="auto"/>
        <w:jc w:val="center"/>
        <w:tblBorders>
          <w:top w:val="nil"/>
          <w:left w:val="nil"/>
          <w:bottom w:val="nil"/>
          <w:right w:val="nil"/>
          <w:insideH w:val="nil"/>
          <w:insideV w:val="nil"/>
        </w:tblBorders>
        <w:tblLook w:val="04A0" w:firstRow="1" w:lastRow="0" w:firstColumn="1" w:lastColumn="0" w:noHBand="0" w:noVBand="1"/>
      </w:tblPr>
      <w:tblGrid>
        <w:gridCol w:w="4680"/>
        <w:gridCol w:w="4680"/>
      </w:tblGrid>
      <w:tr w:rsidR="009B3F8E" w14:paraId="49E1AF0E" w14:textId="77777777">
        <w:trPr>
          <w:jc w:val="center"/>
        </w:trPr>
        <w:tc>
          <w:tcPr>
            <w:tcW w:w="4680" w:type="dxa"/>
            <w:vAlign w:val="center"/>
          </w:tcPr>
          <w:p w14:paraId="36C701D5" w14:textId="77777777" w:rsidR="009B3F8E" w:rsidRDefault="00000000">
            <w:pPr>
              <w:spacing w:line="360" w:lineRule="auto"/>
            </w:pPr>
            <w:r>
              <w:rPr>
                <w:b/>
              </w:rPr>
              <w:t>Student Name</w:t>
            </w:r>
          </w:p>
        </w:tc>
        <w:tc>
          <w:tcPr>
            <w:tcW w:w="4680" w:type="dxa"/>
            <w:vAlign w:val="center"/>
          </w:tcPr>
          <w:p w14:paraId="0B9E103D" w14:textId="77777777" w:rsidR="009B3F8E" w:rsidRDefault="00000000">
            <w:pPr>
              <w:spacing w:line="360" w:lineRule="auto"/>
            </w:pPr>
            <w:r>
              <w:t>Michael Camara</w:t>
            </w:r>
          </w:p>
        </w:tc>
      </w:tr>
      <w:tr w:rsidR="009B3F8E" w14:paraId="2868DDDC" w14:textId="77777777">
        <w:trPr>
          <w:jc w:val="center"/>
        </w:trPr>
        <w:tc>
          <w:tcPr>
            <w:tcW w:w="4680" w:type="dxa"/>
            <w:vAlign w:val="center"/>
          </w:tcPr>
          <w:p w14:paraId="72057D15" w14:textId="77777777" w:rsidR="009B3F8E" w:rsidRDefault="00000000">
            <w:pPr>
              <w:spacing w:line="360" w:lineRule="auto"/>
            </w:pPr>
            <w:r>
              <w:rPr>
                <w:b/>
              </w:rPr>
              <w:t>Student ID</w:t>
            </w:r>
          </w:p>
        </w:tc>
        <w:tc>
          <w:tcPr>
            <w:tcW w:w="4680" w:type="dxa"/>
            <w:vAlign w:val="center"/>
          </w:tcPr>
          <w:p w14:paraId="579C7607" w14:textId="77777777" w:rsidR="009B3F8E" w:rsidRDefault="00000000">
            <w:pPr>
              <w:spacing w:line="360" w:lineRule="auto"/>
            </w:pPr>
            <w:r>
              <w:t>2533160</w:t>
            </w:r>
          </w:p>
        </w:tc>
      </w:tr>
      <w:tr w:rsidR="009B3F8E" w14:paraId="4FC62674" w14:textId="77777777">
        <w:trPr>
          <w:jc w:val="center"/>
        </w:trPr>
        <w:tc>
          <w:tcPr>
            <w:tcW w:w="4680" w:type="dxa"/>
            <w:vAlign w:val="center"/>
          </w:tcPr>
          <w:p w14:paraId="5A14094D" w14:textId="77777777" w:rsidR="009B3F8E" w:rsidRDefault="00000000">
            <w:pPr>
              <w:spacing w:line="360" w:lineRule="auto"/>
            </w:pPr>
            <w:r>
              <w:rPr>
                <w:b/>
              </w:rPr>
              <w:t>Programme</w:t>
            </w:r>
          </w:p>
        </w:tc>
        <w:tc>
          <w:tcPr>
            <w:tcW w:w="4680" w:type="dxa"/>
            <w:vAlign w:val="center"/>
          </w:tcPr>
          <w:p w14:paraId="4DB5BAA5" w14:textId="77777777" w:rsidR="009B3F8E" w:rsidRDefault="00000000">
            <w:pPr>
              <w:spacing w:line="360" w:lineRule="auto"/>
            </w:pPr>
            <w:r>
              <w:t>Certificate of Higher Education Skills for the Workplace (Health &amp; Social Care)</w:t>
            </w:r>
          </w:p>
        </w:tc>
      </w:tr>
      <w:tr w:rsidR="009B3F8E" w14:paraId="54170A7B" w14:textId="77777777">
        <w:trPr>
          <w:jc w:val="center"/>
        </w:trPr>
        <w:tc>
          <w:tcPr>
            <w:tcW w:w="4680" w:type="dxa"/>
            <w:vAlign w:val="center"/>
          </w:tcPr>
          <w:p w14:paraId="7FBE1A29" w14:textId="77777777" w:rsidR="009B3F8E" w:rsidRDefault="00000000">
            <w:pPr>
              <w:spacing w:line="360" w:lineRule="auto"/>
            </w:pPr>
            <w:r>
              <w:rPr>
                <w:b/>
              </w:rPr>
              <w:t>Module Title</w:t>
            </w:r>
          </w:p>
        </w:tc>
        <w:tc>
          <w:tcPr>
            <w:tcW w:w="4680" w:type="dxa"/>
            <w:vAlign w:val="center"/>
          </w:tcPr>
          <w:p w14:paraId="3AFE97EC" w14:textId="77777777" w:rsidR="009B3F8E" w:rsidRDefault="00000000">
            <w:pPr>
              <w:spacing w:line="360" w:lineRule="auto"/>
            </w:pPr>
            <w:r>
              <w:t>Introduction to Health and Social Care</w:t>
            </w:r>
          </w:p>
        </w:tc>
      </w:tr>
      <w:tr w:rsidR="009B3F8E" w14:paraId="501A9A92" w14:textId="77777777">
        <w:trPr>
          <w:jc w:val="center"/>
        </w:trPr>
        <w:tc>
          <w:tcPr>
            <w:tcW w:w="4680" w:type="dxa"/>
            <w:vAlign w:val="center"/>
          </w:tcPr>
          <w:p w14:paraId="12F9F10B" w14:textId="77777777" w:rsidR="009B3F8E" w:rsidRDefault="00000000">
            <w:pPr>
              <w:spacing w:line="360" w:lineRule="auto"/>
            </w:pPr>
            <w:r>
              <w:rPr>
                <w:b/>
              </w:rPr>
              <w:t>Module Code / Lecturer</w:t>
            </w:r>
          </w:p>
        </w:tc>
        <w:tc>
          <w:tcPr>
            <w:tcW w:w="4680" w:type="dxa"/>
            <w:vAlign w:val="center"/>
          </w:tcPr>
          <w:p w14:paraId="19A0FD1A" w14:textId="2D5D7EC8" w:rsidR="009B3F8E" w:rsidRDefault="00000000">
            <w:pPr>
              <w:spacing w:line="360" w:lineRule="auto"/>
            </w:pPr>
            <w:r>
              <w:t xml:space="preserve">LCHS4003 | </w:t>
            </w:r>
            <w:r w:rsidR="00AF28AC" w:rsidRPr="00AF28AC">
              <w:t xml:space="preserve">Christiana </w:t>
            </w:r>
            <w:proofErr w:type="spellStart"/>
            <w:r w:rsidR="00AF28AC" w:rsidRPr="00AF28AC">
              <w:t>Melam</w:t>
            </w:r>
            <w:proofErr w:type="spellEnd"/>
          </w:p>
        </w:tc>
      </w:tr>
    </w:tbl>
    <w:p w14:paraId="08731CC6" w14:textId="77777777" w:rsidR="009B3F8E" w:rsidRDefault="00000000">
      <w:r>
        <w:br w:type="page"/>
      </w:r>
    </w:p>
    <w:p w14:paraId="432388B5" w14:textId="77777777" w:rsidR="009B3F8E" w:rsidRDefault="00000000">
      <w:pPr>
        <w:spacing w:line="360" w:lineRule="auto"/>
        <w:jc w:val="center"/>
      </w:pPr>
      <w:r>
        <w:rPr>
          <w:b/>
        </w:rPr>
        <w:lastRenderedPageBreak/>
        <w:t>Contents</w:t>
      </w:r>
    </w:p>
    <w:p w14:paraId="45406B1C" w14:textId="77777777" w:rsidR="009B3F8E" w:rsidRDefault="00000000">
      <w:pPr>
        <w:spacing w:after="60" w:line="360" w:lineRule="auto"/>
      </w:pPr>
      <w:r>
        <w:t>1. Opening overview ....................................... 3</w:t>
      </w:r>
    </w:p>
    <w:p w14:paraId="5359E577" w14:textId="77777777" w:rsidR="009B3F8E" w:rsidRDefault="00000000">
      <w:pPr>
        <w:spacing w:after="60" w:line="360" w:lineRule="auto"/>
      </w:pPr>
      <w:r>
        <w:t>2. Communication that Mrs Thompson can use ................ 3</w:t>
      </w:r>
    </w:p>
    <w:p w14:paraId="3AC4ED55" w14:textId="77777777" w:rsidR="009B3F8E" w:rsidRDefault="00000000">
      <w:pPr>
        <w:spacing w:after="60" w:line="360" w:lineRule="auto"/>
      </w:pPr>
      <w:r>
        <w:t>3. Records, privacy and safe administration ............... 4</w:t>
      </w:r>
    </w:p>
    <w:p w14:paraId="2FD1AD52" w14:textId="77777777" w:rsidR="009B3F8E" w:rsidRDefault="00000000">
      <w:pPr>
        <w:spacing w:after="60" w:line="360" w:lineRule="auto"/>
      </w:pPr>
      <w:r>
        <w:t>4. Working together across services ....................... 5</w:t>
      </w:r>
    </w:p>
    <w:p w14:paraId="19F2FBA8" w14:textId="77777777" w:rsidR="009B3F8E" w:rsidRDefault="00000000">
      <w:pPr>
        <w:spacing w:after="60" w:line="360" w:lineRule="auto"/>
      </w:pPr>
      <w:r>
        <w:t>5. Overall judgement ...................................... 6</w:t>
      </w:r>
    </w:p>
    <w:p w14:paraId="19AD1FD8" w14:textId="77777777" w:rsidR="009B3F8E" w:rsidRDefault="00000000">
      <w:pPr>
        <w:spacing w:after="60" w:line="360" w:lineRule="auto"/>
      </w:pPr>
      <w:r>
        <w:t>References ................................................ 7</w:t>
      </w:r>
    </w:p>
    <w:p w14:paraId="21AB63B5" w14:textId="77777777" w:rsidR="009B3F8E" w:rsidRDefault="00000000">
      <w:r>
        <w:br w:type="page"/>
      </w:r>
    </w:p>
    <w:p w14:paraId="471CE01C" w14:textId="77777777" w:rsidR="009B3F8E" w:rsidRDefault="00000000">
      <w:pPr>
        <w:spacing w:after="100" w:line="360" w:lineRule="auto"/>
      </w:pPr>
      <w:r>
        <w:rPr>
          <w:b/>
        </w:rPr>
        <w:lastRenderedPageBreak/>
        <w:t>1. Opening overview</w:t>
      </w:r>
    </w:p>
    <w:p w14:paraId="39CE6558" w14:textId="77777777" w:rsidR="009B3F8E" w:rsidRDefault="00000000">
      <w:pPr>
        <w:spacing w:after="120" w:line="360" w:lineRule="auto"/>
        <w:ind w:firstLine="567"/>
        <w:jc w:val="both"/>
      </w:pPr>
      <w:r>
        <w:t>Mrs Thompson is 84 and has mild dementia. She has recently returned to sheltered housing after treatment for pneumonia and receives two care visits each day. Even with that support, she missed her medicines for two days, became more confused, and was later found outdoors in cold weather without suitable clothes. These events suggest that the problem may be wider than memory loss alone. Staff may also need to look at how information is explained, how incidents are written down, and whether different services are following the same plan. This report examines those three areas. It uses Berlo’s communication model and relevant law, including the Equality Act 2010, Mental Capacity Act 2005, Data Protection Act 2018 and Care Act 2014. The main argument is that Mrs Thompson is safest when professionals make information easy to use, keep reliable records, and take clear responsibility for agreed actions without taking away more independence than necessary.</w:t>
      </w:r>
    </w:p>
    <w:p w14:paraId="3E12AC46" w14:textId="77777777" w:rsidR="009B3F8E" w:rsidRDefault="00000000">
      <w:pPr>
        <w:spacing w:after="100" w:line="360" w:lineRule="auto"/>
      </w:pPr>
      <w:r>
        <w:rPr>
          <w:b/>
        </w:rPr>
        <w:t>2. Communication that Mrs Thompson can use</w:t>
      </w:r>
    </w:p>
    <w:p w14:paraId="6D67C1F5" w14:textId="77777777" w:rsidR="009B3F8E" w:rsidRDefault="00000000">
      <w:pPr>
        <w:spacing w:after="120" w:line="360" w:lineRule="auto"/>
        <w:ind w:firstLine="567"/>
        <w:jc w:val="both"/>
      </w:pPr>
      <w:r>
        <w:t>Communication should help Mrs Thompson take part in her own care rather than make decisions around her. Dementia may affect attention and memory, but it does not automatically mean that she cannot understand or choose. Staff should speak directly to her, keep sentences short, discuss one issue at a time, and allow pauses so she can process what has been said. NICE guidance supports helping people with dementia express their views and changing the way information is presented when ordinary communication is not enough (National Institute for Health and Care Excellence, 2018). Harris et al. (2025) also show that communication works better when it is flexible and shaped around the individual. For Mrs Thompson, a quieter room, eye contact, large-print notes and familiar words may be more useful than a long explanation.</w:t>
      </w:r>
    </w:p>
    <w:p w14:paraId="4088CD9D" w14:textId="77777777" w:rsidR="009B3F8E" w:rsidRDefault="00000000">
      <w:pPr>
        <w:spacing w:after="120" w:line="360" w:lineRule="auto"/>
        <w:ind w:firstLine="567"/>
        <w:jc w:val="both"/>
      </w:pPr>
      <w:r>
        <w:t>Her medicines create a clear example of why communication must work beyond the conversation itself. She may understand an instruction when a carer is present but forget it later. A written schedule, labelled medicine organiser, reminder system or supervised support could help, depending on assessment. It would be unfair to treat the missed doses as simply “her fault”. Dionisi et al. (2022) found that medication mistakes in home care can also be linked to poor communication and unclear responsibilities between workers. This means staff should examine the care system as well as Mrs Thompson’s memory. One useful check is teach-back: after an explanation, Mrs Thompson could be asked to describe what she will do in her own words. Evidence reviewed by Talevski et al. (2020) suggests this approach can support understanding and self-management.</w:t>
      </w:r>
    </w:p>
    <w:p w14:paraId="5B44D261" w14:textId="77777777" w:rsidR="009B3F8E" w:rsidRDefault="00000000">
      <w:pPr>
        <w:spacing w:after="120" w:line="360" w:lineRule="auto"/>
        <w:ind w:firstLine="567"/>
        <w:jc w:val="both"/>
      </w:pPr>
      <w:r>
        <w:lastRenderedPageBreak/>
        <w:t>Berlo’s Sender-Message-Channel-Receiver model can be applied to this situation (Berlo, 1960). The sender might be a domiciliary carer; the message could be when a tablet should be taken; the channel could combine speech with a written reminder; and Mrs Thompson is the receiver. The model is helpful because it makes staff think carefully about each part of the message. Its weakness is that it can look one-directional. In real care, Mrs Thompson’s questions, facial expression and ability to explain the message back are equally important. Adding feedback therefore makes the model more useful in practice.</w:t>
      </w:r>
    </w:p>
    <w:p w14:paraId="7A47C4FA" w14:textId="77777777" w:rsidR="009B3F8E" w:rsidRDefault="00000000">
      <w:pPr>
        <w:spacing w:after="120" w:line="360" w:lineRule="auto"/>
        <w:ind w:firstLine="567"/>
        <w:jc w:val="both"/>
      </w:pPr>
      <w:r>
        <w:t xml:space="preserve">Law also shapes how staff communicate. The Equality Act 2010 means services should make reasonable changes where disability puts a person at a disadvantage (Great Britain, 2010). In this case, extra time, clearer wording or accessible written information may help. The Mental Capacity Act 2005 requires staff to start from the position that Mrs Thompson can </w:t>
      </w:r>
      <w:proofErr w:type="gramStart"/>
      <w:r>
        <w:t>make a decision</w:t>
      </w:r>
      <w:proofErr w:type="gramEnd"/>
      <w:r>
        <w:t xml:space="preserve"> and to support her before deciding otherwise (Great Britain, 2005). Family members can provide helpful background, but they should not automatically speak </w:t>
      </w:r>
      <w:proofErr w:type="gramStart"/>
      <w:r>
        <w:t>for</w:t>
      </w:r>
      <w:proofErr w:type="gramEnd"/>
      <w:r>
        <w:t xml:space="preserve"> her. Her sudden confusion also needs prompt attention because an acute change may point to delirium or another treatable problem rather than dementia alone (National Institute for Health and Care Excellence, 2023).</w:t>
      </w:r>
    </w:p>
    <w:p w14:paraId="2E5CA0AF" w14:textId="77777777" w:rsidR="009B3F8E" w:rsidRDefault="00000000">
      <w:pPr>
        <w:spacing w:after="100" w:line="360" w:lineRule="auto"/>
      </w:pPr>
      <w:r>
        <w:rPr>
          <w:b/>
        </w:rPr>
        <w:t>3. Records, privacy and safe administration</w:t>
      </w:r>
    </w:p>
    <w:p w14:paraId="328D28C6" w14:textId="77777777" w:rsidR="009B3F8E" w:rsidRDefault="00000000">
      <w:pPr>
        <w:spacing w:after="120" w:line="360" w:lineRule="auto"/>
        <w:ind w:firstLine="567"/>
        <w:jc w:val="both"/>
      </w:pPr>
      <w:r>
        <w:t xml:space="preserve">Good administration makes care safer because it turns events into information that other workers can use. In Mrs Thompson’s case, the missed medicines, increased confusion, outdoor </w:t>
      </w:r>
      <w:proofErr w:type="gramStart"/>
      <w:r>
        <w:t>incident</w:t>
      </w:r>
      <w:proofErr w:type="gramEnd"/>
      <w:r>
        <w:t xml:space="preserve">, telephone calls and follow-up decisions should all be recorded. The record should explain what happened, when it happened, who noticed it, what action was taken and what still needs to happen. CQC Regulation 17 requires providers to maintain records that are dependable, complete, current and protected from inappropriate access (Care Quality Commission, n.d.). Staff should describe facts instead of using labels. Writing that Mrs Thompson was found outside at 7.30 am in night clothes and appeared </w:t>
      </w:r>
      <w:proofErr w:type="gramStart"/>
      <w:r>
        <w:t>cold</w:t>
      </w:r>
      <w:proofErr w:type="gramEnd"/>
      <w:r>
        <w:t xml:space="preserve"> gives useful evidence. Writing only that she was “wandering” gives less information and may sound judgemental.</w:t>
      </w:r>
    </w:p>
    <w:p w14:paraId="6C620D8B" w14:textId="77777777" w:rsidR="009B3F8E" w:rsidRDefault="00000000">
      <w:pPr>
        <w:spacing w:after="120" w:line="360" w:lineRule="auto"/>
        <w:ind w:firstLine="567"/>
        <w:jc w:val="both"/>
      </w:pPr>
      <w:r>
        <w:t xml:space="preserve">The medication incident should lead to a practical review. Staff should check the Medication Administration Record, identify the missed doses, explore why they were </w:t>
      </w:r>
      <w:proofErr w:type="gramStart"/>
      <w:r>
        <w:t>missed</w:t>
      </w:r>
      <w:proofErr w:type="gramEnd"/>
      <w:r>
        <w:t xml:space="preserve"> and note who was informed. NICE (2015) advises that a medication review should look at the person’s understanding, practical problems, side effects and whether the medicines are still suitable. The care plan should then make responsibilities obvious: who orders the medicines, who gives reminders, who administers them if needed, and what should happen after a missed </w:t>
      </w:r>
      <w:r>
        <w:lastRenderedPageBreak/>
        <w:t>dose. Dionisi et al. (2022) supports looking beyond the individual because medication errors can arise from weaknesses in the wider home-care system.</w:t>
      </w:r>
    </w:p>
    <w:p w14:paraId="08AE70A1" w14:textId="77777777" w:rsidR="009B3F8E" w:rsidRDefault="00000000">
      <w:pPr>
        <w:spacing w:after="120" w:line="360" w:lineRule="auto"/>
        <w:ind w:firstLine="567"/>
        <w:jc w:val="both"/>
      </w:pPr>
      <w:r>
        <w:t>Mrs Thompson’s records contain sensitive health information, so the Data Protection Act 2018 and UK GDPR are important. Applied to her case, the organisation should have a lawful reason for using her information, explain its use clearly, collect only relevant details, keep them correct, avoid keeping them longer than needed, protect them from unauthorised access, and be able to show that these rules are followed (Great Britain, 2018; Information Commissioner’s Office, 2026). Staff should use approved systems and work accounts rather than personal messages or loose notes. Access should be restricted to workers who have a genuine care-related reason to view the record.</w:t>
      </w:r>
    </w:p>
    <w:p w14:paraId="27238FF4" w14:textId="77777777" w:rsidR="009B3F8E" w:rsidRDefault="00000000">
      <w:pPr>
        <w:spacing w:after="120" w:line="360" w:lineRule="auto"/>
        <w:ind w:firstLine="567"/>
        <w:jc w:val="both"/>
      </w:pPr>
      <w:r>
        <w:t>Confidentiality should protect Mrs Thompson, but it should not block information needed for safe care. The Caldicott framework recognises that relevant information may need to be shared for direct care, while unnecessary information should remain private (National Data Guardian, 2020). For example, the GP may need the missed-dose history and details of the sudden confusion, while an uninvolved worker would not.</w:t>
      </w:r>
    </w:p>
    <w:p w14:paraId="1A5657B6" w14:textId="77777777" w:rsidR="009B3F8E" w:rsidRDefault="00000000">
      <w:pPr>
        <w:spacing w:after="120" w:line="360" w:lineRule="auto"/>
        <w:ind w:firstLine="567"/>
        <w:jc w:val="both"/>
      </w:pPr>
      <w:r>
        <w:t xml:space="preserve">The outdoor incident should also be considered as a safeguarding concern. If Mrs Thompson’s care needs mean that she cannot protect herself from neglect or serious harm, the local authority may have responsibilities under the Care Act 2014 (Great Britain, 2014; Department of Health and Social Care, 2025). Records should show the risk, the agreed response, who owns each action and when it will be reviewed. This creates an audit </w:t>
      </w:r>
      <w:proofErr w:type="gramStart"/>
      <w:r>
        <w:t>trail</w:t>
      </w:r>
      <w:proofErr w:type="gramEnd"/>
      <w:r>
        <w:t xml:space="preserve"> and reduces the chance that important tasks are forgotten.</w:t>
      </w:r>
    </w:p>
    <w:p w14:paraId="7D6FB34F" w14:textId="77777777" w:rsidR="009B3F8E" w:rsidRDefault="00000000">
      <w:pPr>
        <w:spacing w:after="100" w:line="360" w:lineRule="auto"/>
      </w:pPr>
      <w:r>
        <w:rPr>
          <w:b/>
        </w:rPr>
        <w:t>4. Working together across services</w:t>
      </w:r>
    </w:p>
    <w:p w14:paraId="413EE7DE" w14:textId="77777777" w:rsidR="009B3F8E" w:rsidRDefault="00000000">
      <w:pPr>
        <w:spacing w:after="120" w:line="360" w:lineRule="auto"/>
        <w:ind w:firstLine="567"/>
        <w:jc w:val="both"/>
      </w:pPr>
      <w:r>
        <w:t>Mrs Thompson’s situation cannot be managed safely by one professional alone. Domiciliary carers see her regularly and may be the first to notice changes in behaviour, medicine use or general wellbeing. The GP can investigate the sudden confusion and consider medical causes. The community nurse can monitor recovery from pneumonia and other health concerns. A pharmacist can review whether the medicine routine is too complicated and suggest safer options. Social care staff can consider the cold-weather incident, safeguarding concerns and whether the current care package still meets her needs.</w:t>
      </w:r>
    </w:p>
    <w:p w14:paraId="25520764" w14:textId="77777777" w:rsidR="009B3F8E" w:rsidRDefault="00000000">
      <w:pPr>
        <w:spacing w:after="120" w:line="360" w:lineRule="auto"/>
        <w:ind w:firstLine="567"/>
        <w:jc w:val="both"/>
      </w:pPr>
      <w:r>
        <w:t xml:space="preserve">For this to work, everyone needs the same priorities and clear responsibilities. A named coordinator could bring the team together, record who is completing each task and set dates for review. NHS England (2025) explains that shared care records can help authorised </w:t>
      </w:r>
      <w:r>
        <w:lastRenderedPageBreak/>
        <w:t xml:space="preserve">professionals see information from different services. However, a shared record does not solve the </w:t>
      </w:r>
      <w:proofErr w:type="gramStart"/>
      <w:r>
        <w:t>problem by</w:t>
      </w:r>
      <w:proofErr w:type="gramEnd"/>
      <w:r>
        <w:t xml:space="preserve"> itself. Someone still </w:t>
      </w:r>
      <w:proofErr w:type="gramStart"/>
      <w:r>
        <w:t>has to</w:t>
      </w:r>
      <w:proofErr w:type="gramEnd"/>
      <w:r>
        <w:t xml:space="preserve"> read the information, act on it and check that the action happened. Mrs Thompson should remain involved in these discussions, with family included according to her wishes or, where necessary, through a lawful best-interests process.</w:t>
      </w:r>
    </w:p>
    <w:p w14:paraId="56F255B4" w14:textId="77777777" w:rsidR="009B3F8E" w:rsidRDefault="00000000">
      <w:pPr>
        <w:spacing w:after="120" w:line="360" w:lineRule="auto"/>
        <w:ind w:firstLine="567"/>
        <w:jc w:val="both"/>
      </w:pPr>
      <w:r>
        <w:t xml:space="preserve">Multi-agency work can be slowed by workload, different computer systems, unclear roles, professional hierarchy and uncertainty about confidentiality. Schot, Tummers and Noordegraaf (2020) found that collaboration improves when professionals work across role boundaries, discuss responsibility and have regular opportunities for joint communication. For Mrs Thompson, regular case updates, agreed escalation routes and named ownership of tasks would reduce the chance of delay. If staff disagree, the issue should be recorded and taken to an appropriate senior professional. The real measure of teamwork is whether </w:t>
      </w:r>
      <w:proofErr w:type="gramStart"/>
      <w:r>
        <w:t>the medical</w:t>
      </w:r>
      <w:proofErr w:type="gramEnd"/>
      <w:r>
        <w:t xml:space="preserve"> assessment, medicine review, safeguarding work and care-plan changes are </w:t>
      </w:r>
      <w:proofErr w:type="gramStart"/>
      <w:r>
        <w:t>actually completed</w:t>
      </w:r>
      <w:proofErr w:type="gramEnd"/>
      <w:r>
        <w:t>.</w:t>
      </w:r>
    </w:p>
    <w:p w14:paraId="29CEB415" w14:textId="77777777" w:rsidR="009B3F8E" w:rsidRDefault="00000000">
      <w:pPr>
        <w:spacing w:after="100" w:line="360" w:lineRule="auto"/>
      </w:pPr>
      <w:r>
        <w:rPr>
          <w:b/>
        </w:rPr>
        <w:t>5. Overall judgement</w:t>
      </w:r>
    </w:p>
    <w:p w14:paraId="79DF4D5C" w14:textId="77777777" w:rsidR="009B3F8E" w:rsidRDefault="00000000">
      <w:pPr>
        <w:spacing w:after="120" w:line="360" w:lineRule="auto"/>
        <w:ind w:firstLine="567"/>
        <w:jc w:val="both"/>
      </w:pPr>
      <w:r>
        <w:t xml:space="preserve">Mrs Thompson’s case shows that communication, administration and teamwork cannot be treated as separate jobs. If information is unclear, she may not understand what to do. If records are weak, the next professional may not know what happened. If responsibilities are unclear, an important action may be left unfinished. The safest response is therefore a joined-up one. Mrs Thompson should receive information in a form she can use, while her right to make choices is respected. Records should be factual, secure and useful for follow-up. Relevant professionals should share only the information needed for </w:t>
      </w:r>
      <w:proofErr w:type="gramStart"/>
      <w:r>
        <w:t>her</w:t>
      </w:r>
      <w:proofErr w:type="gramEnd"/>
      <w:r>
        <w:t xml:space="preserve"> care and work from one clear plan. The immediate priorities are to investigate the sudden confusion, review the medicine arrangements, reconsider safeguarding and environmental risks, and agree what happens if another dose is missed or another unsafe incident occurs. These actions should be reviewed as her needs change so that safety improves without removing more independence than is necessary.</w:t>
      </w:r>
    </w:p>
    <w:p w14:paraId="06A7CA6C" w14:textId="77777777" w:rsidR="009B3F8E" w:rsidRDefault="00000000">
      <w:r>
        <w:br w:type="page"/>
      </w:r>
    </w:p>
    <w:p w14:paraId="6E0D386B" w14:textId="77777777" w:rsidR="009B3F8E" w:rsidRDefault="00000000">
      <w:pPr>
        <w:spacing w:line="360" w:lineRule="auto"/>
      </w:pPr>
      <w:r>
        <w:rPr>
          <w:b/>
        </w:rPr>
        <w:lastRenderedPageBreak/>
        <w:t>References</w:t>
      </w:r>
    </w:p>
    <w:p w14:paraId="0C3A6101" w14:textId="77777777" w:rsidR="009B3F8E" w:rsidRDefault="00000000">
      <w:pPr>
        <w:spacing w:after="120" w:line="360" w:lineRule="auto"/>
        <w:ind w:left="567" w:hanging="567"/>
      </w:pPr>
      <w:r>
        <w:t>Berlo, D.K. (1960) The process of communication: An introduction to theory and practice. New York: Holt, Rinehart and Winston.</w:t>
      </w:r>
    </w:p>
    <w:p w14:paraId="36A807DB" w14:textId="77777777" w:rsidR="009B3F8E" w:rsidRDefault="00000000">
      <w:pPr>
        <w:spacing w:after="120" w:line="360" w:lineRule="auto"/>
        <w:ind w:left="567" w:hanging="567"/>
      </w:pPr>
      <w:r>
        <w:t>Care Quality Commission (n.d.) Regulation 17: Good governance. Available at: https://www.cqc.org.uk/guidance-regulation/providers/regulations-service-providers-and-managers/health-social-care-act/regulation-17 (Accessed: 15 August 2026).</w:t>
      </w:r>
    </w:p>
    <w:p w14:paraId="674221A4" w14:textId="77777777" w:rsidR="009B3F8E" w:rsidRDefault="00000000">
      <w:pPr>
        <w:spacing w:after="120" w:line="360" w:lineRule="auto"/>
        <w:ind w:left="567" w:hanging="567"/>
      </w:pPr>
      <w:r>
        <w:t>Department of Health and Social Care (2025) Care and support statutory guidance. Available at: https://www.gov.uk/government/publications/care-act-statutory-guidance/care-and-support-statutory-guidance (Accessed: 15 August 2026).</w:t>
      </w:r>
    </w:p>
    <w:p w14:paraId="6F117C8C" w14:textId="77777777" w:rsidR="009B3F8E" w:rsidRDefault="00000000">
      <w:pPr>
        <w:spacing w:after="120" w:line="360" w:lineRule="auto"/>
        <w:ind w:left="567" w:hanging="567"/>
      </w:pPr>
      <w:r>
        <w:t>Dionisi, S., Di Simone, E., Liquori, G., De Leo, A., Di Muzio, M. and Giannetta, N. (2022) ‘Medication errors’ causes analysis in home care setting: A systematic review’, Public Health Nursing, 39(4), pp. 876–897. doi: 10.1111/phn.13037.</w:t>
      </w:r>
    </w:p>
    <w:p w14:paraId="0CE3FD40" w14:textId="77777777" w:rsidR="009B3F8E" w:rsidRDefault="00000000">
      <w:pPr>
        <w:spacing w:after="120" w:line="360" w:lineRule="auto"/>
        <w:ind w:left="567" w:hanging="567"/>
      </w:pPr>
      <w:r>
        <w:t>Great Britain (2005) Mental Capacity Act 2005. London: The Stationery Office. Available at: https://www.legislation.gov.uk/ukpga/2005/9/contents (Accessed: 15 August 2026).</w:t>
      </w:r>
    </w:p>
    <w:p w14:paraId="2177336E" w14:textId="77777777" w:rsidR="009B3F8E" w:rsidRDefault="00000000">
      <w:pPr>
        <w:spacing w:after="120" w:line="360" w:lineRule="auto"/>
        <w:ind w:left="567" w:hanging="567"/>
      </w:pPr>
      <w:r>
        <w:t>Great Britain (2010) Equality Act 2010. London: The Stationery Office. Available at: https://www.legislation.gov.uk/ukpga/2010/15/contents (Accessed: 15 August 2026).</w:t>
      </w:r>
    </w:p>
    <w:p w14:paraId="74FCB8C2" w14:textId="77777777" w:rsidR="009B3F8E" w:rsidRDefault="00000000">
      <w:pPr>
        <w:spacing w:after="120" w:line="360" w:lineRule="auto"/>
        <w:ind w:left="567" w:hanging="567"/>
      </w:pPr>
      <w:r>
        <w:t>Great Britain (2014) Care Act 2014. London: The Stationery Office. Available at: https://www.legislation.gov.uk/ukpga/2014/23/contents (Accessed: 15 August 2026).</w:t>
      </w:r>
    </w:p>
    <w:p w14:paraId="1E48D45A" w14:textId="77777777" w:rsidR="009B3F8E" w:rsidRDefault="00000000">
      <w:pPr>
        <w:spacing w:after="120" w:line="360" w:lineRule="auto"/>
        <w:ind w:left="567" w:hanging="567"/>
      </w:pPr>
      <w:r>
        <w:t>Great Britain (2018) Data Protection Act 2018. London: The Stationery Office. Available at: https://www.legislation.gov.uk/ukpga/2018/12/contents (Accessed: 15 August 2026).</w:t>
      </w:r>
    </w:p>
    <w:p w14:paraId="6B074D7F" w14:textId="77777777" w:rsidR="009B3F8E" w:rsidRDefault="00000000">
      <w:pPr>
        <w:spacing w:after="120" w:line="360" w:lineRule="auto"/>
        <w:ind w:left="567" w:hanging="567"/>
      </w:pPr>
      <w:r>
        <w:t>Harris, C., Webber, R., Livingston, G. and Beeke, S. (</w:t>
      </w:r>
      <w:proofErr w:type="gramStart"/>
      <w:r>
        <w:t>2025) ‘</w:t>
      </w:r>
      <w:proofErr w:type="gramEnd"/>
      <w:r>
        <w:t>What are the communication guidelines for people with dementia and their carers on the internet and are they evidence based? A systematic review’, Dementia, 24(3), pp. 577–594. doi: 10.1177/14713012241292486.</w:t>
      </w:r>
    </w:p>
    <w:p w14:paraId="1234E1F2" w14:textId="77777777" w:rsidR="009B3F8E" w:rsidRDefault="00000000">
      <w:pPr>
        <w:spacing w:after="120" w:line="360" w:lineRule="auto"/>
        <w:ind w:left="567" w:hanging="567"/>
      </w:pPr>
      <w:r>
        <w:t xml:space="preserve">Information Commissioner’s Office (2026) A guide to </w:t>
      </w:r>
      <w:proofErr w:type="gramStart"/>
      <w:r>
        <w:t>the data</w:t>
      </w:r>
      <w:proofErr w:type="gramEnd"/>
      <w:r>
        <w:t xml:space="preserve"> protection principles. Available at: https://ico.org.uk/for-organisations/uk-gdpr-guidance-and-resources/data-protection-principles/a-guide-to-the-data-protection-principles/ (Accessed: 15 August 2026).</w:t>
      </w:r>
    </w:p>
    <w:p w14:paraId="11CCCE78" w14:textId="77777777" w:rsidR="009B3F8E" w:rsidRDefault="00000000">
      <w:pPr>
        <w:spacing w:after="120" w:line="360" w:lineRule="auto"/>
        <w:ind w:left="567" w:hanging="567"/>
      </w:pPr>
      <w:r>
        <w:t>National Data Guardian (2020) The Caldicott Principles. Available at: https://www.gov.uk/government/publications/the-caldicott-principles (Accessed: 15 August 2026).</w:t>
      </w:r>
    </w:p>
    <w:p w14:paraId="791984FE" w14:textId="77777777" w:rsidR="009B3F8E" w:rsidRDefault="00000000">
      <w:pPr>
        <w:spacing w:after="120" w:line="360" w:lineRule="auto"/>
        <w:ind w:left="567" w:hanging="567"/>
      </w:pPr>
      <w:r>
        <w:lastRenderedPageBreak/>
        <w:t>National Institute for Health and Care Excellence (2015) Medicines optimisation: The safe and effective use of medicines to enable the best possible outcomes. NICE guideline NG5. Available at: https://www.nice.org.uk/guidance/ng5 (Accessed: 15 August 2026).</w:t>
      </w:r>
    </w:p>
    <w:p w14:paraId="630FF557" w14:textId="77777777" w:rsidR="009B3F8E" w:rsidRDefault="00000000">
      <w:pPr>
        <w:spacing w:after="120" w:line="360" w:lineRule="auto"/>
        <w:ind w:left="567" w:hanging="567"/>
      </w:pPr>
      <w:r>
        <w:t>National Institute for Health and Care Excellence (2018) Dementia: Assessment, management and support for people living with dementia and their carers. NICE guideline NG97. Available at: https://www.nice.org.uk/guidance/ng97 (Accessed: 15 August 2026).</w:t>
      </w:r>
    </w:p>
    <w:p w14:paraId="7643E830" w14:textId="77777777" w:rsidR="009B3F8E" w:rsidRDefault="00000000">
      <w:pPr>
        <w:spacing w:after="120" w:line="360" w:lineRule="auto"/>
        <w:ind w:left="567" w:hanging="567"/>
      </w:pPr>
      <w:r>
        <w:t>National Institute for Health and Care Excellence (2023) Delirium: Prevention, diagnosis and management in hospital and long-term care. Clinical guideline CG103. Available at: https://www.nice.org.uk/guidance/cg103 (Accessed: 15 August 2026).</w:t>
      </w:r>
    </w:p>
    <w:p w14:paraId="262F749F" w14:textId="77777777" w:rsidR="009B3F8E" w:rsidRDefault="00000000">
      <w:pPr>
        <w:spacing w:after="120" w:line="360" w:lineRule="auto"/>
        <w:ind w:left="567" w:hanging="567"/>
      </w:pPr>
      <w:r>
        <w:t>NHS England (2025) Shared care records. Available at: https://www.england.nhs.uk/digitaltechnology/connecteddigitalsystems/shared-care-records/ (Accessed: 15 August 2026).</w:t>
      </w:r>
    </w:p>
    <w:p w14:paraId="0599C2EB" w14:textId="77777777" w:rsidR="009B3F8E" w:rsidRDefault="00000000">
      <w:pPr>
        <w:spacing w:after="120" w:line="360" w:lineRule="auto"/>
        <w:ind w:left="567" w:hanging="567"/>
      </w:pPr>
      <w:r>
        <w:t>Schot, E., Tummers, L. and Noordegraaf, M. (2020) ‘Working on working together: A systematic review on how healthcare professionals contribute to interprofessional collaboration’, Journal of Interprofessional Care, 34(3), pp. 332–342. doi: 10.1080/13561820.2019.1636007.</w:t>
      </w:r>
    </w:p>
    <w:p w14:paraId="76D76BF6" w14:textId="77777777" w:rsidR="009B3F8E" w:rsidRDefault="00000000">
      <w:pPr>
        <w:spacing w:after="120" w:line="360" w:lineRule="auto"/>
        <w:ind w:left="567" w:hanging="567"/>
      </w:pPr>
      <w:r>
        <w:t>Talevski, J., Wong Shee, A., Rasmussen, B., Kemp, G. and Beauchamp, A. (</w:t>
      </w:r>
      <w:proofErr w:type="gramStart"/>
      <w:r>
        <w:t>2020) ‘</w:t>
      </w:r>
      <w:proofErr w:type="gramEnd"/>
      <w:r>
        <w:t>Teach-back: A systematic review of implementation and impacts’, PLOS ONE, 15(4), e0231350. doi: 10.1371/journal.pone.0231350.</w:t>
      </w:r>
    </w:p>
    <w:sectPr w:rsidR="009B3F8E" w:rsidSect="0003461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6CC741" w14:textId="77777777" w:rsidR="002838A9" w:rsidRDefault="002838A9">
      <w:pPr>
        <w:spacing w:after="0" w:line="240" w:lineRule="auto"/>
      </w:pPr>
      <w:r>
        <w:separator/>
      </w:r>
    </w:p>
  </w:endnote>
  <w:endnote w:type="continuationSeparator" w:id="0">
    <w:p w14:paraId="06365A2D" w14:textId="77777777" w:rsidR="002838A9" w:rsidRDefault="002838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5ED320" w14:textId="77777777" w:rsidR="009B3F8E" w:rsidRDefault="00000000">
    <w:pPr>
      <w:pStyle w:val="Footer"/>
      <w:jc w:val="center"/>
    </w:pPr>
    <w:r>
      <w:fldChar w:fldCharType="begin"/>
    </w:r>
    <w:r>
      <w:instrText>PAGE</w:instrText>
    </w:r>
    <w:r>
      <w:fldChar w:fldCharType="separate"/>
    </w:r>
    <w:r w:rsidR="0053003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DA1941" w14:textId="77777777" w:rsidR="002838A9" w:rsidRDefault="002838A9">
      <w:pPr>
        <w:spacing w:after="0" w:line="240" w:lineRule="auto"/>
      </w:pPr>
      <w:r>
        <w:separator/>
      </w:r>
    </w:p>
  </w:footnote>
  <w:footnote w:type="continuationSeparator" w:id="0">
    <w:p w14:paraId="03832105" w14:textId="77777777" w:rsidR="002838A9" w:rsidRDefault="002838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07197923">
    <w:abstractNumId w:val="8"/>
  </w:num>
  <w:num w:numId="2" w16cid:durableId="466824240">
    <w:abstractNumId w:val="6"/>
  </w:num>
  <w:num w:numId="3" w16cid:durableId="773063688">
    <w:abstractNumId w:val="5"/>
  </w:num>
  <w:num w:numId="4" w16cid:durableId="36780416">
    <w:abstractNumId w:val="4"/>
  </w:num>
  <w:num w:numId="5" w16cid:durableId="1896547160">
    <w:abstractNumId w:val="7"/>
  </w:num>
  <w:num w:numId="6" w16cid:durableId="648366578">
    <w:abstractNumId w:val="3"/>
  </w:num>
  <w:num w:numId="7" w16cid:durableId="1919748030">
    <w:abstractNumId w:val="2"/>
  </w:num>
  <w:num w:numId="8" w16cid:durableId="1097823938">
    <w:abstractNumId w:val="1"/>
  </w:num>
  <w:num w:numId="9" w16cid:durableId="214047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838A9"/>
    <w:rsid w:val="0029639D"/>
    <w:rsid w:val="00326F90"/>
    <w:rsid w:val="00513506"/>
    <w:rsid w:val="00530038"/>
    <w:rsid w:val="00790675"/>
    <w:rsid w:val="009B3F8E"/>
    <w:rsid w:val="00AA1D8D"/>
    <w:rsid w:val="00AF28AC"/>
    <w:rsid w:val="00B47730"/>
    <w:rsid w:val="00CB0664"/>
    <w:rsid w:val="00EB57B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009624E"/>
  <w14:defaultImageDpi w14:val="300"/>
  <w15:docId w15:val="{DA5C3E68-F0A5-4E52-A670-AD42E6A41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2174</Words>
  <Characters>12394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14539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Report: Mrs Thompson</dc:title>
  <dc:subject/>
  <dc:creator>Michael Camara</dc:creator>
  <cp:keywords/>
  <dc:description>generated by python-docx</dc:description>
  <cp:lastModifiedBy>Michael Junior Camara (2533160)</cp:lastModifiedBy>
  <cp:revision>3</cp:revision>
  <dcterms:created xsi:type="dcterms:W3CDTF">2013-12-23T23:15:00Z</dcterms:created>
  <dcterms:modified xsi:type="dcterms:W3CDTF">2026-08-17T04:40:00Z</dcterms:modified>
  <cp:category/>
</cp:coreProperties>
</file>