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3375119"/>
        <w:docPartObj>
          <w:docPartGallery w:val="Cover Pages"/>
          <w:docPartUnique/>
        </w:docPartObj>
      </w:sdtPr>
      <w:sdtContent>
        <w:p w14:paraId="78A918F5" w14:textId="0EB75782" w:rsidR="00DF5D85" w:rsidRDefault="0071712C">
          <w:r>
            <w:rPr>
              <w:noProof/>
            </w:rPr>
            <mc:AlternateContent>
              <mc:Choice Requires="wps">
                <w:drawing>
                  <wp:anchor distT="0" distB="0" distL="114300" distR="114300" simplePos="0" relativeHeight="251660288" behindDoc="0" locked="0" layoutInCell="1" allowOverlap="1" wp14:anchorId="2AA4C941" wp14:editId="5E9AF788">
                    <wp:simplePos x="0" y="0"/>
                    <wp:positionH relativeFrom="column">
                      <wp:posOffset>-59267</wp:posOffset>
                    </wp:positionH>
                    <wp:positionV relativeFrom="paragraph">
                      <wp:posOffset>143933</wp:posOffset>
                    </wp:positionV>
                    <wp:extent cx="1718734" cy="939800"/>
                    <wp:effectExtent l="0" t="0" r="8890" b="12700"/>
                    <wp:wrapNone/>
                    <wp:docPr id="974115758" name="Text Box 1"/>
                    <wp:cNvGraphicFramePr/>
                    <a:graphic xmlns:a="http://schemas.openxmlformats.org/drawingml/2006/main">
                      <a:graphicData uri="http://schemas.microsoft.com/office/word/2010/wordprocessingShape">
                        <wps:wsp>
                          <wps:cNvSpPr txBox="1"/>
                          <wps:spPr>
                            <a:xfrm>
                              <a:off x="0" y="0"/>
                              <a:ext cx="1718734" cy="939800"/>
                            </a:xfrm>
                            <a:prstGeom prst="rect">
                              <a:avLst/>
                            </a:prstGeom>
                            <a:noFill/>
                            <a:ln w="6350">
                              <a:solidFill>
                                <a:prstClr val="black"/>
                              </a:solidFill>
                            </a:ln>
                          </wps:spPr>
                          <wps:txbx>
                            <w:txbxContent>
                              <w:p w14:paraId="048BEAE7" w14:textId="625DF63C" w:rsidR="0071712C" w:rsidRPr="00080C42" w:rsidRDefault="0071712C">
                                <w:pPr>
                                  <w:rPr>
                                    <w:rFonts w:asciiTheme="minorHAnsi" w:hAnsiTheme="minorHAnsi" w:cstheme="minorHAnsi"/>
                                    <w:sz w:val="32"/>
                                    <w:szCs w:val="32"/>
                                  </w:rPr>
                                </w:pPr>
                                <w:r w:rsidRPr="00080C42">
                                  <w:rPr>
                                    <w:rFonts w:asciiTheme="minorHAnsi" w:hAnsiTheme="minorHAnsi" w:cstheme="minorHAnsi"/>
                                    <w:sz w:val="32"/>
                                    <w:szCs w:val="32"/>
                                  </w:rPr>
                                  <w:t>Cerys Bowen</w:t>
                                </w:r>
                              </w:p>
                              <w:p w14:paraId="777D02A1" w14:textId="6E04A8C2" w:rsidR="0071712C" w:rsidRPr="00080C42" w:rsidRDefault="0071712C">
                                <w:pPr>
                                  <w:rPr>
                                    <w:rFonts w:asciiTheme="minorHAnsi" w:hAnsiTheme="minorHAnsi" w:cstheme="minorHAnsi"/>
                                    <w:sz w:val="32"/>
                                    <w:szCs w:val="32"/>
                                  </w:rPr>
                                </w:pPr>
                                <w:r w:rsidRPr="00080C42">
                                  <w:rPr>
                                    <w:rFonts w:asciiTheme="minorHAnsi" w:hAnsiTheme="minorHAnsi" w:cstheme="minorHAnsi"/>
                                    <w:sz w:val="32"/>
                                    <w:szCs w:val="32"/>
                                  </w:rPr>
                                  <w:t>2203320</w:t>
                                </w:r>
                              </w:p>
                              <w:p w14:paraId="42BFAEBB" w14:textId="49BC3F97" w:rsidR="0071712C" w:rsidRPr="00080C42" w:rsidRDefault="0071712C">
                                <w:pPr>
                                  <w:rPr>
                                    <w:rFonts w:asciiTheme="minorHAnsi" w:hAnsiTheme="minorHAnsi" w:cstheme="minorHAnsi"/>
                                    <w:sz w:val="32"/>
                                    <w:szCs w:val="32"/>
                                  </w:rPr>
                                </w:pPr>
                                <w:r w:rsidRPr="00080C42">
                                  <w:rPr>
                                    <w:rFonts w:asciiTheme="minorHAnsi" w:hAnsiTheme="minorHAnsi" w:cstheme="minorHAnsi"/>
                                    <w:sz w:val="32"/>
                                    <w:szCs w:val="32"/>
                                  </w:rPr>
                                  <w:t>Level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AA4C941" id="_x0000_t202" coordsize="21600,21600" o:spt="202" path="m,l,21600r21600,l21600,xe">
                    <v:stroke joinstyle="miter"/>
                    <v:path gradientshapeok="t" o:connecttype="rect"/>
                  </v:shapetype>
                  <v:shape id="Text Box 1" o:spid="_x0000_s1026" type="#_x0000_t202" style="position:absolute;margin-left:-4.65pt;margin-top:11.35pt;width:135.35pt;height:7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" filled="f" strokeweight=".5pt">
                    <v:textbox>
                      <w:txbxContent>
                        <w:p w14:paraId="048BEAE7" w14:textId="625DF63C" w:rsidR="0071712C" w:rsidRPr="00080C42" w:rsidRDefault="0071712C">
                          <w:pPr>
                            <w:rPr>
                              <w:rFonts w:asciiTheme="minorHAnsi" w:hAnsiTheme="minorHAnsi" w:cstheme="minorHAnsi"/>
                              <w:sz w:val="32"/>
                              <w:szCs w:val="32"/>
                            </w:rPr>
                          </w:pPr>
                          <w:r w:rsidRPr="00080C42">
                            <w:rPr>
                              <w:rFonts w:asciiTheme="minorHAnsi" w:hAnsiTheme="minorHAnsi" w:cstheme="minorHAnsi"/>
                              <w:sz w:val="32"/>
                              <w:szCs w:val="32"/>
                            </w:rPr>
                            <w:t>Cerys Bowen</w:t>
                          </w:r>
                        </w:p>
                        <w:p w14:paraId="777D02A1" w14:textId="6E04A8C2" w:rsidR="0071712C" w:rsidRPr="00080C42" w:rsidRDefault="0071712C">
                          <w:pPr>
                            <w:rPr>
                              <w:rFonts w:asciiTheme="minorHAnsi" w:hAnsiTheme="minorHAnsi" w:cstheme="minorHAnsi"/>
                              <w:sz w:val="32"/>
                              <w:szCs w:val="32"/>
                            </w:rPr>
                          </w:pPr>
                          <w:r w:rsidRPr="00080C42">
                            <w:rPr>
                              <w:rFonts w:asciiTheme="minorHAnsi" w:hAnsiTheme="minorHAnsi" w:cstheme="minorHAnsi"/>
                              <w:sz w:val="32"/>
                              <w:szCs w:val="32"/>
                            </w:rPr>
                            <w:t>2203320</w:t>
                          </w:r>
                        </w:p>
                        <w:p w14:paraId="42BFAEBB" w14:textId="49BC3F97" w:rsidR="0071712C" w:rsidRPr="00080C42" w:rsidRDefault="0071712C">
                          <w:pPr>
                            <w:rPr>
                              <w:rFonts w:asciiTheme="minorHAnsi" w:hAnsiTheme="minorHAnsi" w:cstheme="minorHAnsi"/>
                              <w:sz w:val="32"/>
                              <w:szCs w:val="32"/>
                            </w:rPr>
                          </w:pPr>
                          <w:r w:rsidRPr="00080C42">
                            <w:rPr>
                              <w:rFonts w:asciiTheme="minorHAnsi" w:hAnsiTheme="minorHAnsi" w:cstheme="minorHAnsi"/>
                              <w:sz w:val="32"/>
                              <w:szCs w:val="32"/>
                            </w:rPr>
                            <w:t>Level 5</w:t>
                          </w:r>
                        </w:p>
                      </w:txbxContent>
                    </v:textbox>
                  </v:shape>
                </w:pict>
              </mc:Fallback>
            </mc:AlternateContent>
          </w:r>
          <w:r w:rsidR="00DF5D85">
            <w:rPr>
              <w:noProof/>
            </w:rPr>
            <mc:AlternateContent>
              <mc:Choice Requires="wpg">
                <w:drawing>
                  <wp:anchor distT="0" distB="0" distL="114300" distR="114300" simplePos="0" relativeHeight="251659264" behindDoc="1" locked="0" layoutInCell="1" allowOverlap="1" wp14:anchorId="0A2F767A" wp14:editId="59E0E961">
                    <wp:simplePos x="0" y="0"/>
                    <wp:positionH relativeFrom="page">
                      <wp:align>center</wp:align>
                    </wp:positionH>
                    <wp:positionV relativeFrom="page">
                      <wp:align>center</wp:align>
                    </wp:positionV>
                    <wp:extent cx="6858000" cy="9144000"/>
                    <wp:effectExtent l="0" t="0" r="2540" b="635"/>
                    <wp:wrapNone/>
                    <wp:docPr id="48" name="Group 23"/>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9F8A9AA" w14:textId="77777777" w:rsidR="00DF5D85" w:rsidRDefault="00DF5D85">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Arial" w:cstheme="minorHAnsi"/>
                                      <w:b/>
                                      <w:bCs/>
                                      <w:color w:val="FFFFFF" w:themeColor="background1"/>
                                      <w:spacing w:val="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9214EB7" w14:textId="11BAE28C" w:rsidR="00DF5D85" w:rsidRPr="00DF5D85" w:rsidRDefault="00FF2928" w:rsidP="00DF5D85">
                                      <w:pPr>
                                        <w:pStyle w:val="NoSpacing"/>
                                        <w:jc w:val="center"/>
                                        <w:rPr>
                                          <w:rFonts w:eastAsiaTheme="majorEastAsia" w:cstheme="minorHAnsi"/>
                                          <w:caps/>
                                          <w:color w:val="FFFFFF" w:themeColor="background1"/>
                                          <w:sz w:val="56"/>
                                          <w:szCs w:val="56"/>
                                        </w:rPr>
                                      </w:pPr>
                                      <w:r>
                                        <w:rPr>
                                          <w:rFonts w:eastAsia="Arial" w:cstheme="minorHAnsi"/>
                                          <w:b/>
                                          <w:bCs/>
                                          <w:color w:val="FFFFFF" w:themeColor="background1"/>
                                          <w:spacing w:val="1"/>
                                          <w:sz w:val="56"/>
                                          <w:szCs w:val="56"/>
                                        </w:rPr>
                                        <w:t xml:space="preserve">An examination of how crime and anti-social </w:t>
                                      </w:r>
                                      <w:proofErr w:type="spellStart"/>
                                      <w:r>
                                        <w:rPr>
                                          <w:rFonts w:eastAsia="Arial" w:cstheme="minorHAnsi"/>
                                          <w:b/>
                                          <w:bCs/>
                                          <w:color w:val="FFFFFF" w:themeColor="background1"/>
                                          <w:spacing w:val="1"/>
                                          <w:sz w:val="56"/>
                                          <w:szCs w:val="56"/>
                                        </w:rPr>
                                        <w:t>behavio</w:t>
                                      </w:r>
                                      <w:r w:rsidR="00D94215">
                                        <w:rPr>
                                          <w:rFonts w:eastAsia="Arial" w:cstheme="minorHAnsi"/>
                                          <w:b/>
                                          <w:bCs/>
                                          <w:color w:val="FFFFFF" w:themeColor="background1"/>
                                          <w:spacing w:val="1"/>
                                          <w:sz w:val="56"/>
                                          <w:szCs w:val="56"/>
                                        </w:rPr>
                                        <w:t>u</w:t>
                                      </w:r>
                                      <w:r>
                                        <w:rPr>
                                          <w:rFonts w:eastAsia="Arial" w:cstheme="minorHAnsi"/>
                                          <w:b/>
                                          <w:bCs/>
                                          <w:color w:val="FFFFFF" w:themeColor="background1"/>
                                          <w:spacing w:val="1"/>
                                          <w:sz w:val="56"/>
                                          <w:szCs w:val="56"/>
                                        </w:rPr>
                                        <w:t>r</w:t>
                                      </w:r>
                                      <w:proofErr w:type="spellEnd"/>
                                      <w:r>
                                        <w:rPr>
                                          <w:rFonts w:eastAsia="Arial" w:cstheme="minorHAnsi"/>
                                          <w:b/>
                                          <w:bCs/>
                                          <w:color w:val="FFFFFF" w:themeColor="background1"/>
                                          <w:spacing w:val="1"/>
                                          <w:sz w:val="56"/>
                                          <w:szCs w:val="56"/>
                                        </w:rPr>
                                        <w:t xml:space="preserve"> </w:t>
                                      </w:r>
                                      <w:r w:rsidR="00934280">
                                        <w:rPr>
                                          <w:rFonts w:eastAsia="Arial" w:cstheme="minorHAnsi"/>
                                          <w:b/>
                                          <w:bCs/>
                                          <w:color w:val="FFFFFF" w:themeColor="background1"/>
                                          <w:spacing w:val="1"/>
                                          <w:sz w:val="56"/>
                                          <w:szCs w:val="56"/>
                                        </w:rPr>
                                        <w:t>can e</w:t>
                                      </w:r>
                                      <w:r>
                                        <w:rPr>
                                          <w:rFonts w:eastAsia="Arial" w:cstheme="minorHAnsi"/>
                                          <w:b/>
                                          <w:bCs/>
                                          <w:color w:val="FFFFFF" w:themeColor="background1"/>
                                          <w:spacing w:val="1"/>
                                          <w:sz w:val="56"/>
                                          <w:szCs w:val="56"/>
                                        </w:rPr>
                                        <w:t>ffect local communities.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3DD5BEC9" w14:textId="4AE5FA74" w:rsidR="00DF5D85" w:rsidRDefault="0071712C">
                                      <w:pPr>
                                        <w:pStyle w:val="NoSpacing"/>
                                        <w:spacing w:before="120"/>
                                        <w:rPr>
                                          <w:color w:val="4472C4" w:themeColor="accent1"/>
                                          <w:sz w:val="36"/>
                                          <w:szCs w:val="36"/>
                                        </w:rPr>
                                      </w:pPr>
                                      <w:r>
                                        <w:rPr>
                                          <w:color w:val="4472C4" w:themeColor="accent1"/>
                                          <w:sz w:val="36"/>
                                          <w:szCs w:val="36"/>
                                        </w:rPr>
                                        <w:t>Policing in the public.</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A2F767A" id="Group 23" o:spid="_x0000_s1027"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">
                    <v:group id="Group 49" o:spid="_x0000_s1028"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9"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49F8A9AA" w14:textId="77777777" w:rsidR="00DF5D85" w:rsidRDefault="00DF5D85">
                              <w:pPr>
                                <w:pStyle w:val="NoSpacing"/>
                                <w:rPr>
                                  <w:color w:val="FFFFFF" w:themeColor="background1"/>
                                  <w:sz w:val="48"/>
                                  <w:szCs w:val="48"/>
                                </w:rPr>
                              </w:pPr>
                            </w:p>
                          </w:txbxContent>
                        </v:textbox>
                      </v:rect>
                      <v:group id="Group 2" o:spid="_x0000_s1030"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1"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2"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3"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4"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5"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6"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eastAsia="Arial" w:cstheme="minorHAnsi"/>
                                <w:b/>
                                <w:bCs/>
                                <w:color w:val="FFFFFF" w:themeColor="background1"/>
                                <w:spacing w:val="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9214EB7" w14:textId="11BAE28C" w:rsidR="00DF5D85" w:rsidRPr="00DF5D85" w:rsidRDefault="00FF2928" w:rsidP="00DF5D85">
                                <w:pPr>
                                  <w:pStyle w:val="NoSpacing"/>
                                  <w:jc w:val="center"/>
                                  <w:rPr>
                                    <w:rFonts w:eastAsiaTheme="majorEastAsia" w:cstheme="minorHAnsi"/>
                                    <w:caps/>
                                    <w:color w:val="FFFFFF" w:themeColor="background1"/>
                                    <w:sz w:val="56"/>
                                    <w:szCs w:val="56"/>
                                  </w:rPr>
                                </w:pPr>
                                <w:r>
                                  <w:rPr>
                                    <w:rFonts w:eastAsia="Arial" w:cstheme="minorHAnsi"/>
                                    <w:b/>
                                    <w:bCs/>
                                    <w:color w:val="FFFFFF" w:themeColor="background1"/>
                                    <w:spacing w:val="1"/>
                                    <w:sz w:val="56"/>
                                    <w:szCs w:val="56"/>
                                  </w:rPr>
                                  <w:t xml:space="preserve">An examination of how crime and anti-social </w:t>
                                </w:r>
                                <w:proofErr w:type="spellStart"/>
                                <w:r>
                                  <w:rPr>
                                    <w:rFonts w:eastAsia="Arial" w:cstheme="minorHAnsi"/>
                                    <w:b/>
                                    <w:bCs/>
                                    <w:color w:val="FFFFFF" w:themeColor="background1"/>
                                    <w:spacing w:val="1"/>
                                    <w:sz w:val="56"/>
                                    <w:szCs w:val="56"/>
                                  </w:rPr>
                                  <w:t>behavio</w:t>
                                </w:r>
                                <w:r w:rsidR="00D94215">
                                  <w:rPr>
                                    <w:rFonts w:eastAsia="Arial" w:cstheme="minorHAnsi"/>
                                    <w:b/>
                                    <w:bCs/>
                                    <w:color w:val="FFFFFF" w:themeColor="background1"/>
                                    <w:spacing w:val="1"/>
                                    <w:sz w:val="56"/>
                                    <w:szCs w:val="56"/>
                                  </w:rPr>
                                  <w:t>u</w:t>
                                </w:r>
                                <w:r>
                                  <w:rPr>
                                    <w:rFonts w:eastAsia="Arial" w:cstheme="minorHAnsi"/>
                                    <w:b/>
                                    <w:bCs/>
                                    <w:color w:val="FFFFFF" w:themeColor="background1"/>
                                    <w:spacing w:val="1"/>
                                    <w:sz w:val="56"/>
                                    <w:szCs w:val="56"/>
                                  </w:rPr>
                                  <w:t>r</w:t>
                                </w:r>
                                <w:proofErr w:type="spellEnd"/>
                                <w:r>
                                  <w:rPr>
                                    <w:rFonts w:eastAsia="Arial" w:cstheme="minorHAnsi"/>
                                    <w:b/>
                                    <w:bCs/>
                                    <w:color w:val="FFFFFF" w:themeColor="background1"/>
                                    <w:spacing w:val="1"/>
                                    <w:sz w:val="56"/>
                                    <w:szCs w:val="56"/>
                                  </w:rPr>
                                  <w:t xml:space="preserve"> </w:t>
                                </w:r>
                                <w:r w:rsidR="00934280">
                                  <w:rPr>
                                    <w:rFonts w:eastAsia="Arial" w:cstheme="minorHAnsi"/>
                                    <w:b/>
                                    <w:bCs/>
                                    <w:color w:val="FFFFFF" w:themeColor="background1"/>
                                    <w:spacing w:val="1"/>
                                    <w:sz w:val="56"/>
                                    <w:szCs w:val="56"/>
                                  </w:rPr>
                                  <w:t>can e</w:t>
                                </w:r>
                                <w:r>
                                  <w:rPr>
                                    <w:rFonts w:eastAsia="Arial" w:cstheme="minorHAnsi"/>
                                    <w:b/>
                                    <w:bCs/>
                                    <w:color w:val="FFFFFF" w:themeColor="background1"/>
                                    <w:spacing w:val="1"/>
                                    <w:sz w:val="56"/>
                                    <w:szCs w:val="56"/>
                                  </w:rPr>
                                  <w:t>ffect local communities.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3DD5BEC9" w14:textId="4AE5FA74" w:rsidR="00DF5D85" w:rsidRDefault="0071712C">
                                <w:pPr>
                                  <w:pStyle w:val="NoSpacing"/>
                                  <w:spacing w:before="120"/>
                                  <w:rPr>
                                    <w:color w:val="4472C4" w:themeColor="accent1"/>
                                    <w:sz w:val="36"/>
                                    <w:szCs w:val="36"/>
                                  </w:rPr>
                                </w:pPr>
                                <w:r>
                                  <w:rPr>
                                    <w:color w:val="4472C4" w:themeColor="accent1"/>
                                    <w:sz w:val="36"/>
                                    <w:szCs w:val="36"/>
                                  </w:rPr>
                                  <w:t>Policing in the public.</w:t>
                                </w:r>
                              </w:p>
                            </w:sdtContent>
                          </w:sdt>
                        </w:txbxContent>
                      </v:textbox>
                    </v:shape>
                    <w10:wrap anchorx="page" anchory="page"/>
                  </v:group>
                </w:pict>
              </mc:Fallback>
            </mc:AlternateContent>
          </w:r>
        </w:p>
        <w:p w14:paraId="17AD6516" w14:textId="02DE06C4" w:rsidR="00DF5D85" w:rsidRDefault="00DF5D85">
          <w:r>
            <w:br w:type="page"/>
          </w:r>
        </w:p>
      </w:sdtContent>
    </w:sdt>
    <w:p w14:paraId="497B3FCC" w14:textId="528347B2" w:rsidR="00D94215" w:rsidRDefault="00D94215" w:rsidP="00934280">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lastRenderedPageBreak/>
        <w:t xml:space="preserve">This essay will be discussing the effect on local communities from anti-social behaviour regarding how a previous case has shaped the current policing approach towards dealing with this sort of crime. It is stated by College of Policing, (2023) that anti-social behaviour occurs when harassment, alarm or any kind of distress is caused for an individual such as intimidation. This can fall into three different categories such as harassment that is targeted towards one individual. It can fall into the category of nuisance anti-social behaviour that affects the local community such as drug misuse or incidents such as littering that affects the environment. According to Rodger, (2012) the social structures and value orientations must be changed within communities to prevent the significant increase of anti-social behaviour. Therefore, this essay will explore how the social structures are impacting victims in these local communities and how the police are responding to the crimes being committed by individuals. </w:t>
      </w:r>
      <w:r>
        <w:rPr>
          <w:rStyle w:val="eop"/>
          <w:rFonts w:ascii="Calibri" w:hAnsi="Calibri" w:cs="Calibri"/>
        </w:rPr>
        <w:t> </w:t>
      </w:r>
    </w:p>
    <w:p w14:paraId="184B5E76" w14:textId="77777777" w:rsidR="00D94215" w:rsidRDefault="00D94215" w:rsidP="00D94215">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 xml:space="preserve">The impact of anti-social behaviour on victims and the local communities is factors such as living in fear and an increase in severe anxiety towards individuals. As a result of incidents re-occurring in local communities this raises concern associated with the risk of potential incidents being targeted towards another individual after witnessing it happening to others. This is reinforced by </w:t>
      </w:r>
      <w:r>
        <w:rPr>
          <w:rStyle w:val="normaltextrun"/>
          <w:rFonts w:ascii="Calibri" w:hAnsi="Calibri" w:cs="Calibri"/>
          <w:color w:val="000000"/>
        </w:rPr>
        <w:t xml:space="preserve">Heap, (2021) by stating that anti-social behaviour figures that have been experienced has increased to 39.6 percent. As a result, individuals in local communities tend to deal with additional emotional distress due to experiencing either first or second hand to these negative experiences. To ensure that victims and individuals within the local communities are satisfied with how the police deal with these situations it is essential that the individuals are being engaged with in a clear and correct manner. An example of how the local authorities and police force did not achieve this is the Fiona Pilkington case. It is stated by Williams, (2023) that within the Fiona Pilkington case there was no degree of support or protection measures for the victim's vulnerability. Within this case the local community and the victim was neglected by agencies and the police force that led to Fiona Pilkington and her daughter Francesca Hardwick's death. In 2007 after 10 years of abuse of anti-social behaviour from individuals within the community targeted towards her daughter's disability Fiona Pilkington saw that her only way out was taking her own life from setting fire to her car with her and her daughter inside of the car. This highlights the negative impact for individuals and the community because of anti-social behaviour and the lack of support from the police force. This is reinforced by Heap, (2018) with the issue of fear of rejection from victims that tend to not report every single incident. This results in lack of trust between individuals of the community and local communities that is a barrier between reducing the level of anti-social behaviour within communities. </w:t>
      </w:r>
      <w:r>
        <w:rPr>
          <w:rStyle w:val="eop"/>
          <w:rFonts w:ascii="Calibri" w:hAnsi="Calibri" w:cs="Calibri"/>
          <w:color w:val="000000"/>
        </w:rPr>
        <w:t> </w:t>
      </w:r>
    </w:p>
    <w:p w14:paraId="1E73972E" w14:textId="77777777" w:rsidR="00D94215" w:rsidRDefault="00D94215" w:rsidP="00D94215">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color w:val="000000"/>
        </w:rPr>
        <w:t xml:space="preserve">Another impact anti-social behaviour has on communities is the increase of concern that the public have towards crime. According to </w:t>
      </w:r>
      <w:proofErr w:type="spellStart"/>
      <w:r>
        <w:rPr>
          <w:rStyle w:val="normaltextrun"/>
          <w:rFonts w:ascii="Calibri" w:hAnsi="Calibri" w:cs="Calibri"/>
          <w:color w:val="000000"/>
        </w:rPr>
        <w:t>Bavington</w:t>
      </w:r>
      <w:proofErr w:type="spellEnd"/>
      <w:r>
        <w:rPr>
          <w:rStyle w:val="normaltextrun"/>
          <w:rFonts w:ascii="Calibri" w:hAnsi="Calibri" w:cs="Calibri"/>
          <w:color w:val="000000"/>
        </w:rPr>
        <w:t xml:space="preserve">, (2021) because of the increase in anti-social behaviour crimes in local communities the public have raised many concerns about the safeguarding of individuals. It is also stated that local communities are suffering a large amount from the impact of shouting and inappropriate language from large groups of young individuals causing communities to be concerned with the use of violence being carried out. This reinforces that even minor anti-social behaviour offences are affecting communities physically and socially because of public places being unable to be used as their purpose because of youths gathering at these places. The Fiona Pilkington case supports this as this family raised numerous reports about their safety within this community as a result to the young individuals harassing them. The constant incidents that happened such as the 33 reports that were made by herself for example stones and eggs </w:t>
      </w:r>
      <w:r>
        <w:rPr>
          <w:rStyle w:val="normaltextrun"/>
          <w:rFonts w:ascii="Calibri" w:hAnsi="Calibri" w:cs="Calibri"/>
          <w:color w:val="000000"/>
        </w:rPr>
        <w:lastRenderedPageBreak/>
        <w:t xml:space="preserve">being thrown at her house. Brown &amp; Evans, (2014) states that the repetitive incidents affect victims physical and mental well-being resulting from uncomfortable situations being the victim's normal reality. This is similar to Fiona Pilkington and her daughter becoming exposed to the fear daily. It is recognised that individuals such as Fiona Pilkington who reported these offences were less likely to be satisfied with the outcome of how the police force handled the situations. As a result, Fiona Pilkington saw no other reasonable outcome to dealing with the reality of being harassed, alarmed, and distressed. Brown &amp; Evans, (2014) reinforce this by stating that 84% of individuals reporting an anti-social heavier incident believe that more should be done by local authorities. This highlights the concerns and lack of safety from victims and individuals from the community. This would ensure that incidents such as Fiona Pilkington would feel heard from local authorities rather than struggling to execute daily tasks that were unbearable to Fiona Pilkington without being harassed. </w:t>
      </w:r>
      <w:r>
        <w:rPr>
          <w:rStyle w:val="eop"/>
          <w:rFonts w:ascii="Calibri" w:hAnsi="Calibri" w:cs="Calibri"/>
          <w:color w:val="000000"/>
        </w:rPr>
        <w:t> </w:t>
      </w:r>
    </w:p>
    <w:p w14:paraId="537B9009" w14:textId="18559DFB" w:rsidR="00D94215" w:rsidRPr="00934280" w:rsidRDefault="00D94215" w:rsidP="00934280">
      <w:pPr>
        <w:pStyle w:val="paragraph"/>
        <w:spacing w:before="0" w:beforeAutospacing="0" w:after="0" w:afterAutospacing="0"/>
        <w:ind w:firstLine="720"/>
        <w:textAlignment w:val="baseline"/>
        <w:rPr>
          <w:rFonts w:ascii="Calibri" w:hAnsi="Calibri" w:cs="Calibri"/>
          <w:color w:val="000000"/>
        </w:rPr>
      </w:pPr>
      <w:r>
        <w:rPr>
          <w:rStyle w:val="normaltextrun"/>
          <w:rFonts w:ascii="Calibri" w:hAnsi="Calibri" w:cs="Calibri"/>
          <w:color w:val="000000"/>
        </w:rPr>
        <w:t xml:space="preserve">When examining anti-social behaviour, it is essential for the police force as a whole to measure what approach is the most sufficient and appropriate to use. This entails looking at patterns of crime such as hot-spots and repeat victimisation. This is highlighted by Donoghue, (2013) by stating that an effective strategy the police complete is a victim risk assessment to determine if the victims are high risk or not for the individuals' wellbeing and vulnerability. As a result of the police force is previous actions to anti-social behaviour being ineffective police forces focused on the needs and patterns of crime towards repeat victims and the hotpots to where anti-social behaviour was carried out. The local councils became increasingly concerned with the action towards anti-social behaviour within local communities therefore, as a high priority crime the police force have focused on identifying the needs of high-risk victims by giving them support such as intervening after earlier crimes reported and assessing their needs. This is reinforced by the Fiona Pilkington case because she was a repeat victim of anti-social behaviour being targeted as a result of her disabled daughter. As a result of Pilkington's case being a repeat victim, this followed by a number of changes to the police force is actions towards dealing with such incidents as anti-social behaviour. As of this case there has been a change to looking at which category the victims fall into to ensure as little harm associated with the victim as possible. Therefore, factors such as mental health, disability and age are considered. This is reinforced by Hopkins-Burke &amp; Hodgson, (2015) emphasising that the ambiguity and the constant actions towards repeat victims are intolerable. These positive changes to the victim's risk assessment have ensured a new and improved positive action that the police are taking to better local communities. </w:t>
      </w:r>
      <w:r>
        <w:rPr>
          <w:rStyle w:val="eop"/>
          <w:rFonts w:ascii="Calibri" w:hAnsi="Calibri" w:cs="Calibri"/>
          <w:color w:val="000000"/>
        </w:rPr>
        <w:t> </w:t>
      </w:r>
    </w:p>
    <w:p w14:paraId="46517852" w14:textId="77777777" w:rsidR="00D94215" w:rsidRDefault="00D94215" w:rsidP="00934280">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color w:val="000000"/>
        </w:rPr>
        <w:t xml:space="preserve">According to Innes, (2004) a key matter to ensuring that the local community have trust in the police for their own safety is understanding how individuals define threats to their own security. Therefore, signal crime constitutes to effective and appropriate policing action by any anti-social incident causing the public’s behaviour to change as a regard to the safety of the local community. As a result of this these ‘signals’ affect how individuals might feel, behave, or even feel after the incidents have occurred. Evidentially, the police force is aware of these ‘signals’ effecting how the public are acting or thinking that allows them to put into effect the appropriate steps of enforcing their resources to these locations. </w:t>
      </w:r>
      <w:r>
        <w:rPr>
          <w:rStyle w:val="eop"/>
          <w:rFonts w:ascii="Calibri" w:hAnsi="Calibri" w:cs="Calibri"/>
          <w:color w:val="000000"/>
        </w:rPr>
        <w:t> </w:t>
      </w:r>
    </w:p>
    <w:p w14:paraId="3E81AD78" w14:textId="77777777" w:rsidR="00D94215" w:rsidRDefault="00D94215" w:rsidP="00D94215">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color w:val="000000"/>
        </w:rPr>
        <w:t xml:space="preserve">Another example of this is the broken windows theory that illustrates that when the local community can visibly see incidents of anti-social behaviour this encourages further crime incidents. This is reinforced by Corsaro, et al., (2014) stating that the issue with anti-social behaviour is that police officers should be targeting individuals first initial crimes to improve the local community's crime rates. This constitutes for effective and appropriate </w:t>
      </w:r>
      <w:r>
        <w:rPr>
          <w:rStyle w:val="normaltextrun"/>
          <w:rFonts w:ascii="Calibri" w:hAnsi="Calibri" w:cs="Calibri"/>
          <w:color w:val="000000"/>
        </w:rPr>
        <w:lastRenderedPageBreak/>
        <w:t xml:space="preserve">police action for the reason that it allows the police force to focus on minor crimes that enables a ‘zero tolerance’ way of policing. By doing this rather than allowing the small crimes to lead into major crimes within communities it disrupts on this preventing the small crimes to lead to the major crimes. Therefore, this is effective for the reason that individuals are not worried for their safety. </w:t>
      </w:r>
      <w:r>
        <w:rPr>
          <w:rStyle w:val="eop"/>
          <w:rFonts w:ascii="Calibri" w:hAnsi="Calibri" w:cs="Calibri"/>
          <w:color w:val="000000"/>
        </w:rPr>
        <w:t> </w:t>
      </w:r>
    </w:p>
    <w:p w14:paraId="0FE8999B" w14:textId="77777777" w:rsidR="00D94215" w:rsidRDefault="00D94215" w:rsidP="00D94215">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color w:val="000000"/>
        </w:rPr>
        <w:t xml:space="preserve">To ensure a successful prevention to anti-social behaviour numerous measures have been trialled and used from the police force as positive action. Hodgkinson &amp; Tilley, (2007) states that pressure from the public to deal with anti-social behaviour has resulted in enforcement of Anti-Social Behaviour Orders. ASBO’s are orders that may be given to any individuals above the age of 10 that restrains the individual from attending a certain place to where they may have caused any harassment, alarm, or distress to individuals. Even though the aim for the ASBO is to reduce the number of crimes there is no sufficient evidence that this is successful to the reduction of anti-social behaviour crimes. This is highlighted by Brown, (2013) showing that ASBO are an effective form of deterrence for individual’s that commit the less serious anti-social crimes but on the other hand over using ASBO’s cause a tendency of misusing them. Therefore, because of overusing ASBO’s or misusing them it may cause a damaging reputation to the individual or individuals may not take them seriously. </w:t>
      </w:r>
      <w:r>
        <w:rPr>
          <w:rStyle w:val="eop"/>
          <w:rFonts w:ascii="Calibri" w:hAnsi="Calibri" w:cs="Calibri"/>
          <w:color w:val="000000"/>
        </w:rPr>
        <w:t> </w:t>
      </w:r>
    </w:p>
    <w:p w14:paraId="69598DF2" w14:textId="77777777" w:rsidR="00D94215" w:rsidRDefault="00D94215" w:rsidP="00D94215">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color w:val="000000"/>
        </w:rPr>
        <w:t>Another form of a successful prevention to anti-social behaviour is Community Protection Notice’s which are used to prevent individuals aged 16 and above to stop committing anti-social behaviour crimes. Rodgers, (2023) states this is an implementation that got introduced to England and Wales that was targeted towards the anti-social behaviour incidents that were persistent that would affect the individuals within the community negatively. The criteria that must be met before a CPN is given is that a Community Protection Warning must be placed by police officers and authorised individuals such as the local authority. This is a successful prevention that if had been given in place with the Pilkington case the severity of the incidents and outcome may have been resolved before it was too late. Matthews, (2007) evaluates the issues that occur with the ASBO’s when it comes to experiences from both the police forces and partnership agencies. He highlighted the variation of opinions towards them for example the positive effect it had on the victim's welfare and the concern about the suspects reaction and the negative effect this may have on them. He also stated the problem associated with the definition because many police officers had a concern regarding the overlap with issues that were defined as anti-social behaviour crimes that lead to confusion.</w:t>
      </w:r>
      <w:r>
        <w:rPr>
          <w:rStyle w:val="eop"/>
          <w:rFonts w:ascii="Calibri" w:hAnsi="Calibri" w:cs="Calibri"/>
          <w:color w:val="000000"/>
        </w:rPr>
        <w:t> </w:t>
      </w:r>
    </w:p>
    <w:p w14:paraId="2BA7776C" w14:textId="77777777" w:rsidR="00D94215" w:rsidRDefault="00D94215" w:rsidP="00D94215">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color w:val="000000"/>
        </w:rPr>
        <w:t xml:space="preserve">The police force ensures an effective method of preventing and responding to anti-social behaviour in communities by partnership working. This consists of working with other agencies for identifying problems within the area by relying on them to use their specialism to solve and underlying problems. This is reinforced by Hansen, et al., (2014) when it is stated that partnerships involving research has encouraged a positive effect on police forces across the United Kingdom. This has had a positive effect on local communities and victims because of the reason that resources have been funded for the support of victims. As a result of this the research partnerships were able to highlight the issues regarding support that were needed for the victims within local communities. This is also reinforced by </w:t>
      </w:r>
      <w:proofErr w:type="spellStart"/>
      <w:r>
        <w:rPr>
          <w:rStyle w:val="normaltextrun"/>
          <w:rFonts w:ascii="Calibri" w:hAnsi="Calibri" w:cs="Calibri"/>
          <w:color w:val="000000"/>
        </w:rPr>
        <w:t>Krayer</w:t>
      </w:r>
      <w:proofErr w:type="spellEnd"/>
      <w:r>
        <w:rPr>
          <w:rStyle w:val="normaltextrun"/>
          <w:rFonts w:ascii="Calibri" w:hAnsi="Calibri" w:cs="Calibri"/>
          <w:color w:val="000000"/>
        </w:rPr>
        <w:t xml:space="preserve">, et al., (2018) as it is stated that there is a potential for negative outcomes for individuals regarding their mental state if the partner agencies do not collaborate effectively. Therefore, the police forces were able to put in place further safeguarding measures such as </w:t>
      </w:r>
      <w:r>
        <w:rPr>
          <w:rStyle w:val="normaltextrun"/>
          <w:rFonts w:ascii="Calibri" w:hAnsi="Calibri" w:cs="Calibri"/>
          <w:color w:val="000000"/>
        </w:rPr>
        <w:lastRenderedPageBreak/>
        <w:t>emotional support or finding an appropriate place to stay especially for repeat victimisation.</w:t>
      </w:r>
      <w:r>
        <w:rPr>
          <w:rStyle w:val="eop"/>
          <w:rFonts w:ascii="Calibri" w:hAnsi="Calibri" w:cs="Calibri"/>
          <w:color w:val="000000"/>
        </w:rPr>
        <w:t> </w:t>
      </w:r>
    </w:p>
    <w:p w14:paraId="529D4366" w14:textId="6E02F114" w:rsidR="00D94215" w:rsidRDefault="00D94215" w:rsidP="00D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ab/>
        <w:t xml:space="preserve">It is highlighted by </w:t>
      </w:r>
      <w:proofErr w:type="spellStart"/>
      <w:r>
        <w:rPr>
          <w:rStyle w:val="normaltextrun"/>
          <w:rFonts w:ascii="Calibri" w:hAnsi="Calibri" w:cs="Calibri"/>
          <w:color w:val="000000"/>
        </w:rPr>
        <w:t>Harfield</w:t>
      </w:r>
      <w:proofErr w:type="spellEnd"/>
      <w:r>
        <w:rPr>
          <w:rStyle w:val="normaltextrun"/>
          <w:rFonts w:ascii="Calibri" w:hAnsi="Calibri" w:cs="Calibri"/>
          <w:color w:val="000000"/>
        </w:rPr>
        <w:t xml:space="preserve">, (2013) that the most important aspect of policing is ensuring that the public are protected. This includes individuals in general and most importantly vulnerable individuals. This should be done by risk assessments and the evaluation of performances to improve the satisfaction by working with multi-agency partnership. This is enabled by the National Intelligence Model which evaluates and gathers information for police forces. On the other hand, the Pilkington case shows an example of when the police force was not effective with working with other partnership agencies. It was found that Leicestershire County council were un-successful with helping Fiona Pilkington's family. The reason for this is that the council and the police force did not make a referral from a professional for an assessment of Pilkington's state of mind. </w:t>
      </w:r>
      <w:r>
        <w:rPr>
          <w:rStyle w:val="eop"/>
          <w:rFonts w:ascii="Calibri" w:hAnsi="Calibri" w:cs="Calibri"/>
          <w:color w:val="000000"/>
        </w:rPr>
        <w:t> </w:t>
      </w:r>
    </w:p>
    <w:p w14:paraId="762F7FBC" w14:textId="77777777" w:rsidR="00D94215" w:rsidRDefault="00D94215" w:rsidP="00D94215">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color w:val="000000"/>
        </w:rPr>
        <w:t xml:space="preserve">For the reason that cases such as the Pilkington case has affected the current and future trust between local communities and the police it is essential that police forces across the United Kingdom put procedures in its place. </w:t>
      </w:r>
      <w:proofErr w:type="spellStart"/>
      <w:r>
        <w:rPr>
          <w:rStyle w:val="normaltextrun"/>
          <w:rFonts w:ascii="Calibri" w:hAnsi="Calibri" w:cs="Calibri"/>
          <w:color w:val="000000"/>
        </w:rPr>
        <w:t>Hevi</w:t>
      </w:r>
      <w:proofErr w:type="spellEnd"/>
      <w:r>
        <w:rPr>
          <w:rStyle w:val="normaltextrun"/>
          <w:rFonts w:ascii="Calibri" w:hAnsi="Calibri" w:cs="Calibri"/>
          <w:color w:val="000000"/>
        </w:rPr>
        <w:t xml:space="preserve">, et al., (2022) highlights the importance of community policing to gain the public’s trust. The reasoning for this is the individuals within the local community living with concern therefore, the rate of crimes increases as a result of lack of police engagement. A positive effect from the police forces to gain the public's trust is to make communities aware of the implementations of the shared goals making individuals feel more at ease. An example of how the police force should ensure trust between local communities. Muller, et al., (2022) reinforces this by stating that community engagement is a key deterrence for one of the main factors behind why anti-social incidents happen within local communities. By the police force engaging with the local community by attending community centres and becoming familiar with local business owners this will result in a level of trust between them and the police. Therefore, regular interactions with individuals within the community will start to highlight the issues as a result of sharing current concerns. </w:t>
      </w:r>
      <w:r>
        <w:rPr>
          <w:rStyle w:val="eop"/>
          <w:rFonts w:ascii="Calibri" w:hAnsi="Calibri" w:cs="Calibri"/>
          <w:color w:val="000000"/>
        </w:rPr>
        <w:t> </w:t>
      </w:r>
    </w:p>
    <w:p w14:paraId="17444DC7" w14:textId="77777777" w:rsidR="00D94215" w:rsidRDefault="00D94215" w:rsidP="00D94215">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color w:val="000000"/>
        </w:rPr>
        <w:t xml:space="preserve">An example of preventing and responding to crime in anti-social behaviour in communities effectively is introducing early interventions. This is reinforced by </w:t>
      </w:r>
      <w:proofErr w:type="spellStart"/>
      <w:r>
        <w:rPr>
          <w:rStyle w:val="normaltextrun"/>
          <w:rFonts w:ascii="Calibri" w:hAnsi="Calibri" w:cs="Calibri"/>
          <w:color w:val="000000"/>
        </w:rPr>
        <w:t>Maccarthy</w:t>
      </w:r>
      <w:proofErr w:type="spellEnd"/>
      <w:r>
        <w:rPr>
          <w:rStyle w:val="normaltextrun"/>
          <w:rFonts w:ascii="Calibri" w:hAnsi="Calibri" w:cs="Calibri"/>
          <w:color w:val="000000"/>
        </w:rPr>
        <w:t>, (2011) by stating that early intervention projects are used by professionals to identify early on signs of anti-social behaviour within local communities. This is an effective form of engaging with the victims to the crime to tailor their needs to the support that may be given. As a result, to a main cause of anti-social behaviour being linked to criminalization of the working class this allows early interventions to be put in place to act as a deterrence. An example of this is to work closely to community centres, partnership plans along with any action plans that may be put in place. By doing these procedures they are able to be put in place to reduce anti-social behaviour such as powers being given to housing landlords for dealing with tenants that act in a disorderly manner. To reinforce this Stone, (2006) states that a crucial part of preventing crime is investigating into the current issues connected to crime. By doing this the police force are able to enforce and implement strategies as a form of responding to the crime. An effective form of enforcement was in Manchester 391 individuals were given ASBO’s out of 1045 in the United Kingdom that showed that there was a positive action coming from these for a large amount to be given to individuals.</w:t>
      </w:r>
      <w:r>
        <w:rPr>
          <w:rStyle w:val="eop"/>
          <w:rFonts w:ascii="Calibri" w:hAnsi="Calibri" w:cs="Calibri"/>
          <w:color w:val="000000"/>
        </w:rPr>
        <w:t> </w:t>
      </w:r>
    </w:p>
    <w:p w14:paraId="32689626" w14:textId="77777777" w:rsidR="00D94215" w:rsidRDefault="00D94215" w:rsidP="00D94215">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color w:val="000000"/>
        </w:rPr>
        <w:t xml:space="preserve">To conclude, after examining how anti-social behaviour affects local communities it is highlighted that there is a massive impact on the lives of victims and individuals within the communities. The case of Pilkington showed to have a major impact on the trust between the police force and organisations and individuals within the community. Therefore, </w:t>
      </w:r>
      <w:r>
        <w:rPr>
          <w:rStyle w:val="normaltextrun"/>
          <w:rFonts w:ascii="Calibri" w:hAnsi="Calibri" w:cs="Calibri"/>
          <w:color w:val="000000"/>
        </w:rPr>
        <w:lastRenderedPageBreak/>
        <w:t>examining the procedures the police forces now take after the Pilkington case shows a positive effect.</w:t>
      </w:r>
      <w:r>
        <w:rPr>
          <w:rStyle w:val="eop"/>
          <w:rFonts w:ascii="Calibri" w:hAnsi="Calibri" w:cs="Calibri"/>
          <w:color w:val="000000"/>
        </w:rPr>
        <w:t> </w:t>
      </w:r>
    </w:p>
    <w:p w14:paraId="257CE724" w14:textId="7154F4E3" w:rsidR="008E23FD" w:rsidRDefault="008E23FD" w:rsidP="00D94215">
      <w:pPr>
        <w:ind w:right="243"/>
        <w:rPr>
          <w:rFonts w:asciiTheme="minorHAnsi" w:hAnsiTheme="minorHAnsi" w:cstheme="minorHAnsi"/>
          <w:noProof/>
          <w:color w:val="000000"/>
          <w:spacing w:val="3"/>
          <w:sz w:val="24"/>
          <w:szCs w:val="24"/>
        </w:rPr>
      </w:pPr>
    </w:p>
    <w:p w14:paraId="21AFCFEE" w14:textId="77777777" w:rsidR="008E23FD" w:rsidRDefault="008E23FD" w:rsidP="00F16096">
      <w:pPr>
        <w:ind w:right="243"/>
        <w:rPr>
          <w:rFonts w:asciiTheme="minorHAnsi" w:hAnsiTheme="minorHAnsi" w:cstheme="minorHAnsi"/>
          <w:noProof/>
          <w:color w:val="000000"/>
          <w:spacing w:val="3"/>
          <w:sz w:val="24"/>
          <w:szCs w:val="24"/>
        </w:rPr>
      </w:pPr>
    </w:p>
    <w:p w14:paraId="5A309010" w14:textId="75DA8CF8" w:rsidR="008E23FD" w:rsidRDefault="00996D5D" w:rsidP="00F16096">
      <w:pPr>
        <w:ind w:right="243"/>
        <w:rPr>
          <w:rFonts w:asciiTheme="minorHAnsi" w:hAnsiTheme="minorHAnsi" w:cstheme="minorHAnsi"/>
          <w:noProof/>
          <w:color w:val="000000"/>
          <w:spacing w:val="3"/>
          <w:sz w:val="24"/>
          <w:szCs w:val="24"/>
        </w:rPr>
      </w:pPr>
      <w:r>
        <w:rPr>
          <w:rFonts w:asciiTheme="minorHAnsi" w:hAnsiTheme="minorHAnsi" w:cstheme="minorHAnsi"/>
          <w:noProof/>
          <w:color w:val="000000"/>
          <w:spacing w:val="3"/>
          <w:sz w:val="24"/>
          <w:szCs w:val="24"/>
        </w:rPr>
        <w:t>Word count=26</w:t>
      </w:r>
      <w:r w:rsidR="00D94215">
        <w:rPr>
          <w:rFonts w:asciiTheme="minorHAnsi" w:hAnsiTheme="minorHAnsi" w:cstheme="minorHAnsi"/>
          <w:noProof/>
          <w:color w:val="000000"/>
          <w:spacing w:val="3"/>
          <w:sz w:val="24"/>
          <w:szCs w:val="24"/>
        </w:rPr>
        <w:t>02</w:t>
      </w:r>
    </w:p>
    <w:p w14:paraId="4D910CD7" w14:textId="77777777" w:rsidR="00996D5D" w:rsidRDefault="00996D5D" w:rsidP="00F16096">
      <w:pPr>
        <w:ind w:right="243"/>
        <w:rPr>
          <w:rFonts w:asciiTheme="minorHAnsi" w:hAnsiTheme="minorHAnsi" w:cstheme="minorHAnsi"/>
          <w:noProof/>
          <w:color w:val="000000"/>
          <w:spacing w:val="3"/>
          <w:sz w:val="24"/>
          <w:szCs w:val="24"/>
        </w:rPr>
      </w:pPr>
    </w:p>
    <w:p w14:paraId="34C4BD88" w14:textId="77777777" w:rsidR="00996D5D" w:rsidRDefault="00996D5D" w:rsidP="00996D5D">
      <w:pPr>
        <w:rPr>
          <w:rFonts w:asciiTheme="minorHAnsi" w:hAnsiTheme="minorHAnsi" w:cstheme="minorHAnsi"/>
          <w:b/>
          <w:bCs/>
          <w:sz w:val="24"/>
          <w:szCs w:val="24"/>
          <w:u w:val="single"/>
        </w:rPr>
      </w:pPr>
      <w:r w:rsidRPr="00996D5D">
        <w:rPr>
          <w:rFonts w:asciiTheme="minorHAnsi" w:hAnsiTheme="minorHAnsi" w:cstheme="minorHAnsi"/>
          <w:b/>
          <w:bCs/>
          <w:sz w:val="24"/>
          <w:szCs w:val="24"/>
          <w:u w:val="single"/>
        </w:rPr>
        <w:t>Reference list:</w:t>
      </w:r>
    </w:p>
    <w:p w14:paraId="1291FC0F" w14:textId="77777777" w:rsidR="00996D5D" w:rsidRPr="00996D5D" w:rsidRDefault="00996D5D" w:rsidP="00996D5D">
      <w:pPr>
        <w:rPr>
          <w:rFonts w:asciiTheme="minorHAnsi" w:hAnsiTheme="minorHAnsi" w:cstheme="minorHAnsi"/>
          <w:b/>
          <w:bCs/>
          <w:sz w:val="24"/>
          <w:szCs w:val="24"/>
          <w:u w:val="single"/>
        </w:rPr>
      </w:pPr>
    </w:p>
    <w:p w14:paraId="3130B60C" w14:textId="77777777" w:rsidR="00996D5D" w:rsidRPr="00F16096" w:rsidRDefault="00996D5D" w:rsidP="00F16096">
      <w:pPr>
        <w:ind w:right="243"/>
        <w:rPr>
          <w:rFonts w:asciiTheme="minorHAnsi" w:hAnsiTheme="minorHAnsi" w:cstheme="minorHAnsi"/>
          <w:noProof/>
          <w:color w:val="000000"/>
          <w:spacing w:val="3"/>
          <w:sz w:val="24"/>
          <w:szCs w:val="24"/>
        </w:rPr>
      </w:pPr>
    </w:p>
    <w:sdt>
      <w:sdtPr>
        <w:rPr>
          <w:rFonts w:ascii="Times New Roman" w:eastAsia="Times New Roman" w:hAnsi="Times New Roman" w:cs="Times New Roman"/>
          <w:b w:val="0"/>
          <w:bCs w:val="0"/>
          <w:color w:val="auto"/>
          <w:sz w:val="20"/>
          <w:szCs w:val="20"/>
          <w:lang w:val="en-GB" w:eastAsia="en-GB" w:bidi="ar-SA"/>
        </w:rPr>
        <w:id w:val="-553540234"/>
        <w:docPartObj>
          <w:docPartGallery w:val="Bibliographies"/>
          <w:docPartUnique/>
        </w:docPartObj>
      </w:sdtPr>
      <w:sdtEndPr>
        <w:rPr>
          <w:rFonts w:asciiTheme="minorHAnsi" w:hAnsiTheme="minorHAnsi" w:cstheme="minorHAnsi"/>
          <w:sz w:val="24"/>
          <w:szCs w:val="24"/>
        </w:rPr>
      </w:sdtEndPr>
      <w:sdtContent>
        <w:p w14:paraId="2AE927B2" w14:textId="4D4898D7" w:rsidR="00996D5D" w:rsidRDefault="00996D5D">
          <w:pPr>
            <w:pStyle w:val="Heading1"/>
          </w:pPr>
        </w:p>
        <w:sdt>
          <w:sdtPr>
            <w:id w:val="111145805"/>
            <w:bibliography/>
          </w:sdtPr>
          <w:sdtEndPr>
            <w:rPr>
              <w:rFonts w:asciiTheme="minorHAnsi" w:hAnsiTheme="minorHAnsi" w:cstheme="minorHAnsi"/>
              <w:sz w:val="24"/>
              <w:szCs w:val="24"/>
            </w:rPr>
          </w:sdtEndPr>
          <w:sdtContent>
            <w:p w14:paraId="6AF5768A"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sz w:val="24"/>
                  <w:szCs w:val="24"/>
                </w:rPr>
                <w:fldChar w:fldCharType="begin"/>
              </w:r>
              <w:r w:rsidRPr="00996D5D">
                <w:rPr>
                  <w:rFonts w:asciiTheme="minorHAnsi" w:hAnsiTheme="minorHAnsi" w:cstheme="minorHAnsi"/>
                  <w:sz w:val="24"/>
                  <w:szCs w:val="24"/>
                </w:rPr>
                <w:instrText xml:space="preserve"> BIBLIOGRAPHY </w:instrText>
              </w:r>
              <w:r w:rsidRPr="00996D5D">
                <w:rPr>
                  <w:rFonts w:asciiTheme="minorHAnsi" w:hAnsiTheme="minorHAnsi" w:cstheme="minorHAnsi"/>
                  <w:sz w:val="24"/>
                  <w:szCs w:val="24"/>
                </w:rPr>
                <w:fldChar w:fldCharType="separate"/>
              </w:r>
              <w:r w:rsidRPr="00996D5D">
                <w:rPr>
                  <w:rFonts w:asciiTheme="minorHAnsi" w:hAnsiTheme="minorHAnsi" w:cstheme="minorHAnsi"/>
                  <w:noProof/>
                  <w:sz w:val="24"/>
                  <w:szCs w:val="24"/>
                  <w:lang w:val="en-US"/>
                </w:rPr>
                <w:t xml:space="preserve">Bavington, S., 2021. Exploring the Impact of Anti-Social Behaviour, Drug-Related Crime and County Lines on Local Communities: A Qualitative Inquiry. </w:t>
              </w:r>
              <w:r w:rsidRPr="00996D5D">
                <w:rPr>
                  <w:rFonts w:asciiTheme="minorHAnsi" w:hAnsiTheme="minorHAnsi" w:cstheme="minorHAnsi"/>
                  <w:i/>
                  <w:iCs/>
                  <w:noProof/>
                  <w:sz w:val="24"/>
                  <w:szCs w:val="24"/>
                  <w:lang w:val="en-US"/>
                </w:rPr>
                <w:t xml:space="preserve">The journal of applied business and economics, </w:t>
              </w:r>
              <w:r w:rsidRPr="00996D5D">
                <w:rPr>
                  <w:rFonts w:asciiTheme="minorHAnsi" w:hAnsiTheme="minorHAnsi" w:cstheme="minorHAnsi"/>
                  <w:noProof/>
                  <w:sz w:val="24"/>
                  <w:szCs w:val="24"/>
                  <w:lang w:val="en-US"/>
                </w:rPr>
                <w:t>23(1), pp. 130-143.</w:t>
              </w:r>
            </w:p>
            <w:p w14:paraId="18D74950" w14:textId="77777777" w:rsidR="00996D5D" w:rsidRPr="00996D5D" w:rsidRDefault="00996D5D" w:rsidP="00996D5D">
              <w:pPr>
                <w:rPr>
                  <w:lang w:val="en-US"/>
                </w:rPr>
              </w:pPr>
            </w:p>
            <w:p w14:paraId="65D17E3F"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Brown, D. M., 2013. Young People, Anti-social Behaviour and Public Space: The Role of Community Wardens in Policing the 'ASBO Generation'. </w:t>
              </w:r>
              <w:r w:rsidRPr="00996D5D">
                <w:rPr>
                  <w:rFonts w:asciiTheme="minorHAnsi" w:hAnsiTheme="minorHAnsi" w:cstheme="minorHAnsi"/>
                  <w:i/>
                  <w:iCs/>
                  <w:noProof/>
                  <w:sz w:val="24"/>
                  <w:szCs w:val="24"/>
                  <w:lang w:val="en-US"/>
                </w:rPr>
                <w:t xml:space="preserve">Urban studies, </w:t>
              </w:r>
              <w:r w:rsidRPr="00996D5D">
                <w:rPr>
                  <w:rFonts w:asciiTheme="minorHAnsi" w:hAnsiTheme="minorHAnsi" w:cstheme="minorHAnsi"/>
                  <w:noProof/>
                  <w:sz w:val="24"/>
                  <w:szCs w:val="24"/>
                  <w:lang w:val="en-US"/>
                </w:rPr>
                <w:t>50(3), pp. 538-555.</w:t>
              </w:r>
            </w:p>
            <w:p w14:paraId="0996593C" w14:textId="77777777" w:rsidR="00996D5D" w:rsidRPr="00996D5D" w:rsidRDefault="00996D5D" w:rsidP="00996D5D">
              <w:pPr>
                <w:rPr>
                  <w:lang w:val="en-US"/>
                </w:rPr>
              </w:pPr>
            </w:p>
            <w:p w14:paraId="30E5294E"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Brown, R. &amp; Evans , E., 2014. Determinants of complaint satisfaction with agency responses to anti-social behaviour. </w:t>
              </w:r>
              <w:r w:rsidRPr="00996D5D">
                <w:rPr>
                  <w:rFonts w:asciiTheme="minorHAnsi" w:hAnsiTheme="minorHAnsi" w:cstheme="minorHAnsi"/>
                  <w:i/>
                  <w:iCs/>
                  <w:noProof/>
                  <w:sz w:val="24"/>
                  <w:szCs w:val="24"/>
                  <w:lang w:val="en-US"/>
                </w:rPr>
                <w:t xml:space="preserve">Palgrave Macmillan UK; Crime prevention and community safety, </w:t>
              </w:r>
              <w:r w:rsidRPr="00996D5D">
                <w:rPr>
                  <w:rFonts w:asciiTheme="minorHAnsi" w:hAnsiTheme="minorHAnsi" w:cstheme="minorHAnsi"/>
                  <w:noProof/>
                  <w:sz w:val="24"/>
                  <w:szCs w:val="24"/>
                  <w:lang w:val="en-US"/>
                </w:rPr>
                <w:t>16(2), pp. 105-127.</w:t>
              </w:r>
            </w:p>
            <w:p w14:paraId="18ABF558" w14:textId="77777777" w:rsidR="00996D5D" w:rsidRPr="00996D5D" w:rsidRDefault="00996D5D" w:rsidP="00996D5D">
              <w:pPr>
                <w:rPr>
                  <w:lang w:val="en-US"/>
                </w:rPr>
              </w:pPr>
            </w:p>
            <w:p w14:paraId="626E56D2"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College of Policing, 2023. </w:t>
              </w:r>
              <w:r w:rsidRPr="00996D5D">
                <w:rPr>
                  <w:rFonts w:asciiTheme="minorHAnsi" w:hAnsiTheme="minorHAnsi" w:cstheme="minorHAnsi"/>
                  <w:i/>
                  <w:iCs/>
                  <w:noProof/>
                  <w:sz w:val="24"/>
                  <w:szCs w:val="24"/>
                  <w:lang w:val="en-US"/>
                </w:rPr>
                <w:t xml:space="preserve">Anti-social behaviour. </w:t>
              </w:r>
              <w:r w:rsidRPr="00996D5D">
                <w:rPr>
                  <w:rFonts w:asciiTheme="minorHAnsi" w:hAnsiTheme="minorHAnsi" w:cstheme="minorHAnsi"/>
                  <w:noProof/>
                  <w:sz w:val="24"/>
                  <w:szCs w:val="24"/>
                  <w:lang w:val="en-US"/>
                </w:rPr>
                <w:t xml:space="preserve">[Online] </w:t>
              </w:r>
              <w:r w:rsidRPr="00996D5D">
                <w:rPr>
                  <w:rFonts w:asciiTheme="minorHAnsi" w:hAnsiTheme="minorHAnsi" w:cstheme="minorHAnsi"/>
                  <w:noProof/>
                  <w:sz w:val="24"/>
                  <w:szCs w:val="24"/>
                  <w:lang w:val="en-US"/>
                </w:rPr>
                <w:br/>
                <w:t xml:space="preserve">Available at: </w:t>
              </w:r>
              <w:r w:rsidRPr="00996D5D">
                <w:rPr>
                  <w:rFonts w:asciiTheme="minorHAnsi" w:hAnsiTheme="minorHAnsi" w:cstheme="minorHAnsi"/>
                  <w:noProof/>
                  <w:sz w:val="24"/>
                  <w:szCs w:val="24"/>
                  <w:u w:val="single"/>
                  <w:lang w:val="en-US"/>
                </w:rPr>
                <w:t>https://www.college.police.uk/anti-social-behaviour</w:t>
              </w:r>
              <w:r w:rsidRPr="00996D5D">
                <w:rPr>
                  <w:rFonts w:asciiTheme="minorHAnsi" w:hAnsiTheme="minorHAnsi" w:cstheme="minorHAnsi"/>
                  <w:noProof/>
                  <w:sz w:val="24"/>
                  <w:szCs w:val="24"/>
                  <w:lang w:val="en-US"/>
                </w:rPr>
                <w:br/>
                <w:t>[Accessed 16 October 2023].</w:t>
              </w:r>
            </w:p>
            <w:p w14:paraId="6C3AD722" w14:textId="77777777" w:rsidR="00996D5D" w:rsidRPr="00996D5D" w:rsidRDefault="00996D5D" w:rsidP="00996D5D">
              <w:pPr>
                <w:rPr>
                  <w:lang w:val="en-US"/>
                </w:rPr>
              </w:pPr>
            </w:p>
            <w:p w14:paraId="3E05AD0D"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Corsaro, N., Brunson, R. K. &amp; Gau, J. M., 2014. Revisiting broken windows theory: A test of the mediation imppact of social mechanisms on the disorder-fear relationship. </w:t>
              </w:r>
              <w:r w:rsidRPr="00996D5D">
                <w:rPr>
                  <w:rFonts w:asciiTheme="minorHAnsi" w:hAnsiTheme="minorHAnsi" w:cstheme="minorHAnsi"/>
                  <w:i/>
                  <w:iCs/>
                  <w:noProof/>
                  <w:sz w:val="24"/>
                  <w:szCs w:val="24"/>
                  <w:lang w:val="en-US"/>
                </w:rPr>
                <w:t xml:space="preserve">Journal of criminal justice, </w:t>
              </w:r>
              <w:r w:rsidRPr="00996D5D">
                <w:rPr>
                  <w:rFonts w:asciiTheme="minorHAnsi" w:hAnsiTheme="minorHAnsi" w:cstheme="minorHAnsi"/>
                  <w:noProof/>
                  <w:sz w:val="24"/>
                  <w:szCs w:val="24"/>
                  <w:lang w:val="en-US"/>
                </w:rPr>
                <w:t>42(6), pp. 579-588.</w:t>
              </w:r>
            </w:p>
            <w:p w14:paraId="6F2ADA45" w14:textId="77777777" w:rsidR="00996D5D" w:rsidRPr="00996D5D" w:rsidRDefault="00996D5D" w:rsidP="00996D5D">
              <w:pPr>
                <w:rPr>
                  <w:lang w:val="en-US"/>
                </w:rPr>
              </w:pPr>
            </w:p>
            <w:p w14:paraId="7ACCA1BD"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Donoghue, J., 2013. Reflection on risk, Anti-Social Behaviour and vulnerable/repeat victims.. </w:t>
              </w:r>
              <w:r w:rsidRPr="00996D5D">
                <w:rPr>
                  <w:rFonts w:asciiTheme="minorHAnsi" w:hAnsiTheme="minorHAnsi" w:cstheme="minorHAnsi"/>
                  <w:i/>
                  <w:iCs/>
                  <w:noProof/>
                  <w:sz w:val="24"/>
                  <w:szCs w:val="24"/>
                  <w:lang w:val="en-US"/>
                </w:rPr>
                <w:t xml:space="preserve">British journal of criminology, </w:t>
              </w:r>
              <w:r w:rsidRPr="00996D5D">
                <w:rPr>
                  <w:rFonts w:asciiTheme="minorHAnsi" w:hAnsiTheme="minorHAnsi" w:cstheme="minorHAnsi"/>
                  <w:noProof/>
                  <w:sz w:val="24"/>
                  <w:szCs w:val="24"/>
                  <w:lang w:val="en-US"/>
                </w:rPr>
                <w:t>53(5), pp. 805-823.</w:t>
              </w:r>
            </w:p>
            <w:p w14:paraId="77053C92" w14:textId="77777777" w:rsidR="00996D5D" w:rsidRPr="00996D5D" w:rsidRDefault="00996D5D" w:rsidP="00996D5D">
              <w:pPr>
                <w:rPr>
                  <w:lang w:val="en-US"/>
                </w:rPr>
              </w:pPr>
            </w:p>
            <w:p w14:paraId="1765BD95"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Hansen, A. J., Alpert, P. G. &amp; Rojek, J. J., 2014. The Benefits of Police Practitioner-Researcher Partnerships to Participating Agencies. </w:t>
              </w:r>
              <w:r w:rsidRPr="00996D5D">
                <w:rPr>
                  <w:rFonts w:asciiTheme="minorHAnsi" w:hAnsiTheme="minorHAnsi" w:cstheme="minorHAnsi"/>
                  <w:i/>
                  <w:iCs/>
                  <w:noProof/>
                  <w:sz w:val="24"/>
                  <w:szCs w:val="24"/>
                  <w:lang w:val="en-US"/>
                </w:rPr>
                <w:t xml:space="preserve">Policing:a journal of policy and practice, </w:t>
              </w:r>
              <w:r w:rsidRPr="00996D5D">
                <w:rPr>
                  <w:rFonts w:asciiTheme="minorHAnsi" w:hAnsiTheme="minorHAnsi" w:cstheme="minorHAnsi"/>
                  <w:noProof/>
                  <w:sz w:val="24"/>
                  <w:szCs w:val="24"/>
                  <w:lang w:val="en-US"/>
                </w:rPr>
                <w:t>8(4), pp. 307-320.</w:t>
              </w:r>
            </w:p>
            <w:p w14:paraId="39508CAE" w14:textId="77777777" w:rsidR="00996D5D" w:rsidRPr="00996D5D" w:rsidRDefault="00996D5D" w:rsidP="00996D5D">
              <w:pPr>
                <w:rPr>
                  <w:lang w:val="en-US"/>
                </w:rPr>
              </w:pPr>
            </w:p>
            <w:p w14:paraId="3526C297"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Harfield, D. C., 2013. </w:t>
              </w:r>
              <w:r w:rsidRPr="00996D5D">
                <w:rPr>
                  <w:rFonts w:asciiTheme="minorHAnsi" w:hAnsiTheme="minorHAnsi" w:cstheme="minorHAnsi"/>
                  <w:i/>
                  <w:iCs/>
                  <w:noProof/>
                  <w:sz w:val="24"/>
                  <w:szCs w:val="24"/>
                  <w:lang w:val="en-US"/>
                </w:rPr>
                <w:t xml:space="preserve">Blackstone's police operational handbook: practice and procedure. </w:t>
              </w:r>
              <w:r w:rsidRPr="00996D5D">
                <w:rPr>
                  <w:rFonts w:asciiTheme="minorHAnsi" w:hAnsiTheme="minorHAnsi" w:cstheme="minorHAnsi"/>
                  <w:noProof/>
                  <w:sz w:val="24"/>
                  <w:szCs w:val="24"/>
                  <w:lang w:val="en-US"/>
                </w:rPr>
                <w:t>2nd Edition ed. Oxford: Oxford University Press.</w:t>
              </w:r>
            </w:p>
            <w:p w14:paraId="2BDDDF2E" w14:textId="77777777" w:rsidR="00996D5D" w:rsidRPr="00996D5D" w:rsidRDefault="00996D5D" w:rsidP="00996D5D">
              <w:pPr>
                <w:rPr>
                  <w:lang w:val="en-US"/>
                </w:rPr>
              </w:pPr>
            </w:p>
            <w:p w14:paraId="2B03DCF2"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Heap, V., 2018. </w:t>
              </w:r>
              <w:r w:rsidRPr="00996D5D">
                <w:rPr>
                  <w:rFonts w:asciiTheme="minorHAnsi" w:hAnsiTheme="minorHAnsi" w:cstheme="minorHAnsi"/>
                  <w:i/>
                  <w:iCs/>
                  <w:noProof/>
                  <w:sz w:val="24"/>
                  <w:szCs w:val="24"/>
                  <w:lang w:val="en-US"/>
                </w:rPr>
                <w:t xml:space="preserve">Conceptualising victims of anti-social behaviour is far from 'ideal'. </w:t>
              </w:r>
              <w:r w:rsidRPr="00996D5D">
                <w:rPr>
                  <w:rFonts w:asciiTheme="minorHAnsi" w:hAnsiTheme="minorHAnsi" w:cstheme="minorHAnsi"/>
                  <w:noProof/>
                  <w:sz w:val="24"/>
                  <w:szCs w:val="24"/>
                  <w:lang w:val="en-US"/>
                </w:rPr>
                <w:t>1st Edition ed. Bristol: Policy Press.</w:t>
              </w:r>
            </w:p>
            <w:p w14:paraId="7C7C10DF" w14:textId="77777777" w:rsidR="00996D5D" w:rsidRPr="00996D5D" w:rsidRDefault="00996D5D" w:rsidP="00996D5D">
              <w:pPr>
                <w:rPr>
                  <w:lang w:val="en-US"/>
                </w:rPr>
              </w:pPr>
            </w:p>
            <w:p w14:paraId="4E3FEB55"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Heap, V., 2021. Anti-social behaviour victims' experiences of activating the 'Community Trigger'. </w:t>
              </w:r>
              <w:r w:rsidRPr="00996D5D">
                <w:rPr>
                  <w:rFonts w:asciiTheme="minorHAnsi" w:hAnsiTheme="minorHAnsi" w:cstheme="minorHAnsi"/>
                  <w:i/>
                  <w:iCs/>
                  <w:noProof/>
                  <w:sz w:val="24"/>
                  <w:szCs w:val="24"/>
                  <w:lang w:val="en-US"/>
                </w:rPr>
                <w:t xml:space="preserve">People, place &amp; policy online, </w:t>
              </w:r>
              <w:r w:rsidRPr="00996D5D">
                <w:rPr>
                  <w:rFonts w:asciiTheme="minorHAnsi" w:hAnsiTheme="minorHAnsi" w:cstheme="minorHAnsi"/>
                  <w:noProof/>
                  <w:sz w:val="24"/>
                  <w:szCs w:val="24"/>
                  <w:lang w:val="en-US"/>
                </w:rPr>
                <w:t>19(32), pp. 15-1.</w:t>
              </w:r>
            </w:p>
            <w:p w14:paraId="20802799" w14:textId="77777777" w:rsidR="00996D5D" w:rsidRPr="00996D5D" w:rsidRDefault="00996D5D" w:rsidP="00996D5D">
              <w:pPr>
                <w:rPr>
                  <w:lang w:val="en-US"/>
                </w:rPr>
              </w:pPr>
            </w:p>
            <w:p w14:paraId="0533F74C"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lastRenderedPageBreak/>
                <w:t xml:space="preserve">Hevi, S. S., Ketemepi, G. E., Dorkoo, C. &amp; Wuttor, A., 2022. Community policing experience, public trust in the police, citizens' psychological safety and community well-being. </w:t>
              </w:r>
              <w:r w:rsidRPr="00996D5D">
                <w:rPr>
                  <w:rFonts w:asciiTheme="minorHAnsi" w:hAnsiTheme="minorHAnsi" w:cstheme="minorHAnsi"/>
                  <w:i/>
                  <w:iCs/>
                  <w:noProof/>
                  <w:sz w:val="24"/>
                  <w:szCs w:val="24"/>
                  <w:lang w:val="en-US"/>
                </w:rPr>
                <w:t xml:space="preserve">Safer communities, </w:t>
              </w:r>
              <w:r w:rsidRPr="00996D5D">
                <w:rPr>
                  <w:rFonts w:asciiTheme="minorHAnsi" w:hAnsiTheme="minorHAnsi" w:cstheme="minorHAnsi"/>
                  <w:noProof/>
                  <w:sz w:val="24"/>
                  <w:szCs w:val="24"/>
                  <w:lang w:val="en-US"/>
                </w:rPr>
                <w:t>21(2), pp. 123-136.</w:t>
              </w:r>
            </w:p>
            <w:p w14:paraId="7BF9C57D" w14:textId="77777777" w:rsidR="00996D5D" w:rsidRPr="00996D5D" w:rsidRDefault="00996D5D" w:rsidP="00996D5D">
              <w:pPr>
                <w:rPr>
                  <w:lang w:val="en-US"/>
                </w:rPr>
              </w:pPr>
            </w:p>
            <w:p w14:paraId="35A2C2CD"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Hodgkinson, S. &amp; Tilley, N., 2007. Policing Anti-Social Behaviour: Constraints, Dilemmas and Opportunities. </w:t>
              </w:r>
              <w:r w:rsidRPr="00996D5D">
                <w:rPr>
                  <w:rFonts w:asciiTheme="minorHAnsi" w:hAnsiTheme="minorHAnsi" w:cstheme="minorHAnsi"/>
                  <w:i/>
                  <w:iCs/>
                  <w:noProof/>
                  <w:sz w:val="24"/>
                  <w:szCs w:val="24"/>
                  <w:lang w:val="en-US"/>
                </w:rPr>
                <w:t xml:space="preserve">The Howard journal of criminal justice, </w:t>
              </w:r>
              <w:r w:rsidRPr="00996D5D">
                <w:rPr>
                  <w:rFonts w:asciiTheme="minorHAnsi" w:hAnsiTheme="minorHAnsi" w:cstheme="minorHAnsi"/>
                  <w:noProof/>
                  <w:sz w:val="24"/>
                  <w:szCs w:val="24"/>
                  <w:lang w:val="en-US"/>
                </w:rPr>
                <w:t>46(4), pp. 385-400.</w:t>
              </w:r>
            </w:p>
            <w:p w14:paraId="61FA4BCD" w14:textId="77777777" w:rsidR="00996D5D" w:rsidRPr="00996D5D" w:rsidRDefault="00996D5D" w:rsidP="00996D5D">
              <w:pPr>
                <w:rPr>
                  <w:lang w:val="en-US"/>
                </w:rPr>
              </w:pPr>
            </w:p>
            <w:p w14:paraId="4018020C"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Hopkins-Burke, R. &amp; Hodgson, P., 2015. Anti-social behaviour, community and radical moral communitarianism. </w:t>
              </w:r>
              <w:r w:rsidRPr="00996D5D">
                <w:rPr>
                  <w:rFonts w:asciiTheme="minorHAnsi" w:hAnsiTheme="minorHAnsi" w:cstheme="minorHAnsi"/>
                  <w:i/>
                  <w:iCs/>
                  <w:noProof/>
                  <w:sz w:val="24"/>
                  <w:szCs w:val="24"/>
                  <w:lang w:val="en-US"/>
                </w:rPr>
                <w:t xml:space="preserve">Cogent social sciences, </w:t>
              </w:r>
              <w:r w:rsidRPr="00996D5D">
                <w:rPr>
                  <w:rFonts w:asciiTheme="minorHAnsi" w:hAnsiTheme="minorHAnsi" w:cstheme="minorHAnsi"/>
                  <w:noProof/>
                  <w:sz w:val="24"/>
                  <w:szCs w:val="24"/>
                  <w:lang w:val="en-US"/>
                </w:rPr>
                <w:t>1(1), pp. 1-13.</w:t>
              </w:r>
            </w:p>
            <w:p w14:paraId="1F290878" w14:textId="77777777" w:rsidR="00996D5D" w:rsidRPr="00996D5D" w:rsidRDefault="00996D5D" w:rsidP="00996D5D">
              <w:pPr>
                <w:rPr>
                  <w:lang w:val="en-US"/>
                </w:rPr>
              </w:pPr>
            </w:p>
            <w:p w14:paraId="74135C73"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Innes, M., 2004. Signal crimes and signal disorders: notes on deviance as communicative action. </w:t>
              </w:r>
              <w:r w:rsidRPr="00996D5D">
                <w:rPr>
                  <w:rFonts w:asciiTheme="minorHAnsi" w:hAnsiTheme="minorHAnsi" w:cstheme="minorHAnsi"/>
                  <w:i/>
                  <w:iCs/>
                  <w:noProof/>
                  <w:sz w:val="24"/>
                  <w:szCs w:val="24"/>
                  <w:lang w:val="en-US"/>
                </w:rPr>
                <w:t xml:space="preserve">The British journal of sociology, </w:t>
              </w:r>
              <w:r w:rsidRPr="00996D5D">
                <w:rPr>
                  <w:rFonts w:asciiTheme="minorHAnsi" w:hAnsiTheme="minorHAnsi" w:cstheme="minorHAnsi"/>
                  <w:noProof/>
                  <w:sz w:val="24"/>
                  <w:szCs w:val="24"/>
                  <w:lang w:val="en-US"/>
                </w:rPr>
                <w:t>55(3), pp. 335-355.</w:t>
              </w:r>
            </w:p>
            <w:p w14:paraId="3D348060" w14:textId="77777777" w:rsidR="00996D5D" w:rsidRPr="00996D5D" w:rsidRDefault="00996D5D" w:rsidP="00996D5D">
              <w:pPr>
                <w:rPr>
                  <w:lang w:val="en-US"/>
                </w:rPr>
              </w:pPr>
            </w:p>
            <w:p w14:paraId="25CE9CAB"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Krayer, A., Robinson, C. A. &amp; Poole, R., 2018. Exploration of joint working practices on anti-social bbehaviour between criminal justice, mental health and social care agencies: A qualitative study. </w:t>
              </w:r>
              <w:r w:rsidRPr="00996D5D">
                <w:rPr>
                  <w:rFonts w:asciiTheme="minorHAnsi" w:hAnsiTheme="minorHAnsi" w:cstheme="minorHAnsi"/>
                  <w:i/>
                  <w:iCs/>
                  <w:noProof/>
                  <w:sz w:val="24"/>
                  <w:szCs w:val="24"/>
                  <w:lang w:val="en-US"/>
                </w:rPr>
                <w:t xml:space="preserve">Health &amp; social care in the community, </w:t>
              </w:r>
              <w:r w:rsidRPr="00996D5D">
                <w:rPr>
                  <w:rFonts w:asciiTheme="minorHAnsi" w:hAnsiTheme="minorHAnsi" w:cstheme="minorHAnsi"/>
                  <w:noProof/>
                  <w:sz w:val="24"/>
                  <w:szCs w:val="24"/>
                  <w:lang w:val="en-US"/>
                </w:rPr>
                <w:t>26(3), pp. 431-441.</w:t>
              </w:r>
            </w:p>
            <w:p w14:paraId="4F6B6D20" w14:textId="77777777" w:rsidR="00996D5D" w:rsidRPr="00996D5D" w:rsidRDefault="00996D5D" w:rsidP="00996D5D">
              <w:pPr>
                <w:rPr>
                  <w:lang w:val="en-US"/>
                </w:rPr>
              </w:pPr>
            </w:p>
            <w:p w14:paraId="025D0D63"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Maccarthy, D. J., 2011. Classing early intervention: Social class, occupational moralities and criminalization. </w:t>
              </w:r>
              <w:r w:rsidRPr="00996D5D">
                <w:rPr>
                  <w:rFonts w:asciiTheme="minorHAnsi" w:hAnsiTheme="minorHAnsi" w:cstheme="minorHAnsi"/>
                  <w:i/>
                  <w:iCs/>
                  <w:noProof/>
                  <w:sz w:val="24"/>
                  <w:szCs w:val="24"/>
                  <w:lang w:val="en-US"/>
                </w:rPr>
                <w:t xml:space="preserve">Critical social policy, </w:t>
              </w:r>
              <w:r w:rsidRPr="00996D5D">
                <w:rPr>
                  <w:rFonts w:asciiTheme="minorHAnsi" w:hAnsiTheme="minorHAnsi" w:cstheme="minorHAnsi"/>
                  <w:noProof/>
                  <w:sz w:val="24"/>
                  <w:szCs w:val="24"/>
                  <w:lang w:val="en-US"/>
                </w:rPr>
                <w:t>31(4), pp. 495-516.</w:t>
              </w:r>
            </w:p>
            <w:p w14:paraId="0F7AAE84" w14:textId="77777777" w:rsidR="00996D5D" w:rsidRPr="00996D5D" w:rsidRDefault="00996D5D" w:rsidP="00996D5D">
              <w:pPr>
                <w:rPr>
                  <w:lang w:val="en-US"/>
                </w:rPr>
              </w:pPr>
            </w:p>
            <w:p w14:paraId="46D74A75"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Matthews, R., 2007. </w:t>
              </w:r>
              <w:r w:rsidRPr="00996D5D">
                <w:rPr>
                  <w:rFonts w:asciiTheme="minorHAnsi" w:hAnsiTheme="minorHAnsi" w:cstheme="minorHAnsi"/>
                  <w:i/>
                  <w:iCs/>
                  <w:noProof/>
                  <w:sz w:val="24"/>
                  <w:szCs w:val="24"/>
                  <w:lang w:val="en-US"/>
                </w:rPr>
                <w:t xml:space="preserve">Assessing the Use and Impact of Anti-Social Behaviour Orders. </w:t>
              </w:r>
              <w:r w:rsidRPr="00996D5D">
                <w:rPr>
                  <w:rFonts w:asciiTheme="minorHAnsi" w:hAnsiTheme="minorHAnsi" w:cstheme="minorHAnsi"/>
                  <w:noProof/>
                  <w:sz w:val="24"/>
                  <w:szCs w:val="24"/>
                  <w:lang w:val="en-US"/>
                </w:rPr>
                <w:t>1st Edition ed. Bristol: Policy Press.</w:t>
              </w:r>
            </w:p>
            <w:p w14:paraId="527C0B93" w14:textId="77777777" w:rsidR="00996D5D" w:rsidRPr="00996D5D" w:rsidRDefault="00996D5D" w:rsidP="00996D5D">
              <w:pPr>
                <w:rPr>
                  <w:lang w:val="en-US"/>
                </w:rPr>
              </w:pPr>
            </w:p>
            <w:p w14:paraId="4C504CE3" w14:textId="77777777" w:rsidR="00996D5D" w:rsidRP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Muller, J., Schwieren, C. &amp; Spitzer, F., 2022. How to prevent destruction- On the malleability of anti-social behavior. </w:t>
              </w:r>
              <w:r w:rsidRPr="00996D5D">
                <w:rPr>
                  <w:rFonts w:asciiTheme="minorHAnsi" w:hAnsiTheme="minorHAnsi" w:cstheme="minorHAnsi"/>
                  <w:i/>
                  <w:iCs/>
                  <w:noProof/>
                  <w:sz w:val="24"/>
                  <w:szCs w:val="24"/>
                  <w:lang w:val="en-US"/>
                </w:rPr>
                <w:t xml:space="preserve">Journal of behavioral and experimental economics, </w:t>
              </w:r>
              <w:r w:rsidRPr="00996D5D">
                <w:rPr>
                  <w:rFonts w:asciiTheme="minorHAnsi" w:hAnsiTheme="minorHAnsi" w:cstheme="minorHAnsi"/>
                  <w:noProof/>
                  <w:sz w:val="24"/>
                  <w:szCs w:val="24"/>
                  <w:lang w:val="en-US"/>
                </w:rPr>
                <w:t>97(1), pp. 101-798.</w:t>
              </w:r>
            </w:p>
            <w:p w14:paraId="3FA27DE7"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Rodger, J. J., 2012. </w:t>
              </w:r>
              <w:r w:rsidRPr="00996D5D">
                <w:rPr>
                  <w:rFonts w:asciiTheme="minorHAnsi" w:hAnsiTheme="minorHAnsi" w:cstheme="minorHAnsi"/>
                  <w:i/>
                  <w:iCs/>
                  <w:noProof/>
                  <w:sz w:val="24"/>
                  <w:szCs w:val="24"/>
                  <w:lang w:val="en-US"/>
                </w:rPr>
                <w:t xml:space="preserve">Criminalising Social Policy Anti-social behaviour and welfare in a de-civilised society.. </w:t>
              </w:r>
              <w:r w:rsidRPr="00996D5D">
                <w:rPr>
                  <w:rFonts w:asciiTheme="minorHAnsi" w:hAnsiTheme="minorHAnsi" w:cstheme="minorHAnsi"/>
                  <w:noProof/>
                  <w:sz w:val="24"/>
                  <w:szCs w:val="24"/>
                  <w:lang w:val="en-US"/>
                </w:rPr>
                <w:t>1st Edition ed. Oxfordshire: Taylor and Francis.</w:t>
              </w:r>
            </w:p>
            <w:p w14:paraId="3107780F" w14:textId="77777777" w:rsidR="00996D5D" w:rsidRPr="00996D5D" w:rsidRDefault="00996D5D" w:rsidP="00996D5D">
              <w:pPr>
                <w:rPr>
                  <w:lang w:val="en-US"/>
                </w:rPr>
              </w:pPr>
            </w:p>
            <w:p w14:paraId="57C4CDCD"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Rodgers, Z., 2023. Examining victims' experiences of Community Protection Notices in managing anti-social behaviour.. </w:t>
              </w:r>
              <w:r w:rsidRPr="00996D5D">
                <w:rPr>
                  <w:rFonts w:asciiTheme="minorHAnsi" w:hAnsiTheme="minorHAnsi" w:cstheme="minorHAnsi"/>
                  <w:i/>
                  <w:iCs/>
                  <w:noProof/>
                  <w:sz w:val="24"/>
                  <w:szCs w:val="24"/>
                  <w:lang w:val="en-US"/>
                </w:rPr>
                <w:t xml:space="preserve">International review of victimoology, </w:t>
              </w:r>
              <w:r w:rsidRPr="00996D5D">
                <w:rPr>
                  <w:rFonts w:asciiTheme="minorHAnsi" w:hAnsiTheme="minorHAnsi" w:cstheme="minorHAnsi"/>
                  <w:noProof/>
                  <w:sz w:val="24"/>
                  <w:szCs w:val="24"/>
                  <w:lang w:val="en-US"/>
                </w:rPr>
                <w:t>29(3), pp. 487-506.</w:t>
              </w:r>
            </w:p>
            <w:p w14:paraId="352FD30B" w14:textId="77777777" w:rsidR="00996D5D" w:rsidRPr="00996D5D" w:rsidRDefault="00996D5D" w:rsidP="00996D5D">
              <w:pPr>
                <w:rPr>
                  <w:lang w:val="en-US"/>
                </w:rPr>
              </w:pPr>
            </w:p>
            <w:p w14:paraId="341804DE" w14:textId="77777777" w:rsid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Stone, N., 2006. Legal Commentary: 'Enforcement of Anti-social Behaviour Orders' and 'Discretion in Provision of Secure PACE Accomodation'. </w:t>
              </w:r>
              <w:r w:rsidRPr="00996D5D">
                <w:rPr>
                  <w:rFonts w:asciiTheme="minorHAnsi" w:hAnsiTheme="minorHAnsi" w:cstheme="minorHAnsi"/>
                  <w:i/>
                  <w:iCs/>
                  <w:noProof/>
                  <w:sz w:val="24"/>
                  <w:szCs w:val="24"/>
                  <w:lang w:val="en-US"/>
                </w:rPr>
                <w:t xml:space="preserve">Youth Justice, </w:t>
              </w:r>
              <w:r w:rsidRPr="00996D5D">
                <w:rPr>
                  <w:rFonts w:asciiTheme="minorHAnsi" w:hAnsiTheme="minorHAnsi" w:cstheme="minorHAnsi"/>
                  <w:noProof/>
                  <w:sz w:val="24"/>
                  <w:szCs w:val="24"/>
                  <w:lang w:val="en-US"/>
                </w:rPr>
                <w:t>6(3), pp. 211-218.</w:t>
              </w:r>
            </w:p>
            <w:p w14:paraId="11A213D1" w14:textId="77777777" w:rsidR="00996D5D" w:rsidRPr="00996D5D" w:rsidRDefault="00996D5D" w:rsidP="00996D5D">
              <w:pPr>
                <w:rPr>
                  <w:lang w:val="en-US"/>
                </w:rPr>
              </w:pPr>
            </w:p>
            <w:p w14:paraId="187F98DC" w14:textId="77777777" w:rsidR="00996D5D" w:rsidRPr="00996D5D" w:rsidRDefault="00996D5D" w:rsidP="00996D5D">
              <w:pPr>
                <w:pStyle w:val="Bibliography"/>
                <w:rPr>
                  <w:rFonts w:asciiTheme="minorHAnsi" w:hAnsiTheme="minorHAnsi" w:cstheme="minorHAnsi"/>
                  <w:noProof/>
                  <w:sz w:val="24"/>
                  <w:szCs w:val="24"/>
                  <w:lang w:val="en-US"/>
                </w:rPr>
              </w:pPr>
              <w:r w:rsidRPr="00996D5D">
                <w:rPr>
                  <w:rFonts w:asciiTheme="minorHAnsi" w:hAnsiTheme="minorHAnsi" w:cstheme="minorHAnsi"/>
                  <w:noProof/>
                  <w:sz w:val="24"/>
                  <w:szCs w:val="24"/>
                  <w:lang w:val="en-US"/>
                </w:rPr>
                <w:t xml:space="preserve">Williams, B., 2023. </w:t>
              </w:r>
              <w:r w:rsidRPr="00996D5D">
                <w:rPr>
                  <w:rFonts w:asciiTheme="minorHAnsi" w:hAnsiTheme="minorHAnsi" w:cstheme="minorHAnsi"/>
                  <w:i/>
                  <w:iCs/>
                  <w:noProof/>
                  <w:sz w:val="24"/>
                  <w:szCs w:val="24"/>
                  <w:lang w:val="en-US"/>
                </w:rPr>
                <w:t xml:space="preserve">Policing Mental Health, Vulnerability and Risk. </w:t>
              </w:r>
              <w:r w:rsidRPr="00996D5D">
                <w:rPr>
                  <w:rFonts w:asciiTheme="minorHAnsi" w:hAnsiTheme="minorHAnsi" w:cstheme="minorHAnsi"/>
                  <w:noProof/>
                  <w:sz w:val="24"/>
                  <w:szCs w:val="24"/>
                  <w:lang w:val="en-US"/>
                </w:rPr>
                <w:t>1st Edition ed. St Albans: Critical Publishing Ltd.</w:t>
              </w:r>
            </w:p>
            <w:p w14:paraId="4DA4A284" w14:textId="2C7A616E" w:rsidR="00996D5D" w:rsidRPr="00996D5D" w:rsidRDefault="00996D5D" w:rsidP="00996D5D">
              <w:pPr>
                <w:rPr>
                  <w:rFonts w:asciiTheme="minorHAnsi" w:hAnsiTheme="minorHAnsi" w:cstheme="minorHAnsi"/>
                  <w:sz w:val="24"/>
                  <w:szCs w:val="24"/>
                </w:rPr>
              </w:pPr>
              <w:r w:rsidRPr="00996D5D">
                <w:rPr>
                  <w:rFonts w:asciiTheme="minorHAnsi" w:hAnsiTheme="minorHAnsi" w:cstheme="minorHAnsi"/>
                  <w:b/>
                  <w:bCs/>
                  <w:noProof/>
                  <w:sz w:val="24"/>
                  <w:szCs w:val="24"/>
                </w:rPr>
                <w:fldChar w:fldCharType="end"/>
              </w:r>
            </w:p>
          </w:sdtContent>
        </w:sdt>
      </w:sdtContent>
    </w:sdt>
    <w:p w14:paraId="1D01311F" w14:textId="77777777" w:rsidR="00B43944" w:rsidRDefault="00B43944"/>
    <w:sectPr w:rsidR="00B43944" w:rsidSect="00996D5D">
      <w:footerReference w:type="even" r:id="rId8"/>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2580C" w14:textId="77777777" w:rsidR="00E27AD4" w:rsidRDefault="00E27AD4" w:rsidP="00996D5D">
      <w:r>
        <w:separator/>
      </w:r>
    </w:p>
  </w:endnote>
  <w:endnote w:type="continuationSeparator" w:id="0">
    <w:p w14:paraId="3BD75980" w14:textId="77777777" w:rsidR="00E27AD4" w:rsidRDefault="00E27AD4" w:rsidP="00996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2263652"/>
      <w:docPartObj>
        <w:docPartGallery w:val="Page Numbers (Bottom of Page)"/>
        <w:docPartUnique/>
      </w:docPartObj>
    </w:sdtPr>
    <w:sdtContent>
      <w:p w14:paraId="0AE3A50A" w14:textId="430E5B35" w:rsidR="00996D5D" w:rsidRDefault="00996D5D" w:rsidP="002B1D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85BE56" w14:textId="77777777" w:rsidR="00996D5D" w:rsidRDefault="00996D5D" w:rsidP="00996D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6593936"/>
      <w:docPartObj>
        <w:docPartGallery w:val="Page Numbers (Bottom of Page)"/>
        <w:docPartUnique/>
      </w:docPartObj>
    </w:sdtPr>
    <w:sdtContent>
      <w:p w14:paraId="5BC4CAF6" w14:textId="6EE275DC" w:rsidR="00996D5D" w:rsidRDefault="00996D5D" w:rsidP="002B1D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4FA275D" w14:textId="77777777" w:rsidR="00996D5D" w:rsidRDefault="00996D5D" w:rsidP="00996D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D93B4" w14:textId="77777777" w:rsidR="00E27AD4" w:rsidRDefault="00E27AD4" w:rsidP="00996D5D">
      <w:r>
        <w:separator/>
      </w:r>
    </w:p>
  </w:footnote>
  <w:footnote w:type="continuationSeparator" w:id="0">
    <w:p w14:paraId="38AC5177" w14:textId="77777777" w:rsidR="00E27AD4" w:rsidRDefault="00E27AD4" w:rsidP="00996D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F3E3F"/>
    <w:multiLevelType w:val="hybridMultilevel"/>
    <w:tmpl w:val="953CA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B607E"/>
    <w:multiLevelType w:val="multilevel"/>
    <w:tmpl w:val="1750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6B0F3B"/>
    <w:multiLevelType w:val="multilevel"/>
    <w:tmpl w:val="0542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384767"/>
    <w:multiLevelType w:val="multilevel"/>
    <w:tmpl w:val="E170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9740633">
    <w:abstractNumId w:val="0"/>
  </w:num>
  <w:num w:numId="2" w16cid:durableId="1285237876">
    <w:abstractNumId w:val="2"/>
  </w:num>
  <w:num w:numId="3" w16cid:durableId="1058355879">
    <w:abstractNumId w:val="1"/>
  </w:num>
  <w:num w:numId="4" w16cid:durableId="1898204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112"/>
    <w:rsid w:val="000000E3"/>
    <w:rsid w:val="0002573A"/>
    <w:rsid w:val="00047207"/>
    <w:rsid w:val="00080C42"/>
    <w:rsid w:val="000D40FC"/>
    <w:rsid w:val="00115951"/>
    <w:rsid w:val="001779C8"/>
    <w:rsid w:val="00190A7A"/>
    <w:rsid w:val="001C57DE"/>
    <w:rsid w:val="001D3216"/>
    <w:rsid w:val="001E4C49"/>
    <w:rsid w:val="002535A5"/>
    <w:rsid w:val="002560AB"/>
    <w:rsid w:val="00267052"/>
    <w:rsid w:val="00295B02"/>
    <w:rsid w:val="002B4E80"/>
    <w:rsid w:val="002B7DE9"/>
    <w:rsid w:val="00370BA1"/>
    <w:rsid w:val="0037140C"/>
    <w:rsid w:val="00375B20"/>
    <w:rsid w:val="00377050"/>
    <w:rsid w:val="0042625A"/>
    <w:rsid w:val="004273DA"/>
    <w:rsid w:val="00427DD4"/>
    <w:rsid w:val="00450711"/>
    <w:rsid w:val="00457EBF"/>
    <w:rsid w:val="00470838"/>
    <w:rsid w:val="004C3500"/>
    <w:rsid w:val="004F42DB"/>
    <w:rsid w:val="00571F79"/>
    <w:rsid w:val="005B51D6"/>
    <w:rsid w:val="005F1B8E"/>
    <w:rsid w:val="005F50EE"/>
    <w:rsid w:val="00616E0A"/>
    <w:rsid w:val="00645AD6"/>
    <w:rsid w:val="006D4405"/>
    <w:rsid w:val="0071712C"/>
    <w:rsid w:val="0078342C"/>
    <w:rsid w:val="00785FDE"/>
    <w:rsid w:val="007E2814"/>
    <w:rsid w:val="00875D99"/>
    <w:rsid w:val="008D76B4"/>
    <w:rsid w:val="008E23FD"/>
    <w:rsid w:val="00900CC8"/>
    <w:rsid w:val="00934280"/>
    <w:rsid w:val="009753A5"/>
    <w:rsid w:val="00976A1C"/>
    <w:rsid w:val="0098369C"/>
    <w:rsid w:val="00996D5D"/>
    <w:rsid w:val="009A3204"/>
    <w:rsid w:val="009C393C"/>
    <w:rsid w:val="00A12112"/>
    <w:rsid w:val="00A22254"/>
    <w:rsid w:val="00A70165"/>
    <w:rsid w:val="00B05976"/>
    <w:rsid w:val="00B36C38"/>
    <w:rsid w:val="00B37D88"/>
    <w:rsid w:val="00B43944"/>
    <w:rsid w:val="00B65183"/>
    <w:rsid w:val="00B81D8F"/>
    <w:rsid w:val="00C86D1E"/>
    <w:rsid w:val="00CB2157"/>
    <w:rsid w:val="00D10AE2"/>
    <w:rsid w:val="00D11A95"/>
    <w:rsid w:val="00D4478A"/>
    <w:rsid w:val="00D65E2F"/>
    <w:rsid w:val="00D94215"/>
    <w:rsid w:val="00D97C84"/>
    <w:rsid w:val="00DC342B"/>
    <w:rsid w:val="00DE5903"/>
    <w:rsid w:val="00DF5D85"/>
    <w:rsid w:val="00E04624"/>
    <w:rsid w:val="00E258F7"/>
    <w:rsid w:val="00E26924"/>
    <w:rsid w:val="00E27AD4"/>
    <w:rsid w:val="00EB312B"/>
    <w:rsid w:val="00ED63BC"/>
    <w:rsid w:val="00F070A1"/>
    <w:rsid w:val="00F16096"/>
    <w:rsid w:val="00F70355"/>
    <w:rsid w:val="00FC3573"/>
    <w:rsid w:val="00FC40B3"/>
    <w:rsid w:val="00FF2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6EAE1"/>
  <w15:chartTrackingRefBased/>
  <w15:docId w15:val="{D640266F-B0C9-CD48-9721-CB8F4EE9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B20"/>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96D5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semiHidden/>
    <w:unhideWhenUsed/>
    <w:qFormat/>
    <w:rsid w:val="001779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95B0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75B20"/>
    <w:pPr>
      <w:ind w:left="720"/>
      <w:contextualSpacing/>
    </w:pPr>
  </w:style>
  <w:style w:type="paragraph" w:styleId="NoSpacing">
    <w:name w:val="No Spacing"/>
    <w:link w:val="NoSpacingChar"/>
    <w:uiPriority w:val="1"/>
    <w:qFormat/>
    <w:rsid w:val="00DF5D85"/>
    <w:rPr>
      <w:rFonts w:eastAsiaTheme="minorEastAsia"/>
      <w:sz w:val="22"/>
      <w:szCs w:val="22"/>
      <w:lang w:val="en-US" w:eastAsia="zh-CN"/>
    </w:rPr>
  </w:style>
  <w:style w:type="character" w:customStyle="1" w:styleId="NoSpacingChar">
    <w:name w:val="No Spacing Char"/>
    <w:basedOn w:val="DefaultParagraphFont"/>
    <w:link w:val="NoSpacing"/>
    <w:uiPriority w:val="1"/>
    <w:rsid w:val="00DF5D85"/>
    <w:rPr>
      <w:rFonts w:eastAsiaTheme="minorEastAsia"/>
      <w:sz w:val="22"/>
      <w:szCs w:val="22"/>
      <w:lang w:val="en-US" w:eastAsia="zh-CN"/>
    </w:rPr>
  </w:style>
  <w:style w:type="character" w:customStyle="1" w:styleId="Heading3Char">
    <w:name w:val="Heading 3 Char"/>
    <w:basedOn w:val="DefaultParagraphFont"/>
    <w:link w:val="Heading3"/>
    <w:uiPriority w:val="9"/>
    <w:rsid w:val="00295B02"/>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95B02"/>
    <w:pPr>
      <w:spacing w:before="100" w:beforeAutospacing="1" w:after="100" w:afterAutospacing="1"/>
    </w:pPr>
    <w:rPr>
      <w:sz w:val="24"/>
      <w:szCs w:val="24"/>
    </w:rPr>
  </w:style>
  <w:style w:type="character" w:customStyle="1" w:styleId="Heading2Char">
    <w:name w:val="Heading 2 Char"/>
    <w:basedOn w:val="DefaultParagraphFont"/>
    <w:link w:val="Heading2"/>
    <w:uiPriority w:val="9"/>
    <w:semiHidden/>
    <w:rsid w:val="001779C8"/>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semiHidden/>
    <w:unhideWhenUsed/>
    <w:rsid w:val="001779C8"/>
    <w:rPr>
      <w:color w:val="0000FF"/>
      <w:u w:val="single"/>
    </w:rPr>
  </w:style>
  <w:style w:type="paragraph" w:customStyle="1" w:styleId="chapter-para">
    <w:name w:val="chapter-para"/>
    <w:basedOn w:val="Normal"/>
    <w:rsid w:val="002535A5"/>
    <w:pPr>
      <w:spacing w:before="100" w:beforeAutospacing="1" w:after="100" w:afterAutospacing="1"/>
    </w:pPr>
    <w:rPr>
      <w:sz w:val="24"/>
      <w:szCs w:val="24"/>
    </w:rPr>
  </w:style>
  <w:style w:type="character" w:styleId="Emphasis">
    <w:name w:val="Emphasis"/>
    <w:basedOn w:val="DefaultParagraphFont"/>
    <w:uiPriority w:val="20"/>
    <w:qFormat/>
    <w:rsid w:val="002535A5"/>
    <w:rPr>
      <w:i/>
      <w:iCs/>
    </w:rPr>
  </w:style>
  <w:style w:type="paragraph" w:customStyle="1" w:styleId="dcr-1kas69x">
    <w:name w:val="dcr-1kas69x"/>
    <w:basedOn w:val="Normal"/>
    <w:rsid w:val="009C393C"/>
    <w:pPr>
      <w:spacing w:before="100" w:beforeAutospacing="1" w:after="100" w:afterAutospacing="1"/>
    </w:pPr>
    <w:rPr>
      <w:sz w:val="24"/>
      <w:szCs w:val="24"/>
    </w:rPr>
  </w:style>
  <w:style w:type="paragraph" w:styleId="Footer">
    <w:name w:val="footer"/>
    <w:basedOn w:val="Normal"/>
    <w:link w:val="FooterChar"/>
    <w:uiPriority w:val="99"/>
    <w:unhideWhenUsed/>
    <w:rsid w:val="00996D5D"/>
    <w:pPr>
      <w:tabs>
        <w:tab w:val="center" w:pos="4513"/>
        <w:tab w:val="right" w:pos="9026"/>
      </w:tabs>
    </w:pPr>
  </w:style>
  <w:style w:type="character" w:customStyle="1" w:styleId="FooterChar">
    <w:name w:val="Footer Char"/>
    <w:basedOn w:val="DefaultParagraphFont"/>
    <w:link w:val="Footer"/>
    <w:uiPriority w:val="99"/>
    <w:rsid w:val="00996D5D"/>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996D5D"/>
  </w:style>
  <w:style w:type="character" w:customStyle="1" w:styleId="Heading1Char">
    <w:name w:val="Heading 1 Char"/>
    <w:basedOn w:val="DefaultParagraphFont"/>
    <w:link w:val="Heading1"/>
    <w:uiPriority w:val="9"/>
    <w:rsid w:val="00996D5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96D5D"/>
  </w:style>
  <w:style w:type="paragraph" w:customStyle="1" w:styleId="paragraph">
    <w:name w:val="paragraph"/>
    <w:basedOn w:val="Normal"/>
    <w:rsid w:val="00D94215"/>
    <w:pPr>
      <w:spacing w:before="100" w:beforeAutospacing="1" w:after="100" w:afterAutospacing="1"/>
    </w:pPr>
    <w:rPr>
      <w:sz w:val="24"/>
      <w:szCs w:val="24"/>
    </w:rPr>
  </w:style>
  <w:style w:type="character" w:customStyle="1" w:styleId="normaltextrun">
    <w:name w:val="normaltextrun"/>
    <w:basedOn w:val="DefaultParagraphFont"/>
    <w:rsid w:val="00D94215"/>
  </w:style>
  <w:style w:type="character" w:customStyle="1" w:styleId="eop">
    <w:name w:val="eop"/>
    <w:basedOn w:val="DefaultParagraphFont"/>
    <w:rsid w:val="00D94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2921">
      <w:bodyDiv w:val="1"/>
      <w:marLeft w:val="0"/>
      <w:marRight w:val="0"/>
      <w:marTop w:val="0"/>
      <w:marBottom w:val="0"/>
      <w:divBdr>
        <w:top w:val="none" w:sz="0" w:space="0" w:color="auto"/>
        <w:left w:val="none" w:sz="0" w:space="0" w:color="auto"/>
        <w:bottom w:val="none" w:sz="0" w:space="0" w:color="auto"/>
        <w:right w:val="none" w:sz="0" w:space="0" w:color="auto"/>
      </w:divBdr>
    </w:div>
    <w:div w:id="30423625">
      <w:bodyDiv w:val="1"/>
      <w:marLeft w:val="0"/>
      <w:marRight w:val="0"/>
      <w:marTop w:val="0"/>
      <w:marBottom w:val="0"/>
      <w:divBdr>
        <w:top w:val="none" w:sz="0" w:space="0" w:color="auto"/>
        <w:left w:val="none" w:sz="0" w:space="0" w:color="auto"/>
        <w:bottom w:val="none" w:sz="0" w:space="0" w:color="auto"/>
        <w:right w:val="none" w:sz="0" w:space="0" w:color="auto"/>
      </w:divBdr>
    </w:div>
    <w:div w:id="42533349">
      <w:bodyDiv w:val="1"/>
      <w:marLeft w:val="0"/>
      <w:marRight w:val="0"/>
      <w:marTop w:val="0"/>
      <w:marBottom w:val="0"/>
      <w:divBdr>
        <w:top w:val="none" w:sz="0" w:space="0" w:color="auto"/>
        <w:left w:val="none" w:sz="0" w:space="0" w:color="auto"/>
        <w:bottom w:val="none" w:sz="0" w:space="0" w:color="auto"/>
        <w:right w:val="none" w:sz="0" w:space="0" w:color="auto"/>
      </w:divBdr>
    </w:div>
    <w:div w:id="73940295">
      <w:bodyDiv w:val="1"/>
      <w:marLeft w:val="0"/>
      <w:marRight w:val="0"/>
      <w:marTop w:val="0"/>
      <w:marBottom w:val="0"/>
      <w:divBdr>
        <w:top w:val="none" w:sz="0" w:space="0" w:color="auto"/>
        <w:left w:val="none" w:sz="0" w:space="0" w:color="auto"/>
        <w:bottom w:val="none" w:sz="0" w:space="0" w:color="auto"/>
        <w:right w:val="none" w:sz="0" w:space="0" w:color="auto"/>
      </w:divBdr>
    </w:div>
    <w:div w:id="96760551">
      <w:bodyDiv w:val="1"/>
      <w:marLeft w:val="0"/>
      <w:marRight w:val="0"/>
      <w:marTop w:val="0"/>
      <w:marBottom w:val="0"/>
      <w:divBdr>
        <w:top w:val="none" w:sz="0" w:space="0" w:color="auto"/>
        <w:left w:val="none" w:sz="0" w:space="0" w:color="auto"/>
        <w:bottom w:val="none" w:sz="0" w:space="0" w:color="auto"/>
        <w:right w:val="none" w:sz="0" w:space="0" w:color="auto"/>
      </w:divBdr>
    </w:div>
    <w:div w:id="134222770">
      <w:bodyDiv w:val="1"/>
      <w:marLeft w:val="0"/>
      <w:marRight w:val="0"/>
      <w:marTop w:val="0"/>
      <w:marBottom w:val="0"/>
      <w:divBdr>
        <w:top w:val="none" w:sz="0" w:space="0" w:color="auto"/>
        <w:left w:val="none" w:sz="0" w:space="0" w:color="auto"/>
        <w:bottom w:val="none" w:sz="0" w:space="0" w:color="auto"/>
        <w:right w:val="none" w:sz="0" w:space="0" w:color="auto"/>
      </w:divBdr>
    </w:div>
    <w:div w:id="136578725">
      <w:bodyDiv w:val="1"/>
      <w:marLeft w:val="0"/>
      <w:marRight w:val="0"/>
      <w:marTop w:val="0"/>
      <w:marBottom w:val="0"/>
      <w:divBdr>
        <w:top w:val="none" w:sz="0" w:space="0" w:color="auto"/>
        <w:left w:val="none" w:sz="0" w:space="0" w:color="auto"/>
        <w:bottom w:val="none" w:sz="0" w:space="0" w:color="auto"/>
        <w:right w:val="none" w:sz="0" w:space="0" w:color="auto"/>
      </w:divBdr>
    </w:div>
    <w:div w:id="230383886">
      <w:bodyDiv w:val="1"/>
      <w:marLeft w:val="0"/>
      <w:marRight w:val="0"/>
      <w:marTop w:val="0"/>
      <w:marBottom w:val="0"/>
      <w:divBdr>
        <w:top w:val="none" w:sz="0" w:space="0" w:color="auto"/>
        <w:left w:val="none" w:sz="0" w:space="0" w:color="auto"/>
        <w:bottom w:val="none" w:sz="0" w:space="0" w:color="auto"/>
        <w:right w:val="none" w:sz="0" w:space="0" w:color="auto"/>
      </w:divBdr>
    </w:div>
    <w:div w:id="267468896">
      <w:bodyDiv w:val="1"/>
      <w:marLeft w:val="0"/>
      <w:marRight w:val="0"/>
      <w:marTop w:val="0"/>
      <w:marBottom w:val="0"/>
      <w:divBdr>
        <w:top w:val="none" w:sz="0" w:space="0" w:color="auto"/>
        <w:left w:val="none" w:sz="0" w:space="0" w:color="auto"/>
        <w:bottom w:val="none" w:sz="0" w:space="0" w:color="auto"/>
        <w:right w:val="none" w:sz="0" w:space="0" w:color="auto"/>
      </w:divBdr>
    </w:div>
    <w:div w:id="657000649">
      <w:bodyDiv w:val="1"/>
      <w:marLeft w:val="0"/>
      <w:marRight w:val="0"/>
      <w:marTop w:val="0"/>
      <w:marBottom w:val="0"/>
      <w:divBdr>
        <w:top w:val="none" w:sz="0" w:space="0" w:color="auto"/>
        <w:left w:val="none" w:sz="0" w:space="0" w:color="auto"/>
        <w:bottom w:val="none" w:sz="0" w:space="0" w:color="auto"/>
        <w:right w:val="none" w:sz="0" w:space="0" w:color="auto"/>
      </w:divBdr>
    </w:div>
    <w:div w:id="728917692">
      <w:bodyDiv w:val="1"/>
      <w:marLeft w:val="0"/>
      <w:marRight w:val="0"/>
      <w:marTop w:val="0"/>
      <w:marBottom w:val="0"/>
      <w:divBdr>
        <w:top w:val="none" w:sz="0" w:space="0" w:color="auto"/>
        <w:left w:val="none" w:sz="0" w:space="0" w:color="auto"/>
        <w:bottom w:val="none" w:sz="0" w:space="0" w:color="auto"/>
        <w:right w:val="none" w:sz="0" w:space="0" w:color="auto"/>
      </w:divBdr>
    </w:div>
    <w:div w:id="767000234">
      <w:bodyDiv w:val="1"/>
      <w:marLeft w:val="0"/>
      <w:marRight w:val="0"/>
      <w:marTop w:val="0"/>
      <w:marBottom w:val="0"/>
      <w:divBdr>
        <w:top w:val="none" w:sz="0" w:space="0" w:color="auto"/>
        <w:left w:val="none" w:sz="0" w:space="0" w:color="auto"/>
        <w:bottom w:val="none" w:sz="0" w:space="0" w:color="auto"/>
        <w:right w:val="none" w:sz="0" w:space="0" w:color="auto"/>
      </w:divBdr>
    </w:div>
    <w:div w:id="840314028">
      <w:bodyDiv w:val="1"/>
      <w:marLeft w:val="0"/>
      <w:marRight w:val="0"/>
      <w:marTop w:val="0"/>
      <w:marBottom w:val="0"/>
      <w:divBdr>
        <w:top w:val="none" w:sz="0" w:space="0" w:color="auto"/>
        <w:left w:val="none" w:sz="0" w:space="0" w:color="auto"/>
        <w:bottom w:val="none" w:sz="0" w:space="0" w:color="auto"/>
        <w:right w:val="none" w:sz="0" w:space="0" w:color="auto"/>
      </w:divBdr>
    </w:div>
    <w:div w:id="950821543">
      <w:bodyDiv w:val="1"/>
      <w:marLeft w:val="0"/>
      <w:marRight w:val="0"/>
      <w:marTop w:val="0"/>
      <w:marBottom w:val="0"/>
      <w:divBdr>
        <w:top w:val="none" w:sz="0" w:space="0" w:color="auto"/>
        <w:left w:val="none" w:sz="0" w:space="0" w:color="auto"/>
        <w:bottom w:val="none" w:sz="0" w:space="0" w:color="auto"/>
        <w:right w:val="none" w:sz="0" w:space="0" w:color="auto"/>
      </w:divBdr>
    </w:div>
    <w:div w:id="1048191112">
      <w:bodyDiv w:val="1"/>
      <w:marLeft w:val="0"/>
      <w:marRight w:val="0"/>
      <w:marTop w:val="0"/>
      <w:marBottom w:val="0"/>
      <w:divBdr>
        <w:top w:val="none" w:sz="0" w:space="0" w:color="auto"/>
        <w:left w:val="none" w:sz="0" w:space="0" w:color="auto"/>
        <w:bottom w:val="none" w:sz="0" w:space="0" w:color="auto"/>
        <w:right w:val="none" w:sz="0" w:space="0" w:color="auto"/>
      </w:divBdr>
    </w:div>
    <w:div w:id="1101417352">
      <w:bodyDiv w:val="1"/>
      <w:marLeft w:val="0"/>
      <w:marRight w:val="0"/>
      <w:marTop w:val="0"/>
      <w:marBottom w:val="0"/>
      <w:divBdr>
        <w:top w:val="none" w:sz="0" w:space="0" w:color="auto"/>
        <w:left w:val="none" w:sz="0" w:space="0" w:color="auto"/>
        <w:bottom w:val="none" w:sz="0" w:space="0" w:color="auto"/>
        <w:right w:val="none" w:sz="0" w:space="0" w:color="auto"/>
      </w:divBdr>
    </w:div>
    <w:div w:id="1133793148">
      <w:bodyDiv w:val="1"/>
      <w:marLeft w:val="0"/>
      <w:marRight w:val="0"/>
      <w:marTop w:val="0"/>
      <w:marBottom w:val="0"/>
      <w:divBdr>
        <w:top w:val="none" w:sz="0" w:space="0" w:color="auto"/>
        <w:left w:val="none" w:sz="0" w:space="0" w:color="auto"/>
        <w:bottom w:val="none" w:sz="0" w:space="0" w:color="auto"/>
        <w:right w:val="none" w:sz="0" w:space="0" w:color="auto"/>
      </w:divBdr>
    </w:div>
    <w:div w:id="1145246561">
      <w:bodyDiv w:val="1"/>
      <w:marLeft w:val="0"/>
      <w:marRight w:val="0"/>
      <w:marTop w:val="0"/>
      <w:marBottom w:val="0"/>
      <w:divBdr>
        <w:top w:val="none" w:sz="0" w:space="0" w:color="auto"/>
        <w:left w:val="none" w:sz="0" w:space="0" w:color="auto"/>
        <w:bottom w:val="none" w:sz="0" w:space="0" w:color="auto"/>
        <w:right w:val="none" w:sz="0" w:space="0" w:color="auto"/>
      </w:divBdr>
    </w:div>
    <w:div w:id="1158962595">
      <w:bodyDiv w:val="1"/>
      <w:marLeft w:val="0"/>
      <w:marRight w:val="0"/>
      <w:marTop w:val="0"/>
      <w:marBottom w:val="0"/>
      <w:divBdr>
        <w:top w:val="none" w:sz="0" w:space="0" w:color="auto"/>
        <w:left w:val="none" w:sz="0" w:space="0" w:color="auto"/>
        <w:bottom w:val="none" w:sz="0" w:space="0" w:color="auto"/>
        <w:right w:val="none" w:sz="0" w:space="0" w:color="auto"/>
      </w:divBdr>
    </w:div>
    <w:div w:id="1189216662">
      <w:bodyDiv w:val="1"/>
      <w:marLeft w:val="0"/>
      <w:marRight w:val="0"/>
      <w:marTop w:val="0"/>
      <w:marBottom w:val="0"/>
      <w:divBdr>
        <w:top w:val="none" w:sz="0" w:space="0" w:color="auto"/>
        <w:left w:val="none" w:sz="0" w:space="0" w:color="auto"/>
        <w:bottom w:val="none" w:sz="0" w:space="0" w:color="auto"/>
        <w:right w:val="none" w:sz="0" w:space="0" w:color="auto"/>
      </w:divBdr>
      <w:divsChild>
        <w:div w:id="1623460694">
          <w:marLeft w:val="0"/>
          <w:marRight w:val="0"/>
          <w:marTop w:val="0"/>
          <w:marBottom w:val="0"/>
          <w:divBdr>
            <w:top w:val="none" w:sz="0" w:space="0" w:color="auto"/>
            <w:left w:val="none" w:sz="0" w:space="0" w:color="auto"/>
            <w:bottom w:val="single" w:sz="6" w:space="0" w:color="CCCCCC"/>
            <w:right w:val="none" w:sz="0" w:space="0" w:color="auto"/>
          </w:divBdr>
          <w:divsChild>
            <w:div w:id="1655260070">
              <w:marLeft w:val="0"/>
              <w:marRight w:val="0"/>
              <w:marTop w:val="120"/>
              <w:marBottom w:val="0"/>
              <w:divBdr>
                <w:top w:val="none" w:sz="0" w:space="0" w:color="auto"/>
                <w:left w:val="none" w:sz="0" w:space="0" w:color="auto"/>
                <w:bottom w:val="none" w:sz="0" w:space="0" w:color="auto"/>
                <w:right w:val="none" w:sz="0" w:space="0" w:color="auto"/>
              </w:divBdr>
            </w:div>
          </w:divsChild>
        </w:div>
        <w:div w:id="1871455600">
          <w:marLeft w:val="0"/>
          <w:marRight w:val="0"/>
          <w:marTop w:val="0"/>
          <w:marBottom w:val="0"/>
          <w:divBdr>
            <w:top w:val="none" w:sz="0" w:space="0" w:color="auto"/>
            <w:left w:val="none" w:sz="0" w:space="0" w:color="auto"/>
            <w:bottom w:val="none" w:sz="0" w:space="0" w:color="auto"/>
            <w:right w:val="none" w:sz="0" w:space="0" w:color="auto"/>
          </w:divBdr>
          <w:divsChild>
            <w:div w:id="167275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253119">
      <w:bodyDiv w:val="1"/>
      <w:marLeft w:val="0"/>
      <w:marRight w:val="0"/>
      <w:marTop w:val="0"/>
      <w:marBottom w:val="0"/>
      <w:divBdr>
        <w:top w:val="none" w:sz="0" w:space="0" w:color="auto"/>
        <w:left w:val="none" w:sz="0" w:space="0" w:color="auto"/>
        <w:bottom w:val="none" w:sz="0" w:space="0" w:color="auto"/>
        <w:right w:val="none" w:sz="0" w:space="0" w:color="auto"/>
      </w:divBdr>
    </w:div>
    <w:div w:id="1262833728">
      <w:bodyDiv w:val="1"/>
      <w:marLeft w:val="0"/>
      <w:marRight w:val="0"/>
      <w:marTop w:val="0"/>
      <w:marBottom w:val="0"/>
      <w:divBdr>
        <w:top w:val="none" w:sz="0" w:space="0" w:color="auto"/>
        <w:left w:val="none" w:sz="0" w:space="0" w:color="auto"/>
        <w:bottom w:val="none" w:sz="0" w:space="0" w:color="auto"/>
        <w:right w:val="none" w:sz="0" w:space="0" w:color="auto"/>
      </w:divBdr>
    </w:div>
    <w:div w:id="1282541703">
      <w:bodyDiv w:val="1"/>
      <w:marLeft w:val="0"/>
      <w:marRight w:val="0"/>
      <w:marTop w:val="0"/>
      <w:marBottom w:val="0"/>
      <w:divBdr>
        <w:top w:val="none" w:sz="0" w:space="0" w:color="auto"/>
        <w:left w:val="none" w:sz="0" w:space="0" w:color="auto"/>
        <w:bottom w:val="none" w:sz="0" w:space="0" w:color="auto"/>
        <w:right w:val="none" w:sz="0" w:space="0" w:color="auto"/>
      </w:divBdr>
    </w:div>
    <w:div w:id="1300956504">
      <w:bodyDiv w:val="1"/>
      <w:marLeft w:val="0"/>
      <w:marRight w:val="0"/>
      <w:marTop w:val="0"/>
      <w:marBottom w:val="0"/>
      <w:divBdr>
        <w:top w:val="none" w:sz="0" w:space="0" w:color="auto"/>
        <w:left w:val="none" w:sz="0" w:space="0" w:color="auto"/>
        <w:bottom w:val="none" w:sz="0" w:space="0" w:color="auto"/>
        <w:right w:val="none" w:sz="0" w:space="0" w:color="auto"/>
      </w:divBdr>
    </w:div>
    <w:div w:id="1315571420">
      <w:bodyDiv w:val="1"/>
      <w:marLeft w:val="0"/>
      <w:marRight w:val="0"/>
      <w:marTop w:val="0"/>
      <w:marBottom w:val="0"/>
      <w:divBdr>
        <w:top w:val="none" w:sz="0" w:space="0" w:color="auto"/>
        <w:left w:val="none" w:sz="0" w:space="0" w:color="auto"/>
        <w:bottom w:val="none" w:sz="0" w:space="0" w:color="auto"/>
        <w:right w:val="none" w:sz="0" w:space="0" w:color="auto"/>
      </w:divBdr>
    </w:div>
    <w:div w:id="1325666978">
      <w:bodyDiv w:val="1"/>
      <w:marLeft w:val="0"/>
      <w:marRight w:val="0"/>
      <w:marTop w:val="0"/>
      <w:marBottom w:val="0"/>
      <w:divBdr>
        <w:top w:val="none" w:sz="0" w:space="0" w:color="auto"/>
        <w:left w:val="none" w:sz="0" w:space="0" w:color="auto"/>
        <w:bottom w:val="none" w:sz="0" w:space="0" w:color="auto"/>
        <w:right w:val="none" w:sz="0" w:space="0" w:color="auto"/>
      </w:divBdr>
    </w:div>
    <w:div w:id="1353993136">
      <w:bodyDiv w:val="1"/>
      <w:marLeft w:val="0"/>
      <w:marRight w:val="0"/>
      <w:marTop w:val="0"/>
      <w:marBottom w:val="0"/>
      <w:divBdr>
        <w:top w:val="none" w:sz="0" w:space="0" w:color="auto"/>
        <w:left w:val="none" w:sz="0" w:space="0" w:color="auto"/>
        <w:bottom w:val="none" w:sz="0" w:space="0" w:color="auto"/>
        <w:right w:val="none" w:sz="0" w:space="0" w:color="auto"/>
      </w:divBdr>
    </w:div>
    <w:div w:id="1405377354">
      <w:bodyDiv w:val="1"/>
      <w:marLeft w:val="0"/>
      <w:marRight w:val="0"/>
      <w:marTop w:val="0"/>
      <w:marBottom w:val="0"/>
      <w:divBdr>
        <w:top w:val="none" w:sz="0" w:space="0" w:color="auto"/>
        <w:left w:val="none" w:sz="0" w:space="0" w:color="auto"/>
        <w:bottom w:val="none" w:sz="0" w:space="0" w:color="auto"/>
        <w:right w:val="none" w:sz="0" w:space="0" w:color="auto"/>
      </w:divBdr>
    </w:div>
    <w:div w:id="1436244952">
      <w:bodyDiv w:val="1"/>
      <w:marLeft w:val="0"/>
      <w:marRight w:val="0"/>
      <w:marTop w:val="0"/>
      <w:marBottom w:val="0"/>
      <w:divBdr>
        <w:top w:val="none" w:sz="0" w:space="0" w:color="auto"/>
        <w:left w:val="none" w:sz="0" w:space="0" w:color="auto"/>
        <w:bottom w:val="none" w:sz="0" w:space="0" w:color="auto"/>
        <w:right w:val="none" w:sz="0" w:space="0" w:color="auto"/>
      </w:divBdr>
    </w:div>
    <w:div w:id="1442650541">
      <w:bodyDiv w:val="1"/>
      <w:marLeft w:val="0"/>
      <w:marRight w:val="0"/>
      <w:marTop w:val="0"/>
      <w:marBottom w:val="0"/>
      <w:divBdr>
        <w:top w:val="none" w:sz="0" w:space="0" w:color="auto"/>
        <w:left w:val="none" w:sz="0" w:space="0" w:color="auto"/>
        <w:bottom w:val="none" w:sz="0" w:space="0" w:color="auto"/>
        <w:right w:val="none" w:sz="0" w:space="0" w:color="auto"/>
      </w:divBdr>
    </w:div>
    <w:div w:id="1468007720">
      <w:bodyDiv w:val="1"/>
      <w:marLeft w:val="0"/>
      <w:marRight w:val="0"/>
      <w:marTop w:val="0"/>
      <w:marBottom w:val="0"/>
      <w:divBdr>
        <w:top w:val="none" w:sz="0" w:space="0" w:color="auto"/>
        <w:left w:val="none" w:sz="0" w:space="0" w:color="auto"/>
        <w:bottom w:val="none" w:sz="0" w:space="0" w:color="auto"/>
        <w:right w:val="none" w:sz="0" w:space="0" w:color="auto"/>
      </w:divBdr>
    </w:div>
    <w:div w:id="1542740924">
      <w:bodyDiv w:val="1"/>
      <w:marLeft w:val="0"/>
      <w:marRight w:val="0"/>
      <w:marTop w:val="0"/>
      <w:marBottom w:val="0"/>
      <w:divBdr>
        <w:top w:val="none" w:sz="0" w:space="0" w:color="auto"/>
        <w:left w:val="none" w:sz="0" w:space="0" w:color="auto"/>
        <w:bottom w:val="none" w:sz="0" w:space="0" w:color="auto"/>
        <w:right w:val="none" w:sz="0" w:space="0" w:color="auto"/>
      </w:divBdr>
    </w:div>
    <w:div w:id="1554855259">
      <w:bodyDiv w:val="1"/>
      <w:marLeft w:val="0"/>
      <w:marRight w:val="0"/>
      <w:marTop w:val="0"/>
      <w:marBottom w:val="0"/>
      <w:divBdr>
        <w:top w:val="none" w:sz="0" w:space="0" w:color="auto"/>
        <w:left w:val="none" w:sz="0" w:space="0" w:color="auto"/>
        <w:bottom w:val="none" w:sz="0" w:space="0" w:color="auto"/>
        <w:right w:val="none" w:sz="0" w:space="0" w:color="auto"/>
      </w:divBdr>
    </w:div>
    <w:div w:id="1616864693">
      <w:bodyDiv w:val="1"/>
      <w:marLeft w:val="0"/>
      <w:marRight w:val="0"/>
      <w:marTop w:val="0"/>
      <w:marBottom w:val="0"/>
      <w:divBdr>
        <w:top w:val="none" w:sz="0" w:space="0" w:color="auto"/>
        <w:left w:val="none" w:sz="0" w:space="0" w:color="auto"/>
        <w:bottom w:val="none" w:sz="0" w:space="0" w:color="auto"/>
        <w:right w:val="none" w:sz="0" w:space="0" w:color="auto"/>
      </w:divBdr>
    </w:div>
    <w:div w:id="1633825602">
      <w:bodyDiv w:val="1"/>
      <w:marLeft w:val="0"/>
      <w:marRight w:val="0"/>
      <w:marTop w:val="0"/>
      <w:marBottom w:val="0"/>
      <w:divBdr>
        <w:top w:val="none" w:sz="0" w:space="0" w:color="auto"/>
        <w:left w:val="none" w:sz="0" w:space="0" w:color="auto"/>
        <w:bottom w:val="none" w:sz="0" w:space="0" w:color="auto"/>
        <w:right w:val="none" w:sz="0" w:space="0" w:color="auto"/>
      </w:divBdr>
    </w:div>
    <w:div w:id="1647202897">
      <w:bodyDiv w:val="1"/>
      <w:marLeft w:val="0"/>
      <w:marRight w:val="0"/>
      <w:marTop w:val="0"/>
      <w:marBottom w:val="0"/>
      <w:divBdr>
        <w:top w:val="none" w:sz="0" w:space="0" w:color="auto"/>
        <w:left w:val="none" w:sz="0" w:space="0" w:color="auto"/>
        <w:bottom w:val="none" w:sz="0" w:space="0" w:color="auto"/>
        <w:right w:val="none" w:sz="0" w:space="0" w:color="auto"/>
      </w:divBdr>
    </w:div>
    <w:div w:id="1658417258">
      <w:bodyDiv w:val="1"/>
      <w:marLeft w:val="0"/>
      <w:marRight w:val="0"/>
      <w:marTop w:val="0"/>
      <w:marBottom w:val="0"/>
      <w:divBdr>
        <w:top w:val="none" w:sz="0" w:space="0" w:color="auto"/>
        <w:left w:val="none" w:sz="0" w:space="0" w:color="auto"/>
        <w:bottom w:val="none" w:sz="0" w:space="0" w:color="auto"/>
        <w:right w:val="none" w:sz="0" w:space="0" w:color="auto"/>
      </w:divBdr>
    </w:div>
    <w:div w:id="1671836211">
      <w:bodyDiv w:val="1"/>
      <w:marLeft w:val="0"/>
      <w:marRight w:val="0"/>
      <w:marTop w:val="0"/>
      <w:marBottom w:val="0"/>
      <w:divBdr>
        <w:top w:val="none" w:sz="0" w:space="0" w:color="auto"/>
        <w:left w:val="none" w:sz="0" w:space="0" w:color="auto"/>
        <w:bottom w:val="none" w:sz="0" w:space="0" w:color="auto"/>
        <w:right w:val="none" w:sz="0" w:space="0" w:color="auto"/>
      </w:divBdr>
    </w:div>
    <w:div w:id="1809350241">
      <w:bodyDiv w:val="1"/>
      <w:marLeft w:val="0"/>
      <w:marRight w:val="0"/>
      <w:marTop w:val="0"/>
      <w:marBottom w:val="0"/>
      <w:divBdr>
        <w:top w:val="none" w:sz="0" w:space="0" w:color="auto"/>
        <w:left w:val="none" w:sz="0" w:space="0" w:color="auto"/>
        <w:bottom w:val="none" w:sz="0" w:space="0" w:color="auto"/>
        <w:right w:val="none" w:sz="0" w:space="0" w:color="auto"/>
      </w:divBdr>
    </w:div>
    <w:div w:id="1816095124">
      <w:bodyDiv w:val="1"/>
      <w:marLeft w:val="0"/>
      <w:marRight w:val="0"/>
      <w:marTop w:val="0"/>
      <w:marBottom w:val="0"/>
      <w:divBdr>
        <w:top w:val="none" w:sz="0" w:space="0" w:color="auto"/>
        <w:left w:val="none" w:sz="0" w:space="0" w:color="auto"/>
        <w:bottom w:val="none" w:sz="0" w:space="0" w:color="auto"/>
        <w:right w:val="none" w:sz="0" w:space="0" w:color="auto"/>
      </w:divBdr>
    </w:div>
    <w:div w:id="1837453964">
      <w:bodyDiv w:val="1"/>
      <w:marLeft w:val="0"/>
      <w:marRight w:val="0"/>
      <w:marTop w:val="0"/>
      <w:marBottom w:val="0"/>
      <w:divBdr>
        <w:top w:val="none" w:sz="0" w:space="0" w:color="auto"/>
        <w:left w:val="none" w:sz="0" w:space="0" w:color="auto"/>
        <w:bottom w:val="none" w:sz="0" w:space="0" w:color="auto"/>
        <w:right w:val="none" w:sz="0" w:space="0" w:color="auto"/>
      </w:divBdr>
    </w:div>
    <w:div w:id="1849128731">
      <w:bodyDiv w:val="1"/>
      <w:marLeft w:val="0"/>
      <w:marRight w:val="0"/>
      <w:marTop w:val="0"/>
      <w:marBottom w:val="0"/>
      <w:divBdr>
        <w:top w:val="none" w:sz="0" w:space="0" w:color="auto"/>
        <w:left w:val="none" w:sz="0" w:space="0" w:color="auto"/>
        <w:bottom w:val="none" w:sz="0" w:space="0" w:color="auto"/>
        <w:right w:val="none" w:sz="0" w:space="0" w:color="auto"/>
      </w:divBdr>
    </w:div>
    <w:div w:id="1887139881">
      <w:bodyDiv w:val="1"/>
      <w:marLeft w:val="0"/>
      <w:marRight w:val="0"/>
      <w:marTop w:val="0"/>
      <w:marBottom w:val="0"/>
      <w:divBdr>
        <w:top w:val="none" w:sz="0" w:space="0" w:color="auto"/>
        <w:left w:val="none" w:sz="0" w:space="0" w:color="auto"/>
        <w:bottom w:val="none" w:sz="0" w:space="0" w:color="auto"/>
        <w:right w:val="none" w:sz="0" w:space="0" w:color="auto"/>
      </w:divBdr>
    </w:div>
    <w:div w:id="1889411368">
      <w:bodyDiv w:val="1"/>
      <w:marLeft w:val="0"/>
      <w:marRight w:val="0"/>
      <w:marTop w:val="0"/>
      <w:marBottom w:val="0"/>
      <w:divBdr>
        <w:top w:val="none" w:sz="0" w:space="0" w:color="auto"/>
        <w:left w:val="none" w:sz="0" w:space="0" w:color="auto"/>
        <w:bottom w:val="none" w:sz="0" w:space="0" w:color="auto"/>
        <w:right w:val="none" w:sz="0" w:space="0" w:color="auto"/>
      </w:divBdr>
    </w:div>
    <w:div w:id="1922830064">
      <w:bodyDiv w:val="1"/>
      <w:marLeft w:val="0"/>
      <w:marRight w:val="0"/>
      <w:marTop w:val="0"/>
      <w:marBottom w:val="0"/>
      <w:divBdr>
        <w:top w:val="none" w:sz="0" w:space="0" w:color="auto"/>
        <w:left w:val="none" w:sz="0" w:space="0" w:color="auto"/>
        <w:bottom w:val="none" w:sz="0" w:space="0" w:color="auto"/>
        <w:right w:val="none" w:sz="0" w:space="0" w:color="auto"/>
      </w:divBdr>
    </w:div>
    <w:div w:id="1951234018">
      <w:bodyDiv w:val="1"/>
      <w:marLeft w:val="0"/>
      <w:marRight w:val="0"/>
      <w:marTop w:val="0"/>
      <w:marBottom w:val="0"/>
      <w:divBdr>
        <w:top w:val="none" w:sz="0" w:space="0" w:color="auto"/>
        <w:left w:val="none" w:sz="0" w:space="0" w:color="auto"/>
        <w:bottom w:val="none" w:sz="0" w:space="0" w:color="auto"/>
        <w:right w:val="none" w:sz="0" w:space="0" w:color="auto"/>
      </w:divBdr>
    </w:div>
    <w:div w:id="1986619066">
      <w:bodyDiv w:val="1"/>
      <w:marLeft w:val="0"/>
      <w:marRight w:val="0"/>
      <w:marTop w:val="0"/>
      <w:marBottom w:val="0"/>
      <w:divBdr>
        <w:top w:val="none" w:sz="0" w:space="0" w:color="auto"/>
        <w:left w:val="none" w:sz="0" w:space="0" w:color="auto"/>
        <w:bottom w:val="none" w:sz="0" w:space="0" w:color="auto"/>
        <w:right w:val="none" w:sz="0" w:space="0" w:color="auto"/>
      </w:divBdr>
    </w:div>
    <w:div w:id="1991592068">
      <w:bodyDiv w:val="1"/>
      <w:marLeft w:val="0"/>
      <w:marRight w:val="0"/>
      <w:marTop w:val="0"/>
      <w:marBottom w:val="0"/>
      <w:divBdr>
        <w:top w:val="none" w:sz="0" w:space="0" w:color="auto"/>
        <w:left w:val="none" w:sz="0" w:space="0" w:color="auto"/>
        <w:bottom w:val="none" w:sz="0" w:space="0" w:color="auto"/>
        <w:right w:val="none" w:sz="0" w:space="0" w:color="auto"/>
      </w:divBdr>
    </w:div>
    <w:div w:id="1996060810">
      <w:bodyDiv w:val="1"/>
      <w:marLeft w:val="0"/>
      <w:marRight w:val="0"/>
      <w:marTop w:val="0"/>
      <w:marBottom w:val="0"/>
      <w:divBdr>
        <w:top w:val="none" w:sz="0" w:space="0" w:color="auto"/>
        <w:left w:val="none" w:sz="0" w:space="0" w:color="auto"/>
        <w:bottom w:val="none" w:sz="0" w:space="0" w:color="auto"/>
        <w:right w:val="none" w:sz="0" w:space="0" w:color="auto"/>
      </w:divBdr>
      <w:divsChild>
        <w:div w:id="852299743">
          <w:marLeft w:val="0"/>
          <w:marRight w:val="0"/>
          <w:marTop w:val="0"/>
          <w:marBottom w:val="0"/>
          <w:divBdr>
            <w:top w:val="none" w:sz="0" w:space="0" w:color="auto"/>
            <w:left w:val="none" w:sz="0" w:space="0" w:color="auto"/>
            <w:bottom w:val="none" w:sz="0" w:space="0" w:color="auto"/>
            <w:right w:val="none" w:sz="0" w:space="0" w:color="auto"/>
          </w:divBdr>
        </w:div>
        <w:div w:id="1480344637">
          <w:marLeft w:val="0"/>
          <w:marRight w:val="0"/>
          <w:marTop w:val="0"/>
          <w:marBottom w:val="0"/>
          <w:divBdr>
            <w:top w:val="none" w:sz="0" w:space="0" w:color="auto"/>
            <w:left w:val="none" w:sz="0" w:space="0" w:color="auto"/>
            <w:bottom w:val="none" w:sz="0" w:space="0" w:color="auto"/>
            <w:right w:val="none" w:sz="0" w:space="0" w:color="auto"/>
          </w:divBdr>
        </w:div>
        <w:div w:id="68816322">
          <w:marLeft w:val="0"/>
          <w:marRight w:val="0"/>
          <w:marTop w:val="0"/>
          <w:marBottom w:val="0"/>
          <w:divBdr>
            <w:top w:val="none" w:sz="0" w:space="0" w:color="auto"/>
            <w:left w:val="none" w:sz="0" w:space="0" w:color="auto"/>
            <w:bottom w:val="none" w:sz="0" w:space="0" w:color="auto"/>
            <w:right w:val="none" w:sz="0" w:space="0" w:color="auto"/>
          </w:divBdr>
        </w:div>
        <w:div w:id="1654142690">
          <w:marLeft w:val="0"/>
          <w:marRight w:val="0"/>
          <w:marTop w:val="0"/>
          <w:marBottom w:val="0"/>
          <w:divBdr>
            <w:top w:val="none" w:sz="0" w:space="0" w:color="auto"/>
            <w:left w:val="none" w:sz="0" w:space="0" w:color="auto"/>
            <w:bottom w:val="none" w:sz="0" w:space="0" w:color="auto"/>
            <w:right w:val="none" w:sz="0" w:space="0" w:color="auto"/>
          </w:divBdr>
        </w:div>
        <w:div w:id="663897685">
          <w:marLeft w:val="0"/>
          <w:marRight w:val="0"/>
          <w:marTop w:val="0"/>
          <w:marBottom w:val="0"/>
          <w:divBdr>
            <w:top w:val="none" w:sz="0" w:space="0" w:color="auto"/>
            <w:left w:val="none" w:sz="0" w:space="0" w:color="auto"/>
            <w:bottom w:val="none" w:sz="0" w:space="0" w:color="auto"/>
            <w:right w:val="none" w:sz="0" w:space="0" w:color="auto"/>
          </w:divBdr>
        </w:div>
        <w:div w:id="1156384961">
          <w:marLeft w:val="0"/>
          <w:marRight w:val="0"/>
          <w:marTop w:val="0"/>
          <w:marBottom w:val="0"/>
          <w:divBdr>
            <w:top w:val="none" w:sz="0" w:space="0" w:color="auto"/>
            <w:left w:val="none" w:sz="0" w:space="0" w:color="auto"/>
            <w:bottom w:val="none" w:sz="0" w:space="0" w:color="auto"/>
            <w:right w:val="none" w:sz="0" w:space="0" w:color="auto"/>
          </w:divBdr>
        </w:div>
        <w:div w:id="1644194215">
          <w:marLeft w:val="0"/>
          <w:marRight w:val="0"/>
          <w:marTop w:val="0"/>
          <w:marBottom w:val="0"/>
          <w:divBdr>
            <w:top w:val="none" w:sz="0" w:space="0" w:color="auto"/>
            <w:left w:val="none" w:sz="0" w:space="0" w:color="auto"/>
            <w:bottom w:val="none" w:sz="0" w:space="0" w:color="auto"/>
            <w:right w:val="none" w:sz="0" w:space="0" w:color="auto"/>
          </w:divBdr>
        </w:div>
        <w:div w:id="1492407592">
          <w:marLeft w:val="0"/>
          <w:marRight w:val="0"/>
          <w:marTop w:val="0"/>
          <w:marBottom w:val="0"/>
          <w:divBdr>
            <w:top w:val="none" w:sz="0" w:space="0" w:color="auto"/>
            <w:left w:val="none" w:sz="0" w:space="0" w:color="auto"/>
            <w:bottom w:val="none" w:sz="0" w:space="0" w:color="auto"/>
            <w:right w:val="none" w:sz="0" w:space="0" w:color="auto"/>
          </w:divBdr>
        </w:div>
        <w:div w:id="1938321311">
          <w:marLeft w:val="0"/>
          <w:marRight w:val="0"/>
          <w:marTop w:val="0"/>
          <w:marBottom w:val="0"/>
          <w:divBdr>
            <w:top w:val="none" w:sz="0" w:space="0" w:color="auto"/>
            <w:left w:val="none" w:sz="0" w:space="0" w:color="auto"/>
            <w:bottom w:val="none" w:sz="0" w:space="0" w:color="auto"/>
            <w:right w:val="none" w:sz="0" w:space="0" w:color="auto"/>
          </w:divBdr>
        </w:div>
        <w:div w:id="1215048293">
          <w:marLeft w:val="0"/>
          <w:marRight w:val="0"/>
          <w:marTop w:val="0"/>
          <w:marBottom w:val="0"/>
          <w:divBdr>
            <w:top w:val="none" w:sz="0" w:space="0" w:color="auto"/>
            <w:left w:val="none" w:sz="0" w:space="0" w:color="auto"/>
            <w:bottom w:val="none" w:sz="0" w:space="0" w:color="auto"/>
            <w:right w:val="none" w:sz="0" w:space="0" w:color="auto"/>
          </w:divBdr>
        </w:div>
        <w:div w:id="1792168703">
          <w:marLeft w:val="0"/>
          <w:marRight w:val="0"/>
          <w:marTop w:val="0"/>
          <w:marBottom w:val="0"/>
          <w:divBdr>
            <w:top w:val="none" w:sz="0" w:space="0" w:color="auto"/>
            <w:left w:val="none" w:sz="0" w:space="0" w:color="auto"/>
            <w:bottom w:val="none" w:sz="0" w:space="0" w:color="auto"/>
            <w:right w:val="none" w:sz="0" w:space="0" w:color="auto"/>
          </w:divBdr>
        </w:div>
        <w:div w:id="557673545">
          <w:marLeft w:val="0"/>
          <w:marRight w:val="0"/>
          <w:marTop w:val="0"/>
          <w:marBottom w:val="0"/>
          <w:divBdr>
            <w:top w:val="none" w:sz="0" w:space="0" w:color="auto"/>
            <w:left w:val="none" w:sz="0" w:space="0" w:color="auto"/>
            <w:bottom w:val="none" w:sz="0" w:space="0" w:color="auto"/>
            <w:right w:val="none" w:sz="0" w:space="0" w:color="auto"/>
          </w:divBdr>
        </w:div>
        <w:div w:id="1400595860">
          <w:marLeft w:val="0"/>
          <w:marRight w:val="0"/>
          <w:marTop w:val="0"/>
          <w:marBottom w:val="0"/>
          <w:divBdr>
            <w:top w:val="none" w:sz="0" w:space="0" w:color="auto"/>
            <w:left w:val="none" w:sz="0" w:space="0" w:color="auto"/>
            <w:bottom w:val="none" w:sz="0" w:space="0" w:color="auto"/>
            <w:right w:val="none" w:sz="0" w:space="0" w:color="auto"/>
          </w:divBdr>
        </w:div>
      </w:divsChild>
    </w:div>
    <w:div w:id="2010673388">
      <w:bodyDiv w:val="1"/>
      <w:marLeft w:val="0"/>
      <w:marRight w:val="0"/>
      <w:marTop w:val="0"/>
      <w:marBottom w:val="0"/>
      <w:divBdr>
        <w:top w:val="none" w:sz="0" w:space="0" w:color="auto"/>
        <w:left w:val="none" w:sz="0" w:space="0" w:color="auto"/>
        <w:bottom w:val="none" w:sz="0" w:space="0" w:color="auto"/>
        <w:right w:val="none" w:sz="0" w:space="0" w:color="auto"/>
      </w:divBdr>
    </w:div>
    <w:div w:id="2016686565">
      <w:bodyDiv w:val="1"/>
      <w:marLeft w:val="0"/>
      <w:marRight w:val="0"/>
      <w:marTop w:val="0"/>
      <w:marBottom w:val="0"/>
      <w:divBdr>
        <w:top w:val="none" w:sz="0" w:space="0" w:color="auto"/>
        <w:left w:val="none" w:sz="0" w:space="0" w:color="auto"/>
        <w:bottom w:val="none" w:sz="0" w:space="0" w:color="auto"/>
        <w:right w:val="none" w:sz="0" w:space="0" w:color="auto"/>
      </w:divBdr>
    </w:div>
    <w:div w:id="2027050802">
      <w:bodyDiv w:val="1"/>
      <w:marLeft w:val="0"/>
      <w:marRight w:val="0"/>
      <w:marTop w:val="0"/>
      <w:marBottom w:val="0"/>
      <w:divBdr>
        <w:top w:val="none" w:sz="0" w:space="0" w:color="auto"/>
        <w:left w:val="none" w:sz="0" w:space="0" w:color="auto"/>
        <w:bottom w:val="none" w:sz="0" w:space="0" w:color="auto"/>
        <w:right w:val="none" w:sz="0" w:space="0" w:color="auto"/>
      </w:divBdr>
    </w:div>
    <w:div w:id="2060352466">
      <w:bodyDiv w:val="1"/>
      <w:marLeft w:val="0"/>
      <w:marRight w:val="0"/>
      <w:marTop w:val="0"/>
      <w:marBottom w:val="0"/>
      <w:divBdr>
        <w:top w:val="none" w:sz="0" w:space="0" w:color="auto"/>
        <w:left w:val="none" w:sz="0" w:space="0" w:color="auto"/>
        <w:bottom w:val="none" w:sz="0" w:space="0" w:color="auto"/>
        <w:right w:val="none" w:sz="0" w:space="0" w:color="auto"/>
      </w:divBdr>
    </w:div>
    <w:div w:id="2114326860">
      <w:bodyDiv w:val="1"/>
      <w:marLeft w:val="0"/>
      <w:marRight w:val="0"/>
      <w:marTop w:val="0"/>
      <w:marBottom w:val="0"/>
      <w:divBdr>
        <w:top w:val="none" w:sz="0" w:space="0" w:color="auto"/>
        <w:left w:val="none" w:sz="0" w:space="0" w:color="auto"/>
        <w:bottom w:val="none" w:sz="0" w:space="0" w:color="auto"/>
        <w:right w:val="none" w:sz="0" w:space="0" w:color="auto"/>
      </w:divBdr>
    </w:div>
    <w:div w:id="213085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Col233</b:Tag>
    <b:SourceType>InternetSite</b:SourceType>
    <b:Guid>{4E9E175A-4B4D-AE49-9B69-4FF33C493024}</b:Guid>
    <b:Author>
      <b:Author>
        <b:Corporate>College of Policing</b:Corporate>
      </b:Author>
    </b:Author>
    <b:Title>Anti-social behaviour</b:Title>
    <b:URL>https://www.college.police.uk/anti-social-behaviour</b:URL>
    <b:Year>2023</b:Year>
    <b:YearAccessed>2023</b:YearAccessed>
    <b:MonthAccessed>October</b:MonthAccessed>
    <b:DayAccessed>16</b:DayAccessed>
    <b:RefOrder>1</b:RefOrder>
  </b:Source>
  <b:Source>
    <b:Tag>Rod12</b:Tag>
    <b:SourceType>Book</b:SourceType>
    <b:Guid>{58FB4562-A639-5245-B2AD-49E37A87ADA8}</b:Guid>
    <b:Title>Criminalising Social Policy Anti-social behaviour and welfare in a de-civilised society.</b:Title>
    <b:Year>2012</b:Year>
    <b:City>Oxfordshire</b:City>
    <b:Publisher>Taylor and Francis</b:Publisher>
    <b:Edition>1st Edition</b:Edition>
    <b:Author>
      <b:Author>
        <b:NameList>
          <b:Person>
            <b:Last>Rodger</b:Last>
            <b:Middle>J</b:Middle>
            <b:First>John</b:First>
          </b:Person>
        </b:NameList>
      </b:Author>
    </b:Author>
    <b:RefOrder>2</b:RefOrder>
  </b:Source>
  <b:Source>
    <b:Tag>Rod23</b:Tag>
    <b:SourceType>JournalArticle</b:SourceType>
    <b:Guid>{AF9E5BDE-E1B4-D441-920A-2BABF5E762FA}</b:Guid>
    <b:Title>Examining victims' experiences of Community Protection Notices in managing anti-social behaviour.</b:Title>
    <b:Year>2023</b:Year>
    <b:JournalName>International review of victimoology</b:JournalName>
    <b:Volume>29</b:Volume>
    <b:Issue>3</b:Issue>
    <b:Pages>487-506</b:Pages>
    <b:Author>
      <b:Author>
        <b:NameList>
          <b:Person>
            <b:Last>Rodgers</b:Last>
            <b:First>Zoe</b:First>
          </b:Person>
        </b:NameList>
      </b:Author>
    </b:Author>
    <b:RefOrder>3</b:RefOrder>
  </b:Source>
  <b:Source>
    <b:Tag>Hea21</b:Tag>
    <b:SourceType>JournalArticle</b:SourceType>
    <b:Guid>{8933DF75-9D6C-BD47-AB77-61E76F6FEE2B}</b:Guid>
    <b:Title>Anti-social behaviour victims' experiences of activating the 'Community Trigger'</b:Title>
    <b:JournalName>People, place &amp; policy online</b:JournalName>
    <b:Year>2021</b:Year>
    <b:Volume>19</b:Volume>
    <b:Issue>32</b:Issue>
    <b:Pages>15-1</b:Pages>
    <b:Author>
      <b:Author>
        <b:NameList>
          <b:Person>
            <b:Last>Heap</b:Last>
            <b:First>Vicky</b:First>
          </b:Person>
        </b:NameList>
      </b:Author>
    </b:Author>
    <b:RefOrder>4</b:RefOrder>
  </b:Source>
  <b:Source>
    <b:Tag>Wil23</b:Tag>
    <b:SourceType>Book</b:SourceType>
    <b:Guid>{2E5C0877-7402-3A4F-980A-67112F103C19}</b:Guid>
    <b:Title>Policing Mental Health, Vulnerability and Risk</b:Title>
    <b:Year>2023</b:Year>
    <b:City>St Albans</b:City>
    <b:Publisher>Critical Publishing Ltd</b:Publisher>
    <b:Edition>1st Edition</b:Edition>
    <b:Author>
      <b:Author>
        <b:NameList>
          <b:Person>
            <b:Last>Williams</b:Last>
            <b:First>Brian</b:First>
          </b:Person>
        </b:NameList>
      </b:Author>
    </b:Author>
    <b:RefOrder>5</b:RefOrder>
  </b:Source>
  <b:Source>
    <b:Tag>Bav21</b:Tag>
    <b:SourceType>JournalArticle</b:SourceType>
    <b:Guid>{DB34F75D-939A-3846-A306-E2A45AE16078}</b:Guid>
    <b:Title>Exploring the Impact of Anti-Social Behaviour, Drug-Related Crime and County Lines on Local Communities: A Qualitative Inquiry</b:Title>
    <b:Year>2021</b:Year>
    <b:JournalName>The journal of applied business and economics</b:JournalName>
    <b:Volume>23</b:Volume>
    <b:Issue>1</b:Issue>
    <b:Pages>130-143</b:Pages>
    <b:Author>
      <b:Author>
        <b:NameList>
          <b:Person>
            <b:Last>Bavington</b:Last>
            <b:First>Stuart</b:First>
          </b:Person>
        </b:NameList>
      </b:Author>
    </b:Author>
    <b:RefOrder>6</b:RefOrder>
  </b:Source>
  <b:Source>
    <b:Tag>Bro14</b:Tag>
    <b:SourceType>JournalArticle</b:SourceType>
    <b:Guid>{FADF0EAF-F878-AD4C-A6F8-4CB79EF591DF}</b:Guid>
    <b:Title>Determinants of complaint satisfaction with agency responses to anti-social behaviour</b:Title>
    <b:JournalName>Palgrave Macmillan UK; Crime prevention and community safety</b:JournalName>
    <b:Year>2014</b:Year>
    <b:Volume>16</b:Volume>
    <b:Issue>2</b:Issue>
    <b:Pages>105-127</b:Pages>
    <b:Author>
      <b:Author>
        <b:NameList>
          <b:Person>
            <b:Last>Brown</b:Last>
            <b:First>Rick</b:First>
          </b:Person>
          <b:Person>
            <b:Last>Evans </b:Last>
            <b:First>Emily</b:First>
          </b:Person>
        </b:NameList>
      </b:Author>
    </b:Author>
    <b:RefOrder>7</b:RefOrder>
  </b:Source>
  <b:Source>
    <b:Tag>Mat07</b:Tag>
    <b:SourceType>Book</b:SourceType>
    <b:Guid>{E276A872-7EDA-9048-9962-1A9DE10E67F5}</b:Guid>
    <b:Title>Assessing the Use and Impact of Anti-Social Behaviour Orders</b:Title>
    <b:Year>2007</b:Year>
    <b:City>Bristol</b:City>
    <b:Publisher>Policy Press</b:Publisher>
    <b:Edition>1st Edition</b:Edition>
    <b:Author>
      <b:Author>
        <b:NameList>
          <b:Person>
            <b:Last>Matthews</b:Last>
            <b:First>Roger</b:First>
          </b:Person>
        </b:NameList>
      </b:Author>
    </b:Author>
    <b:RefOrder>8</b:RefOrder>
  </b:Source>
  <b:Source>
    <b:Tag>Hod07</b:Tag>
    <b:SourceType>JournalArticle</b:SourceType>
    <b:Guid>{7AB1CD28-E474-9240-8517-111F8CCE6414}</b:Guid>
    <b:Title>Policing Anti-Social Behaviour: Constraints, Dilemmas and Opportunities</b:Title>
    <b:Year>2007</b:Year>
    <b:JournalName>The Howard journal of criminal justice</b:JournalName>
    <b:Volume>46</b:Volume>
    <b:Issue>4</b:Issue>
    <b:Pages>385-400</b:Pages>
    <b:Author>
      <b:Author>
        <b:NameList>
          <b:Person>
            <b:Last>Hodgkinson</b:Last>
            <b:First>Sarah</b:First>
          </b:Person>
          <b:Person>
            <b:Last>Tilley</b:Last>
            <b:First>Nick</b:First>
          </b:Person>
        </b:NameList>
      </b:Author>
    </b:Author>
    <b:RefOrder>9</b:RefOrder>
  </b:Source>
  <b:Source>
    <b:Tag>Don13</b:Tag>
    <b:SourceType>JournalArticle</b:SourceType>
    <b:Guid>{7B3643DB-6BA5-5646-A98B-262C39A49418}</b:Guid>
    <b:Title>Reflection on risk, Anti-Social Behaviour and vulnerable/repeat victims.</b:Title>
    <b:JournalName>British journal of criminology</b:JournalName>
    <b:Year>2013</b:Year>
    <b:Volume>53</b:Volume>
    <b:Issue>5</b:Issue>
    <b:Pages>805-823</b:Pages>
    <b:Author>
      <b:Author>
        <b:NameList>
          <b:Person>
            <b:Last>Donoghue</b:Last>
            <b:First>Jane</b:First>
          </b:Person>
        </b:NameList>
      </b:Author>
    </b:Author>
    <b:RefOrder>10</b:RefOrder>
  </b:Source>
  <b:Source>
    <b:Tag>Inn01</b:Tag>
    <b:SourceType>JournalArticle</b:SourceType>
    <b:Guid>{A3F2B13D-D7AC-8144-912F-FCF9B1A44059}</b:Guid>
    <b:Title>Signal crimes and signal disorders: notes on deviance as communicative action</b:Title>
    <b:JournalName>The British journal of sociology</b:JournalName>
    <b:Year>2004</b:Year>
    <b:Volume>55</b:Volume>
    <b:Issue>3</b:Issue>
    <b:Pages>335-355</b:Pages>
    <b:Author>
      <b:Author>
        <b:NameList>
          <b:Person>
            <b:Last>Innes</b:Last>
            <b:First>Martin</b:First>
          </b:Person>
        </b:NameList>
      </b:Author>
    </b:Author>
    <b:RefOrder>11</b:RefOrder>
  </b:Source>
  <b:Source>
    <b:Tag>Cor14</b:Tag>
    <b:SourceType>JournalArticle</b:SourceType>
    <b:Guid>{60C17E50-CBC0-4841-8E39-335AA5772987}</b:Guid>
    <b:Title>Revisiting broken windows theory: A test of the mediation imppact of social mechanisms on the disorder-fear relationship</b:Title>
    <b:JournalName>Journal of criminal justice</b:JournalName>
    <b:Year>2014</b:Year>
    <b:Volume>42</b:Volume>
    <b:Issue>6</b:Issue>
    <b:Pages>579-588</b:Pages>
    <b:Author>
      <b:Author>
        <b:NameList>
          <b:Person>
            <b:Last>Corsaro</b:Last>
            <b:First>Nicholas</b:First>
          </b:Person>
          <b:Person>
            <b:Last>Brunson</b:Last>
            <b:Middle>K</b:Middle>
            <b:First>Rod</b:First>
          </b:Person>
          <b:Person>
            <b:Last>Gau</b:Last>
            <b:Middle>M</b:Middle>
            <b:First>Jacinta</b:First>
          </b:Person>
        </b:NameList>
      </b:Author>
    </b:Author>
    <b:RefOrder>12</b:RefOrder>
  </b:Source>
  <b:Source>
    <b:Tag>Han14</b:Tag>
    <b:SourceType>JournalArticle</b:SourceType>
    <b:Guid>{32A75456-ABA8-5C43-8BF0-81D637A39892}</b:Guid>
    <b:Title>The Benefits of Police Practitioner-Researcher Partnerships to Participating Agencies</b:Title>
    <b:JournalName>Policing:a journal of policy and practice</b:JournalName>
    <b:Year>2014</b:Year>
    <b:Volume>8</b:Volume>
    <b:Issue>4</b:Issue>
    <b:Pages>307-320</b:Pages>
    <b:Author>
      <b:Author>
        <b:NameList>
          <b:Person>
            <b:Last>Hansen</b:Last>
            <b:First>A</b:First>
            <b:Middle>J</b:Middle>
          </b:Person>
          <b:Person>
            <b:Last>Alpert</b:Last>
            <b:First>P</b:First>
            <b:Middle>G</b:Middle>
          </b:Person>
          <b:Person>
            <b:Last>Rojek</b:Last>
            <b:First>J</b:First>
            <b:Middle>J</b:Middle>
          </b:Person>
        </b:NameList>
      </b:Author>
    </b:Author>
    <b:RefOrder>13</b:RefOrder>
  </b:Source>
  <b:Source>
    <b:Tag>Har131</b:Tag>
    <b:SourceType>Book</b:SourceType>
    <b:Guid>{6DB46E06-C759-E544-ADAD-01A370FA94CC}</b:Guid>
    <b:Title>Blackstone's police operational handbook: practice and procedure</b:Title>
    <b:City>Oxford</b:City>
    <b:Publisher>Oxford University Press</b:Publisher>
    <b:Year>2013</b:Year>
    <b:Edition>2nd Edition</b:Edition>
    <b:Author>
      <b:Author>
        <b:NameList>
          <b:Person>
            <b:Last>Harfield</b:Last>
            <b:First>Dr Clive</b:First>
          </b:Person>
        </b:NameList>
      </b:Author>
    </b:Author>
    <b:RefOrder>14</b:RefOrder>
  </b:Source>
  <b:Source>
    <b:Tag>Hev22</b:Tag>
    <b:SourceType>JournalArticle</b:SourceType>
    <b:Guid>{D0C9A4E9-B694-B741-B766-FE0710FFF504}</b:Guid>
    <b:Title>Community policing experience, public trust in the police, citizens' psychological safety and community well-being</b:Title>
    <b:Year>2022</b:Year>
    <b:JournalName>Safer communities</b:JournalName>
    <b:Volume>21</b:Volume>
    <b:Issue>2</b:Issue>
    <b:Pages>123-136</b:Pages>
    <b:Author>
      <b:Author>
        <b:NameList>
          <b:Person>
            <b:Last>Hevi</b:Last>
            <b:Middle>Selase</b:Middle>
            <b:First>Stewart</b:First>
          </b:Person>
          <b:Person>
            <b:Last>Ketemepi</b:Last>
            <b:Middle>Enyonam</b:Middle>
            <b:First>Gifty</b:First>
          </b:Person>
          <b:Person>
            <b:Last>Dorkoo</b:Last>
            <b:First>Caroline</b:First>
          </b:Person>
          <b:Person>
            <b:Last>Wuttor</b:Last>
            <b:First>Akorfa</b:First>
          </b:Person>
        </b:NameList>
      </b:Author>
    </b:Author>
    <b:RefOrder>15</b:RefOrder>
  </b:Source>
  <b:Source>
    <b:Tag>Mul22</b:Tag>
    <b:SourceType>JournalArticle</b:SourceType>
    <b:Guid>{7E490066-98FD-3F40-BCEA-3EB5607205E4}</b:Guid>
    <b:Title>How to prevent destruction- On the malleability of anti-social behavior</b:Title>
    <b:JournalName>Journal of behavioral and experimental economics</b:JournalName>
    <b:Year>2022</b:Year>
    <b:Volume>97</b:Volume>
    <b:Issue>1</b:Issue>
    <b:Pages>101-798</b:Pages>
    <b:Author>
      <b:Author>
        <b:NameList>
          <b:Person>
            <b:Last>Muller</b:Last>
            <b:First>Julia</b:First>
          </b:Person>
          <b:Person>
            <b:Last>Schwieren</b:Last>
            <b:First>Christiane</b:First>
          </b:Person>
          <b:Person>
            <b:Last>Spitzer</b:Last>
            <b:First>Florian</b:First>
          </b:Person>
        </b:NameList>
      </b:Author>
    </b:Author>
    <b:RefOrder>16</b:RefOrder>
  </b:Source>
  <b:Source>
    <b:Tag>Mac11</b:Tag>
    <b:SourceType>JournalArticle</b:SourceType>
    <b:Guid>{5CF3D7A5-0303-7249-9A90-6F25C26E74B7}</b:Guid>
    <b:Title>Classing early intervention: Social class, occupational moralities and criminalization</b:Title>
    <b:JournalName>Critical social policy</b:JournalName>
    <b:Year>2011</b:Year>
    <b:Volume>31</b:Volume>
    <b:Issue>4</b:Issue>
    <b:Pages>495-516</b:Pages>
    <b:Author>
      <b:Author>
        <b:NameList>
          <b:Person>
            <b:Last>Maccarthy</b:Last>
            <b:Middle>J</b:Middle>
            <b:First>Daniel</b:First>
          </b:Person>
        </b:NameList>
      </b:Author>
    </b:Author>
    <b:RefOrder>17</b:RefOrder>
  </b:Source>
  <b:Source>
    <b:Tag>Sto06</b:Tag>
    <b:SourceType>JournalArticle</b:SourceType>
    <b:Guid>{E60BF8DE-E19E-1842-B16B-C3FA3AE7059C}</b:Guid>
    <b:Title>Legal Commentary: 'Enforcement of Anti-social Behaviour Orders' and 'Discretion in Provision of Secure PACE Accomodation'</b:Title>
    <b:JournalName>Youth Justice</b:JournalName>
    <b:Year>2006</b:Year>
    <b:Volume>6</b:Volume>
    <b:Issue>3</b:Issue>
    <b:Pages>211-218</b:Pages>
    <b:Author>
      <b:Author>
        <b:NameList>
          <b:Person>
            <b:Last>Stone</b:Last>
            <b:First>Nigel</b:First>
          </b:Person>
        </b:NameList>
      </b:Author>
    </b:Author>
    <b:RefOrder>18</b:RefOrder>
  </b:Source>
  <b:Source>
    <b:Tag>Hea18</b:Tag>
    <b:SourceType>Book</b:SourceType>
    <b:Guid>{F3980A6A-28AF-9649-81D9-4492F8397EAD}</b:Guid>
    <b:Title>Conceptualising victims of anti-social behaviour is far from 'ideal'</b:Title>
    <b:Year>2018</b:Year>
    <b:Pages>211</b:Pages>
    <b:BookTitle>Conceptualising victims of anti-social behaviour is far from 'ideal'</b:BookTitle>
    <b:City>Bristol</b:City>
    <b:Publisher>Policy Press</b:Publisher>
    <b:Author>
      <b:Author>
        <b:NameList>
          <b:Person>
            <b:Last>Heap</b:Last>
            <b:First>Vicky</b:First>
          </b:Person>
        </b:NameList>
      </b:Author>
    </b:Author>
    <b:Edition>1st Edition</b:Edition>
    <b:RefOrder>19</b:RefOrder>
  </b:Source>
  <b:Source>
    <b:Tag>Hop15</b:Tag>
    <b:SourceType>JournalArticle</b:SourceType>
    <b:Guid>{B145F29A-172E-C547-9933-7C8B88EAA52F}</b:Guid>
    <b:Title>Anti-social behaviour, community and radical moral communitarianism</b:Title>
    <b:Year>2015</b:Year>
    <b:JournalName>Cogent social sciences</b:JournalName>
    <b:Volume>1</b:Volume>
    <b:Issue>1</b:Issue>
    <b:Pages>1-13</b:Pages>
    <b:Author>
      <b:Author>
        <b:NameList>
          <b:Person>
            <b:Last>Hopkins-Burke</b:Last>
            <b:First>Roger</b:First>
          </b:Person>
          <b:Person>
            <b:Last>Hodgson</b:Last>
            <b:First>Philip</b:First>
          </b:Person>
        </b:NameList>
      </b:Author>
    </b:Author>
    <b:RefOrder>20</b:RefOrder>
  </b:Source>
  <b:Source>
    <b:Tag>Bro13</b:Tag>
    <b:SourceType>JournalArticle</b:SourceType>
    <b:Guid>{46766D9C-876E-314F-AFB2-43A32730F967}</b:Guid>
    <b:Title>Young People, Anti-social Behaviour and Public Space: The Role of Community Wardens in Policing the 'ASBO Generation'</b:Title>
    <b:JournalName>Urban studies</b:JournalName>
    <b:Year>2013</b:Year>
    <b:Volume>50</b:Volume>
    <b:Issue>3</b:Issue>
    <b:Pages>538-555</b:Pages>
    <b:Author>
      <b:Author>
        <b:NameList>
          <b:Person>
            <b:Last>Brown</b:Last>
            <b:Middle>Marie</b:Middle>
            <b:First>Donna</b:First>
          </b:Person>
        </b:NameList>
      </b:Author>
    </b:Author>
    <b:RefOrder>21</b:RefOrder>
  </b:Source>
  <b:Source>
    <b:Tag>Ann18</b:Tag>
    <b:SourceType>JournalArticle</b:SourceType>
    <b:Guid>{89263B7D-047A-B240-A6B3-504059449A7A}</b:Guid>
    <b:Title>Exploration of joint working practices on anti-social bbehaviour between criminal justice, mental health and social care agencies: A qualitative study</b:Title>
    <b:JournalName>Health &amp; social care in the community</b:JournalName>
    <b:Year>2018</b:Year>
    <b:Volume>26</b:Volume>
    <b:Issue>3</b:Issue>
    <b:Pages>431-441</b:Pages>
    <b:Author>
      <b:Author>
        <b:NameList>
          <b:Person>
            <b:Last>Krayer</b:Last>
            <b:First>Anne</b:First>
          </b:Person>
          <b:Person>
            <b:Last>Robinson</b:Last>
            <b:First>Catherine</b:First>
            <b:Middle>A</b:Middle>
          </b:Person>
          <b:Person>
            <b:Last>Poole</b:Last>
            <b:First>Rob</b:First>
          </b:Person>
        </b:NameList>
      </b:Author>
    </b:Author>
    <b:RefOrder>22</b:RefOrder>
  </b:Source>
</b:Sources>
</file>

<file path=customXml/itemProps1.xml><?xml version="1.0" encoding="utf-8"?>
<ds:datastoreItem xmlns:ds="http://schemas.openxmlformats.org/officeDocument/2006/customXml" ds:itemID="{950BD25C-A90C-E645-94FF-6270FF702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7</Pages>
  <Words>3033</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An examination of how crime and anti-social behavior affects local communities.</vt:lpstr>
    </vt:vector>
  </TitlesOfParts>
  <Company/>
  <LinksUpToDate>false</LinksUpToDate>
  <CharactersWithSpaces>20287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examination of how crime and anti-social behaviour can effect local communities.</dc:title>
  <dc:subject>Policing in the public.</dc:subject>
  <dc:creator>Cerys Bowen (2203320)</dc:creator>
  <cp:keywords/>
  <dc:description/>
  <cp:lastModifiedBy>Cerys Bowen (2203320)</cp:lastModifiedBy>
  <cp:revision>22</cp:revision>
  <dcterms:created xsi:type="dcterms:W3CDTF">2023-10-11T09:37:00Z</dcterms:created>
  <dcterms:modified xsi:type="dcterms:W3CDTF">2023-11-07T19:09:00Z</dcterms:modified>
</cp:coreProperties>
</file>