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C040A5" w14:textId="31B0E504" w:rsidR="627DF818" w:rsidRDefault="627DF818" w:rsidP="627DF818">
      <w:pPr>
        <w:jc w:val="center"/>
        <w:rPr>
          <w:rFonts w:ascii="Arial" w:hAnsi="Arial" w:cs="Arial"/>
          <w:b/>
          <w:bCs/>
          <w:sz w:val="22"/>
        </w:rPr>
      </w:pPr>
    </w:p>
    <w:p w14:paraId="1DE3B6F3" w14:textId="16E7ABF6" w:rsidR="627DF818" w:rsidRDefault="627DF818" w:rsidP="627DF818">
      <w:pPr>
        <w:jc w:val="center"/>
        <w:rPr>
          <w:rFonts w:ascii="Arial" w:hAnsi="Arial" w:cs="Arial"/>
          <w:b/>
          <w:bCs/>
          <w:sz w:val="22"/>
        </w:rPr>
      </w:pPr>
    </w:p>
    <w:p w14:paraId="7660228D" w14:textId="3D86EDC4" w:rsidR="627DF818" w:rsidRDefault="627DF818" w:rsidP="627DF818">
      <w:pPr>
        <w:jc w:val="center"/>
        <w:rPr>
          <w:rFonts w:ascii="Arial" w:hAnsi="Arial" w:cs="Arial"/>
          <w:b/>
          <w:bCs/>
          <w:sz w:val="22"/>
        </w:rPr>
      </w:pPr>
    </w:p>
    <w:p w14:paraId="6688B568" w14:textId="3075A43C" w:rsidR="627DF818" w:rsidRDefault="627DF818" w:rsidP="627DF818">
      <w:pPr>
        <w:jc w:val="center"/>
        <w:rPr>
          <w:rFonts w:ascii="Arial" w:hAnsi="Arial" w:cs="Arial"/>
          <w:b/>
          <w:bCs/>
          <w:sz w:val="22"/>
        </w:rPr>
      </w:pPr>
    </w:p>
    <w:p w14:paraId="00CA2536" w14:textId="36546F85" w:rsidR="627DF818" w:rsidRDefault="627DF818" w:rsidP="627DF818">
      <w:pPr>
        <w:jc w:val="center"/>
        <w:rPr>
          <w:rFonts w:ascii="Arial" w:hAnsi="Arial" w:cs="Arial"/>
          <w:b/>
          <w:bCs/>
          <w:sz w:val="22"/>
        </w:rPr>
      </w:pPr>
    </w:p>
    <w:p w14:paraId="1F7B6549" w14:textId="4055F309" w:rsidR="627DF818" w:rsidRDefault="627DF818" w:rsidP="627DF818">
      <w:pPr>
        <w:jc w:val="center"/>
        <w:rPr>
          <w:rFonts w:ascii="Arial" w:hAnsi="Arial" w:cs="Arial"/>
          <w:b/>
          <w:bCs/>
          <w:sz w:val="22"/>
        </w:rPr>
      </w:pPr>
    </w:p>
    <w:p w14:paraId="0D8C089F" w14:textId="229B24EC" w:rsidR="00A75825" w:rsidRPr="00BD0B0E" w:rsidRDefault="5840A2B5" w:rsidP="627DF818">
      <w:pPr>
        <w:jc w:val="center"/>
        <w:rPr>
          <w:rFonts w:ascii="Arial" w:hAnsi="Arial" w:cs="Arial"/>
          <w:b/>
          <w:bCs/>
          <w:sz w:val="22"/>
        </w:rPr>
      </w:pPr>
      <w:r w:rsidRPr="627DF818">
        <w:rPr>
          <w:rFonts w:ascii="Arial" w:hAnsi="Arial" w:cs="Arial"/>
          <w:b/>
          <w:bCs/>
          <w:sz w:val="22"/>
        </w:rPr>
        <w:t>Name:</w:t>
      </w:r>
      <w:r w:rsidR="371EDC78" w:rsidRPr="627DF818">
        <w:rPr>
          <w:rFonts w:ascii="Arial" w:hAnsi="Arial" w:cs="Arial"/>
          <w:b/>
          <w:bCs/>
          <w:sz w:val="22"/>
        </w:rPr>
        <w:t xml:space="preserve"> </w:t>
      </w:r>
      <w:r w:rsidRPr="627DF818">
        <w:rPr>
          <w:rFonts w:ascii="Arial" w:hAnsi="Arial" w:cs="Arial"/>
          <w:b/>
          <w:bCs/>
          <w:sz w:val="22"/>
        </w:rPr>
        <w:t>Sirmenaz Bibi</w:t>
      </w:r>
    </w:p>
    <w:p w14:paraId="7AE85316" w14:textId="39CBD2A5" w:rsidR="000E076E" w:rsidRPr="00BD0B0E" w:rsidRDefault="5840A2B5" w:rsidP="627DF818">
      <w:pPr>
        <w:jc w:val="center"/>
        <w:rPr>
          <w:rFonts w:ascii="Arial" w:hAnsi="Arial" w:cs="Arial"/>
          <w:b/>
          <w:bCs/>
          <w:sz w:val="22"/>
        </w:rPr>
      </w:pPr>
      <w:r w:rsidRPr="627DF818">
        <w:rPr>
          <w:rFonts w:ascii="Arial" w:hAnsi="Arial" w:cs="Arial"/>
          <w:b/>
          <w:bCs/>
          <w:sz w:val="22"/>
        </w:rPr>
        <w:t>Student number:2232147</w:t>
      </w:r>
    </w:p>
    <w:p w14:paraId="15D1A687" w14:textId="2B833DCE" w:rsidR="000E076E" w:rsidRPr="00BD0B0E" w:rsidRDefault="27B99225" w:rsidP="627DF818">
      <w:pPr>
        <w:jc w:val="center"/>
        <w:rPr>
          <w:rFonts w:ascii="Arial" w:hAnsi="Arial" w:cs="Arial"/>
          <w:b/>
          <w:bCs/>
          <w:sz w:val="22"/>
        </w:rPr>
      </w:pPr>
      <w:r w:rsidRPr="627DF818">
        <w:rPr>
          <w:rFonts w:ascii="Arial" w:hAnsi="Arial" w:cs="Arial"/>
          <w:b/>
          <w:bCs/>
          <w:sz w:val="22"/>
        </w:rPr>
        <w:t>Module code: LCHS7003</w:t>
      </w:r>
    </w:p>
    <w:p w14:paraId="0AAE73C6" w14:textId="3E05A4E7" w:rsidR="005F57D3" w:rsidRPr="00BD0B0E" w:rsidRDefault="39E98D2B" w:rsidP="627DF818">
      <w:pPr>
        <w:jc w:val="center"/>
        <w:rPr>
          <w:rFonts w:ascii="Arial" w:hAnsi="Arial" w:cs="Arial"/>
          <w:b/>
          <w:bCs/>
          <w:sz w:val="22"/>
        </w:rPr>
      </w:pPr>
      <w:r w:rsidRPr="627DF818">
        <w:rPr>
          <w:rFonts w:ascii="Arial" w:hAnsi="Arial" w:cs="Arial"/>
          <w:b/>
          <w:bCs/>
          <w:sz w:val="22"/>
        </w:rPr>
        <w:t>Lecturer:</w:t>
      </w:r>
      <w:r w:rsidR="752547E2" w:rsidRPr="627DF818">
        <w:rPr>
          <w:rFonts w:ascii="Arial" w:hAnsi="Arial" w:cs="Arial"/>
          <w:b/>
          <w:bCs/>
          <w:sz w:val="22"/>
        </w:rPr>
        <w:t xml:space="preserve"> </w:t>
      </w:r>
      <w:r w:rsidRPr="627DF818">
        <w:rPr>
          <w:rFonts w:ascii="Arial" w:hAnsi="Arial" w:cs="Arial"/>
          <w:b/>
          <w:bCs/>
          <w:sz w:val="22"/>
        </w:rPr>
        <w:t xml:space="preserve">Dr </w:t>
      </w:r>
      <w:proofErr w:type="spellStart"/>
      <w:r w:rsidRPr="627DF818">
        <w:rPr>
          <w:rFonts w:ascii="Arial" w:hAnsi="Arial" w:cs="Arial"/>
          <w:b/>
          <w:bCs/>
          <w:sz w:val="22"/>
        </w:rPr>
        <w:t>Aishat</w:t>
      </w:r>
      <w:proofErr w:type="spellEnd"/>
      <w:r w:rsidRPr="627DF818">
        <w:rPr>
          <w:rFonts w:ascii="Arial" w:hAnsi="Arial" w:cs="Arial"/>
          <w:b/>
          <w:bCs/>
          <w:sz w:val="22"/>
        </w:rPr>
        <w:t xml:space="preserve"> </w:t>
      </w:r>
      <w:proofErr w:type="spellStart"/>
      <w:r w:rsidRPr="627DF818">
        <w:rPr>
          <w:rFonts w:ascii="Arial" w:hAnsi="Arial" w:cs="Arial"/>
          <w:b/>
          <w:bCs/>
          <w:sz w:val="22"/>
        </w:rPr>
        <w:t>Bakre</w:t>
      </w:r>
      <w:proofErr w:type="spellEnd"/>
    </w:p>
    <w:p w14:paraId="1CD130AE" w14:textId="10EA56AB" w:rsidR="005F57D3" w:rsidRPr="00BD0B0E" w:rsidRDefault="09225CA4" w:rsidP="627DF818">
      <w:pPr>
        <w:jc w:val="center"/>
        <w:rPr>
          <w:rFonts w:ascii="Arial" w:hAnsi="Arial" w:cs="Arial"/>
          <w:b/>
          <w:bCs/>
          <w:sz w:val="22"/>
        </w:rPr>
      </w:pPr>
      <w:r w:rsidRPr="627DF818">
        <w:rPr>
          <w:rFonts w:ascii="Arial" w:hAnsi="Arial" w:cs="Arial"/>
          <w:b/>
          <w:bCs/>
          <w:sz w:val="22"/>
        </w:rPr>
        <w:t>Assignment Title: Component 1</w:t>
      </w:r>
    </w:p>
    <w:p w14:paraId="1C36883F" w14:textId="5A861084" w:rsidR="003775E4" w:rsidRPr="00BD0B0E" w:rsidRDefault="3599B285" w:rsidP="627DF818">
      <w:pPr>
        <w:jc w:val="center"/>
        <w:rPr>
          <w:rFonts w:ascii="Arial" w:hAnsi="Arial" w:cs="Arial"/>
          <w:b/>
          <w:bCs/>
          <w:sz w:val="22"/>
        </w:rPr>
      </w:pPr>
      <w:r w:rsidRPr="627DF818">
        <w:rPr>
          <w:rFonts w:ascii="Arial" w:hAnsi="Arial" w:cs="Arial"/>
          <w:b/>
          <w:bCs/>
          <w:sz w:val="22"/>
        </w:rPr>
        <w:t>Information booklet of Long-term Condition Management</w:t>
      </w:r>
    </w:p>
    <w:p w14:paraId="54571310" w14:textId="77777777" w:rsidR="00EA7CBD" w:rsidRPr="004671D6" w:rsidRDefault="00EA7CBD" w:rsidP="627DF818">
      <w:pPr>
        <w:jc w:val="center"/>
        <w:rPr>
          <w:rFonts w:ascii="Arial" w:hAnsi="Arial" w:cs="Arial"/>
          <w:b/>
          <w:bCs/>
          <w:color w:val="2457A6"/>
          <w:sz w:val="22"/>
        </w:rPr>
      </w:pPr>
    </w:p>
    <w:p w14:paraId="2FB1CC43" w14:textId="76EF06D7" w:rsidR="001C5A47" w:rsidRPr="00BD0B0E" w:rsidRDefault="04C38BF0" w:rsidP="627DF818">
      <w:pPr>
        <w:rPr>
          <w:rFonts w:ascii="Arial" w:hAnsi="Arial" w:cs="Arial"/>
          <w:sz w:val="36"/>
          <w:szCs w:val="36"/>
        </w:rPr>
      </w:pPr>
      <w:r w:rsidRPr="627DF818">
        <w:rPr>
          <w:rFonts w:ascii="Arial" w:hAnsi="Arial" w:cs="Arial"/>
          <w:b/>
          <w:bCs/>
          <w:sz w:val="36"/>
          <w:szCs w:val="36"/>
        </w:rPr>
        <w:t>Living well with type 2 diabetes</w:t>
      </w:r>
    </w:p>
    <w:p w14:paraId="430CEF66" w14:textId="28D67F3F" w:rsidR="001C5A47" w:rsidRPr="004671D6" w:rsidRDefault="001C5A47">
      <w:pPr>
        <w:jc w:val="center"/>
        <w:rPr>
          <w:rFonts w:ascii="Arial" w:hAnsi="Arial" w:cs="Arial"/>
          <w:sz w:val="22"/>
        </w:rPr>
      </w:pPr>
    </w:p>
    <w:p w14:paraId="7C5EBDB3" w14:textId="73B7D14B" w:rsidR="001B2477" w:rsidRPr="004671D6" w:rsidRDefault="00F36EAF">
      <w:pPr>
        <w:rPr>
          <w:rFonts w:ascii="Arial" w:hAnsi="Arial" w:cs="Arial"/>
          <w:sz w:val="22"/>
        </w:rPr>
      </w:pPr>
      <w:r w:rsidRPr="004671D6">
        <w:rPr>
          <w:rFonts w:ascii="Arial" w:hAnsi="Arial" w:cs="Arial"/>
          <w:noProof/>
          <w:sz w:val="22"/>
        </w:rPr>
        <w:drawing>
          <wp:anchor distT="0" distB="0" distL="114300" distR="114300" simplePos="0" relativeHeight="251658240" behindDoc="1" locked="0" layoutInCell="1" allowOverlap="1" wp14:anchorId="5DAAE021" wp14:editId="3AA456C1">
            <wp:simplePos x="0" y="0"/>
            <wp:positionH relativeFrom="column">
              <wp:posOffset>-99060</wp:posOffset>
            </wp:positionH>
            <wp:positionV relativeFrom="paragraph">
              <wp:posOffset>95250</wp:posOffset>
            </wp:positionV>
            <wp:extent cx="6174105" cy="3528060"/>
            <wp:effectExtent l="0" t="0" r="0" b="0"/>
            <wp:wrapNone/>
            <wp:docPr id="19400861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74105" cy="3528060"/>
                    </a:xfrm>
                    <a:prstGeom prst="rect">
                      <a:avLst/>
                    </a:prstGeom>
                    <a:noFill/>
                  </pic:spPr>
                </pic:pic>
              </a:graphicData>
            </a:graphic>
            <wp14:sizeRelH relativeFrom="page">
              <wp14:pctWidth>0</wp14:pctWidth>
            </wp14:sizeRelH>
            <wp14:sizeRelV relativeFrom="page">
              <wp14:pctHeight>0</wp14:pctHeight>
            </wp14:sizeRelV>
          </wp:anchor>
        </w:drawing>
      </w:r>
    </w:p>
    <w:p w14:paraId="79977A1C" w14:textId="77777777" w:rsidR="001B2477" w:rsidRPr="004671D6" w:rsidRDefault="001B2477">
      <w:pPr>
        <w:rPr>
          <w:rFonts w:ascii="Arial" w:hAnsi="Arial" w:cs="Arial"/>
          <w:sz w:val="22"/>
        </w:rPr>
      </w:pPr>
    </w:p>
    <w:p w14:paraId="50964AE5" w14:textId="77777777" w:rsidR="001B2477" w:rsidRPr="004671D6" w:rsidRDefault="001B2477">
      <w:pPr>
        <w:rPr>
          <w:rFonts w:ascii="Arial" w:hAnsi="Arial" w:cs="Arial"/>
          <w:sz w:val="22"/>
        </w:rPr>
      </w:pPr>
    </w:p>
    <w:p w14:paraId="6D3A51CF" w14:textId="77777777" w:rsidR="001B2477" w:rsidRPr="004671D6" w:rsidRDefault="001B2477">
      <w:pPr>
        <w:rPr>
          <w:rFonts w:ascii="Arial" w:hAnsi="Arial" w:cs="Arial"/>
          <w:sz w:val="22"/>
        </w:rPr>
      </w:pPr>
    </w:p>
    <w:p w14:paraId="3DE83F35" w14:textId="77777777" w:rsidR="001B2477" w:rsidRPr="004671D6" w:rsidRDefault="001B2477">
      <w:pPr>
        <w:rPr>
          <w:rFonts w:ascii="Arial" w:hAnsi="Arial" w:cs="Arial"/>
          <w:sz w:val="22"/>
        </w:rPr>
      </w:pPr>
    </w:p>
    <w:p w14:paraId="1C3A8DC5" w14:textId="77777777" w:rsidR="001B2477" w:rsidRPr="004671D6" w:rsidRDefault="001B2477">
      <w:pPr>
        <w:rPr>
          <w:rFonts w:ascii="Arial" w:hAnsi="Arial" w:cs="Arial"/>
          <w:sz w:val="22"/>
        </w:rPr>
      </w:pPr>
    </w:p>
    <w:p w14:paraId="57E97F44" w14:textId="77777777" w:rsidR="001B2477" w:rsidRPr="004671D6" w:rsidRDefault="001B2477">
      <w:pPr>
        <w:rPr>
          <w:rFonts w:ascii="Arial" w:hAnsi="Arial" w:cs="Arial"/>
          <w:sz w:val="22"/>
        </w:rPr>
      </w:pPr>
    </w:p>
    <w:p w14:paraId="0A7563C1" w14:textId="77777777" w:rsidR="001B2477" w:rsidRPr="004671D6" w:rsidRDefault="001B2477">
      <w:pPr>
        <w:rPr>
          <w:rFonts w:ascii="Arial" w:hAnsi="Arial" w:cs="Arial"/>
          <w:sz w:val="22"/>
        </w:rPr>
      </w:pPr>
    </w:p>
    <w:p w14:paraId="655A224D" w14:textId="77777777" w:rsidR="001B2477" w:rsidRPr="004671D6" w:rsidRDefault="001B2477">
      <w:pPr>
        <w:rPr>
          <w:rFonts w:ascii="Arial" w:hAnsi="Arial" w:cs="Arial"/>
          <w:sz w:val="22"/>
        </w:rPr>
      </w:pPr>
    </w:p>
    <w:p w14:paraId="0F959ADB" w14:textId="77777777" w:rsidR="001B2477" w:rsidRPr="004671D6" w:rsidRDefault="001B2477">
      <w:pPr>
        <w:rPr>
          <w:rFonts w:ascii="Arial" w:hAnsi="Arial" w:cs="Arial"/>
          <w:sz w:val="22"/>
        </w:rPr>
      </w:pPr>
    </w:p>
    <w:p w14:paraId="54910281" w14:textId="77777777" w:rsidR="001B2477" w:rsidRPr="004671D6" w:rsidRDefault="001B2477">
      <w:pPr>
        <w:rPr>
          <w:rFonts w:ascii="Arial" w:hAnsi="Arial" w:cs="Arial"/>
          <w:sz w:val="22"/>
        </w:rPr>
      </w:pPr>
    </w:p>
    <w:p w14:paraId="32316E56" w14:textId="77777777" w:rsidR="001B2477" w:rsidRPr="004671D6" w:rsidRDefault="001B2477">
      <w:pPr>
        <w:rPr>
          <w:rFonts w:ascii="Arial" w:hAnsi="Arial" w:cs="Arial"/>
          <w:sz w:val="22"/>
        </w:rPr>
      </w:pPr>
    </w:p>
    <w:p w14:paraId="5D3217E0" w14:textId="0BD435F2" w:rsidR="00F36EAF" w:rsidRPr="004671D6" w:rsidRDefault="00F36EAF">
      <w:pPr>
        <w:rPr>
          <w:rFonts w:ascii="Arial" w:hAnsi="Arial" w:cs="Arial"/>
          <w:sz w:val="22"/>
        </w:rPr>
      </w:pPr>
      <w:r w:rsidRPr="004671D6">
        <w:rPr>
          <w:rFonts w:ascii="Arial" w:hAnsi="Arial" w:cs="Arial"/>
          <w:sz w:val="22"/>
        </w:rPr>
        <w:t>News-Medical (2026)</w:t>
      </w:r>
    </w:p>
    <w:p w14:paraId="25221773" w14:textId="0E727480" w:rsidR="001C5A47" w:rsidRPr="00FE5CAA" w:rsidRDefault="04C38BF0" w:rsidP="627DF818">
      <w:pPr>
        <w:rPr>
          <w:rFonts w:ascii="Arial" w:eastAsia="Arial" w:hAnsi="Arial" w:cs="Arial"/>
          <w:b/>
          <w:bCs/>
          <w:sz w:val="22"/>
        </w:rPr>
      </w:pPr>
      <w:r w:rsidRPr="627DF818">
        <w:rPr>
          <w:rFonts w:ascii="Arial" w:hAnsi="Arial" w:cs="Arial"/>
          <w:b/>
          <w:bCs/>
          <w:sz w:val="22"/>
        </w:rPr>
        <w:t>1. Purpose and scope</w:t>
      </w:r>
    </w:p>
    <w:p w14:paraId="66120489" w14:textId="503976B7" w:rsidR="001C5A47" w:rsidRPr="004671D6" w:rsidRDefault="04C38BF0" w:rsidP="627DF818">
      <w:pPr>
        <w:pStyle w:val="Heading1"/>
        <w:spacing w:line="360" w:lineRule="auto"/>
        <w:rPr>
          <w:rFonts w:ascii="Arial" w:hAnsi="Arial" w:cs="Arial"/>
          <w:color w:val="auto"/>
          <w:sz w:val="22"/>
          <w:szCs w:val="22"/>
        </w:rPr>
      </w:pPr>
      <w:r w:rsidRPr="627DF818">
        <w:rPr>
          <w:rFonts w:ascii="Arial" w:hAnsi="Arial" w:cs="Arial"/>
          <w:color w:val="auto"/>
          <w:sz w:val="22"/>
          <w:szCs w:val="22"/>
        </w:rPr>
        <w:t xml:space="preserve">2. Definition, </w:t>
      </w:r>
      <w:r w:rsidR="0CE76432" w:rsidRPr="627DF818">
        <w:rPr>
          <w:rFonts w:ascii="Arial" w:hAnsi="Arial" w:cs="Arial"/>
          <w:color w:val="auto"/>
          <w:sz w:val="22"/>
          <w:szCs w:val="22"/>
        </w:rPr>
        <w:t>burden,</w:t>
      </w:r>
      <w:r w:rsidRPr="627DF818">
        <w:rPr>
          <w:rFonts w:ascii="Arial" w:hAnsi="Arial" w:cs="Arial"/>
          <w:color w:val="auto"/>
          <w:sz w:val="22"/>
          <w:szCs w:val="22"/>
        </w:rPr>
        <w:t xml:space="preserve"> and risk</w:t>
      </w:r>
    </w:p>
    <w:p w14:paraId="6196935F" w14:textId="7614820F" w:rsidR="00BB5152" w:rsidRPr="004671D6" w:rsidRDefault="6C029B1F" w:rsidP="6A9355C1">
      <w:pPr>
        <w:spacing w:line="360" w:lineRule="auto"/>
        <w:rPr>
          <w:rFonts w:ascii="Arial" w:hAnsi="Arial" w:cs="Arial"/>
          <w:sz w:val="22"/>
        </w:rPr>
      </w:pPr>
      <w:r w:rsidRPr="6A9355C1">
        <w:rPr>
          <w:rFonts w:ascii="Arial" w:hAnsi="Arial" w:cs="Arial"/>
          <w:sz w:val="22"/>
        </w:rPr>
        <w:t>Type 2 diabetes is a persistent metabolic disorder characteri</w:t>
      </w:r>
      <w:r w:rsidR="03BAB65D" w:rsidRPr="6A9355C1">
        <w:rPr>
          <w:rFonts w:ascii="Arial" w:hAnsi="Arial" w:cs="Arial"/>
          <w:sz w:val="22"/>
        </w:rPr>
        <w:t>s</w:t>
      </w:r>
      <w:r w:rsidRPr="6A9355C1">
        <w:rPr>
          <w:rFonts w:ascii="Arial" w:hAnsi="Arial" w:cs="Arial"/>
          <w:sz w:val="22"/>
        </w:rPr>
        <w:t xml:space="preserve">ed by insulin resistance and a relative deficiency of insulin, resulting in sustained high blood sugar levels. This condition is prevalent, incurs significant economic burdens, and is markedly influenced by social disparities. Importantly, it is frequently preventable or can be partially reversed in its </w:t>
      </w:r>
      <w:r w:rsidR="2C74406B" w:rsidRPr="6A9355C1">
        <w:rPr>
          <w:rFonts w:ascii="Arial" w:hAnsi="Arial" w:cs="Arial"/>
          <w:sz w:val="22"/>
        </w:rPr>
        <w:t>first</w:t>
      </w:r>
      <w:r w:rsidRPr="6A9355C1">
        <w:rPr>
          <w:rFonts w:ascii="Arial" w:hAnsi="Arial" w:cs="Arial"/>
          <w:sz w:val="22"/>
        </w:rPr>
        <w:t xml:space="preserve"> stages through rigorous lifestyle modifications and weight management (World Health Organi</w:t>
      </w:r>
      <w:r w:rsidR="7B5928E9" w:rsidRPr="6A9355C1">
        <w:rPr>
          <w:rFonts w:ascii="Arial" w:hAnsi="Arial" w:cs="Arial"/>
          <w:sz w:val="22"/>
        </w:rPr>
        <w:t>s</w:t>
      </w:r>
      <w:r w:rsidRPr="6A9355C1">
        <w:rPr>
          <w:rFonts w:ascii="Arial" w:hAnsi="Arial" w:cs="Arial"/>
          <w:sz w:val="22"/>
        </w:rPr>
        <w:t>ation, 2024; Lean et al., 2018</w:t>
      </w:r>
      <w:r w:rsidR="764E197A" w:rsidRPr="6A9355C1">
        <w:rPr>
          <w:rFonts w:ascii="Arial" w:hAnsi="Arial" w:cs="Arial"/>
          <w:sz w:val="22"/>
        </w:rPr>
        <w:t>,</w:t>
      </w:r>
      <w:r w:rsidRPr="6A9355C1">
        <w:rPr>
          <w:rFonts w:ascii="Arial" w:hAnsi="Arial" w:cs="Arial"/>
          <w:sz w:val="22"/>
        </w:rPr>
        <w:t xml:space="preserve"> NHS England, 2024).</w:t>
      </w:r>
    </w:p>
    <w:p w14:paraId="272C0F96" w14:textId="62D44B2A" w:rsidR="00BB5152" w:rsidRPr="004671D6" w:rsidRDefault="57546BB2" w:rsidP="3071EA5E">
      <w:pPr>
        <w:spacing w:line="360" w:lineRule="auto"/>
        <w:rPr>
          <w:rFonts w:ascii="Arial" w:hAnsi="Arial" w:cs="Arial"/>
          <w:sz w:val="22"/>
        </w:rPr>
      </w:pPr>
      <w:r w:rsidRPr="3071EA5E">
        <w:rPr>
          <w:rFonts w:ascii="Arial" w:hAnsi="Arial" w:cs="Arial"/>
          <w:sz w:val="22"/>
        </w:rPr>
        <w:t xml:space="preserve">Type 2 diabetes </w:t>
      </w:r>
      <w:r w:rsidR="0F41C3B7" w:rsidRPr="3071EA5E">
        <w:rPr>
          <w:rFonts w:ascii="Arial" w:hAnsi="Arial" w:cs="Arial"/>
          <w:sz w:val="22"/>
        </w:rPr>
        <w:t>are</w:t>
      </w:r>
      <w:r w:rsidRPr="3071EA5E">
        <w:rPr>
          <w:rFonts w:ascii="Arial" w:hAnsi="Arial" w:cs="Arial"/>
          <w:sz w:val="22"/>
        </w:rPr>
        <w:t xml:space="preserve"> typically identified </w:t>
      </w:r>
      <w:r w:rsidR="55B965B2" w:rsidRPr="3071EA5E">
        <w:rPr>
          <w:rFonts w:ascii="Arial" w:hAnsi="Arial" w:cs="Arial"/>
          <w:sz w:val="22"/>
        </w:rPr>
        <w:t>using</w:t>
      </w:r>
      <w:r w:rsidRPr="3071EA5E">
        <w:rPr>
          <w:rFonts w:ascii="Arial" w:hAnsi="Arial" w:cs="Arial"/>
          <w:sz w:val="22"/>
        </w:rPr>
        <w:t xml:space="preserve"> HbA1c measurements, fasting plasma glucose levels, or oral glucose tolerance tests, with </w:t>
      </w:r>
      <w:r w:rsidR="4DF7E8F2" w:rsidRPr="3071EA5E">
        <w:rPr>
          <w:rFonts w:ascii="Arial" w:hAnsi="Arial" w:cs="Arial"/>
          <w:sz w:val="22"/>
        </w:rPr>
        <w:t>added</w:t>
      </w:r>
      <w:r w:rsidRPr="3071EA5E">
        <w:rPr>
          <w:rFonts w:ascii="Arial" w:hAnsi="Arial" w:cs="Arial"/>
          <w:sz w:val="22"/>
        </w:rPr>
        <w:t xml:space="preserve"> </w:t>
      </w:r>
      <w:r w:rsidR="4DF7E8F2" w:rsidRPr="3071EA5E">
        <w:rPr>
          <w:rFonts w:ascii="Arial" w:hAnsi="Arial" w:cs="Arial"/>
          <w:sz w:val="22"/>
        </w:rPr>
        <w:t>confirmation,</w:t>
      </w:r>
      <w:r w:rsidRPr="3071EA5E">
        <w:rPr>
          <w:rFonts w:ascii="Arial" w:hAnsi="Arial" w:cs="Arial"/>
          <w:sz w:val="22"/>
        </w:rPr>
        <w:t xml:space="preserve"> as necessary. The management of this condition is tailored to the individual</w:t>
      </w:r>
      <w:r w:rsidR="653AF0C0" w:rsidRPr="587A2223">
        <w:rPr>
          <w:rFonts w:ascii="Arial" w:hAnsi="Arial" w:cs="Arial"/>
          <w:sz w:val="22"/>
        </w:rPr>
        <w:t>,</w:t>
      </w:r>
      <w:r w:rsidRPr="3071EA5E">
        <w:rPr>
          <w:rFonts w:ascii="Arial" w:hAnsi="Arial" w:cs="Arial"/>
          <w:sz w:val="22"/>
        </w:rPr>
        <w:t xml:space="preserve"> the objective is not merely to achieve a specific numerical target but to alleviate symptoms, avert complications, maintain functional capacity, ensure safety from hypoglycemia, and align treatment with the individual's personal goals (NICE, 2026</w:t>
      </w:r>
      <w:r w:rsidR="314185C7" w:rsidRPr="587A2223">
        <w:rPr>
          <w:rFonts w:ascii="Arial" w:hAnsi="Arial" w:cs="Arial"/>
          <w:sz w:val="22"/>
        </w:rPr>
        <w:t>,</w:t>
      </w:r>
      <w:r w:rsidRPr="3071EA5E">
        <w:rPr>
          <w:rFonts w:ascii="Arial" w:hAnsi="Arial" w:cs="Arial"/>
          <w:sz w:val="22"/>
        </w:rPr>
        <w:t xml:space="preserve"> Davies et al., 2018).</w:t>
      </w:r>
    </w:p>
    <w:p w14:paraId="707E2A6F" w14:textId="71CD1A34" w:rsidR="001C5A47" w:rsidRPr="004671D6" w:rsidRDefault="04C38BF0" w:rsidP="627DF818">
      <w:pPr>
        <w:pStyle w:val="Heading2"/>
        <w:spacing w:line="360" w:lineRule="auto"/>
        <w:rPr>
          <w:rFonts w:ascii="Arial" w:hAnsi="Arial" w:cs="Arial"/>
          <w:color w:val="auto"/>
          <w:sz w:val="22"/>
          <w:szCs w:val="22"/>
        </w:rPr>
      </w:pPr>
      <w:r w:rsidRPr="627DF818">
        <w:rPr>
          <w:rFonts w:ascii="Arial" w:hAnsi="Arial" w:cs="Arial"/>
          <w:color w:val="auto"/>
          <w:sz w:val="22"/>
          <w:szCs w:val="22"/>
        </w:rPr>
        <w:t xml:space="preserve">2.2 </w:t>
      </w:r>
      <w:r w:rsidR="1F2E0184" w:rsidRPr="627DF818">
        <w:rPr>
          <w:rFonts w:ascii="Arial" w:hAnsi="Arial" w:cs="Arial"/>
          <w:color w:val="auto"/>
          <w:sz w:val="22"/>
          <w:szCs w:val="22"/>
        </w:rPr>
        <w:t xml:space="preserve">Worldwide and UK </w:t>
      </w:r>
      <w:r w:rsidRPr="627DF818">
        <w:rPr>
          <w:rFonts w:ascii="Arial" w:hAnsi="Arial" w:cs="Arial"/>
          <w:color w:val="auto"/>
          <w:sz w:val="22"/>
          <w:szCs w:val="22"/>
        </w:rPr>
        <w:t>Burden and prevalence</w:t>
      </w:r>
    </w:p>
    <w:p w14:paraId="5F00C111" w14:textId="60F775A5" w:rsidR="00BB6D4F" w:rsidRPr="004671D6" w:rsidRDefault="2032C649" w:rsidP="3071EA5E">
      <w:pPr>
        <w:spacing w:line="360" w:lineRule="auto"/>
        <w:rPr>
          <w:rFonts w:ascii="Arial" w:hAnsi="Arial" w:cs="Arial"/>
          <w:sz w:val="22"/>
        </w:rPr>
      </w:pPr>
      <w:r w:rsidRPr="3071EA5E">
        <w:rPr>
          <w:rFonts w:ascii="Arial" w:hAnsi="Arial" w:cs="Arial"/>
          <w:sz w:val="22"/>
        </w:rPr>
        <w:t>Global estimates of</w:t>
      </w:r>
      <w:r w:rsidRPr="3071EA5E">
        <w:rPr>
          <w:rFonts w:ascii="Arial" w:hAnsi="Arial" w:cs="Arial"/>
          <w:color w:val="000000" w:themeColor="text1"/>
          <w:sz w:val="22"/>
        </w:rPr>
        <w:t xml:space="preserve"> </w:t>
      </w:r>
      <w:r w:rsidR="008F700C" w:rsidRPr="3071EA5E">
        <w:rPr>
          <w:rFonts w:ascii="Arial" w:hAnsi="Arial" w:cs="Arial"/>
          <w:color w:val="000000" w:themeColor="text1"/>
          <w:sz w:val="22"/>
        </w:rPr>
        <w:t xml:space="preserve">type 2 </w:t>
      </w:r>
      <w:r w:rsidR="4094D5CE" w:rsidRPr="3071EA5E">
        <w:rPr>
          <w:rFonts w:ascii="Arial" w:hAnsi="Arial" w:cs="Arial"/>
          <w:color w:val="000000" w:themeColor="text1"/>
          <w:sz w:val="22"/>
        </w:rPr>
        <w:t>diabetes</w:t>
      </w:r>
      <w:r w:rsidRPr="3071EA5E">
        <w:rPr>
          <w:rFonts w:ascii="Arial" w:hAnsi="Arial" w:cs="Arial"/>
          <w:color w:val="FF0000"/>
          <w:sz w:val="22"/>
        </w:rPr>
        <w:t xml:space="preserve"> </w:t>
      </w:r>
      <w:r w:rsidRPr="3071EA5E">
        <w:rPr>
          <w:rFonts w:ascii="Arial" w:hAnsi="Arial" w:cs="Arial"/>
          <w:sz w:val="22"/>
        </w:rPr>
        <w:t xml:space="preserve">prevalence vary depending on the </w:t>
      </w:r>
      <w:r w:rsidR="673C496D" w:rsidRPr="3071EA5E">
        <w:rPr>
          <w:rFonts w:ascii="Arial" w:hAnsi="Arial" w:cs="Arial"/>
          <w:sz w:val="22"/>
        </w:rPr>
        <w:t>method</w:t>
      </w:r>
      <w:r w:rsidRPr="3071EA5E">
        <w:rPr>
          <w:rFonts w:ascii="Arial" w:hAnsi="Arial" w:cs="Arial"/>
          <w:sz w:val="22"/>
        </w:rPr>
        <w:t xml:space="preserve"> employed. The International Diabetes Federation (IDF) projected that in 2024, approximately 589 million adults aged 20 to 79 would be living with diabetes, with expectations to rise to 853 million by 2050</w:t>
      </w:r>
      <w:r w:rsidRPr="3071EA5E">
        <w:rPr>
          <w:rFonts w:ascii="Arial" w:hAnsi="Arial" w:cs="Arial"/>
          <w:color w:val="FF0000"/>
          <w:sz w:val="22"/>
        </w:rPr>
        <w:t>;</w:t>
      </w:r>
      <w:r w:rsidRPr="3071EA5E">
        <w:rPr>
          <w:rFonts w:ascii="Arial" w:hAnsi="Arial" w:cs="Arial"/>
          <w:sz w:val="22"/>
        </w:rPr>
        <w:t xml:space="preserve"> </w:t>
      </w:r>
      <w:r w:rsidR="7B5928E9" w:rsidRPr="3071EA5E">
        <w:rPr>
          <w:rFonts w:ascii="Arial" w:hAnsi="Arial" w:cs="Arial"/>
          <w:sz w:val="22"/>
        </w:rPr>
        <w:t>most of</w:t>
      </w:r>
      <w:r w:rsidRPr="3071EA5E">
        <w:rPr>
          <w:rFonts w:ascii="Arial" w:hAnsi="Arial" w:cs="Arial"/>
          <w:sz w:val="22"/>
        </w:rPr>
        <w:t xml:space="preserve"> these individuals reside in low- and middle-income nations (International Diabetes Federation, 2025). A comprehensive analysis of population-representative studies indicated that there were about 828 million individuals with diabetes in 2022, along with a rising age-standardized prevalence, highlighting an increase in cases even when adjusting for population aging (Zhou et al., 2024).</w:t>
      </w:r>
    </w:p>
    <w:p w14:paraId="2CFA8081" w14:textId="2E02576D" w:rsidR="00BB6D4F" w:rsidRPr="004671D6" w:rsidRDefault="2032C649" w:rsidP="627DF818">
      <w:pPr>
        <w:spacing w:line="360" w:lineRule="auto"/>
      </w:pPr>
      <w:r w:rsidRPr="627DF818">
        <w:rPr>
          <w:rFonts w:ascii="Arial" w:hAnsi="Arial" w:cs="Arial"/>
          <w:sz w:val="22"/>
        </w:rPr>
        <w:t xml:space="preserve">In the United Kingdom, Diabetes UK estimates that </w:t>
      </w:r>
      <w:r w:rsidR="317DFF24" w:rsidRPr="627DF818">
        <w:rPr>
          <w:rFonts w:ascii="Arial" w:hAnsi="Arial" w:cs="Arial"/>
          <w:sz w:val="22"/>
        </w:rPr>
        <w:t>6</w:t>
      </w:r>
      <w:r w:rsidRPr="627DF818">
        <w:rPr>
          <w:rFonts w:ascii="Arial" w:hAnsi="Arial" w:cs="Arial"/>
          <w:sz w:val="22"/>
        </w:rPr>
        <w:t xml:space="preserve"> million individuals are affected by diabetes; over 4.7 million have received a formal diagnosis, while approximately 1.3 million may be living with undiagnosed type 2 diabetes (Diabetes UK, 2026). NHS Digital reported that as of the fiscal year 2024/25, there were 3,713,155 people diagnosed with type 2 diabetes in England (NHS Digital, 2026).</w:t>
      </w:r>
    </w:p>
    <w:p w14:paraId="4D05CBF0" w14:textId="277C2B4F" w:rsidR="00BB6D4F" w:rsidRPr="004671D6" w:rsidRDefault="2032C649" w:rsidP="627DF818">
      <w:pPr>
        <w:spacing w:line="360" w:lineRule="auto"/>
        <w:rPr>
          <w:rFonts w:ascii="Arial" w:hAnsi="Arial" w:cs="Arial"/>
          <w:sz w:val="22"/>
        </w:rPr>
      </w:pPr>
      <w:r w:rsidRPr="627DF818">
        <w:rPr>
          <w:rFonts w:ascii="Arial" w:hAnsi="Arial" w:cs="Arial"/>
          <w:sz w:val="22"/>
        </w:rPr>
        <w:t>As of March 2024, the recorded prevalence of type 2 diabetes among adults by general practitioners in England was noted to be at 7.0%. Furthermore, it was estimated that the combined diagnosed and undiagnosed prevalence for those aged 16 and older reached approximately 7.8% in 2021 (Office for Health Improvement and Disparities, 2025).</w:t>
      </w:r>
    </w:p>
    <w:p w14:paraId="69C20B21" w14:textId="75E326B4" w:rsidR="001C5A47" w:rsidRPr="004671D6" w:rsidRDefault="04C38BF0" w:rsidP="627DF818">
      <w:pPr>
        <w:pStyle w:val="Heading2"/>
        <w:spacing w:line="360" w:lineRule="auto"/>
        <w:rPr>
          <w:rFonts w:ascii="Arial" w:hAnsi="Arial" w:cs="Arial"/>
          <w:color w:val="auto"/>
          <w:sz w:val="22"/>
          <w:szCs w:val="22"/>
        </w:rPr>
      </w:pPr>
      <w:r w:rsidRPr="627DF818">
        <w:rPr>
          <w:rFonts w:ascii="Arial" w:hAnsi="Arial" w:cs="Arial"/>
          <w:color w:val="auto"/>
          <w:sz w:val="22"/>
          <w:szCs w:val="22"/>
        </w:rPr>
        <w:t xml:space="preserve">2.3 Risk factors and </w:t>
      </w:r>
      <w:r w:rsidR="17F5BCB7" w:rsidRPr="627DF818">
        <w:rPr>
          <w:rFonts w:ascii="Arial" w:hAnsi="Arial" w:cs="Arial"/>
          <w:color w:val="auto"/>
          <w:sz w:val="22"/>
          <w:szCs w:val="22"/>
        </w:rPr>
        <w:t>etiology</w:t>
      </w:r>
    </w:p>
    <w:p w14:paraId="4CA84B8E" w14:textId="6FBBF635" w:rsidR="00FB5DA9" w:rsidRDefault="703D50DF" w:rsidP="627DF818">
      <w:pPr>
        <w:spacing w:line="360" w:lineRule="auto"/>
        <w:rPr>
          <w:rFonts w:ascii="Arial" w:hAnsi="Arial" w:cs="Arial"/>
          <w:sz w:val="22"/>
        </w:rPr>
      </w:pPr>
      <w:r w:rsidRPr="627DF818">
        <w:rPr>
          <w:rFonts w:ascii="Arial" w:hAnsi="Arial" w:cs="Arial"/>
          <w:sz w:val="22"/>
        </w:rPr>
        <w:t>Type 2 diabetes results from the interplay between genetic predisposition and environmental factors. Significant modifiable risk factors include overweight or obesity</w:t>
      </w:r>
      <w:r w:rsidR="4EC29691" w:rsidRPr="627DF818">
        <w:rPr>
          <w:rFonts w:ascii="Arial" w:hAnsi="Arial" w:cs="Arial"/>
          <w:sz w:val="22"/>
        </w:rPr>
        <w:t xml:space="preserve"> </w:t>
      </w:r>
      <w:r w:rsidRPr="627DF818">
        <w:rPr>
          <w:rFonts w:ascii="Arial" w:hAnsi="Arial" w:cs="Arial"/>
          <w:sz w:val="22"/>
        </w:rPr>
        <w:t>particularly central fat accumulation</w:t>
      </w:r>
      <w:r w:rsidR="0FBED372" w:rsidRPr="627DF818">
        <w:rPr>
          <w:rFonts w:ascii="Arial" w:hAnsi="Arial" w:cs="Arial"/>
          <w:sz w:val="22"/>
        </w:rPr>
        <w:t xml:space="preserve"> </w:t>
      </w:r>
      <w:r w:rsidRPr="627DF818">
        <w:rPr>
          <w:rFonts w:ascii="Arial" w:hAnsi="Arial" w:cs="Arial"/>
          <w:sz w:val="22"/>
        </w:rPr>
        <w:t>se</w:t>
      </w:r>
      <w:r w:rsidRPr="0838B351">
        <w:rPr>
          <w:rFonts w:ascii="Arial" w:hAnsi="Arial" w:cs="Arial"/>
          <w:sz w:val="22"/>
        </w:rPr>
        <w:t>dentary behavior, poor dietary habits, tobacco use, excessive alcohol consumption, inadequate sleep, and socio-environmental influences such as poverty, food insecurity, irregular work hours, and environments conducive to obesity</w:t>
      </w:r>
      <w:r w:rsidRPr="627DF818">
        <w:rPr>
          <w:rFonts w:ascii="Arial" w:hAnsi="Arial" w:cs="Arial"/>
          <w:sz w:val="22"/>
        </w:rPr>
        <w:t xml:space="preserve"> (World Health </w:t>
      </w:r>
      <w:proofErr w:type="spellStart"/>
      <w:r w:rsidRPr="627DF818">
        <w:rPr>
          <w:rFonts w:ascii="Arial" w:hAnsi="Arial" w:cs="Arial"/>
          <w:sz w:val="22"/>
        </w:rPr>
        <w:t>Organi</w:t>
      </w:r>
      <w:r w:rsidR="33E47755" w:rsidRPr="627DF818">
        <w:rPr>
          <w:rFonts w:ascii="Arial" w:hAnsi="Arial" w:cs="Arial"/>
          <w:sz w:val="22"/>
        </w:rPr>
        <w:t>s</w:t>
      </w:r>
      <w:r w:rsidRPr="627DF818">
        <w:rPr>
          <w:rFonts w:ascii="Arial" w:hAnsi="Arial" w:cs="Arial"/>
          <w:sz w:val="22"/>
        </w:rPr>
        <w:t>ation</w:t>
      </w:r>
      <w:proofErr w:type="spellEnd"/>
      <w:r w:rsidRPr="627DF818">
        <w:rPr>
          <w:rFonts w:ascii="Arial" w:hAnsi="Arial" w:cs="Arial"/>
          <w:sz w:val="22"/>
        </w:rPr>
        <w:t>, 2024; Marmot, 2010). Conversely, non-modifiable or less easily modified risk factors encompass age, family history of diabetes, ethnicity (with heightened risk observed in South Asian, Black African/Caribbean populations and certain other minority ethnic groups), a history of gestational diabetes, and low birth weight or early life conditions (Diabetes UK, 2026).</w:t>
      </w:r>
    </w:p>
    <w:p w14:paraId="5ED5560D" w14:textId="0997769E" w:rsidR="00B73FF9" w:rsidRPr="004671D6" w:rsidRDefault="703D50DF" w:rsidP="627DF818">
      <w:pPr>
        <w:spacing w:line="360" w:lineRule="auto"/>
        <w:rPr>
          <w:rFonts w:ascii="Arial" w:hAnsi="Arial" w:cs="Arial"/>
          <w:sz w:val="22"/>
        </w:rPr>
      </w:pPr>
      <w:r w:rsidRPr="627DF818">
        <w:rPr>
          <w:rFonts w:ascii="Arial" w:hAnsi="Arial" w:cs="Arial"/>
          <w:sz w:val="22"/>
        </w:rPr>
        <w:t>A crucial aspect to consider is that the terminology surrounding "lifestyle choices" may obscure underlying structural issues. Individuals do not opt for deprivation, unsafe neighborhoods, extensive working hours, targeted marketing of high-calorie foods, or unequal access to green spaces. Consequently, a person-centered approach to healthcare should integrate motivational support alongside initiatives that address broader determinants of health (Marmot, 2010; National Voices, 2013).</w:t>
      </w:r>
    </w:p>
    <w:p w14:paraId="2935BEA0" w14:textId="19ECFE1C" w:rsidR="001C5A47" w:rsidRPr="004671D6" w:rsidRDefault="04C38BF0" w:rsidP="627DF818">
      <w:pPr>
        <w:pStyle w:val="Heading1"/>
        <w:spacing w:line="360" w:lineRule="auto"/>
        <w:rPr>
          <w:rFonts w:ascii="Arial" w:hAnsi="Arial" w:cs="Arial"/>
          <w:color w:val="auto"/>
          <w:sz w:val="22"/>
          <w:szCs w:val="22"/>
        </w:rPr>
      </w:pPr>
      <w:r w:rsidRPr="627DF818">
        <w:rPr>
          <w:rFonts w:ascii="Arial" w:hAnsi="Arial" w:cs="Arial"/>
          <w:color w:val="auto"/>
          <w:sz w:val="22"/>
          <w:szCs w:val="22"/>
        </w:rPr>
        <w:t xml:space="preserve">3. Impact: physical, psychological, </w:t>
      </w:r>
      <w:r w:rsidR="2AB79F39" w:rsidRPr="627DF818">
        <w:rPr>
          <w:rFonts w:ascii="Arial" w:hAnsi="Arial" w:cs="Arial"/>
          <w:color w:val="auto"/>
          <w:sz w:val="22"/>
          <w:szCs w:val="22"/>
        </w:rPr>
        <w:t>social,</w:t>
      </w:r>
      <w:r w:rsidRPr="627DF818">
        <w:rPr>
          <w:rFonts w:ascii="Arial" w:hAnsi="Arial" w:cs="Arial"/>
          <w:color w:val="auto"/>
          <w:sz w:val="22"/>
          <w:szCs w:val="22"/>
        </w:rPr>
        <w:t xml:space="preserve"> and family</w:t>
      </w:r>
    </w:p>
    <w:p w14:paraId="0DDEB986" w14:textId="77777777" w:rsidR="001C5A47" w:rsidRPr="004671D6" w:rsidRDefault="04C38BF0" w:rsidP="627DF818">
      <w:pPr>
        <w:pStyle w:val="Heading2"/>
        <w:spacing w:line="360" w:lineRule="auto"/>
        <w:rPr>
          <w:rFonts w:ascii="Arial" w:hAnsi="Arial" w:cs="Arial"/>
          <w:color w:val="auto"/>
          <w:sz w:val="22"/>
          <w:szCs w:val="22"/>
        </w:rPr>
      </w:pPr>
      <w:r w:rsidRPr="627DF818">
        <w:rPr>
          <w:rFonts w:ascii="Arial" w:hAnsi="Arial" w:cs="Arial"/>
          <w:color w:val="auto"/>
          <w:sz w:val="22"/>
          <w:szCs w:val="22"/>
        </w:rPr>
        <w:t>3.1 Physical impact</w:t>
      </w:r>
    </w:p>
    <w:p w14:paraId="24F44A63" w14:textId="38E24D6F" w:rsidR="0003216C" w:rsidRPr="004671D6" w:rsidRDefault="154BC3DA" w:rsidP="627DF818">
      <w:pPr>
        <w:spacing w:line="360" w:lineRule="auto"/>
        <w:rPr>
          <w:rFonts w:ascii="Arial" w:hAnsi="Arial" w:cs="Arial"/>
          <w:sz w:val="22"/>
        </w:rPr>
      </w:pPr>
      <w:r w:rsidRPr="627DF818">
        <w:rPr>
          <w:rFonts w:ascii="Arial" w:hAnsi="Arial" w:cs="Arial"/>
          <w:sz w:val="22"/>
        </w:rPr>
        <w:t>Chronic hyperglycemia adversely affects both small and large blood vessels. Individuals may suffer from a range of complications, including cardiovascular disease, stroke, chronic kidney disease, retinopathy, neuropathy, foot ulcers or amputations, sexual dysfunction, infections, cognitive decline, and a diminished life expectancy (NICE, 2026). The overall health burden is cumulative; many elderly individuals contend with diabetes alongside conditions such as hypertension, chronic kidney disease (CKD), heart failure, arthritis, depression, or dementia. This interconnection raises concerns about the safety of targeting single diseases in these patients (NICE, 2026; Dunning et al., 2018).</w:t>
      </w:r>
    </w:p>
    <w:p w14:paraId="2DE8F027" w14:textId="77777777" w:rsidR="001C5A47" w:rsidRPr="004671D6" w:rsidRDefault="04C38BF0" w:rsidP="627DF818">
      <w:pPr>
        <w:pStyle w:val="Heading2"/>
        <w:spacing w:line="360" w:lineRule="auto"/>
        <w:rPr>
          <w:rFonts w:ascii="Arial" w:hAnsi="Arial" w:cs="Arial"/>
          <w:color w:val="auto"/>
          <w:sz w:val="22"/>
          <w:szCs w:val="22"/>
        </w:rPr>
      </w:pPr>
      <w:r w:rsidRPr="627DF818">
        <w:rPr>
          <w:rFonts w:ascii="Arial" w:hAnsi="Arial" w:cs="Arial"/>
          <w:color w:val="auto"/>
          <w:sz w:val="22"/>
          <w:szCs w:val="22"/>
        </w:rPr>
        <w:t>3.2 Psychological impact</w:t>
      </w:r>
    </w:p>
    <w:p w14:paraId="6F23BCB1" w14:textId="7FB11D80" w:rsidR="004F2062" w:rsidRPr="004671D6" w:rsidRDefault="2122BEE4" w:rsidP="627DF818">
      <w:pPr>
        <w:spacing w:line="360" w:lineRule="auto"/>
        <w:rPr>
          <w:rFonts w:ascii="Arial" w:hAnsi="Arial" w:cs="Arial"/>
          <w:sz w:val="22"/>
        </w:rPr>
      </w:pPr>
      <w:r w:rsidRPr="627DF818">
        <w:rPr>
          <w:rFonts w:ascii="Arial" w:hAnsi="Arial" w:cs="Arial"/>
          <w:sz w:val="22"/>
        </w:rPr>
        <w:t xml:space="preserve">Diabetes distress, which refers to the emotional strain associated with living with and managing diabetes, is a phenomenon that is separate from clinical depression, although there are notable areas of overlap. A meta-analysis </w:t>
      </w:r>
      <w:r w:rsidR="21E16984" w:rsidRPr="627DF818">
        <w:rPr>
          <w:rFonts w:ascii="Arial" w:hAnsi="Arial" w:cs="Arial"/>
          <w:sz w:val="22"/>
        </w:rPr>
        <w:t>showed</w:t>
      </w:r>
      <w:r w:rsidRPr="627DF818">
        <w:rPr>
          <w:rFonts w:ascii="Arial" w:hAnsi="Arial" w:cs="Arial"/>
          <w:sz w:val="22"/>
        </w:rPr>
        <w:t xml:space="preserve"> that 36% of individuals with type 2 diabetes experience diabetes-specific emotional distress (Perrin et al., 2017). Furthermore, depression occurs more </w:t>
      </w:r>
      <w:r w:rsidR="2AB79F39" w:rsidRPr="627DF818">
        <w:rPr>
          <w:rFonts w:ascii="Arial" w:hAnsi="Arial" w:cs="Arial"/>
          <w:sz w:val="22"/>
        </w:rPr>
        <w:t>often</w:t>
      </w:r>
      <w:r w:rsidRPr="627DF818">
        <w:rPr>
          <w:rFonts w:ascii="Arial" w:hAnsi="Arial" w:cs="Arial"/>
          <w:sz w:val="22"/>
        </w:rPr>
        <w:t xml:space="preserve"> among those with type 2 diabetes compared to individuals without the condition, and it correlates with suboptimal self-care practices, elevated HbA1c levels, and poorer health outcomes (</w:t>
      </w:r>
      <w:proofErr w:type="spellStart"/>
      <w:r w:rsidRPr="627DF818">
        <w:rPr>
          <w:rFonts w:ascii="Arial" w:hAnsi="Arial" w:cs="Arial"/>
          <w:sz w:val="22"/>
        </w:rPr>
        <w:t>Khaledi</w:t>
      </w:r>
      <w:proofErr w:type="spellEnd"/>
      <w:r w:rsidRPr="627DF818">
        <w:rPr>
          <w:rFonts w:ascii="Arial" w:hAnsi="Arial" w:cs="Arial"/>
          <w:sz w:val="22"/>
        </w:rPr>
        <w:t xml:space="preserve"> et al., 2019). Psychological interventions and collaborative approaches to managing distress have been shown to alleviate this emotional burden and enhance coping strategies (Sturt et al., 2015).</w:t>
      </w:r>
    </w:p>
    <w:p w14:paraId="33900719" w14:textId="663C2EB2" w:rsidR="004F2062" w:rsidRPr="004671D6" w:rsidRDefault="3E7FB00F" w:rsidP="627DF818">
      <w:pPr>
        <w:spacing w:line="360" w:lineRule="auto"/>
        <w:rPr>
          <w:rFonts w:ascii="Arial" w:hAnsi="Arial" w:cs="Arial"/>
          <w:color w:val="FF0000"/>
          <w:sz w:val="22"/>
        </w:rPr>
      </w:pPr>
      <w:r w:rsidRPr="627DF818">
        <w:rPr>
          <w:rFonts w:ascii="Arial" w:hAnsi="Arial" w:cs="Arial"/>
          <w:sz w:val="22"/>
        </w:rPr>
        <w:t>From a clinical perspective, it is important to routinely inquire</w:t>
      </w:r>
      <w:r w:rsidR="4DF9182B" w:rsidRPr="627DF818">
        <w:rPr>
          <w:rFonts w:ascii="Arial" w:hAnsi="Arial" w:cs="Arial"/>
          <w:sz w:val="22"/>
        </w:rPr>
        <w:t xml:space="preserve"> </w:t>
      </w:r>
      <w:r w:rsidRPr="627DF818">
        <w:rPr>
          <w:rFonts w:ascii="Arial" w:hAnsi="Arial" w:cs="Arial"/>
          <w:sz w:val="22"/>
        </w:rPr>
        <w:t>without presuming pathology</w:t>
      </w:r>
      <w:r w:rsidR="611AF674" w:rsidRPr="627DF818">
        <w:rPr>
          <w:rFonts w:ascii="Arial" w:hAnsi="Arial" w:cs="Arial"/>
          <w:sz w:val="22"/>
        </w:rPr>
        <w:t xml:space="preserve"> </w:t>
      </w:r>
      <w:r w:rsidRPr="627DF818">
        <w:rPr>
          <w:rFonts w:ascii="Arial" w:hAnsi="Arial" w:cs="Arial"/>
          <w:sz w:val="22"/>
        </w:rPr>
        <w:t xml:space="preserve">about patients' fears regarding </w:t>
      </w:r>
      <w:r w:rsidR="66A61E40" w:rsidRPr="627DF818">
        <w:rPr>
          <w:rFonts w:ascii="Arial" w:hAnsi="Arial" w:cs="Arial"/>
          <w:sz w:val="22"/>
        </w:rPr>
        <w:t>hypoglycemia</w:t>
      </w:r>
      <w:r w:rsidRPr="627DF818">
        <w:rPr>
          <w:rFonts w:ascii="Arial" w:hAnsi="Arial" w:cs="Arial"/>
          <w:sz w:val="22"/>
        </w:rPr>
        <w:t xml:space="preserve">, concerns related to needles or injections, body image issues, their relationship with food, feelings of burnout, cognitive overload, and their expectations for the future. The choice of language is significant: terms such as “non-compliant” or “diabetic patient” should be avoided in favor of phrases like “person with diabetes” and “manage” instead of “control.” It is also beneficial to ask what is important to the individual on that </w:t>
      </w:r>
      <w:r w:rsidR="724852D0" w:rsidRPr="627DF818">
        <w:rPr>
          <w:rFonts w:ascii="Arial" w:hAnsi="Arial" w:cs="Arial"/>
          <w:sz w:val="22"/>
        </w:rPr>
        <w:t>day</w:t>
      </w:r>
      <w:r w:rsidRPr="627DF818">
        <w:rPr>
          <w:rFonts w:ascii="Arial" w:hAnsi="Arial" w:cs="Arial"/>
          <w:sz w:val="22"/>
        </w:rPr>
        <w:t xml:space="preserve"> (National Voices, 2013; Diabetes UK, 2024).</w:t>
      </w:r>
    </w:p>
    <w:p w14:paraId="44A7F82F" w14:textId="639157EE" w:rsidR="001C5A47" w:rsidRPr="004671D6" w:rsidRDefault="04C38BF0" w:rsidP="627DF818">
      <w:pPr>
        <w:pStyle w:val="Heading2"/>
        <w:spacing w:line="360" w:lineRule="auto"/>
        <w:rPr>
          <w:rFonts w:ascii="Arial" w:hAnsi="Arial" w:cs="Arial"/>
          <w:color w:val="auto"/>
          <w:sz w:val="22"/>
          <w:szCs w:val="22"/>
        </w:rPr>
      </w:pPr>
      <w:r w:rsidRPr="587A2223">
        <w:rPr>
          <w:rFonts w:ascii="Arial" w:hAnsi="Arial" w:cs="Arial"/>
          <w:color w:val="auto"/>
          <w:sz w:val="22"/>
          <w:szCs w:val="22"/>
        </w:rPr>
        <w:t xml:space="preserve">3.3 Social, </w:t>
      </w:r>
      <w:r w:rsidR="3770E979" w:rsidRPr="587A2223">
        <w:rPr>
          <w:rFonts w:ascii="Arial" w:hAnsi="Arial" w:cs="Arial"/>
          <w:color w:val="auto"/>
          <w:sz w:val="22"/>
          <w:szCs w:val="22"/>
        </w:rPr>
        <w:t>family,</w:t>
      </w:r>
      <w:r w:rsidRPr="587A2223">
        <w:rPr>
          <w:rFonts w:ascii="Arial" w:hAnsi="Arial" w:cs="Arial"/>
          <w:color w:val="auto"/>
          <w:sz w:val="22"/>
          <w:szCs w:val="22"/>
        </w:rPr>
        <w:t xml:space="preserve"> and w</w:t>
      </w:r>
      <w:r w:rsidRPr="627DF818">
        <w:rPr>
          <w:rFonts w:ascii="Arial" w:hAnsi="Arial" w:cs="Arial"/>
          <w:color w:val="auto"/>
          <w:sz w:val="22"/>
          <w:szCs w:val="22"/>
        </w:rPr>
        <w:t>ider implications</w:t>
      </w:r>
    </w:p>
    <w:p w14:paraId="540ED589" w14:textId="1687E369" w:rsidR="00B345C4" w:rsidRPr="004671D6" w:rsidRDefault="08438538" w:rsidP="3071EA5E">
      <w:pPr>
        <w:spacing w:line="360" w:lineRule="auto"/>
        <w:rPr>
          <w:rFonts w:ascii="Arial" w:hAnsi="Arial" w:cs="Arial"/>
          <w:sz w:val="22"/>
        </w:rPr>
      </w:pPr>
      <w:r w:rsidRPr="3071EA5E">
        <w:rPr>
          <w:rFonts w:ascii="Arial" w:hAnsi="Arial" w:cs="Arial"/>
          <w:sz w:val="22"/>
        </w:rPr>
        <w:t xml:space="preserve">Diabetes has a significant impact on various aspects of family life, including daily routines, dietary practices, financial matters, employment, travel, sleep patterns, intimate relationships, and caregiving responsibilities. Caregivers often take on roles such as overseeing medication administration, </w:t>
      </w:r>
      <w:proofErr w:type="spellStart"/>
      <w:r w:rsidRPr="3071EA5E">
        <w:rPr>
          <w:rFonts w:ascii="Arial" w:hAnsi="Arial" w:cs="Arial"/>
          <w:sz w:val="22"/>
        </w:rPr>
        <w:t>recogni</w:t>
      </w:r>
      <w:r w:rsidR="4CC2543F" w:rsidRPr="3071EA5E">
        <w:rPr>
          <w:rFonts w:ascii="Arial" w:hAnsi="Arial" w:cs="Arial"/>
          <w:sz w:val="22"/>
        </w:rPr>
        <w:t>s</w:t>
      </w:r>
      <w:r w:rsidRPr="3071EA5E">
        <w:rPr>
          <w:rFonts w:ascii="Arial" w:hAnsi="Arial" w:cs="Arial"/>
          <w:sz w:val="22"/>
        </w:rPr>
        <w:t>ing</w:t>
      </w:r>
      <w:proofErr w:type="spellEnd"/>
      <w:r w:rsidRPr="3071EA5E">
        <w:rPr>
          <w:rFonts w:ascii="Arial" w:hAnsi="Arial" w:cs="Arial"/>
          <w:sz w:val="22"/>
        </w:rPr>
        <w:t xml:space="preserve"> signs of hypoglycemia, conducting foot examinations, or managing medical appointments.</w:t>
      </w:r>
      <w:r w:rsidR="1392AC5D" w:rsidRPr="3071EA5E">
        <w:rPr>
          <w:rFonts w:ascii="Arial" w:hAnsi="Arial" w:cs="Arial"/>
          <w:sz w:val="22"/>
        </w:rPr>
        <w:t xml:space="preserve"> Kings Fund, 2022).</w:t>
      </w:r>
      <w:r w:rsidRPr="3071EA5E">
        <w:rPr>
          <w:rFonts w:ascii="Arial" w:hAnsi="Arial" w:cs="Arial"/>
          <w:sz w:val="22"/>
        </w:rPr>
        <w:t xml:space="preserve"> While families can provide both protection and support, they may also experience feelings of anxiety, exert control, or face exhaustion. The broader consequences of these dynamics encompass diminished productivity at work, presenteeism (being physically present but not fully engaged), challenges related to benefits and employment status, and an increased reliance on primary care services, community resources, and hospital care when support systems are disjointed (King’s Fund, 2022).</w:t>
      </w:r>
    </w:p>
    <w:p w14:paraId="5777CBF6" w14:textId="77777777" w:rsidR="001C5A47" w:rsidRPr="004671D6" w:rsidRDefault="04C38BF0" w:rsidP="627DF818">
      <w:pPr>
        <w:pStyle w:val="Heading1"/>
        <w:spacing w:line="360" w:lineRule="auto"/>
        <w:rPr>
          <w:rFonts w:ascii="Arial" w:hAnsi="Arial" w:cs="Arial"/>
          <w:color w:val="auto"/>
          <w:sz w:val="22"/>
          <w:szCs w:val="22"/>
        </w:rPr>
      </w:pPr>
      <w:r w:rsidRPr="627DF818">
        <w:rPr>
          <w:rFonts w:ascii="Arial" w:hAnsi="Arial" w:cs="Arial"/>
          <w:color w:val="auto"/>
          <w:sz w:val="22"/>
          <w:szCs w:val="22"/>
        </w:rPr>
        <w:t>4. Evidence-based treatments available through the NHS</w:t>
      </w:r>
    </w:p>
    <w:p w14:paraId="29D89262" w14:textId="5802461D" w:rsidR="001C5A47" w:rsidRPr="004671D6" w:rsidRDefault="04C38BF0" w:rsidP="627DF818">
      <w:pPr>
        <w:pStyle w:val="Heading2"/>
        <w:spacing w:line="360" w:lineRule="auto"/>
        <w:rPr>
          <w:rFonts w:ascii="Arial" w:hAnsi="Arial" w:cs="Arial"/>
          <w:color w:val="auto"/>
          <w:sz w:val="22"/>
          <w:szCs w:val="22"/>
        </w:rPr>
      </w:pPr>
      <w:r w:rsidRPr="627DF818">
        <w:rPr>
          <w:rFonts w:ascii="Arial" w:hAnsi="Arial" w:cs="Arial"/>
          <w:color w:val="auto"/>
          <w:sz w:val="22"/>
          <w:szCs w:val="22"/>
        </w:rPr>
        <w:t xml:space="preserve">4.1 Foundations: education, food, movement, </w:t>
      </w:r>
      <w:r w:rsidR="3770E979" w:rsidRPr="627DF818">
        <w:rPr>
          <w:rFonts w:ascii="Arial" w:hAnsi="Arial" w:cs="Arial"/>
          <w:color w:val="auto"/>
          <w:sz w:val="22"/>
          <w:szCs w:val="22"/>
        </w:rPr>
        <w:t>sleep,</w:t>
      </w:r>
      <w:r w:rsidRPr="627DF818">
        <w:rPr>
          <w:rFonts w:ascii="Arial" w:hAnsi="Arial" w:cs="Arial"/>
          <w:color w:val="auto"/>
          <w:sz w:val="22"/>
          <w:szCs w:val="22"/>
        </w:rPr>
        <w:t xml:space="preserve"> and weight</w:t>
      </w:r>
    </w:p>
    <w:p w14:paraId="4B502920" w14:textId="08882247" w:rsidR="000F2997" w:rsidRPr="004671D6" w:rsidRDefault="4B69360E" w:rsidP="627DF818">
      <w:pPr>
        <w:spacing w:line="360" w:lineRule="auto"/>
        <w:rPr>
          <w:rFonts w:ascii="Arial" w:hAnsi="Arial" w:cs="Arial"/>
          <w:sz w:val="22"/>
        </w:rPr>
      </w:pPr>
      <w:r w:rsidRPr="627DF818">
        <w:rPr>
          <w:rFonts w:ascii="Arial" w:hAnsi="Arial" w:cs="Arial"/>
          <w:sz w:val="22"/>
        </w:rPr>
        <w:t xml:space="preserve">For individuals classified as overweight or obese who have received a recent diagnosis of type 2 diabetes, the NHS Type 2 Diabetes Path to Remission </w:t>
      </w:r>
      <w:r w:rsidR="38095420" w:rsidRPr="627DF818">
        <w:rPr>
          <w:rFonts w:ascii="Arial" w:hAnsi="Arial" w:cs="Arial"/>
          <w:sz w:val="22"/>
        </w:rPr>
        <w:t>Program</w:t>
      </w:r>
      <w:r w:rsidRPr="627DF818">
        <w:rPr>
          <w:rFonts w:ascii="Arial" w:hAnsi="Arial" w:cs="Arial"/>
          <w:sz w:val="22"/>
        </w:rPr>
        <w:t xml:space="preserve"> provides a structured intervention consisting of a 12-week low-calorie total diet replacement regimen (approximately 800–900 kcal per day), followed by a phase of food reintroduction and an additional year of support. To qualify for this program, participants typically must have been diagnosed within the last six years and meet specific Body Mass Index (BMI) criteria that take ethnicity into account; however, the methods for local delivery and referral through Integrated Care Boards (ICBs) may differ (NHS England, 2024). The program is supported by evidence from the </w:t>
      </w:r>
      <w:r w:rsidR="2ECB896A" w:rsidRPr="627DF818">
        <w:rPr>
          <w:rFonts w:ascii="Arial" w:hAnsi="Arial" w:cs="Arial"/>
          <w:sz w:val="22"/>
        </w:rPr>
        <w:t>Direct</w:t>
      </w:r>
      <w:r w:rsidRPr="627DF818">
        <w:rPr>
          <w:rFonts w:ascii="Arial" w:hAnsi="Arial" w:cs="Arial"/>
          <w:sz w:val="22"/>
        </w:rPr>
        <w:t xml:space="preserve"> study, which </w:t>
      </w:r>
      <w:r w:rsidR="7C00159F" w:rsidRPr="627DF818">
        <w:rPr>
          <w:rFonts w:ascii="Arial" w:hAnsi="Arial" w:cs="Arial"/>
          <w:sz w:val="22"/>
        </w:rPr>
        <w:t>showed</w:t>
      </w:r>
      <w:r w:rsidRPr="627DF818">
        <w:rPr>
          <w:rFonts w:ascii="Arial" w:hAnsi="Arial" w:cs="Arial"/>
          <w:sz w:val="22"/>
        </w:rPr>
        <w:t xml:space="preserve"> that after one year, 46% of participants in the intervention group </w:t>
      </w:r>
      <w:r w:rsidR="25A63B45" w:rsidRPr="627DF818">
        <w:rPr>
          <w:rFonts w:ascii="Arial" w:hAnsi="Arial" w:cs="Arial"/>
          <w:sz w:val="22"/>
        </w:rPr>
        <w:t>reached</w:t>
      </w:r>
      <w:r w:rsidRPr="627DF818">
        <w:rPr>
          <w:rFonts w:ascii="Arial" w:hAnsi="Arial" w:cs="Arial"/>
          <w:sz w:val="22"/>
        </w:rPr>
        <w:t xml:space="preserve"> remission, with 86% of those losing at least 15 kg also achieving remission (Lean et al., 2018). Data collected over two years demonstrated sustained remission in certain individuals (Lean et al., 2019). Preliminary data from the NHS program indicated that among those who completed it, there was a remission rate of 32%, highlighting both its practical potential in real-world settings and the necessity for ongoing efforts to enhance participant engagement and completion rates (Diabetes UK, 2024).</w:t>
      </w:r>
    </w:p>
    <w:p w14:paraId="32050461" w14:textId="77777777" w:rsidR="001C5A47" w:rsidRPr="004671D6" w:rsidRDefault="04C38BF0" w:rsidP="627DF818">
      <w:pPr>
        <w:pStyle w:val="Heading2"/>
        <w:spacing w:line="360" w:lineRule="auto"/>
        <w:rPr>
          <w:rFonts w:ascii="Arial" w:hAnsi="Arial" w:cs="Arial"/>
          <w:color w:val="auto"/>
          <w:sz w:val="22"/>
          <w:szCs w:val="22"/>
        </w:rPr>
      </w:pPr>
      <w:r w:rsidRPr="627DF818">
        <w:rPr>
          <w:rFonts w:ascii="Arial" w:hAnsi="Arial" w:cs="Arial"/>
          <w:color w:val="auto"/>
          <w:sz w:val="22"/>
          <w:szCs w:val="22"/>
        </w:rPr>
        <w:t xml:space="preserve">4.2 Glucose-lowering medicines and </w:t>
      </w:r>
      <w:proofErr w:type="spellStart"/>
      <w:r w:rsidRPr="627DF818">
        <w:rPr>
          <w:rFonts w:ascii="Arial" w:hAnsi="Arial" w:cs="Arial"/>
          <w:color w:val="auto"/>
          <w:sz w:val="22"/>
          <w:szCs w:val="22"/>
        </w:rPr>
        <w:t>cardiorenal</w:t>
      </w:r>
      <w:proofErr w:type="spellEnd"/>
      <w:r w:rsidRPr="627DF818">
        <w:rPr>
          <w:rFonts w:ascii="Arial" w:hAnsi="Arial" w:cs="Arial"/>
          <w:color w:val="auto"/>
          <w:sz w:val="22"/>
          <w:szCs w:val="22"/>
        </w:rPr>
        <w:t xml:space="preserve"> protection</w:t>
      </w:r>
    </w:p>
    <w:p w14:paraId="605D8B5F" w14:textId="183F0ACD" w:rsidR="00230989" w:rsidRPr="004671D6" w:rsidRDefault="4ED18DF6" w:rsidP="627DF818">
      <w:pPr>
        <w:spacing w:line="360" w:lineRule="auto"/>
        <w:rPr>
          <w:rFonts w:ascii="Arial" w:hAnsi="Arial" w:cs="Arial"/>
          <w:sz w:val="22"/>
        </w:rPr>
      </w:pPr>
      <w:r w:rsidRPr="627DF818">
        <w:rPr>
          <w:rFonts w:ascii="Arial" w:hAnsi="Arial" w:cs="Arial"/>
          <w:sz w:val="22"/>
        </w:rPr>
        <w:t>The updated NICE NG28 guidelines from 2026 advocate for personalized treatment approaches that consider various factors, including HbA1c levels, cardiovascular risk/status, heart failure, chronic kidney disease (CKD), obesity, frailty, early-onset type 2 diabetes, safety considerations, weight management, monitoring practices, patient adherence, individual preferences, and cost implications. Metformin continues to be a cornerstone of therapy</w:t>
      </w:r>
      <w:r w:rsidR="0A0FB83C" w:rsidRPr="0838B351">
        <w:rPr>
          <w:rFonts w:ascii="Arial" w:hAnsi="Arial" w:cs="Arial"/>
          <w:sz w:val="22"/>
        </w:rPr>
        <w:t>,</w:t>
      </w:r>
      <w:r w:rsidRPr="627DF818">
        <w:rPr>
          <w:rFonts w:ascii="Arial" w:hAnsi="Arial" w:cs="Arial"/>
          <w:sz w:val="22"/>
        </w:rPr>
        <w:t xml:space="preserve"> however, SGLT2 inhibitors are now employed earlier in the treatment process for glycemic control as well as for cardiovascular and renal protection when appropriate. Additionally, GLP-1 receptor agonists and tirzepatide have taken on expanded roles in managing conditions associated with obesity, atherosclerotic cardiovascular disease (ASCVD), CKD, or early-onset diabetes. Insulin </w:t>
      </w:r>
      <w:r w:rsidR="07890C27" w:rsidRPr="627DF818">
        <w:rPr>
          <w:rFonts w:ascii="Arial" w:hAnsi="Arial" w:cs="Arial"/>
          <w:sz w:val="22"/>
        </w:rPr>
        <w:t>is still</w:t>
      </w:r>
      <w:r w:rsidRPr="627DF818">
        <w:rPr>
          <w:rFonts w:ascii="Arial" w:hAnsi="Arial" w:cs="Arial"/>
          <w:sz w:val="22"/>
        </w:rPr>
        <w:t xml:space="preserve"> crucial in instances of symptomatic hyperglycemia or when other treatments </w:t>
      </w:r>
      <w:r w:rsidR="07890C27" w:rsidRPr="627DF818">
        <w:rPr>
          <w:rFonts w:ascii="Arial" w:hAnsi="Arial" w:cs="Arial"/>
          <w:sz w:val="22"/>
        </w:rPr>
        <w:t>do not</w:t>
      </w:r>
      <w:r w:rsidRPr="627DF818">
        <w:rPr>
          <w:rFonts w:ascii="Arial" w:hAnsi="Arial" w:cs="Arial"/>
          <w:sz w:val="22"/>
        </w:rPr>
        <w:t xml:space="preserve"> achieve adequate control (NICE, 2026</w:t>
      </w:r>
      <w:r w:rsidR="48F55201" w:rsidRPr="0838B351">
        <w:rPr>
          <w:rFonts w:ascii="Arial" w:hAnsi="Arial" w:cs="Arial"/>
          <w:sz w:val="22"/>
        </w:rPr>
        <w:t>,</w:t>
      </w:r>
      <w:r w:rsidRPr="627DF818">
        <w:rPr>
          <w:rFonts w:ascii="Arial" w:hAnsi="Arial" w:cs="Arial"/>
          <w:sz w:val="22"/>
        </w:rPr>
        <w:t xml:space="preserve"> Davies et al., 2018).</w:t>
      </w:r>
    </w:p>
    <w:p w14:paraId="76FB5594" w14:textId="1DD9E95D" w:rsidR="001C5A47" w:rsidRPr="004671D6" w:rsidRDefault="04C38BF0" w:rsidP="627DF818">
      <w:pPr>
        <w:pStyle w:val="ListBullet"/>
        <w:numPr>
          <w:ilvl w:val="0"/>
          <w:numId w:val="0"/>
        </w:numPr>
        <w:spacing w:line="360" w:lineRule="auto"/>
        <w:ind w:left="360" w:hanging="360"/>
        <w:rPr>
          <w:rFonts w:ascii="Arial" w:hAnsi="Arial" w:cs="Arial"/>
          <w:sz w:val="22"/>
        </w:rPr>
      </w:pPr>
      <w:r w:rsidRPr="627DF818">
        <w:rPr>
          <w:rFonts w:ascii="Arial" w:hAnsi="Arial" w:cs="Arial"/>
          <w:sz w:val="22"/>
        </w:rPr>
        <w:t xml:space="preserve"> </w:t>
      </w:r>
    </w:p>
    <w:p w14:paraId="230EFEC9" w14:textId="77777777" w:rsidR="001C5A47" w:rsidRPr="004671D6" w:rsidRDefault="04C38BF0" w:rsidP="627DF818">
      <w:pPr>
        <w:pStyle w:val="Heading2"/>
        <w:spacing w:line="360" w:lineRule="auto"/>
        <w:rPr>
          <w:rFonts w:ascii="Arial" w:hAnsi="Arial" w:cs="Arial"/>
          <w:color w:val="auto"/>
          <w:sz w:val="22"/>
          <w:szCs w:val="22"/>
        </w:rPr>
      </w:pPr>
      <w:r w:rsidRPr="627DF818">
        <w:rPr>
          <w:rFonts w:ascii="Arial" w:hAnsi="Arial" w:cs="Arial"/>
          <w:color w:val="auto"/>
          <w:sz w:val="22"/>
          <w:szCs w:val="22"/>
        </w:rPr>
        <w:t>4.3 Complication prevention and multidisciplinary care</w:t>
      </w:r>
    </w:p>
    <w:p w14:paraId="512C3017" w14:textId="4F8677E1" w:rsidR="00FE15AD" w:rsidRPr="004671D6" w:rsidRDefault="7F14B675" w:rsidP="3071EA5E">
      <w:pPr>
        <w:spacing w:line="360" w:lineRule="auto"/>
        <w:rPr>
          <w:rFonts w:ascii="Arial" w:hAnsi="Arial" w:cs="Arial"/>
          <w:sz w:val="22"/>
        </w:rPr>
      </w:pPr>
      <w:r w:rsidRPr="3071EA5E">
        <w:rPr>
          <w:rFonts w:ascii="Arial" w:hAnsi="Arial" w:cs="Arial"/>
          <w:sz w:val="22"/>
        </w:rPr>
        <w:t xml:space="preserve">Effective diabetes management encompasses a comprehensive approach that includes an annual review and nine relevant care processes, such as retinal screening, foot risk assessment, evaluation of urine albumin-to-creatinine ratio and estimated glomerular filtration rate (eGFR), monitoring of blood pressure and lipid levels, assessment of smoking status, provision of structured education, </w:t>
      </w:r>
      <w:proofErr w:type="spellStart"/>
      <w:r w:rsidRPr="3071EA5E">
        <w:rPr>
          <w:rFonts w:ascii="Arial" w:hAnsi="Arial" w:cs="Arial"/>
          <w:sz w:val="22"/>
        </w:rPr>
        <w:t>optimi</w:t>
      </w:r>
      <w:r w:rsidR="5D3419E1" w:rsidRPr="3071EA5E">
        <w:rPr>
          <w:rFonts w:ascii="Arial" w:hAnsi="Arial" w:cs="Arial"/>
          <w:sz w:val="22"/>
        </w:rPr>
        <w:t>s</w:t>
      </w:r>
      <w:r w:rsidRPr="3071EA5E">
        <w:rPr>
          <w:rFonts w:ascii="Arial" w:hAnsi="Arial" w:cs="Arial"/>
          <w:sz w:val="22"/>
        </w:rPr>
        <w:t>ation</w:t>
      </w:r>
      <w:proofErr w:type="spellEnd"/>
      <w:r w:rsidRPr="3071EA5E">
        <w:rPr>
          <w:rFonts w:ascii="Arial" w:hAnsi="Arial" w:cs="Arial"/>
          <w:sz w:val="22"/>
        </w:rPr>
        <w:t xml:space="preserve"> of medications, and ensuring prompt access for issues related to infections or foot changes. The NHS Long Term Plan emphasizes the importance of structured education, the achievement of treatment targets, the establishment of multidisciplinary </w:t>
      </w:r>
      <w:r w:rsidR="1A93F7B3" w:rsidRPr="3071EA5E">
        <w:rPr>
          <w:rFonts w:ascii="Arial" w:hAnsi="Arial" w:cs="Arial"/>
          <w:sz w:val="22"/>
        </w:rPr>
        <w:t>foot-care</w:t>
      </w:r>
      <w:r w:rsidRPr="3071EA5E">
        <w:rPr>
          <w:rFonts w:ascii="Arial" w:hAnsi="Arial" w:cs="Arial"/>
          <w:sz w:val="22"/>
        </w:rPr>
        <w:t xml:space="preserve"> teams, and the involvement of diabetes inpatient specialist nurses (NHS England, 2019). Despite improvements in the completion rates for care processes as </w:t>
      </w:r>
      <w:r w:rsidR="633AE98A" w:rsidRPr="3071EA5E">
        <w:rPr>
          <w:rFonts w:ascii="Arial" w:hAnsi="Arial" w:cs="Arial"/>
          <w:sz w:val="22"/>
        </w:rPr>
        <w:t>written</w:t>
      </w:r>
      <w:r w:rsidRPr="3071EA5E">
        <w:rPr>
          <w:rFonts w:ascii="Arial" w:hAnsi="Arial" w:cs="Arial"/>
          <w:sz w:val="22"/>
        </w:rPr>
        <w:t xml:space="preserve"> by national audits, there </w:t>
      </w:r>
      <w:r w:rsidR="3A795C73" w:rsidRPr="3071EA5E">
        <w:rPr>
          <w:rFonts w:ascii="Arial" w:hAnsi="Arial" w:cs="Arial"/>
          <w:sz w:val="22"/>
        </w:rPr>
        <w:t>are still</w:t>
      </w:r>
      <w:r w:rsidRPr="3071EA5E">
        <w:rPr>
          <w:rFonts w:ascii="Arial" w:hAnsi="Arial" w:cs="Arial"/>
          <w:sz w:val="22"/>
        </w:rPr>
        <w:t xml:space="preserve"> significant disparities and inconsistencies in care delivery. Therefore, local quality improvement initiatives must aim to address these inequities rather than merely elevate average performance metrics (NHS Digital, 2026).</w:t>
      </w:r>
    </w:p>
    <w:p w14:paraId="7255ED14" w14:textId="77777777" w:rsidR="001C5A47" w:rsidRPr="004671D6" w:rsidRDefault="04C38BF0" w:rsidP="627DF818">
      <w:pPr>
        <w:pStyle w:val="Heading1"/>
        <w:spacing w:line="360" w:lineRule="auto"/>
        <w:rPr>
          <w:rFonts w:ascii="Arial" w:hAnsi="Arial" w:cs="Arial"/>
          <w:color w:val="auto"/>
          <w:sz w:val="22"/>
          <w:szCs w:val="22"/>
        </w:rPr>
      </w:pPr>
      <w:r w:rsidRPr="627DF818">
        <w:rPr>
          <w:rFonts w:ascii="Arial" w:hAnsi="Arial" w:cs="Arial"/>
          <w:color w:val="auto"/>
          <w:sz w:val="22"/>
          <w:szCs w:val="22"/>
        </w:rPr>
        <w:t>5. Theoretical models: House of Care (UK) and Chronic Care Model (international)</w:t>
      </w:r>
    </w:p>
    <w:p w14:paraId="65750489" w14:textId="38FFFD6B" w:rsidR="001C5A47" w:rsidRPr="004671D6" w:rsidRDefault="04C38BF0" w:rsidP="627DF818">
      <w:pPr>
        <w:pStyle w:val="Heading2"/>
        <w:spacing w:line="360" w:lineRule="auto"/>
        <w:rPr>
          <w:rFonts w:ascii="Arial" w:hAnsi="Arial" w:cs="Arial"/>
          <w:color w:val="000000" w:themeColor="text1"/>
          <w:sz w:val="22"/>
          <w:szCs w:val="22"/>
        </w:rPr>
      </w:pPr>
      <w:r w:rsidRPr="6A9355C1">
        <w:rPr>
          <w:rFonts w:ascii="Arial" w:hAnsi="Arial" w:cs="Arial"/>
          <w:color w:val="000000" w:themeColor="text1"/>
          <w:sz w:val="22"/>
          <w:szCs w:val="22"/>
        </w:rPr>
        <w:t>5.1 UK mo</w:t>
      </w:r>
      <w:r w:rsidRPr="6A9355C1">
        <w:rPr>
          <w:rFonts w:ascii="Arial" w:hAnsi="Arial" w:cs="Arial"/>
          <w:color w:val="auto"/>
          <w:sz w:val="22"/>
          <w:szCs w:val="22"/>
        </w:rPr>
        <w:t xml:space="preserve">del: House of </w:t>
      </w:r>
      <w:r w:rsidR="1859F989" w:rsidRPr="6A9355C1">
        <w:rPr>
          <w:rFonts w:ascii="Arial" w:hAnsi="Arial" w:cs="Arial"/>
          <w:color w:val="auto"/>
          <w:sz w:val="22"/>
          <w:szCs w:val="22"/>
        </w:rPr>
        <w:t>Care apply</w:t>
      </w:r>
      <w:r w:rsidR="53319A3A" w:rsidRPr="6A9355C1">
        <w:rPr>
          <w:rFonts w:ascii="Arial" w:hAnsi="Arial" w:cs="Arial"/>
          <w:color w:val="auto"/>
          <w:sz w:val="22"/>
          <w:szCs w:val="22"/>
        </w:rPr>
        <w:t xml:space="preserve"> the model</w:t>
      </w:r>
    </w:p>
    <w:p w14:paraId="4AC601C3" w14:textId="2F8EA07B" w:rsidR="00600484" w:rsidRPr="004671D6" w:rsidRDefault="6965D34B" w:rsidP="627DF818">
      <w:pPr>
        <w:spacing w:line="360" w:lineRule="auto"/>
      </w:pPr>
      <w:r w:rsidRPr="627DF818">
        <w:rPr>
          <w:rFonts w:ascii="Arial" w:hAnsi="Arial" w:cs="Arial"/>
          <w:sz w:val="22"/>
        </w:rPr>
        <w:t xml:space="preserve">The House of Care </w:t>
      </w:r>
      <w:r w:rsidR="0CC54FF1" w:rsidRPr="627DF818">
        <w:rPr>
          <w:rFonts w:ascii="Arial" w:hAnsi="Arial" w:cs="Arial"/>
          <w:sz w:val="22"/>
        </w:rPr>
        <w:t>stands for</w:t>
      </w:r>
      <w:r w:rsidRPr="627DF818">
        <w:rPr>
          <w:rFonts w:ascii="Arial" w:hAnsi="Arial" w:cs="Arial"/>
          <w:sz w:val="22"/>
        </w:rPr>
        <w:t xml:space="preserve"> a comprehensive framework tailored </w:t>
      </w:r>
      <w:r w:rsidR="036DC473" w:rsidRPr="627DF818">
        <w:rPr>
          <w:rFonts w:ascii="Arial" w:hAnsi="Arial" w:cs="Arial"/>
          <w:sz w:val="22"/>
        </w:rPr>
        <w:t>to</w:t>
      </w:r>
      <w:r w:rsidRPr="627DF818">
        <w:rPr>
          <w:rFonts w:ascii="Arial" w:hAnsi="Arial" w:cs="Arial"/>
          <w:sz w:val="22"/>
        </w:rPr>
        <w:t xml:space="preserve"> long-term conditions within the UK. At its core lies a dialogue centered on collaborative care and support planning. The left boundary is defined by an engaged and informed individual or caregiver, while the right boundary consists of professionals collaborating in partnership. The overarching structure encompasses both organizational and clinical processes, with the foundation </w:t>
      </w:r>
      <w:r w:rsidR="02ADB7E9" w:rsidRPr="627DF818">
        <w:rPr>
          <w:rFonts w:ascii="Arial" w:hAnsi="Arial" w:cs="Arial"/>
          <w:sz w:val="22"/>
        </w:rPr>
        <w:t>including</w:t>
      </w:r>
      <w:r w:rsidRPr="627DF818">
        <w:rPr>
          <w:rFonts w:ascii="Arial" w:hAnsi="Arial" w:cs="Arial"/>
          <w:sz w:val="22"/>
        </w:rPr>
        <w:t xml:space="preserve"> responsive commissioning alongside support from statutory, voluntary, community, and peer resources (Coulter et al., 2013; Coulter, 2016).</w:t>
      </w:r>
    </w:p>
    <w:p w14:paraId="4460B53F" w14:textId="36AF1A6C" w:rsidR="4C1200AC" w:rsidRDefault="4C1200AC" w:rsidP="4FE8E3BB">
      <w:pPr>
        <w:spacing w:line="360" w:lineRule="auto"/>
        <w:rPr>
          <w:rFonts w:ascii="Arial" w:hAnsi="Arial" w:cs="Arial"/>
          <w:sz w:val="22"/>
        </w:rPr>
      </w:pPr>
    </w:p>
    <w:p w14:paraId="2799C822" w14:textId="4095E7E8" w:rsidR="4FE8E3BB" w:rsidRDefault="4FE8E3BB" w:rsidP="4FE8E3BB">
      <w:pPr>
        <w:spacing w:line="360" w:lineRule="auto"/>
        <w:rPr>
          <w:rFonts w:ascii="Arial" w:hAnsi="Arial" w:cs="Arial"/>
          <w:sz w:val="22"/>
        </w:rPr>
      </w:pPr>
    </w:p>
    <w:p w14:paraId="683BCF9B" w14:textId="4BEE9AD6" w:rsidR="0FBEC944" w:rsidRDefault="00DF7F03" w:rsidP="330C346D">
      <w:pPr>
        <w:jc w:val="center"/>
      </w:pPr>
      <w:r w:rsidRPr="00DF7F03">
        <w:t>Using the House of Care model for type 2 diabetes involves making each part of the "house" into a clear and helpful task.</w:t>
      </w:r>
      <w:r w:rsidR="59F2EB5B">
        <w:rPr>
          <w:noProof/>
        </w:rPr>
        <w:drawing>
          <wp:inline distT="0" distB="0" distL="0" distR="0" wp14:anchorId="625B7F1B" wp14:editId="626F88E9">
            <wp:extent cx="6400800" cy="4267200"/>
            <wp:effectExtent l="0" t="0" r="0" b="0"/>
            <wp:docPr id="9351783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178332" name="Picture 935178332"/>
                    <pic:cNvPicPr/>
                  </pic:nvPicPr>
                  <pic:blipFill>
                    <a:blip r:embed="rId7">
                      <a:extLst>
                        <a:ext uri="{28A0092B-C50C-407E-A947-70E740481C1C}">
                          <a14:useLocalDpi xmlns:a14="http://schemas.microsoft.com/office/drawing/2010/main"/>
                        </a:ext>
                      </a:extLst>
                    </a:blip>
                    <a:stretch>
                      <a:fillRect/>
                    </a:stretch>
                  </pic:blipFill>
                  <pic:spPr>
                    <a:xfrm>
                      <a:off x="0" y="0"/>
                      <a:ext cx="6400800" cy="4267200"/>
                    </a:xfrm>
                    <a:prstGeom prst="rect">
                      <a:avLst/>
                    </a:prstGeom>
                  </pic:spPr>
                </pic:pic>
              </a:graphicData>
            </a:graphic>
          </wp:inline>
        </w:drawing>
      </w:r>
    </w:p>
    <w:p w14:paraId="1F54C4B4" w14:textId="6A8B6DC5" w:rsidR="0E953775" w:rsidRDefault="008E4A0E" w:rsidP="0E953775">
      <w:pPr>
        <w:pStyle w:val="Heading2"/>
        <w:spacing w:line="360" w:lineRule="auto"/>
        <w:rPr>
          <w:rFonts w:ascii="Arial" w:eastAsia="Arial" w:hAnsi="Arial" w:cs="Arial"/>
          <w:color w:val="auto"/>
          <w:sz w:val="22"/>
          <w:szCs w:val="22"/>
        </w:rPr>
      </w:pPr>
      <w:r w:rsidRPr="008E4A0E">
        <w:rPr>
          <w:rFonts w:ascii="Arial" w:hAnsi="Arial" w:cs="Arial"/>
          <w:color w:val="auto"/>
          <w:sz w:val="22"/>
          <w:szCs w:val="22"/>
        </w:rPr>
        <w:t>Using the House of Care model for type 2 diabetes involves making each part of the "house" into a clear and helpful task.</w:t>
      </w:r>
    </w:p>
    <w:p w14:paraId="23820638" w14:textId="57797B61" w:rsidR="00501376" w:rsidRDefault="00DC280B" w:rsidP="4FE8E3BB">
      <w:pPr>
        <w:spacing w:line="360" w:lineRule="auto"/>
        <w:rPr>
          <w:rFonts w:ascii="Arial" w:eastAsia="Arial" w:hAnsi="Arial" w:cs="Arial"/>
          <w:sz w:val="22"/>
        </w:rPr>
      </w:pPr>
      <w:r w:rsidRPr="4FE8E3BB">
        <w:rPr>
          <w:rFonts w:ascii="Arial" w:eastAsia="Arial" w:hAnsi="Arial" w:cs="Arial"/>
          <w:sz w:val="22"/>
        </w:rPr>
        <w:t xml:space="preserve">In the context of type 2 diabetes, the House of Care centers focus on having a conversation that asks, "What matters to you?" During this talk, the person with diabetes and their healthcare team set goals, agree on treatment changes, and plan follow-ups together. This is different from just giving instructions during an annual check-up (Coulter et al., 2013; NHS England, 2016). The shared plan relies on the patient being well-informed and confident, support from a team of different specialists working together, community resources like structured education and peer support, and organizational </w:t>
      </w:r>
      <w:r w:rsidR="2CF6DDBB" w:rsidRPr="4FE8E3BB">
        <w:rPr>
          <w:rFonts w:ascii="Arial" w:eastAsia="Arial" w:hAnsi="Arial" w:cs="Arial"/>
          <w:sz w:val="22"/>
        </w:rPr>
        <w:t>systems such</w:t>
      </w:r>
      <w:r w:rsidRPr="4FE8E3BB">
        <w:rPr>
          <w:rFonts w:ascii="Arial" w:eastAsia="Arial" w:hAnsi="Arial" w:cs="Arial"/>
          <w:sz w:val="22"/>
        </w:rPr>
        <w:t xml:space="preserve"> as lists for patients, reminders, and </w:t>
      </w:r>
      <w:r w:rsidR="7F294DCB" w:rsidRPr="4FE8E3BB">
        <w:rPr>
          <w:rFonts w:ascii="Arial" w:eastAsia="Arial" w:hAnsi="Arial" w:cs="Arial"/>
          <w:sz w:val="22"/>
        </w:rPr>
        <w:t>audits that</w:t>
      </w:r>
      <w:r w:rsidRPr="4FE8E3BB">
        <w:rPr>
          <w:rFonts w:ascii="Arial" w:eastAsia="Arial" w:hAnsi="Arial" w:cs="Arial"/>
          <w:sz w:val="22"/>
        </w:rPr>
        <w:t xml:space="preserve"> make sure these conversations happen regularly and not by chance. In practice, after each review, a person with type 2 diabetes leaves with a written plan they helped create, necessary referrals, and a follow-up date based on how well they are managing their condition.</w:t>
      </w:r>
    </w:p>
    <w:p w14:paraId="5FC361C3" w14:textId="77777777" w:rsidR="006C56E8" w:rsidRDefault="006C56E8" w:rsidP="4D5CA480">
      <w:pPr>
        <w:spacing w:line="360" w:lineRule="auto"/>
        <w:rPr>
          <w:rFonts w:ascii="Arial" w:eastAsia="Arial" w:hAnsi="Arial" w:cs="Arial"/>
          <w:sz w:val="22"/>
        </w:rPr>
      </w:pPr>
    </w:p>
    <w:p w14:paraId="58B06DFB" w14:textId="1D7BF2CB" w:rsidR="0092074C" w:rsidRDefault="00C26875" w:rsidP="4D5CA480">
      <w:pPr>
        <w:spacing w:line="360" w:lineRule="auto"/>
        <w:rPr>
          <w:rFonts w:ascii="Arial" w:eastAsia="Arial" w:hAnsi="Arial" w:cs="Arial"/>
          <w:sz w:val="22"/>
        </w:rPr>
      </w:pPr>
      <w:r w:rsidRPr="4D5CA480">
        <w:rPr>
          <w:rFonts w:ascii="Arial" w:eastAsia="Arial" w:hAnsi="Arial" w:cs="Arial"/>
          <w:sz w:val="22"/>
        </w:rPr>
        <w:t>In real life, a T2D "house" includes: an annual review where results are shared in simple terms; a 15 to 30-minute discussion about care that focuses on what the patient wants; a written action plan; referrals for education and community support; team-based follow-up led by nurses or pharmacists between doctor visits; and a reminder system that brings the patient back in 3 to 12 months based on their health status. This whole setup makes sure that the main conversation between the patient and the team happens regularly rather than by chance (Coulter et al., 2013; NHS England, 2016).</w:t>
      </w:r>
    </w:p>
    <w:p w14:paraId="3CF218CB" w14:textId="72A2105A" w:rsidR="001C5A47" w:rsidRPr="004671D6" w:rsidRDefault="04C38BF0" w:rsidP="627DF818">
      <w:pPr>
        <w:pStyle w:val="Heading2"/>
        <w:spacing w:line="360" w:lineRule="auto"/>
        <w:rPr>
          <w:rFonts w:ascii="Arial" w:hAnsi="Arial" w:cs="Arial"/>
          <w:color w:val="auto"/>
          <w:sz w:val="22"/>
          <w:szCs w:val="22"/>
        </w:rPr>
      </w:pPr>
      <w:r w:rsidRPr="627DF818">
        <w:rPr>
          <w:rFonts w:ascii="Arial" w:hAnsi="Arial" w:cs="Arial"/>
          <w:color w:val="auto"/>
          <w:sz w:val="22"/>
          <w:szCs w:val="22"/>
        </w:rPr>
        <w:t>5.2 International model: Chronic Care Model</w:t>
      </w:r>
    </w:p>
    <w:p w14:paraId="6C27FE39" w14:textId="2D8AA67C" w:rsidR="000C0AA8" w:rsidRPr="004671D6" w:rsidRDefault="415EC1EC" w:rsidP="627DF818">
      <w:pPr>
        <w:spacing w:line="360" w:lineRule="auto"/>
      </w:pPr>
      <w:r w:rsidRPr="627DF818">
        <w:rPr>
          <w:rFonts w:ascii="Arial" w:hAnsi="Arial" w:cs="Arial"/>
          <w:sz w:val="22"/>
        </w:rPr>
        <w:t xml:space="preserve">The Chronic Care Model (CCM), </w:t>
      </w:r>
      <w:proofErr w:type="spellStart"/>
      <w:r w:rsidRPr="627DF818">
        <w:rPr>
          <w:rFonts w:ascii="Arial" w:hAnsi="Arial" w:cs="Arial"/>
          <w:sz w:val="22"/>
        </w:rPr>
        <w:t>conceptuali</w:t>
      </w:r>
      <w:r w:rsidR="599346A6" w:rsidRPr="627DF818">
        <w:rPr>
          <w:rFonts w:ascii="Arial" w:hAnsi="Arial" w:cs="Arial"/>
          <w:sz w:val="22"/>
        </w:rPr>
        <w:t>s</w:t>
      </w:r>
      <w:r w:rsidRPr="627DF818">
        <w:rPr>
          <w:rFonts w:ascii="Arial" w:hAnsi="Arial" w:cs="Arial"/>
          <w:sz w:val="22"/>
        </w:rPr>
        <w:t>ed</w:t>
      </w:r>
      <w:proofErr w:type="spellEnd"/>
      <w:r w:rsidRPr="627DF818">
        <w:rPr>
          <w:rFonts w:ascii="Arial" w:hAnsi="Arial" w:cs="Arial"/>
          <w:sz w:val="22"/>
        </w:rPr>
        <w:t xml:space="preserve"> by Wagner and associates, aims to shift the focus from reactive, acute care to proactive, planned, and population-centered care. This model </w:t>
      </w:r>
      <w:r w:rsidR="3CAAA4E0" w:rsidRPr="627DF818">
        <w:rPr>
          <w:rFonts w:ascii="Arial" w:hAnsi="Arial" w:cs="Arial"/>
          <w:sz w:val="22"/>
        </w:rPr>
        <w:t>makes up</w:t>
      </w:r>
      <w:r w:rsidRPr="627DF818">
        <w:rPr>
          <w:rFonts w:ascii="Arial" w:hAnsi="Arial" w:cs="Arial"/>
          <w:sz w:val="22"/>
        </w:rPr>
        <w:t xml:space="preserve"> six key components: healthcare </w:t>
      </w:r>
      <w:proofErr w:type="spellStart"/>
      <w:r w:rsidRPr="627DF818">
        <w:rPr>
          <w:rFonts w:ascii="Arial" w:hAnsi="Arial" w:cs="Arial"/>
          <w:sz w:val="22"/>
        </w:rPr>
        <w:t>organi</w:t>
      </w:r>
      <w:r w:rsidR="599346A6" w:rsidRPr="627DF818">
        <w:rPr>
          <w:rFonts w:ascii="Arial" w:hAnsi="Arial" w:cs="Arial"/>
          <w:sz w:val="22"/>
        </w:rPr>
        <w:t>s</w:t>
      </w:r>
      <w:r w:rsidRPr="627DF818">
        <w:rPr>
          <w:rFonts w:ascii="Arial" w:hAnsi="Arial" w:cs="Arial"/>
          <w:sz w:val="22"/>
        </w:rPr>
        <w:t>ation</w:t>
      </w:r>
      <w:proofErr w:type="spellEnd"/>
      <w:r w:rsidRPr="627DF818">
        <w:rPr>
          <w:rFonts w:ascii="Arial" w:hAnsi="Arial" w:cs="Arial"/>
          <w:sz w:val="22"/>
        </w:rPr>
        <w:t xml:space="preserve">, community resources and policies, support for self-management, design of the delivery system, decision support mechanisms, and clinical information systems. Collectively, these elements foster "productive interactions" between an informed and engaged patient and a well-prepared, proactive healthcare team (Wagner, Austin, &amp; Von </w:t>
      </w:r>
      <w:proofErr w:type="spellStart"/>
      <w:r w:rsidRPr="627DF818">
        <w:rPr>
          <w:rFonts w:ascii="Arial" w:hAnsi="Arial" w:cs="Arial"/>
          <w:sz w:val="22"/>
        </w:rPr>
        <w:t>Korff</w:t>
      </w:r>
      <w:proofErr w:type="spellEnd"/>
      <w:r w:rsidRPr="627DF818">
        <w:rPr>
          <w:rFonts w:ascii="Arial" w:hAnsi="Arial" w:cs="Arial"/>
          <w:sz w:val="22"/>
        </w:rPr>
        <w:t>, 1996; Wagner, 1998; Wagner et al., 2001).</w:t>
      </w:r>
    </w:p>
    <w:p w14:paraId="63D8607B" w14:textId="06C9CAA7" w:rsidR="4A7D00F9" w:rsidRDefault="4A7D00F9" w:rsidP="4A7D00F9">
      <w:pPr>
        <w:spacing w:line="360" w:lineRule="auto"/>
        <w:rPr>
          <w:rFonts w:ascii="Arial" w:hAnsi="Arial" w:cs="Arial"/>
          <w:sz w:val="22"/>
        </w:rPr>
      </w:pPr>
    </w:p>
    <w:p w14:paraId="6198EFAD" w14:textId="069F8AB3" w:rsidR="001C5A47" w:rsidRPr="004671D6" w:rsidRDefault="334AEBF9" w:rsidP="4FE8E3BB">
      <w:pPr>
        <w:spacing w:line="360" w:lineRule="auto"/>
        <w:jc w:val="center"/>
        <w:rPr>
          <w:rFonts w:ascii="Arial" w:eastAsia="Arial" w:hAnsi="Arial" w:cs="Arial"/>
          <w:sz w:val="22"/>
        </w:rPr>
      </w:pPr>
      <w:r>
        <w:rPr>
          <w:noProof/>
        </w:rPr>
        <w:drawing>
          <wp:inline distT="0" distB="0" distL="0" distR="0" wp14:anchorId="53D25607" wp14:editId="6C555D9A">
            <wp:extent cx="6400800" cy="4267200"/>
            <wp:effectExtent l="0" t="0" r="0" b="0"/>
            <wp:docPr id="6639036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903676" name="Picture 663903676"/>
                    <pic:cNvPicPr/>
                  </pic:nvPicPr>
                  <pic:blipFill>
                    <a:blip r:embed="rId8">
                      <a:extLst>
                        <a:ext uri="{28A0092B-C50C-407E-A947-70E740481C1C}">
                          <a14:useLocalDpi xmlns:a14="http://schemas.microsoft.com/office/drawing/2010/main"/>
                        </a:ext>
                      </a:extLst>
                    </a:blip>
                    <a:stretch>
                      <a:fillRect/>
                    </a:stretch>
                  </pic:blipFill>
                  <pic:spPr>
                    <a:xfrm>
                      <a:off x="0" y="0"/>
                      <a:ext cx="6400800" cy="4267200"/>
                    </a:xfrm>
                    <a:prstGeom prst="rect">
                      <a:avLst/>
                    </a:prstGeom>
                  </pic:spPr>
                </pic:pic>
              </a:graphicData>
            </a:graphic>
          </wp:inline>
        </w:drawing>
      </w:r>
    </w:p>
    <w:p w14:paraId="7C02EF7D" w14:textId="6CE0978F" w:rsidR="26176AA5" w:rsidRDefault="26176AA5" w:rsidP="4FE8E3BB">
      <w:pPr>
        <w:spacing w:line="360" w:lineRule="auto"/>
        <w:jc w:val="center"/>
        <w:rPr>
          <w:rFonts w:ascii="Arial" w:eastAsia="Arial" w:hAnsi="Arial" w:cs="Arial"/>
          <w:sz w:val="22"/>
        </w:rPr>
      </w:pPr>
    </w:p>
    <w:p w14:paraId="715F46D3" w14:textId="1DCD4B19" w:rsidR="001C5A47" w:rsidRPr="004671D6" w:rsidRDefault="003A72EB" w:rsidP="4FE8E3BB">
      <w:pPr>
        <w:spacing w:line="360" w:lineRule="auto"/>
        <w:rPr>
          <w:rFonts w:ascii="Arial" w:eastAsia="Arial" w:hAnsi="Arial" w:cs="Arial"/>
          <w:sz w:val="22"/>
        </w:rPr>
      </w:pPr>
      <w:r w:rsidRPr="4FE8E3BB">
        <w:rPr>
          <w:rFonts w:ascii="Arial" w:eastAsia="Arial" w:hAnsi="Arial" w:cs="Arial"/>
          <w:sz w:val="22"/>
        </w:rPr>
        <w:t>A practical approach uses the Chronic Care Model (CCM) to reshape the system, placing the House of Care at the heart of personal interactions. When applied to type 2 diabetes, the CCM provides essential tools like a diabetes register, a way to recall patients based on their risk levels, clear team roles, established protocols, community referral options, and support for self-management. Meanwhile, the House of Care guides each interaction by asking "what matters to you?" This leads to a jointly created action plan that is realistic and can be followed up on as needs change (Coulter et al., 2013</w:t>
      </w:r>
      <w:r w:rsidR="75E3E80E" w:rsidRPr="4FE8E3BB">
        <w:rPr>
          <w:rFonts w:ascii="Arial" w:eastAsia="Arial" w:hAnsi="Arial" w:cs="Arial"/>
          <w:sz w:val="22"/>
        </w:rPr>
        <w:t>,</w:t>
      </w:r>
      <w:r w:rsidRPr="4FE8E3BB">
        <w:rPr>
          <w:rFonts w:ascii="Arial" w:eastAsia="Arial" w:hAnsi="Arial" w:cs="Arial"/>
          <w:sz w:val="22"/>
        </w:rPr>
        <w:t xml:space="preserve"> NHS England, 2016). This approach helps prevent services from being reorgani</w:t>
      </w:r>
      <w:r w:rsidR="72F1B03A" w:rsidRPr="4FE8E3BB">
        <w:rPr>
          <w:rFonts w:ascii="Arial" w:eastAsia="Arial" w:hAnsi="Arial" w:cs="Arial"/>
          <w:sz w:val="22"/>
        </w:rPr>
        <w:t>s</w:t>
      </w:r>
      <w:r w:rsidRPr="4FE8E3BB">
        <w:rPr>
          <w:rFonts w:ascii="Arial" w:eastAsia="Arial" w:hAnsi="Arial" w:cs="Arial"/>
          <w:sz w:val="22"/>
        </w:rPr>
        <w:t>ed in a way that feels cold and impersonal while also ensuring that meaningful conversations have the necessary support systems in place to happen consistently.</w:t>
      </w:r>
    </w:p>
    <w:p w14:paraId="7C5B3983" w14:textId="716D620B" w:rsidR="001C5A47" w:rsidRPr="004671D6" w:rsidRDefault="04C38BF0" w:rsidP="4FE8E3BB">
      <w:pPr>
        <w:spacing w:line="360" w:lineRule="auto"/>
        <w:rPr>
          <w:rFonts w:ascii="Arial" w:eastAsia="Arial" w:hAnsi="Arial" w:cs="Arial"/>
          <w:b/>
          <w:bCs/>
          <w:sz w:val="22"/>
        </w:rPr>
      </w:pPr>
      <w:r w:rsidRPr="4FE8E3BB">
        <w:rPr>
          <w:rFonts w:ascii="Arial" w:eastAsia="Arial" w:hAnsi="Arial" w:cs="Arial"/>
          <w:b/>
          <w:bCs/>
          <w:sz w:val="22"/>
        </w:rPr>
        <w:t>5.3 Using both models</w:t>
      </w:r>
    </w:p>
    <w:p w14:paraId="0E3C84C7" w14:textId="01F00C3C" w:rsidR="00F445EC" w:rsidRPr="004671D6" w:rsidRDefault="5F2D169B" w:rsidP="4FE8E3BB">
      <w:pPr>
        <w:spacing w:line="360" w:lineRule="auto"/>
        <w:rPr>
          <w:rFonts w:ascii="Arial" w:eastAsia="Arial" w:hAnsi="Arial" w:cs="Arial"/>
          <w:sz w:val="22"/>
        </w:rPr>
      </w:pPr>
      <w:r w:rsidRPr="4FE8E3BB">
        <w:rPr>
          <w:rFonts w:ascii="Arial" w:eastAsia="Arial" w:hAnsi="Arial" w:cs="Arial"/>
          <w:sz w:val="22"/>
        </w:rPr>
        <w:t xml:space="preserve">A pragmatic synthesis employs the Chronic Care Model (CCM) to reconfigure the system, while positioning the House of Care as central to relational dialogue. The CCM inquires whether there exists a registry, mechanisms for recall, clearly defined team roles, decision-making support, community connections, and </w:t>
      </w:r>
      <w:r w:rsidR="2F3571AA" w:rsidRPr="4FE8E3BB">
        <w:rPr>
          <w:rFonts w:ascii="Arial" w:eastAsia="Arial" w:hAnsi="Arial" w:cs="Arial"/>
          <w:sz w:val="22"/>
        </w:rPr>
        <w:t>aid</w:t>
      </w:r>
      <w:r w:rsidRPr="4FE8E3BB">
        <w:rPr>
          <w:rFonts w:ascii="Arial" w:eastAsia="Arial" w:hAnsi="Arial" w:cs="Arial"/>
          <w:sz w:val="22"/>
        </w:rPr>
        <w:t xml:space="preserve"> for self-management. Conversely, the House of Care questions whether individuals </w:t>
      </w:r>
      <w:r w:rsidR="2F3571AA" w:rsidRPr="4FE8E3BB">
        <w:rPr>
          <w:rFonts w:ascii="Arial" w:eastAsia="Arial" w:hAnsi="Arial" w:cs="Arial"/>
          <w:sz w:val="22"/>
        </w:rPr>
        <w:t>leave</w:t>
      </w:r>
      <w:r w:rsidRPr="4FE8E3BB">
        <w:rPr>
          <w:rFonts w:ascii="Arial" w:eastAsia="Arial" w:hAnsi="Arial" w:cs="Arial"/>
          <w:sz w:val="22"/>
        </w:rPr>
        <w:t xml:space="preserve"> with a collaboratively developed plan, whether they can implement this plan at home, and if the system is equipped to recognize changes in their needs. This combined perspective guards against technical redesign efforts that overlook relational aspects and ensures that compassionate dialogues are supported by adequate infrastructure.</w:t>
      </w:r>
    </w:p>
    <w:p w14:paraId="02699DCE" w14:textId="6128DF1B" w:rsidR="00565D4C" w:rsidRPr="00565D4C" w:rsidRDefault="04C38BF0" w:rsidP="627DF818">
      <w:pPr>
        <w:pStyle w:val="Heading1"/>
        <w:spacing w:line="360" w:lineRule="auto"/>
        <w:rPr>
          <w:rFonts w:ascii="Arial" w:eastAsia="Arial" w:hAnsi="Arial" w:cs="Arial"/>
          <w:color w:val="auto"/>
          <w:sz w:val="22"/>
          <w:szCs w:val="22"/>
        </w:rPr>
      </w:pPr>
      <w:r w:rsidRPr="627DF818">
        <w:rPr>
          <w:rFonts w:ascii="Arial" w:eastAsia="Arial" w:hAnsi="Arial" w:cs="Arial"/>
          <w:color w:val="auto"/>
          <w:sz w:val="22"/>
          <w:szCs w:val="22"/>
        </w:rPr>
        <w:t>Political and implementation agendas in England</w:t>
      </w:r>
    </w:p>
    <w:p w14:paraId="6053E722" w14:textId="703E86CA" w:rsidR="004838CC" w:rsidRPr="004671D6" w:rsidRDefault="70C057C5" w:rsidP="627DF818">
      <w:pPr>
        <w:spacing w:line="360" w:lineRule="auto"/>
        <w:rPr>
          <w:rFonts w:ascii="Arial" w:eastAsia="Arial" w:hAnsi="Arial" w:cs="Arial"/>
          <w:sz w:val="22"/>
        </w:rPr>
      </w:pPr>
      <w:r w:rsidRPr="627DF818">
        <w:rPr>
          <w:rFonts w:ascii="Arial" w:eastAsia="Arial" w:hAnsi="Arial" w:cs="Arial"/>
          <w:sz w:val="22"/>
        </w:rPr>
        <w:t xml:space="preserve">On a national level, the NHS Long Term Plan (2019) highlighted the significance of prevention, specific targets for diabetes treatment, structured educational programs, </w:t>
      </w:r>
      <w:r w:rsidR="2F3571AA" w:rsidRPr="627DF818">
        <w:rPr>
          <w:rFonts w:ascii="Arial" w:eastAsia="Arial" w:hAnsi="Arial" w:cs="Arial"/>
          <w:sz w:val="22"/>
        </w:rPr>
        <w:t>foot-care</w:t>
      </w:r>
      <w:r w:rsidRPr="627DF818">
        <w:rPr>
          <w:rFonts w:ascii="Arial" w:eastAsia="Arial" w:hAnsi="Arial" w:cs="Arial"/>
          <w:sz w:val="22"/>
        </w:rPr>
        <w:t xml:space="preserve"> services, specialist nursing in inpatient settings, </w:t>
      </w:r>
      <w:proofErr w:type="spellStart"/>
      <w:r w:rsidR="0E286013" w:rsidRPr="587A2223">
        <w:rPr>
          <w:rFonts w:ascii="Arial" w:eastAsia="Arial" w:hAnsi="Arial" w:cs="Arial"/>
          <w:sz w:val="22"/>
        </w:rPr>
        <w:t>personali</w:t>
      </w:r>
      <w:r w:rsidR="5B3F8648" w:rsidRPr="587A2223">
        <w:rPr>
          <w:rFonts w:ascii="Arial" w:eastAsia="Arial" w:hAnsi="Arial" w:cs="Arial"/>
          <w:sz w:val="22"/>
        </w:rPr>
        <w:t>s</w:t>
      </w:r>
      <w:r w:rsidR="0E286013" w:rsidRPr="587A2223">
        <w:rPr>
          <w:rFonts w:ascii="Arial" w:eastAsia="Arial" w:hAnsi="Arial" w:cs="Arial"/>
          <w:sz w:val="22"/>
        </w:rPr>
        <w:t>ed</w:t>
      </w:r>
      <w:proofErr w:type="spellEnd"/>
      <w:r w:rsidRPr="627DF818">
        <w:rPr>
          <w:rFonts w:ascii="Arial" w:eastAsia="Arial" w:hAnsi="Arial" w:cs="Arial"/>
          <w:sz w:val="22"/>
        </w:rPr>
        <w:t xml:space="preserve"> care, and digital support for self-management (NHS England, 2019). This comprehensive model of </w:t>
      </w:r>
      <w:proofErr w:type="spellStart"/>
      <w:r w:rsidRPr="627DF818">
        <w:rPr>
          <w:rFonts w:ascii="Arial" w:eastAsia="Arial" w:hAnsi="Arial" w:cs="Arial"/>
          <w:sz w:val="22"/>
        </w:rPr>
        <w:t>personali</w:t>
      </w:r>
      <w:r w:rsidR="4C2D19AD" w:rsidRPr="627DF818">
        <w:rPr>
          <w:rFonts w:ascii="Arial" w:eastAsia="Arial" w:hAnsi="Arial" w:cs="Arial"/>
          <w:sz w:val="22"/>
        </w:rPr>
        <w:t>s</w:t>
      </w:r>
      <w:r w:rsidRPr="627DF818">
        <w:rPr>
          <w:rFonts w:ascii="Arial" w:eastAsia="Arial" w:hAnsi="Arial" w:cs="Arial"/>
          <w:sz w:val="22"/>
        </w:rPr>
        <w:t>ed</w:t>
      </w:r>
      <w:proofErr w:type="spellEnd"/>
      <w:r w:rsidRPr="627DF818">
        <w:rPr>
          <w:rFonts w:ascii="Arial" w:eastAsia="Arial" w:hAnsi="Arial" w:cs="Arial"/>
          <w:sz w:val="22"/>
        </w:rPr>
        <w:t xml:space="preserve"> care integrates shared decision-making, </w:t>
      </w:r>
      <w:proofErr w:type="spellStart"/>
      <w:r w:rsidRPr="627DF818">
        <w:rPr>
          <w:rFonts w:ascii="Arial" w:eastAsia="Arial" w:hAnsi="Arial" w:cs="Arial"/>
          <w:sz w:val="22"/>
        </w:rPr>
        <w:t>individuali</w:t>
      </w:r>
      <w:r w:rsidR="4C2D19AD" w:rsidRPr="627DF818">
        <w:rPr>
          <w:rFonts w:ascii="Arial" w:eastAsia="Arial" w:hAnsi="Arial" w:cs="Arial"/>
          <w:sz w:val="22"/>
        </w:rPr>
        <w:t>s</w:t>
      </w:r>
      <w:r w:rsidRPr="627DF818">
        <w:rPr>
          <w:rFonts w:ascii="Arial" w:eastAsia="Arial" w:hAnsi="Arial" w:cs="Arial"/>
          <w:sz w:val="22"/>
        </w:rPr>
        <w:t>ed</w:t>
      </w:r>
      <w:proofErr w:type="spellEnd"/>
      <w:r w:rsidRPr="627DF818">
        <w:rPr>
          <w:rFonts w:ascii="Arial" w:eastAsia="Arial" w:hAnsi="Arial" w:cs="Arial"/>
          <w:sz w:val="22"/>
        </w:rPr>
        <w:t xml:space="preserve"> care planning and support, patient choice, social prescribing, </w:t>
      </w:r>
      <w:r w:rsidR="795B9326" w:rsidRPr="627DF818">
        <w:rPr>
          <w:rFonts w:ascii="Arial" w:eastAsia="Arial" w:hAnsi="Arial" w:cs="Arial"/>
          <w:sz w:val="22"/>
        </w:rPr>
        <w:t>helped</w:t>
      </w:r>
      <w:r w:rsidRPr="627DF818">
        <w:rPr>
          <w:rFonts w:ascii="Arial" w:eastAsia="Arial" w:hAnsi="Arial" w:cs="Arial"/>
          <w:sz w:val="22"/>
        </w:rPr>
        <w:t xml:space="preserve"> self-management, and personal health budgets (NHS England, 2019).</w:t>
      </w:r>
    </w:p>
    <w:p w14:paraId="0DD6FBD7" w14:textId="4C90E6D2" w:rsidR="004838CC" w:rsidRPr="004671D6" w:rsidRDefault="4CC8C12A" w:rsidP="3071EA5E">
      <w:pPr>
        <w:spacing w:line="360" w:lineRule="auto"/>
        <w:rPr>
          <w:rFonts w:ascii="Arial" w:eastAsia="Arial" w:hAnsi="Arial" w:cs="Arial"/>
          <w:sz w:val="22"/>
        </w:rPr>
      </w:pPr>
      <w:r w:rsidRPr="3071EA5E">
        <w:rPr>
          <w:rFonts w:ascii="Arial" w:eastAsia="Arial" w:hAnsi="Arial" w:cs="Arial"/>
          <w:sz w:val="22"/>
        </w:rPr>
        <w:t xml:space="preserve">The Health and Care Act 2022 </w:t>
      </w:r>
      <w:r w:rsidR="6712ACF3" w:rsidRPr="3071EA5E">
        <w:rPr>
          <w:rFonts w:ascii="Arial" w:eastAsia="Arial" w:hAnsi="Arial" w:cs="Arial"/>
          <w:sz w:val="22"/>
        </w:rPr>
        <w:t>set up</w:t>
      </w:r>
      <w:r w:rsidRPr="3071EA5E">
        <w:rPr>
          <w:rFonts w:ascii="Arial" w:eastAsia="Arial" w:hAnsi="Arial" w:cs="Arial"/>
          <w:sz w:val="22"/>
        </w:rPr>
        <w:t xml:space="preserve"> integrated care systems as a statutory requirement, fostering collaboration between NHS </w:t>
      </w:r>
      <w:proofErr w:type="spellStart"/>
      <w:r w:rsidRPr="3071EA5E">
        <w:rPr>
          <w:rFonts w:ascii="Arial" w:eastAsia="Arial" w:hAnsi="Arial" w:cs="Arial"/>
          <w:sz w:val="22"/>
        </w:rPr>
        <w:t>organi</w:t>
      </w:r>
      <w:r w:rsidR="7EEC486A" w:rsidRPr="3071EA5E">
        <w:rPr>
          <w:rFonts w:ascii="Arial" w:eastAsia="Arial" w:hAnsi="Arial" w:cs="Arial"/>
          <w:sz w:val="22"/>
        </w:rPr>
        <w:t>s</w:t>
      </w:r>
      <w:r w:rsidRPr="3071EA5E">
        <w:rPr>
          <w:rFonts w:ascii="Arial" w:eastAsia="Arial" w:hAnsi="Arial" w:cs="Arial"/>
          <w:sz w:val="22"/>
        </w:rPr>
        <w:t>ations</w:t>
      </w:r>
      <w:proofErr w:type="spellEnd"/>
      <w:r w:rsidRPr="3071EA5E">
        <w:rPr>
          <w:rFonts w:ascii="Arial" w:eastAsia="Arial" w:hAnsi="Arial" w:cs="Arial"/>
          <w:sz w:val="22"/>
        </w:rPr>
        <w:t xml:space="preserve"> and local government to enhance population health outcomes, address inequalities, and </w:t>
      </w:r>
      <w:r w:rsidR="4169EEBC" w:rsidRPr="3071EA5E">
        <w:rPr>
          <w:rFonts w:ascii="Arial" w:eastAsia="Arial" w:hAnsi="Arial" w:cs="Arial"/>
          <w:sz w:val="22"/>
        </w:rPr>
        <w:t>integrate</w:t>
      </w:r>
      <w:r w:rsidRPr="3071EA5E">
        <w:rPr>
          <w:rFonts w:ascii="Arial" w:eastAsia="Arial" w:hAnsi="Arial" w:cs="Arial"/>
          <w:sz w:val="22"/>
        </w:rPr>
        <w:t xml:space="preserve"> </w:t>
      </w:r>
      <w:r w:rsidR="4169EEBC" w:rsidRPr="3071EA5E">
        <w:rPr>
          <w:rFonts w:ascii="Arial" w:eastAsia="Arial" w:hAnsi="Arial" w:cs="Arial"/>
          <w:sz w:val="22"/>
        </w:rPr>
        <w:t>services</w:t>
      </w:r>
      <w:r w:rsidR="70F2B32B" w:rsidRPr="3071EA5E">
        <w:rPr>
          <w:rFonts w:ascii="Arial" w:eastAsia="Arial" w:hAnsi="Arial" w:cs="Arial"/>
          <w:sz w:val="22"/>
        </w:rPr>
        <w:t xml:space="preserve"> </w:t>
      </w:r>
      <w:r w:rsidRPr="3071EA5E">
        <w:rPr>
          <w:rFonts w:ascii="Arial" w:eastAsia="Arial" w:hAnsi="Arial" w:cs="Arial"/>
          <w:sz w:val="22"/>
        </w:rPr>
        <w:t>effectively (UK Parliament, 2022</w:t>
      </w:r>
      <w:r w:rsidR="1A9D8F96" w:rsidRPr="3071EA5E">
        <w:rPr>
          <w:rFonts w:ascii="Arial" w:eastAsia="Arial" w:hAnsi="Arial" w:cs="Arial"/>
          <w:sz w:val="22"/>
        </w:rPr>
        <w:t>.</w:t>
      </w:r>
      <w:r w:rsidRPr="3071EA5E">
        <w:rPr>
          <w:rFonts w:ascii="Arial" w:eastAsia="Arial" w:hAnsi="Arial" w:cs="Arial"/>
          <w:sz w:val="22"/>
        </w:rPr>
        <w:t xml:space="preserve"> King’s Fund, 2022). In the context of diabetes management, implementation typically occurs through place-based partnerships within Integrated Care Boards (ICBs), primary care networks, general practitioner practices, community diabetes teams, podiatry services, retinal screening initiatives, pharmacies, social care sectors, and voluntary </w:t>
      </w:r>
      <w:proofErr w:type="spellStart"/>
      <w:r w:rsidRPr="3071EA5E">
        <w:rPr>
          <w:rFonts w:ascii="Arial" w:eastAsia="Arial" w:hAnsi="Arial" w:cs="Arial"/>
          <w:sz w:val="22"/>
        </w:rPr>
        <w:t>organi</w:t>
      </w:r>
      <w:r w:rsidR="64E603EA" w:rsidRPr="3071EA5E">
        <w:rPr>
          <w:rFonts w:ascii="Arial" w:eastAsia="Arial" w:hAnsi="Arial" w:cs="Arial"/>
          <w:sz w:val="22"/>
        </w:rPr>
        <w:t>s</w:t>
      </w:r>
      <w:r w:rsidRPr="3071EA5E">
        <w:rPr>
          <w:rFonts w:ascii="Arial" w:eastAsia="Arial" w:hAnsi="Arial" w:cs="Arial"/>
          <w:sz w:val="22"/>
        </w:rPr>
        <w:t>ations</w:t>
      </w:r>
      <w:proofErr w:type="spellEnd"/>
      <w:r w:rsidRPr="3071EA5E">
        <w:rPr>
          <w:rFonts w:ascii="Arial" w:eastAsia="Arial" w:hAnsi="Arial" w:cs="Arial"/>
          <w:sz w:val="22"/>
        </w:rPr>
        <w:t>.</w:t>
      </w:r>
    </w:p>
    <w:p w14:paraId="7FE392A0" w14:textId="427790E0" w:rsidR="004838CC" w:rsidRPr="004671D6" w:rsidRDefault="3CB58BBD" w:rsidP="3071EA5E">
      <w:pPr>
        <w:spacing w:line="360" w:lineRule="auto"/>
        <w:rPr>
          <w:rFonts w:ascii="Arial" w:eastAsia="Arial" w:hAnsi="Arial" w:cs="Arial"/>
          <w:sz w:val="22"/>
        </w:rPr>
      </w:pPr>
      <w:r w:rsidRPr="3071EA5E">
        <w:rPr>
          <w:rFonts w:ascii="Arial" w:eastAsia="Arial" w:hAnsi="Arial" w:cs="Arial"/>
          <w:sz w:val="22"/>
        </w:rPr>
        <w:t xml:space="preserve">A critical analysis reveals underlying </w:t>
      </w:r>
      <w:r w:rsidR="75AFE3E6" w:rsidRPr="3071EA5E">
        <w:rPr>
          <w:rFonts w:ascii="Arial" w:eastAsia="Arial" w:hAnsi="Arial" w:cs="Arial"/>
          <w:sz w:val="22"/>
        </w:rPr>
        <w:t>tension</w:t>
      </w:r>
      <w:r w:rsidRPr="3071EA5E">
        <w:rPr>
          <w:rFonts w:ascii="Arial" w:eastAsia="Arial" w:hAnsi="Arial" w:cs="Arial"/>
          <w:sz w:val="22"/>
        </w:rPr>
        <w:t xml:space="preserve">. While national policies advocate for </w:t>
      </w:r>
      <w:proofErr w:type="spellStart"/>
      <w:r w:rsidRPr="3071EA5E">
        <w:rPr>
          <w:rFonts w:ascii="Arial" w:eastAsia="Arial" w:hAnsi="Arial" w:cs="Arial"/>
          <w:sz w:val="22"/>
        </w:rPr>
        <w:t>personali</w:t>
      </w:r>
      <w:r w:rsidR="4341B864" w:rsidRPr="3071EA5E">
        <w:rPr>
          <w:rFonts w:ascii="Arial" w:eastAsia="Arial" w:hAnsi="Arial" w:cs="Arial"/>
          <w:sz w:val="22"/>
        </w:rPr>
        <w:t>s</w:t>
      </w:r>
      <w:r w:rsidRPr="3071EA5E">
        <w:rPr>
          <w:rFonts w:ascii="Arial" w:eastAsia="Arial" w:hAnsi="Arial" w:cs="Arial"/>
          <w:sz w:val="22"/>
        </w:rPr>
        <w:t>ation</w:t>
      </w:r>
      <w:proofErr w:type="spellEnd"/>
      <w:r w:rsidRPr="3071EA5E">
        <w:rPr>
          <w:rFonts w:ascii="Arial" w:eastAsia="Arial" w:hAnsi="Arial" w:cs="Arial"/>
          <w:sz w:val="22"/>
        </w:rPr>
        <w:t xml:space="preserve"> in care delivery, existing payment and performance frameworks often </w:t>
      </w:r>
      <w:proofErr w:type="spellStart"/>
      <w:r w:rsidRPr="3071EA5E">
        <w:rPr>
          <w:rFonts w:ascii="Arial" w:eastAsia="Arial" w:hAnsi="Arial" w:cs="Arial"/>
          <w:sz w:val="22"/>
        </w:rPr>
        <w:t>prioriti</w:t>
      </w:r>
      <w:r w:rsidR="0D43D353" w:rsidRPr="3071EA5E">
        <w:rPr>
          <w:rFonts w:ascii="Arial" w:eastAsia="Arial" w:hAnsi="Arial" w:cs="Arial"/>
          <w:sz w:val="22"/>
        </w:rPr>
        <w:t>s</w:t>
      </w:r>
      <w:r w:rsidRPr="3071EA5E">
        <w:rPr>
          <w:rFonts w:ascii="Arial" w:eastAsia="Arial" w:hAnsi="Arial" w:cs="Arial"/>
          <w:sz w:val="22"/>
        </w:rPr>
        <w:t>e</w:t>
      </w:r>
      <w:proofErr w:type="spellEnd"/>
      <w:r w:rsidRPr="3071EA5E">
        <w:rPr>
          <w:rFonts w:ascii="Arial" w:eastAsia="Arial" w:hAnsi="Arial" w:cs="Arial"/>
          <w:sz w:val="22"/>
        </w:rPr>
        <w:t xml:space="preserve"> activity levels and compliance with thresholds over the continuity of relational care. The establishment of integrated structures does not inherently result in behavioral change</w:t>
      </w:r>
      <w:r w:rsidR="7F6D720A" w:rsidRPr="587A2223">
        <w:rPr>
          <w:rFonts w:ascii="Arial" w:eastAsia="Arial" w:hAnsi="Arial" w:cs="Arial"/>
          <w:sz w:val="22"/>
        </w:rPr>
        <w:t>,</w:t>
      </w:r>
      <w:r w:rsidRPr="3071EA5E">
        <w:rPr>
          <w:rFonts w:ascii="Arial" w:eastAsia="Arial" w:hAnsi="Arial" w:cs="Arial"/>
          <w:sz w:val="22"/>
        </w:rPr>
        <w:t xml:space="preserve"> such transformations </w:t>
      </w:r>
      <w:r w:rsidR="5322F23A" w:rsidRPr="3071EA5E">
        <w:rPr>
          <w:rFonts w:ascii="Arial" w:eastAsia="Arial" w:hAnsi="Arial" w:cs="Arial"/>
          <w:sz w:val="22"/>
        </w:rPr>
        <w:t>cause</w:t>
      </w:r>
      <w:r w:rsidRPr="3071EA5E">
        <w:rPr>
          <w:rFonts w:ascii="Arial" w:eastAsia="Arial" w:hAnsi="Arial" w:cs="Arial"/>
          <w:sz w:val="22"/>
        </w:rPr>
        <w:t xml:space="preserve"> trust-building measures, shared data access, aligned incentives among stakeholders, and adequate time for adaptation (King’s Fund, 2022). Although digital solutions can enhance access to healthcare services, they may inadvertently </w:t>
      </w:r>
      <w:r w:rsidR="5E8B0896" w:rsidRPr="3071EA5E">
        <w:rPr>
          <w:rFonts w:ascii="Arial" w:eastAsia="Arial" w:hAnsi="Arial" w:cs="Arial"/>
          <w:sz w:val="22"/>
        </w:rPr>
        <w:t>worsen</w:t>
      </w:r>
      <w:r w:rsidRPr="3071EA5E">
        <w:rPr>
          <w:rFonts w:ascii="Arial" w:eastAsia="Arial" w:hAnsi="Arial" w:cs="Arial"/>
          <w:sz w:val="22"/>
        </w:rPr>
        <w:t xml:space="preserve"> exclusion when barriers related to data accessibility, technological devices availability, language </w:t>
      </w:r>
      <w:r w:rsidR="5E4110FD" w:rsidRPr="3071EA5E">
        <w:rPr>
          <w:rFonts w:ascii="Arial" w:eastAsia="Arial" w:hAnsi="Arial" w:cs="Arial"/>
          <w:sz w:val="22"/>
        </w:rPr>
        <w:t>ability</w:t>
      </w:r>
      <w:r w:rsidRPr="3071EA5E">
        <w:rPr>
          <w:rFonts w:ascii="Arial" w:eastAsia="Arial" w:hAnsi="Arial" w:cs="Arial"/>
          <w:sz w:val="22"/>
        </w:rPr>
        <w:t xml:space="preserve"> issues, </w:t>
      </w:r>
      <w:r w:rsidR="5E4110FD" w:rsidRPr="3071EA5E">
        <w:rPr>
          <w:rFonts w:ascii="Arial" w:eastAsia="Arial" w:hAnsi="Arial" w:cs="Arial"/>
          <w:sz w:val="22"/>
        </w:rPr>
        <w:t>disabilities,</w:t>
      </w:r>
      <w:r w:rsidRPr="3071EA5E">
        <w:rPr>
          <w:rFonts w:ascii="Arial" w:eastAsia="Arial" w:hAnsi="Arial" w:cs="Arial"/>
          <w:sz w:val="22"/>
        </w:rPr>
        <w:t xml:space="preserve"> or lack of trust are present. Furthermore, while prevention programs can be highly effective in theory their impact may be limited among </w:t>
      </w:r>
      <w:proofErr w:type="spellStart"/>
      <w:r w:rsidRPr="3071EA5E">
        <w:rPr>
          <w:rFonts w:ascii="Arial" w:eastAsia="Arial" w:hAnsi="Arial" w:cs="Arial"/>
          <w:sz w:val="22"/>
        </w:rPr>
        <w:t>marginali</w:t>
      </w:r>
      <w:r w:rsidR="721FF48A" w:rsidRPr="3071EA5E">
        <w:rPr>
          <w:rFonts w:ascii="Arial" w:eastAsia="Arial" w:hAnsi="Arial" w:cs="Arial"/>
          <w:sz w:val="22"/>
        </w:rPr>
        <w:t>s</w:t>
      </w:r>
      <w:r w:rsidRPr="3071EA5E">
        <w:rPr>
          <w:rFonts w:ascii="Arial" w:eastAsia="Arial" w:hAnsi="Arial" w:cs="Arial"/>
          <w:sz w:val="22"/>
        </w:rPr>
        <w:t>ed</w:t>
      </w:r>
      <w:proofErr w:type="spellEnd"/>
      <w:r w:rsidRPr="3071EA5E">
        <w:rPr>
          <w:rFonts w:ascii="Arial" w:eastAsia="Arial" w:hAnsi="Arial" w:cs="Arial"/>
          <w:sz w:val="22"/>
        </w:rPr>
        <w:t xml:space="preserve"> communities if referrals depend on conventional appointment systems and patient confidence rather than proactive outreach strategies (Marmot 2010; NHS England 2019).</w:t>
      </w:r>
    </w:p>
    <w:p w14:paraId="17484079" w14:textId="54D389BE" w:rsidR="001C5A47" w:rsidRPr="004671D6" w:rsidRDefault="70C057C5" w:rsidP="627DF818">
      <w:pPr>
        <w:spacing w:line="360" w:lineRule="auto"/>
        <w:rPr>
          <w:rFonts w:ascii="Arial" w:eastAsia="Arial" w:hAnsi="Arial" w:cs="Arial"/>
          <w:sz w:val="22"/>
        </w:rPr>
      </w:pPr>
      <w:r w:rsidRPr="627DF818">
        <w:rPr>
          <w:rFonts w:ascii="Arial" w:eastAsia="Arial" w:hAnsi="Arial" w:cs="Arial"/>
          <w:sz w:val="22"/>
        </w:rPr>
        <w:t xml:space="preserve">Consequently, a </w:t>
      </w:r>
      <w:proofErr w:type="spellStart"/>
      <w:r w:rsidRPr="627DF818">
        <w:rPr>
          <w:rFonts w:ascii="Arial" w:eastAsia="Arial" w:hAnsi="Arial" w:cs="Arial"/>
          <w:sz w:val="22"/>
        </w:rPr>
        <w:t>locali</w:t>
      </w:r>
      <w:r w:rsidR="5DD99A8E" w:rsidRPr="627DF818">
        <w:rPr>
          <w:rFonts w:ascii="Arial" w:eastAsia="Arial" w:hAnsi="Arial" w:cs="Arial"/>
          <w:sz w:val="22"/>
        </w:rPr>
        <w:t>s</w:t>
      </w:r>
      <w:r w:rsidRPr="627DF818">
        <w:rPr>
          <w:rFonts w:ascii="Arial" w:eastAsia="Arial" w:hAnsi="Arial" w:cs="Arial"/>
          <w:sz w:val="22"/>
        </w:rPr>
        <w:t>ed</w:t>
      </w:r>
      <w:proofErr w:type="spellEnd"/>
      <w:r w:rsidRPr="627DF818">
        <w:rPr>
          <w:rFonts w:ascii="Arial" w:eastAsia="Arial" w:hAnsi="Arial" w:cs="Arial"/>
          <w:sz w:val="22"/>
        </w:rPr>
        <w:t xml:space="preserve"> developmental initiative should delineate the population's needs based on deprivation levels/ethnic backgrounds/age demographics; baseline metrics concerning the completion of care processes and achievement of treatment targets</w:t>
      </w:r>
      <w:r w:rsidR="22A02FA2" w:rsidRPr="587A2223">
        <w:rPr>
          <w:rFonts w:ascii="Arial" w:eastAsia="Arial" w:hAnsi="Arial" w:cs="Arial"/>
          <w:sz w:val="22"/>
        </w:rPr>
        <w:t>,</w:t>
      </w:r>
      <w:r w:rsidRPr="627DF818">
        <w:rPr>
          <w:rFonts w:ascii="Arial" w:eastAsia="Arial" w:hAnsi="Arial" w:cs="Arial"/>
          <w:sz w:val="22"/>
        </w:rPr>
        <w:t xml:space="preserve"> accessibility to structured educational resources and pathways toward remission; risk stratification for foot complications as well as chronic kidney disease/cardiovascular disease</w:t>
      </w:r>
      <w:r w:rsidR="54AF0C35" w:rsidRPr="587A2223">
        <w:rPr>
          <w:rFonts w:ascii="Arial" w:eastAsia="Arial" w:hAnsi="Arial" w:cs="Arial"/>
          <w:sz w:val="22"/>
        </w:rPr>
        <w:t>,</w:t>
      </w:r>
      <w:r w:rsidRPr="627DF818">
        <w:rPr>
          <w:rFonts w:ascii="Arial" w:eastAsia="Arial" w:hAnsi="Arial" w:cs="Arial"/>
          <w:sz w:val="22"/>
        </w:rPr>
        <w:t xml:space="preserve"> provisions for interpreters along with culturally sensitive dietary recommendations and materials designed for individuals with low literacy levels</w:t>
      </w:r>
      <w:r w:rsidR="383D2884" w:rsidRPr="587A2223">
        <w:rPr>
          <w:rFonts w:ascii="Arial" w:eastAsia="Arial" w:hAnsi="Arial" w:cs="Arial"/>
          <w:sz w:val="22"/>
        </w:rPr>
        <w:t>,</w:t>
      </w:r>
      <w:r w:rsidRPr="627DF818">
        <w:rPr>
          <w:rFonts w:ascii="Arial" w:eastAsia="Arial" w:hAnsi="Arial" w:cs="Arial"/>
          <w:sz w:val="22"/>
        </w:rPr>
        <w:t xml:space="preserve"> screenings for diabetes-related distress coupled with psychological support services; caregiver resources</w:t>
      </w:r>
      <w:r w:rsidR="7B20C794" w:rsidRPr="587A2223">
        <w:rPr>
          <w:rFonts w:ascii="Arial" w:eastAsia="Arial" w:hAnsi="Arial" w:cs="Arial"/>
          <w:sz w:val="22"/>
        </w:rPr>
        <w:t>,</w:t>
      </w:r>
      <w:r w:rsidRPr="627DF818">
        <w:rPr>
          <w:rFonts w:ascii="Arial" w:eastAsia="Arial" w:hAnsi="Arial" w:cs="Arial"/>
          <w:sz w:val="22"/>
        </w:rPr>
        <w:t xml:space="preserve"> and clearly defined protocols for addressing acute deterioration in patient conditions.</w:t>
      </w:r>
    </w:p>
    <w:p w14:paraId="7FA9517D" w14:textId="61C2A77D" w:rsidR="627DF818" w:rsidRDefault="627DF818" w:rsidP="627DF818">
      <w:pPr>
        <w:spacing w:line="360" w:lineRule="auto"/>
        <w:rPr>
          <w:rFonts w:ascii="Arial" w:eastAsia="Arial" w:hAnsi="Arial" w:cs="Arial"/>
          <w:sz w:val="22"/>
        </w:rPr>
      </w:pPr>
    </w:p>
    <w:p w14:paraId="17189B01" w14:textId="7ED83B5F" w:rsidR="004671D6" w:rsidRPr="004671D6" w:rsidRDefault="04C38BF0" w:rsidP="627DF818">
      <w:pPr>
        <w:pStyle w:val="Heading1"/>
        <w:spacing w:line="360" w:lineRule="auto"/>
        <w:rPr>
          <w:rFonts w:ascii="Arial" w:eastAsia="Arial" w:hAnsi="Arial" w:cs="Arial"/>
          <w:color w:val="auto"/>
          <w:sz w:val="22"/>
          <w:szCs w:val="22"/>
        </w:rPr>
      </w:pPr>
      <w:r w:rsidRPr="627DF818">
        <w:rPr>
          <w:rFonts w:ascii="Arial" w:eastAsia="Arial" w:hAnsi="Arial" w:cs="Arial"/>
          <w:color w:val="auto"/>
          <w:sz w:val="22"/>
          <w:szCs w:val="22"/>
        </w:rPr>
        <w:t xml:space="preserve">Recommendations for </w:t>
      </w:r>
      <w:r w:rsidR="584714BC" w:rsidRPr="627DF818">
        <w:rPr>
          <w:rFonts w:ascii="Arial" w:eastAsia="Arial" w:hAnsi="Arial" w:cs="Arial"/>
          <w:color w:val="auto"/>
          <w:sz w:val="22"/>
          <w:szCs w:val="22"/>
        </w:rPr>
        <w:t>person-centered</w:t>
      </w:r>
      <w:r w:rsidRPr="627DF818">
        <w:rPr>
          <w:rFonts w:ascii="Arial" w:eastAsia="Arial" w:hAnsi="Arial" w:cs="Arial"/>
          <w:color w:val="auto"/>
          <w:sz w:val="22"/>
          <w:szCs w:val="22"/>
        </w:rPr>
        <w:t xml:space="preserve"> improvement, self-</w:t>
      </w:r>
      <w:r w:rsidR="584714BC" w:rsidRPr="627DF818">
        <w:rPr>
          <w:rFonts w:ascii="Arial" w:eastAsia="Arial" w:hAnsi="Arial" w:cs="Arial"/>
          <w:color w:val="auto"/>
          <w:sz w:val="22"/>
          <w:szCs w:val="22"/>
        </w:rPr>
        <w:t>management,</w:t>
      </w:r>
      <w:r w:rsidRPr="627DF818">
        <w:rPr>
          <w:rFonts w:ascii="Arial" w:eastAsia="Arial" w:hAnsi="Arial" w:cs="Arial"/>
          <w:color w:val="auto"/>
          <w:sz w:val="22"/>
          <w:szCs w:val="22"/>
        </w:rPr>
        <w:t xml:space="preserve"> and end-of-life care</w:t>
      </w:r>
    </w:p>
    <w:p w14:paraId="47F04D04" w14:textId="5C2EAC64" w:rsidR="00A96DA9" w:rsidRPr="004671D6" w:rsidRDefault="75E19D7A" w:rsidP="627DF818">
      <w:pPr>
        <w:spacing w:line="360" w:lineRule="auto"/>
        <w:rPr>
          <w:rFonts w:ascii="Arial" w:eastAsia="Arial" w:hAnsi="Arial" w:cs="Arial"/>
          <w:sz w:val="22"/>
        </w:rPr>
      </w:pPr>
      <w:r w:rsidRPr="627DF818">
        <w:rPr>
          <w:rFonts w:ascii="Arial" w:eastAsia="Arial" w:hAnsi="Arial" w:cs="Arial"/>
          <w:sz w:val="22"/>
        </w:rPr>
        <w:t xml:space="preserve">The </w:t>
      </w:r>
      <w:r w:rsidR="54E36C63" w:rsidRPr="627DF818">
        <w:rPr>
          <w:rFonts w:ascii="Arial" w:eastAsia="Arial" w:hAnsi="Arial" w:cs="Arial"/>
          <w:sz w:val="22"/>
        </w:rPr>
        <w:t>next</w:t>
      </w:r>
      <w:r w:rsidRPr="627DF818">
        <w:rPr>
          <w:rFonts w:ascii="Arial" w:eastAsia="Arial" w:hAnsi="Arial" w:cs="Arial"/>
          <w:sz w:val="22"/>
        </w:rPr>
        <w:t xml:space="preserve"> recommendations transform the evidence into a practical cycle for service improvement. They are intentionally designed to be measurable, yet they must be collaboratively developed with individuals living with diabetes and their caregivers (National Voices, 2013; Coulter, 2016).</w:t>
      </w:r>
    </w:p>
    <w:p w14:paraId="68C7695E" w14:textId="77777777" w:rsidR="00A96DA9" w:rsidRPr="004671D6" w:rsidRDefault="00A96DA9" w:rsidP="627DF818">
      <w:pPr>
        <w:spacing w:line="360" w:lineRule="auto"/>
        <w:rPr>
          <w:rFonts w:ascii="Arial" w:eastAsia="Arial" w:hAnsi="Arial" w:cs="Arial"/>
          <w:sz w:val="22"/>
        </w:rPr>
      </w:pPr>
    </w:p>
    <w:p w14:paraId="45222FF6" w14:textId="67E4B2EF" w:rsidR="00A96DA9" w:rsidRPr="004671D6" w:rsidRDefault="75E19D7A" w:rsidP="3071EA5E">
      <w:pPr>
        <w:spacing w:line="360" w:lineRule="auto"/>
        <w:rPr>
          <w:rFonts w:ascii="Arial" w:eastAsia="Arial" w:hAnsi="Arial" w:cs="Arial"/>
          <w:sz w:val="22"/>
        </w:rPr>
      </w:pPr>
      <w:r w:rsidRPr="3071EA5E">
        <w:rPr>
          <w:rFonts w:ascii="Arial" w:eastAsia="Arial" w:hAnsi="Arial" w:cs="Arial"/>
          <w:sz w:val="22"/>
        </w:rPr>
        <w:t>Commence with "what matters</w:t>
      </w:r>
      <w:r w:rsidR="1D2351C7" w:rsidRPr="587A2223">
        <w:rPr>
          <w:rFonts w:ascii="Arial" w:eastAsia="Arial" w:hAnsi="Arial" w:cs="Arial"/>
          <w:sz w:val="22"/>
        </w:rPr>
        <w:t>"</w:t>
      </w:r>
      <w:r w:rsidRPr="3071EA5E">
        <w:rPr>
          <w:rFonts w:ascii="Arial" w:eastAsia="Arial" w:hAnsi="Arial" w:cs="Arial"/>
          <w:sz w:val="22"/>
        </w:rPr>
        <w:t xml:space="preserve"> </w:t>
      </w:r>
      <w:proofErr w:type="spellStart"/>
      <w:r w:rsidRPr="3071EA5E">
        <w:rPr>
          <w:rFonts w:ascii="Arial" w:eastAsia="Arial" w:hAnsi="Arial" w:cs="Arial"/>
          <w:sz w:val="22"/>
        </w:rPr>
        <w:t>Utili</w:t>
      </w:r>
      <w:r w:rsidR="752547E2" w:rsidRPr="3071EA5E">
        <w:rPr>
          <w:rFonts w:ascii="Arial" w:eastAsia="Arial" w:hAnsi="Arial" w:cs="Arial"/>
          <w:sz w:val="22"/>
        </w:rPr>
        <w:t>s</w:t>
      </w:r>
      <w:r w:rsidRPr="3071EA5E">
        <w:rPr>
          <w:rFonts w:ascii="Arial" w:eastAsia="Arial" w:hAnsi="Arial" w:cs="Arial"/>
          <w:sz w:val="22"/>
        </w:rPr>
        <w:t>e</w:t>
      </w:r>
      <w:proofErr w:type="spellEnd"/>
      <w:r w:rsidRPr="3071EA5E">
        <w:rPr>
          <w:rFonts w:ascii="Arial" w:eastAsia="Arial" w:hAnsi="Arial" w:cs="Arial"/>
          <w:sz w:val="22"/>
        </w:rPr>
        <w:t xml:space="preserve"> pre-review questionnaires, teach-back methods, and a unified care plan that encompasses clinical risks, personal life goals, nutrition, physical activity, employment, caregiving responsibilities, management of hypoglycemia, sick days, and emergency contacts.</w:t>
      </w:r>
    </w:p>
    <w:p w14:paraId="73DDB927" w14:textId="48C4CCBF" w:rsidR="00A96DA9" w:rsidRPr="004671D6" w:rsidRDefault="75E19D7A" w:rsidP="3071EA5E">
      <w:pPr>
        <w:spacing w:line="360" w:lineRule="auto"/>
        <w:rPr>
          <w:rFonts w:ascii="Arial" w:eastAsia="Arial" w:hAnsi="Arial" w:cs="Arial"/>
          <w:sz w:val="22"/>
        </w:rPr>
      </w:pPr>
      <w:r w:rsidRPr="3071EA5E">
        <w:rPr>
          <w:rFonts w:ascii="Arial" w:eastAsia="Arial" w:hAnsi="Arial" w:cs="Arial"/>
          <w:sz w:val="22"/>
        </w:rPr>
        <w:t xml:space="preserve">Design to mitigate </w:t>
      </w:r>
      <w:r w:rsidR="575CD6D7" w:rsidRPr="3071EA5E">
        <w:rPr>
          <w:rFonts w:ascii="Arial" w:eastAsia="Arial" w:hAnsi="Arial" w:cs="Arial"/>
          <w:sz w:val="22"/>
        </w:rPr>
        <w:t xml:space="preserve">inequality. </w:t>
      </w:r>
      <w:r w:rsidRPr="3071EA5E">
        <w:rPr>
          <w:rFonts w:ascii="Arial" w:eastAsia="Arial" w:hAnsi="Arial" w:cs="Arial"/>
          <w:sz w:val="22"/>
        </w:rPr>
        <w:t xml:space="preserve"> </w:t>
      </w:r>
      <w:proofErr w:type="spellStart"/>
      <w:r w:rsidRPr="3071EA5E">
        <w:rPr>
          <w:rFonts w:ascii="Arial" w:eastAsia="Arial" w:hAnsi="Arial" w:cs="Arial"/>
          <w:sz w:val="22"/>
        </w:rPr>
        <w:t>Analy</w:t>
      </w:r>
      <w:r w:rsidR="757E3933" w:rsidRPr="3071EA5E">
        <w:rPr>
          <w:rFonts w:ascii="Arial" w:eastAsia="Arial" w:hAnsi="Arial" w:cs="Arial"/>
          <w:sz w:val="22"/>
        </w:rPr>
        <w:t>s</w:t>
      </w:r>
      <w:r w:rsidRPr="3071EA5E">
        <w:rPr>
          <w:rFonts w:ascii="Arial" w:eastAsia="Arial" w:hAnsi="Arial" w:cs="Arial"/>
          <w:sz w:val="22"/>
        </w:rPr>
        <w:t>e</w:t>
      </w:r>
      <w:proofErr w:type="spellEnd"/>
      <w:r w:rsidRPr="3071EA5E">
        <w:rPr>
          <w:rFonts w:ascii="Arial" w:eastAsia="Arial" w:hAnsi="Arial" w:cs="Arial"/>
          <w:sz w:val="22"/>
        </w:rPr>
        <w:t xml:space="preserve"> participation and outcomes according to factors such as socio-economic deprivation, ethnicity, age, disability status, and language </w:t>
      </w:r>
      <w:r w:rsidR="283CFB66" w:rsidRPr="3071EA5E">
        <w:rPr>
          <w:rFonts w:ascii="Arial" w:eastAsia="Arial" w:hAnsi="Arial" w:cs="Arial"/>
          <w:sz w:val="22"/>
        </w:rPr>
        <w:t>ability</w:t>
      </w:r>
      <w:r w:rsidR="7A6A44FE" w:rsidRPr="587A2223">
        <w:rPr>
          <w:rFonts w:ascii="Arial" w:eastAsia="Arial" w:hAnsi="Arial" w:cs="Arial"/>
          <w:sz w:val="22"/>
        </w:rPr>
        <w:t>,</w:t>
      </w:r>
      <w:r w:rsidRPr="3071EA5E">
        <w:rPr>
          <w:rFonts w:ascii="Arial" w:eastAsia="Arial" w:hAnsi="Arial" w:cs="Arial"/>
          <w:sz w:val="22"/>
        </w:rPr>
        <w:t xml:space="preserve"> implement outreach initiatives through community venues and link workers while providing translated resources and adaptable digital/non-digital options.</w:t>
      </w:r>
    </w:p>
    <w:p w14:paraId="6FE81916" w14:textId="21F48728" w:rsidR="00A96DA9" w:rsidRPr="004671D6" w:rsidRDefault="6FADF476" w:rsidP="3071EA5E">
      <w:pPr>
        <w:spacing w:line="360" w:lineRule="auto"/>
        <w:rPr>
          <w:rFonts w:ascii="Arial" w:eastAsia="Arial" w:hAnsi="Arial" w:cs="Arial"/>
          <w:sz w:val="22"/>
        </w:rPr>
      </w:pPr>
      <w:r w:rsidRPr="3071EA5E">
        <w:rPr>
          <w:rFonts w:ascii="Arial" w:eastAsia="Arial" w:hAnsi="Arial" w:cs="Arial"/>
          <w:sz w:val="22"/>
        </w:rPr>
        <w:t xml:space="preserve">Ensure safe treatment </w:t>
      </w:r>
      <w:proofErr w:type="spellStart"/>
      <w:r w:rsidR="002FE932" w:rsidRPr="3071EA5E">
        <w:rPr>
          <w:rFonts w:ascii="Arial" w:eastAsia="Arial" w:hAnsi="Arial" w:cs="Arial"/>
          <w:sz w:val="22"/>
        </w:rPr>
        <w:t>optimi</w:t>
      </w:r>
      <w:r w:rsidR="7206B7D4" w:rsidRPr="3071EA5E">
        <w:rPr>
          <w:rFonts w:ascii="Arial" w:eastAsia="Arial" w:hAnsi="Arial" w:cs="Arial"/>
          <w:sz w:val="22"/>
        </w:rPr>
        <w:t>s</w:t>
      </w:r>
      <w:r w:rsidR="002FE932" w:rsidRPr="3071EA5E">
        <w:rPr>
          <w:rFonts w:ascii="Arial" w:eastAsia="Arial" w:hAnsi="Arial" w:cs="Arial"/>
          <w:sz w:val="22"/>
        </w:rPr>
        <w:t>ation</w:t>
      </w:r>
      <w:proofErr w:type="spellEnd"/>
      <w:r w:rsidR="002FE932" w:rsidRPr="3071EA5E">
        <w:rPr>
          <w:rFonts w:ascii="Arial" w:eastAsia="Arial" w:hAnsi="Arial" w:cs="Arial"/>
          <w:sz w:val="22"/>
        </w:rPr>
        <w:t xml:space="preserve">. </w:t>
      </w:r>
      <w:r w:rsidRPr="3071EA5E">
        <w:rPr>
          <w:rFonts w:ascii="Arial" w:eastAsia="Arial" w:hAnsi="Arial" w:cs="Arial"/>
          <w:sz w:val="22"/>
        </w:rPr>
        <w:t xml:space="preserve"> Follow NICE NG28 guidelines for individualized treatment; evaluate medication adherence and obstacles before introducing new pharmacological agents</w:t>
      </w:r>
      <w:r w:rsidR="7F5E1C06" w:rsidRPr="587A2223">
        <w:rPr>
          <w:rFonts w:ascii="Arial" w:eastAsia="Arial" w:hAnsi="Arial" w:cs="Arial"/>
          <w:sz w:val="22"/>
        </w:rPr>
        <w:t>,</w:t>
      </w:r>
      <w:r w:rsidRPr="3071EA5E">
        <w:rPr>
          <w:rFonts w:ascii="Arial" w:eastAsia="Arial" w:hAnsi="Arial" w:cs="Arial"/>
          <w:sz w:val="22"/>
        </w:rPr>
        <w:t xml:space="preserve"> focus on </w:t>
      </w:r>
      <w:proofErr w:type="spellStart"/>
      <w:r w:rsidRPr="3071EA5E">
        <w:rPr>
          <w:rFonts w:ascii="Arial" w:eastAsia="Arial" w:hAnsi="Arial" w:cs="Arial"/>
          <w:sz w:val="22"/>
        </w:rPr>
        <w:t>cardiorenal</w:t>
      </w:r>
      <w:proofErr w:type="spellEnd"/>
      <w:r w:rsidRPr="3071EA5E">
        <w:rPr>
          <w:rFonts w:ascii="Arial" w:eastAsia="Arial" w:hAnsi="Arial" w:cs="Arial"/>
          <w:sz w:val="22"/>
        </w:rPr>
        <w:t xml:space="preserve"> protection; consider </w:t>
      </w:r>
      <w:proofErr w:type="spellStart"/>
      <w:r w:rsidRPr="3071EA5E">
        <w:rPr>
          <w:rFonts w:ascii="Arial" w:eastAsia="Arial" w:hAnsi="Arial" w:cs="Arial"/>
          <w:sz w:val="22"/>
        </w:rPr>
        <w:t>deprescribing</w:t>
      </w:r>
      <w:proofErr w:type="spellEnd"/>
      <w:r w:rsidRPr="3071EA5E">
        <w:rPr>
          <w:rFonts w:ascii="Arial" w:eastAsia="Arial" w:hAnsi="Arial" w:cs="Arial"/>
          <w:sz w:val="22"/>
        </w:rPr>
        <w:t xml:space="preserve"> if benefits diminish or if there are changes in life expectancy or frailty.</w:t>
      </w:r>
    </w:p>
    <w:p w14:paraId="35D3DC8F" w14:textId="2A9AB720" w:rsidR="00A96DA9" w:rsidRPr="004671D6" w:rsidRDefault="75E19D7A" w:rsidP="3071EA5E">
      <w:pPr>
        <w:spacing w:line="360" w:lineRule="auto"/>
        <w:rPr>
          <w:rFonts w:ascii="Arial" w:eastAsia="Arial" w:hAnsi="Arial" w:cs="Arial"/>
          <w:sz w:val="22"/>
        </w:rPr>
      </w:pPr>
      <w:r w:rsidRPr="3071EA5E">
        <w:rPr>
          <w:rFonts w:ascii="Arial" w:eastAsia="Arial" w:hAnsi="Arial" w:cs="Arial"/>
          <w:sz w:val="22"/>
        </w:rPr>
        <w:t xml:space="preserve">Expand prevention and remission </w:t>
      </w:r>
      <w:r w:rsidR="04A0B0B2" w:rsidRPr="3071EA5E">
        <w:rPr>
          <w:rFonts w:ascii="Arial" w:eastAsia="Arial" w:hAnsi="Arial" w:cs="Arial"/>
          <w:sz w:val="22"/>
        </w:rPr>
        <w:t xml:space="preserve">efforts. </w:t>
      </w:r>
      <w:r w:rsidRPr="3071EA5E">
        <w:rPr>
          <w:rFonts w:ascii="Arial" w:eastAsia="Arial" w:hAnsi="Arial" w:cs="Arial"/>
          <w:sz w:val="22"/>
        </w:rPr>
        <w:t>Refer qualifying individuals to structured educational programs and NHS pathways aimed at prevention and remission when available; foster realistic expectations alongside strategies for long-term maintenance.</w:t>
      </w:r>
    </w:p>
    <w:p w14:paraId="5BC796C1" w14:textId="0B00D272" w:rsidR="00A96DA9" w:rsidRPr="004671D6" w:rsidRDefault="75E19D7A" w:rsidP="3071EA5E">
      <w:pPr>
        <w:spacing w:line="360" w:lineRule="auto"/>
        <w:rPr>
          <w:rFonts w:ascii="Arial" w:eastAsia="Arial" w:hAnsi="Arial" w:cs="Arial"/>
          <w:sz w:val="22"/>
        </w:rPr>
      </w:pPr>
      <w:r w:rsidRPr="3071EA5E">
        <w:rPr>
          <w:rFonts w:ascii="Arial" w:eastAsia="Arial" w:hAnsi="Arial" w:cs="Arial"/>
          <w:sz w:val="22"/>
        </w:rPr>
        <w:t xml:space="preserve">Screen for and address emotional </w:t>
      </w:r>
      <w:r w:rsidR="3F82BBD3" w:rsidRPr="3071EA5E">
        <w:rPr>
          <w:rFonts w:ascii="Arial" w:eastAsia="Arial" w:hAnsi="Arial" w:cs="Arial"/>
          <w:sz w:val="22"/>
        </w:rPr>
        <w:t xml:space="preserve">distress. </w:t>
      </w:r>
      <w:r w:rsidRPr="3071EA5E">
        <w:rPr>
          <w:rFonts w:ascii="Arial" w:eastAsia="Arial" w:hAnsi="Arial" w:cs="Arial"/>
          <w:sz w:val="22"/>
        </w:rPr>
        <w:t>Regularly inquire about diabetes-related distress and emotional well-being</w:t>
      </w:r>
      <w:r w:rsidR="183B8BFE" w:rsidRPr="587A2223">
        <w:rPr>
          <w:rFonts w:ascii="Arial" w:eastAsia="Arial" w:hAnsi="Arial" w:cs="Arial"/>
          <w:sz w:val="22"/>
        </w:rPr>
        <w:t>,</w:t>
      </w:r>
      <w:r w:rsidRPr="3071EA5E">
        <w:rPr>
          <w:rFonts w:ascii="Arial" w:eastAsia="Arial" w:hAnsi="Arial" w:cs="Arial"/>
          <w:sz w:val="22"/>
        </w:rPr>
        <w:t xml:space="preserve"> direct individuals toward psychological therapies, peer support groups, and specialized interventions for diabetes-related distress while avoiding any form of blame.</w:t>
      </w:r>
    </w:p>
    <w:p w14:paraId="02F737D2" w14:textId="1861D994" w:rsidR="00A96DA9" w:rsidRPr="004671D6" w:rsidRDefault="02B6E9F4" w:rsidP="3071EA5E">
      <w:pPr>
        <w:spacing w:line="360" w:lineRule="auto"/>
        <w:rPr>
          <w:rFonts w:ascii="Arial" w:eastAsia="Arial" w:hAnsi="Arial" w:cs="Arial"/>
          <w:sz w:val="22"/>
        </w:rPr>
      </w:pPr>
      <w:r w:rsidRPr="3071EA5E">
        <w:rPr>
          <w:rFonts w:ascii="Arial" w:eastAsia="Arial" w:hAnsi="Arial" w:cs="Arial"/>
          <w:sz w:val="22"/>
        </w:rPr>
        <w:t>Prove</w:t>
      </w:r>
      <w:r w:rsidR="75E19D7A" w:rsidRPr="3071EA5E">
        <w:rPr>
          <w:rFonts w:ascii="Arial" w:eastAsia="Arial" w:hAnsi="Arial" w:cs="Arial"/>
          <w:sz w:val="22"/>
        </w:rPr>
        <w:t xml:space="preserve"> the House of Care/Chronic Care Model (CCM) </w:t>
      </w:r>
      <w:r w:rsidR="3F82BBD3" w:rsidRPr="3071EA5E">
        <w:rPr>
          <w:rFonts w:ascii="Arial" w:eastAsia="Arial" w:hAnsi="Arial" w:cs="Arial"/>
          <w:sz w:val="22"/>
        </w:rPr>
        <w:t>framework.</w:t>
      </w:r>
      <w:r w:rsidR="75E19D7A" w:rsidRPr="3071EA5E">
        <w:rPr>
          <w:rFonts w:ascii="Arial" w:eastAsia="Arial" w:hAnsi="Arial" w:cs="Arial"/>
          <w:sz w:val="22"/>
        </w:rPr>
        <w:t xml:space="preserve"> Develop registries, implement recall systems, </w:t>
      </w:r>
      <w:r w:rsidR="67683629" w:rsidRPr="3071EA5E">
        <w:rPr>
          <w:rFonts w:ascii="Arial" w:eastAsia="Arial" w:hAnsi="Arial" w:cs="Arial"/>
          <w:sz w:val="22"/>
        </w:rPr>
        <w:t>ease</w:t>
      </w:r>
      <w:r w:rsidR="75E19D7A" w:rsidRPr="3071EA5E">
        <w:rPr>
          <w:rFonts w:ascii="Arial" w:eastAsia="Arial" w:hAnsi="Arial" w:cs="Arial"/>
          <w:sz w:val="22"/>
        </w:rPr>
        <w:t xml:space="preserve"> multidisciplinary team (MDT) discussions, assign care coordinators for complex cases, provide decision-making support tools, </w:t>
      </w:r>
      <w:r w:rsidR="63FD9176" w:rsidRPr="3071EA5E">
        <w:rPr>
          <w:rFonts w:ascii="Arial" w:eastAsia="Arial" w:hAnsi="Arial" w:cs="Arial"/>
          <w:sz w:val="22"/>
        </w:rPr>
        <w:t>set up</w:t>
      </w:r>
      <w:r w:rsidR="75E19D7A" w:rsidRPr="3071EA5E">
        <w:rPr>
          <w:rFonts w:ascii="Arial" w:eastAsia="Arial" w:hAnsi="Arial" w:cs="Arial"/>
          <w:sz w:val="22"/>
        </w:rPr>
        <w:t xml:space="preserve"> foot/eye/renal care pathways, leverage community resources, and create feedback mechanisms for commissioning processes.</w:t>
      </w:r>
    </w:p>
    <w:p w14:paraId="6A4153E2" w14:textId="37228424" w:rsidR="00A96DA9" w:rsidRPr="004671D6" w:rsidRDefault="75E19D7A" w:rsidP="3071EA5E">
      <w:pPr>
        <w:spacing w:line="360" w:lineRule="auto"/>
        <w:rPr>
          <w:rFonts w:ascii="Arial" w:eastAsia="Arial" w:hAnsi="Arial" w:cs="Arial"/>
          <w:sz w:val="22"/>
        </w:rPr>
      </w:pPr>
      <w:r w:rsidRPr="3071EA5E">
        <w:rPr>
          <w:rFonts w:ascii="Arial" w:eastAsia="Arial" w:hAnsi="Arial" w:cs="Arial"/>
          <w:sz w:val="22"/>
        </w:rPr>
        <w:t xml:space="preserve">Involve families and caregivers </w:t>
      </w:r>
      <w:r w:rsidR="63FD9176" w:rsidRPr="3071EA5E">
        <w:rPr>
          <w:rFonts w:ascii="Arial" w:eastAsia="Arial" w:hAnsi="Arial" w:cs="Arial"/>
          <w:sz w:val="22"/>
        </w:rPr>
        <w:t xml:space="preserve">actively. </w:t>
      </w:r>
      <w:r w:rsidRPr="3071EA5E">
        <w:rPr>
          <w:rFonts w:ascii="Arial" w:eastAsia="Arial" w:hAnsi="Arial" w:cs="Arial"/>
          <w:sz w:val="22"/>
        </w:rPr>
        <w:t>With appropriate consent, engage caregivers in educational efforts as well as during emergencies; assess the strain experienced by caregivers; deliver clear action plans regarding hypoglycemia, hyperglycemia, and foot infections.</w:t>
      </w:r>
    </w:p>
    <w:p w14:paraId="673BF079" w14:textId="77777777" w:rsidR="00A96DA9" w:rsidRPr="004671D6" w:rsidRDefault="00A96DA9" w:rsidP="627DF818">
      <w:pPr>
        <w:spacing w:line="360" w:lineRule="auto"/>
        <w:rPr>
          <w:rFonts w:ascii="Arial" w:eastAsia="Arial" w:hAnsi="Arial" w:cs="Arial"/>
          <w:sz w:val="22"/>
        </w:rPr>
      </w:pPr>
    </w:p>
    <w:p w14:paraId="018536F7" w14:textId="16665517" w:rsidR="00A96DA9" w:rsidRPr="004671D6" w:rsidRDefault="75E19D7A" w:rsidP="3071EA5E">
      <w:pPr>
        <w:spacing w:line="360" w:lineRule="auto"/>
        <w:rPr>
          <w:rFonts w:ascii="Arial" w:eastAsia="Arial" w:hAnsi="Arial" w:cs="Arial"/>
          <w:sz w:val="22"/>
        </w:rPr>
      </w:pPr>
      <w:r w:rsidRPr="3071EA5E">
        <w:rPr>
          <w:rFonts w:ascii="Arial" w:eastAsia="Arial" w:hAnsi="Arial" w:cs="Arial"/>
          <w:sz w:val="22"/>
        </w:rPr>
        <w:t xml:space="preserve">Prepare for deterioration and end-of-life </w:t>
      </w:r>
      <w:r w:rsidR="63FD9176" w:rsidRPr="3071EA5E">
        <w:rPr>
          <w:rFonts w:ascii="Arial" w:eastAsia="Arial" w:hAnsi="Arial" w:cs="Arial"/>
          <w:sz w:val="22"/>
        </w:rPr>
        <w:t>considerations.</w:t>
      </w:r>
      <w:r w:rsidRPr="3071EA5E">
        <w:rPr>
          <w:rFonts w:ascii="Arial" w:eastAsia="Arial" w:hAnsi="Arial" w:cs="Arial"/>
          <w:sz w:val="22"/>
        </w:rPr>
        <w:t xml:space="preserve"> Implement advance care planning early in the course of treatment for older or frail patients; ease targets when the burden exceeds potential benefits; avoid using sliding-scale insulin regimens; </w:t>
      </w:r>
      <w:proofErr w:type="spellStart"/>
      <w:r w:rsidR="044F989E" w:rsidRPr="587A2223">
        <w:rPr>
          <w:rFonts w:ascii="Arial" w:eastAsia="Arial" w:hAnsi="Arial" w:cs="Arial"/>
          <w:sz w:val="22"/>
        </w:rPr>
        <w:t>prioriti</w:t>
      </w:r>
      <w:r w:rsidR="12E26EB3" w:rsidRPr="587A2223">
        <w:rPr>
          <w:rFonts w:ascii="Arial" w:eastAsia="Arial" w:hAnsi="Arial" w:cs="Arial"/>
          <w:sz w:val="22"/>
        </w:rPr>
        <w:t>s</w:t>
      </w:r>
      <w:r w:rsidR="044F989E" w:rsidRPr="587A2223">
        <w:rPr>
          <w:rFonts w:ascii="Arial" w:eastAsia="Arial" w:hAnsi="Arial" w:cs="Arial"/>
          <w:sz w:val="22"/>
        </w:rPr>
        <w:t>e</w:t>
      </w:r>
      <w:proofErr w:type="spellEnd"/>
      <w:r w:rsidRPr="3071EA5E">
        <w:rPr>
          <w:rFonts w:ascii="Arial" w:eastAsia="Arial" w:hAnsi="Arial" w:cs="Arial"/>
          <w:sz w:val="22"/>
        </w:rPr>
        <w:t xml:space="preserve"> comfort measures along with safety protocols while ensuring symptom control and respecting preferred places of care (NICE, 2017</w:t>
      </w:r>
      <w:r w:rsidR="3D5B3F9C" w:rsidRPr="587A2223">
        <w:rPr>
          <w:rFonts w:ascii="Arial" w:eastAsia="Arial" w:hAnsi="Arial" w:cs="Arial"/>
          <w:sz w:val="22"/>
        </w:rPr>
        <w:t>,</w:t>
      </w:r>
      <w:r w:rsidRPr="3071EA5E">
        <w:rPr>
          <w:rFonts w:ascii="Arial" w:eastAsia="Arial" w:hAnsi="Arial" w:cs="Arial"/>
          <w:sz w:val="22"/>
        </w:rPr>
        <w:t xml:space="preserve"> Diabetes UK, </w:t>
      </w:r>
      <w:r w:rsidR="044F989E" w:rsidRPr="587A2223">
        <w:rPr>
          <w:rFonts w:ascii="Arial" w:eastAsia="Arial" w:hAnsi="Arial" w:cs="Arial"/>
          <w:sz w:val="22"/>
        </w:rPr>
        <w:t>202</w:t>
      </w:r>
      <w:r w:rsidR="269AA20A" w:rsidRPr="587A2223">
        <w:rPr>
          <w:rFonts w:ascii="Arial" w:eastAsia="Arial" w:hAnsi="Arial" w:cs="Arial"/>
          <w:sz w:val="22"/>
        </w:rPr>
        <w:t>,</w:t>
      </w:r>
      <w:r w:rsidRPr="3071EA5E">
        <w:rPr>
          <w:rFonts w:ascii="Arial" w:eastAsia="Arial" w:hAnsi="Arial" w:cs="Arial"/>
          <w:sz w:val="22"/>
        </w:rPr>
        <w:t xml:space="preserve"> Dunning et al., 2018).</w:t>
      </w:r>
    </w:p>
    <w:p w14:paraId="30E92DC2" w14:textId="730D19C2" w:rsidR="00A96DA9" w:rsidRPr="004671D6" w:rsidRDefault="75E19D7A" w:rsidP="3071EA5E">
      <w:pPr>
        <w:spacing w:line="360" w:lineRule="auto"/>
        <w:rPr>
          <w:rFonts w:ascii="Arial" w:eastAsia="Arial" w:hAnsi="Arial" w:cs="Arial"/>
          <w:sz w:val="22"/>
        </w:rPr>
      </w:pPr>
      <w:r w:rsidRPr="3071EA5E">
        <w:rPr>
          <w:rFonts w:ascii="Arial" w:eastAsia="Arial" w:hAnsi="Arial" w:cs="Arial"/>
          <w:sz w:val="22"/>
        </w:rPr>
        <w:t xml:space="preserve">Evaluate what is </w:t>
      </w:r>
      <w:r w:rsidR="63FD9176" w:rsidRPr="3071EA5E">
        <w:rPr>
          <w:rFonts w:ascii="Arial" w:eastAsia="Arial" w:hAnsi="Arial" w:cs="Arial"/>
          <w:sz w:val="22"/>
        </w:rPr>
        <w:t xml:space="preserve">significant. </w:t>
      </w:r>
      <w:r w:rsidRPr="3071EA5E">
        <w:rPr>
          <w:rFonts w:ascii="Arial" w:eastAsia="Arial" w:hAnsi="Arial" w:cs="Arial"/>
          <w:sz w:val="22"/>
        </w:rPr>
        <w:t>Monitor patient-reported outcomes related to distress levels, quality of life metrics, medication burdens, hospital admissions statistics, foot health results, remission status where applicable, disparities in equity of care delivery, as well as overall patient/caregiver experiences</w:t>
      </w:r>
      <w:r w:rsidR="752547E2" w:rsidRPr="3071EA5E">
        <w:rPr>
          <w:rFonts w:ascii="Arial" w:eastAsia="Arial" w:hAnsi="Arial" w:cs="Arial"/>
          <w:sz w:val="22"/>
        </w:rPr>
        <w:t xml:space="preserve"> </w:t>
      </w:r>
      <w:r w:rsidRPr="3071EA5E">
        <w:rPr>
          <w:rFonts w:ascii="Arial" w:eastAsia="Arial" w:hAnsi="Arial" w:cs="Arial"/>
          <w:sz w:val="22"/>
        </w:rPr>
        <w:t>beyond merely tracking HbA1c levels.</w:t>
      </w:r>
    </w:p>
    <w:p w14:paraId="14C521BB" w14:textId="604EF244" w:rsidR="00F506AE" w:rsidRPr="004671D6" w:rsidRDefault="75E19D7A" w:rsidP="3071EA5E">
      <w:pPr>
        <w:spacing w:line="360" w:lineRule="auto"/>
        <w:rPr>
          <w:rFonts w:ascii="Arial" w:eastAsia="Arial" w:hAnsi="Arial" w:cs="Arial"/>
          <w:sz w:val="22"/>
        </w:rPr>
      </w:pPr>
      <w:r w:rsidRPr="3071EA5E">
        <w:rPr>
          <w:rFonts w:ascii="Arial" w:eastAsia="Arial" w:hAnsi="Arial" w:cs="Arial"/>
          <w:sz w:val="22"/>
        </w:rPr>
        <w:t xml:space="preserve">Commit to continuous </w:t>
      </w:r>
      <w:r w:rsidR="5F4DAA85" w:rsidRPr="3071EA5E">
        <w:rPr>
          <w:rFonts w:ascii="Arial" w:eastAsia="Arial" w:hAnsi="Arial" w:cs="Arial"/>
          <w:sz w:val="22"/>
        </w:rPr>
        <w:t>learning.</w:t>
      </w:r>
      <w:r w:rsidRPr="3071EA5E">
        <w:rPr>
          <w:rFonts w:ascii="Arial" w:eastAsia="Arial" w:hAnsi="Arial" w:cs="Arial"/>
          <w:sz w:val="22"/>
        </w:rPr>
        <w:t xml:space="preserve"> Employ Plan-Do-Study-Act cycles alongside peer reviews and case conferencing audits; integrate </w:t>
      </w:r>
      <w:proofErr w:type="spellStart"/>
      <w:r w:rsidRPr="3071EA5E">
        <w:rPr>
          <w:rFonts w:ascii="Arial" w:eastAsia="Arial" w:hAnsi="Arial" w:cs="Arial"/>
          <w:sz w:val="22"/>
        </w:rPr>
        <w:t>anonymi</w:t>
      </w:r>
      <w:r w:rsidR="62C8BA56" w:rsidRPr="3071EA5E">
        <w:rPr>
          <w:rFonts w:ascii="Arial" w:eastAsia="Arial" w:hAnsi="Arial" w:cs="Arial"/>
          <w:sz w:val="22"/>
        </w:rPr>
        <w:t>s</w:t>
      </w:r>
      <w:r w:rsidRPr="3071EA5E">
        <w:rPr>
          <w:rFonts w:ascii="Arial" w:eastAsia="Arial" w:hAnsi="Arial" w:cs="Arial"/>
          <w:sz w:val="22"/>
        </w:rPr>
        <w:t>ed</w:t>
      </w:r>
      <w:proofErr w:type="spellEnd"/>
      <w:r w:rsidRPr="3071EA5E">
        <w:rPr>
          <w:rFonts w:ascii="Arial" w:eastAsia="Arial" w:hAnsi="Arial" w:cs="Arial"/>
          <w:sz w:val="22"/>
        </w:rPr>
        <w:t xml:space="preserve"> findings into Integrated Care Board (ICB) population health planning initiatives.</w:t>
      </w:r>
    </w:p>
    <w:p w14:paraId="687A20C9" w14:textId="77777777" w:rsidR="001C5A47" w:rsidRPr="004671D6" w:rsidRDefault="04C38BF0" w:rsidP="627DF818">
      <w:pPr>
        <w:pStyle w:val="Heading2"/>
        <w:spacing w:line="360" w:lineRule="auto"/>
        <w:rPr>
          <w:rFonts w:ascii="Arial" w:eastAsia="Arial" w:hAnsi="Arial" w:cs="Arial"/>
          <w:color w:val="auto"/>
          <w:sz w:val="22"/>
          <w:szCs w:val="22"/>
        </w:rPr>
      </w:pPr>
      <w:r w:rsidRPr="627DF818">
        <w:rPr>
          <w:rFonts w:ascii="Arial" w:eastAsia="Arial" w:hAnsi="Arial" w:cs="Arial"/>
          <w:color w:val="auto"/>
          <w:sz w:val="22"/>
          <w:szCs w:val="22"/>
        </w:rPr>
        <w:t>End-of-life care where appropriate</w:t>
      </w:r>
    </w:p>
    <w:p w14:paraId="305D4FD8" w14:textId="18E1D1C0" w:rsidR="00106C78" w:rsidRDefault="0185DB04" w:rsidP="627DF818">
      <w:pPr>
        <w:spacing w:line="360" w:lineRule="auto"/>
        <w:rPr>
          <w:rFonts w:ascii="Arial" w:eastAsia="Arial" w:hAnsi="Arial" w:cs="Arial"/>
          <w:sz w:val="22"/>
        </w:rPr>
      </w:pPr>
      <w:r w:rsidRPr="627DF818">
        <w:rPr>
          <w:rFonts w:ascii="Arial" w:eastAsia="Arial" w:hAnsi="Arial" w:cs="Arial"/>
          <w:sz w:val="22"/>
        </w:rPr>
        <w:t xml:space="preserve">In cases of frailty, dementia, advanced chronic kidney disease (CKD), heart failure, cancer, or recurrent health crises, the focus of care should transition from stringent </w:t>
      </w:r>
      <w:r w:rsidR="2FA1B2D5" w:rsidRPr="627DF818">
        <w:rPr>
          <w:rFonts w:ascii="Arial" w:eastAsia="Arial" w:hAnsi="Arial" w:cs="Arial"/>
          <w:sz w:val="22"/>
        </w:rPr>
        <w:t>glycemic</w:t>
      </w:r>
      <w:r w:rsidRPr="627DF818">
        <w:rPr>
          <w:rFonts w:ascii="Arial" w:eastAsia="Arial" w:hAnsi="Arial" w:cs="Arial"/>
          <w:sz w:val="22"/>
        </w:rPr>
        <w:t xml:space="preserve"> control to </w:t>
      </w:r>
      <w:proofErr w:type="spellStart"/>
      <w:r w:rsidRPr="627DF818">
        <w:rPr>
          <w:rFonts w:ascii="Arial" w:eastAsia="Arial" w:hAnsi="Arial" w:cs="Arial"/>
          <w:sz w:val="22"/>
        </w:rPr>
        <w:t>prioriti</w:t>
      </w:r>
      <w:r w:rsidR="62C8BA56" w:rsidRPr="627DF818">
        <w:rPr>
          <w:rFonts w:ascii="Arial" w:eastAsia="Arial" w:hAnsi="Arial" w:cs="Arial"/>
          <w:sz w:val="22"/>
        </w:rPr>
        <w:t>s</w:t>
      </w:r>
      <w:r w:rsidRPr="627DF818">
        <w:rPr>
          <w:rFonts w:ascii="Arial" w:eastAsia="Arial" w:hAnsi="Arial" w:cs="Arial"/>
          <w:sz w:val="22"/>
        </w:rPr>
        <w:t>ing</w:t>
      </w:r>
      <w:proofErr w:type="spellEnd"/>
      <w:r w:rsidRPr="627DF818">
        <w:rPr>
          <w:rFonts w:ascii="Arial" w:eastAsia="Arial" w:hAnsi="Arial" w:cs="Arial"/>
          <w:sz w:val="22"/>
        </w:rPr>
        <w:t xml:space="preserve"> comfort, safety, dignity, and </w:t>
      </w:r>
      <w:proofErr w:type="spellStart"/>
      <w:r w:rsidRPr="627DF818">
        <w:rPr>
          <w:rFonts w:ascii="Arial" w:eastAsia="Arial" w:hAnsi="Arial" w:cs="Arial"/>
          <w:sz w:val="22"/>
        </w:rPr>
        <w:t>minimi</w:t>
      </w:r>
      <w:r w:rsidR="62C8BA56" w:rsidRPr="627DF818">
        <w:rPr>
          <w:rFonts w:ascii="Arial" w:eastAsia="Arial" w:hAnsi="Arial" w:cs="Arial"/>
          <w:sz w:val="22"/>
        </w:rPr>
        <w:t>s</w:t>
      </w:r>
      <w:r w:rsidRPr="627DF818">
        <w:rPr>
          <w:rFonts w:ascii="Arial" w:eastAsia="Arial" w:hAnsi="Arial" w:cs="Arial"/>
          <w:sz w:val="22"/>
        </w:rPr>
        <w:t>ing</w:t>
      </w:r>
      <w:proofErr w:type="spellEnd"/>
      <w:r w:rsidRPr="627DF818">
        <w:rPr>
          <w:rFonts w:ascii="Arial" w:eastAsia="Arial" w:hAnsi="Arial" w:cs="Arial"/>
          <w:sz w:val="22"/>
        </w:rPr>
        <w:t xml:space="preserve"> treatment burdens. It is essential to address various considerations such as the limitations of treatment options, management plans for </w:t>
      </w:r>
      <w:r w:rsidR="398CF917" w:rsidRPr="627DF818">
        <w:rPr>
          <w:rFonts w:ascii="Arial" w:eastAsia="Arial" w:hAnsi="Arial" w:cs="Arial"/>
          <w:sz w:val="22"/>
        </w:rPr>
        <w:t>hypoglycemia</w:t>
      </w:r>
      <w:r w:rsidRPr="627DF818">
        <w:rPr>
          <w:rFonts w:ascii="Arial" w:eastAsia="Arial" w:hAnsi="Arial" w:cs="Arial"/>
          <w:sz w:val="22"/>
        </w:rPr>
        <w:t xml:space="preserve"> and </w:t>
      </w:r>
      <w:r w:rsidR="398CF917" w:rsidRPr="627DF818">
        <w:rPr>
          <w:rFonts w:ascii="Arial" w:eastAsia="Arial" w:hAnsi="Arial" w:cs="Arial"/>
          <w:sz w:val="22"/>
        </w:rPr>
        <w:t>hyperglycemia</w:t>
      </w:r>
      <w:r w:rsidRPr="627DF818">
        <w:rPr>
          <w:rFonts w:ascii="Arial" w:eastAsia="Arial" w:hAnsi="Arial" w:cs="Arial"/>
          <w:sz w:val="22"/>
        </w:rPr>
        <w:t xml:space="preserve">, steroid-induced </w:t>
      </w:r>
      <w:r w:rsidR="7161CD25" w:rsidRPr="627DF818">
        <w:rPr>
          <w:rFonts w:ascii="Arial" w:eastAsia="Arial" w:hAnsi="Arial" w:cs="Arial"/>
          <w:sz w:val="22"/>
        </w:rPr>
        <w:t>hyperglycemia</w:t>
      </w:r>
      <w:r w:rsidRPr="627DF818">
        <w:rPr>
          <w:rFonts w:ascii="Arial" w:eastAsia="Arial" w:hAnsi="Arial" w:cs="Arial"/>
          <w:sz w:val="22"/>
        </w:rPr>
        <w:t>, hydration needs, nutritional intake, driving capabilities, infection risks, and preferred locations for receiving care. For individuals with t</w:t>
      </w:r>
      <w:r w:rsidR="6CF1C38A" w:rsidRPr="627DF818">
        <w:rPr>
          <w:rFonts w:ascii="Arial" w:eastAsia="Arial" w:hAnsi="Arial" w:cs="Arial"/>
          <w:sz w:val="22"/>
        </w:rPr>
        <w:t>ype 2</w:t>
      </w:r>
      <w:r w:rsidRPr="627DF818">
        <w:rPr>
          <w:rFonts w:ascii="Arial" w:eastAsia="Arial" w:hAnsi="Arial" w:cs="Arial"/>
          <w:sz w:val="22"/>
        </w:rPr>
        <w:t xml:space="preserve"> diabetes, it is critical that insulin therapy is not </w:t>
      </w:r>
      <w:r w:rsidR="6AEC7140" w:rsidRPr="627DF818">
        <w:rPr>
          <w:rFonts w:ascii="Arial" w:eastAsia="Arial" w:hAnsi="Arial" w:cs="Arial"/>
          <w:sz w:val="22"/>
        </w:rPr>
        <w:t>stopped</w:t>
      </w:r>
      <w:r w:rsidRPr="627DF818">
        <w:rPr>
          <w:rFonts w:ascii="Arial" w:eastAsia="Arial" w:hAnsi="Arial" w:cs="Arial"/>
          <w:sz w:val="22"/>
        </w:rPr>
        <w:t xml:space="preserve"> prior to death due to the risk of diabetic </w:t>
      </w:r>
      <w:proofErr w:type="spellStart"/>
      <w:r w:rsidRPr="627DF818">
        <w:rPr>
          <w:rFonts w:ascii="Arial" w:eastAsia="Arial" w:hAnsi="Arial" w:cs="Arial"/>
          <w:sz w:val="22"/>
        </w:rPr>
        <w:t>ketoacidosis</w:t>
      </w:r>
      <w:proofErr w:type="spellEnd"/>
      <w:r w:rsidRPr="627DF818">
        <w:rPr>
          <w:rFonts w:ascii="Arial" w:eastAsia="Arial" w:hAnsi="Arial" w:cs="Arial"/>
          <w:sz w:val="22"/>
        </w:rPr>
        <w:t xml:space="preserve"> (DKA). Conversely, in type 2 diabetes cases, glucose</w:t>
      </w:r>
      <w:r w:rsidR="539778C6" w:rsidRPr="587A2223">
        <w:rPr>
          <w:rFonts w:ascii="Arial" w:eastAsia="Arial" w:hAnsi="Arial" w:cs="Arial"/>
          <w:sz w:val="22"/>
        </w:rPr>
        <w:t xml:space="preserve"> </w:t>
      </w:r>
      <w:r w:rsidRPr="627DF818">
        <w:rPr>
          <w:rFonts w:ascii="Arial" w:eastAsia="Arial" w:hAnsi="Arial" w:cs="Arial"/>
          <w:sz w:val="22"/>
        </w:rPr>
        <w:t>lowering medications may be appropriately adjusted or ceased in response to changes in dietary habits. The National Institute for Health and Care Excellence (NICE) quality standards for end-of-life care and Diabetes UK's guidance on end-of-life matters advocate for proactive planning and effective communication (NICE, 2017</w:t>
      </w:r>
      <w:r w:rsidR="28D612B8" w:rsidRPr="587A2223">
        <w:rPr>
          <w:rFonts w:ascii="Arial" w:eastAsia="Arial" w:hAnsi="Arial" w:cs="Arial"/>
          <w:sz w:val="22"/>
        </w:rPr>
        <w:t>,</w:t>
      </w:r>
      <w:r w:rsidRPr="627DF818">
        <w:rPr>
          <w:rFonts w:ascii="Arial" w:eastAsia="Arial" w:hAnsi="Arial" w:cs="Arial"/>
          <w:sz w:val="22"/>
        </w:rPr>
        <w:t xml:space="preserve"> Diabetes UK, 2024</w:t>
      </w:r>
      <w:r w:rsidR="70B5C6B7" w:rsidRPr="587A2223">
        <w:rPr>
          <w:rFonts w:ascii="Arial" w:eastAsia="Arial" w:hAnsi="Arial" w:cs="Arial"/>
          <w:sz w:val="22"/>
        </w:rPr>
        <w:t>,</w:t>
      </w:r>
      <w:r w:rsidRPr="627DF818">
        <w:rPr>
          <w:rFonts w:ascii="Arial" w:eastAsia="Arial" w:hAnsi="Arial" w:cs="Arial"/>
          <w:sz w:val="22"/>
        </w:rPr>
        <w:t xml:space="preserve"> Dunning et al., 2018).</w:t>
      </w:r>
    </w:p>
    <w:p w14:paraId="6F5E9C16" w14:textId="349B3C0E" w:rsidR="001C5A47" w:rsidRPr="00106C78" w:rsidRDefault="04C38BF0" w:rsidP="627DF818">
      <w:pPr>
        <w:spacing w:line="360" w:lineRule="auto"/>
        <w:rPr>
          <w:rFonts w:ascii="Arial" w:eastAsia="Arial" w:hAnsi="Arial" w:cs="Arial"/>
          <w:b/>
          <w:bCs/>
          <w:sz w:val="22"/>
        </w:rPr>
      </w:pPr>
      <w:r w:rsidRPr="627DF818">
        <w:rPr>
          <w:rFonts w:ascii="Arial" w:eastAsia="Arial" w:hAnsi="Arial" w:cs="Arial"/>
          <w:b/>
          <w:bCs/>
          <w:sz w:val="22"/>
        </w:rPr>
        <w:t>Conclusion</w:t>
      </w:r>
    </w:p>
    <w:p w14:paraId="03A5A06D" w14:textId="1479085E" w:rsidR="002B51AD" w:rsidRPr="004671D6" w:rsidRDefault="44039489" w:rsidP="627DF818">
      <w:pPr>
        <w:spacing w:line="360" w:lineRule="auto"/>
        <w:rPr>
          <w:rFonts w:ascii="Arial" w:eastAsia="Arial" w:hAnsi="Arial" w:cs="Arial"/>
          <w:sz w:val="22"/>
        </w:rPr>
      </w:pPr>
      <w:r w:rsidRPr="627DF818">
        <w:rPr>
          <w:rFonts w:ascii="Arial" w:eastAsia="Arial" w:hAnsi="Arial" w:cs="Arial"/>
          <w:sz w:val="22"/>
        </w:rPr>
        <w:t xml:space="preserve">Type 2 diabetes </w:t>
      </w:r>
      <w:r w:rsidR="15AC32DA" w:rsidRPr="627DF818">
        <w:rPr>
          <w:rFonts w:ascii="Arial" w:eastAsia="Arial" w:hAnsi="Arial" w:cs="Arial"/>
          <w:sz w:val="22"/>
        </w:rPr>
        <w:t>stands for</w:t>
      </w:r>
      <w:r w:rsidRPr="627DF818">
        <w:rPr>
          <w:rFonts w:ascii="Arial" w:eastAsia="Arial" w:hAnsi="Arial" w:cs="Arial"/>
          <w:sz w:val="22"/>
        </w:rPr>
        <w:t xml:space="preserve"> a significant long-term health challenge influenced by biological, behavioral, relational, and socioeconomic factors. An effective approach integrates evidence-based treatments with relational care and systemic reform: the Chronic Care Model provides essential infrastructure; the House of Care </w:t>
      </w:r>
      <w:proofErr w:type="spellStart"/>
      <w:r w:rsidR="298B64E5" w:rsidRPr="627DF818">
        <w:rPr>
          <w:rFonts w:ascii="Arial" w:eastAsia="Arial" w:hAnsi="Arial" w:cs="Arial"/>
          <w:sz w:val="22"/>
        </w:rPr>
        <w:t>prioriti</w:t>
      </w:r>
      <w:r w:rsidR="53354A38" w:rsidRPr="627DF818">
        <w:rPr>
          <w:rFonts w:ascii="Arial" w:eastAsia="Arial" w:hAnsi="Arial" w:cs="Arial"/>
          <w:sz w:val="22"/>
        </w:rPr>
        <w:t>s</w:t>
      </w:r>
      <w:r w:rsidR="298B64E5" w:rsidRPr="627DF818">
        <w:rPr>
          <w:rFonts w:ascii="Arial" w:eastAsia="Arial" w:hAnsi="Arial" w:cs="Arial"/>
          <w:sz w:val="22"/>
        </w:rPr>
        <w:t>es</w:t>
      </w:r>
      <w:proofErr w:type="spellEnd"/>
      <w:r w:rsidRPr="627DF818">
        <w:rPr>
          <w:rFonts w:ascii="Arial" w:eastAsia="Arial" w:hAnsi="Arial" w:cs="Arial"/>
          <w:sz w:val="22"/>
        </w:rPr>
        <w:t xml:space="preserve"> the individual’s needs</w:t>
      </w:r>
      <w:r w:rsidR="1C7AAF0B" w:rsidRPr="587A2223">
        <w:rPr>
          <w:rFonts w:ascii="Arial" w:eastAsia="Arial" w:hAnsi="Arial" w:cs="Arial"/>
          <w:sz w:val="22"/>
        </w:rPr>
        <w:t>,</w:t>
      </w:r>
      <w:r w:rsidRPr="627DF818">
        <w:rPr>
          <w:rFonts w:ascii="Arial" w:eastAsia="Arial" w:hAnsi="Arial" w:cs="Arial"/>
          <w:sz w:val="22"/>
        </w:rPr>
        <w:t xml:space="preserve"> and NHS policies offer mechanisms for integration, prevention, and personalization. Success should be evaluated not only through reduced HbA1c levels but also through fewer health crises, diminished distress, </w:t>
      </w:r>
      <w:r w:rsidR="6788CD98" w:rsidRPr="627DF818">
        <w:rPr>
          <w:rFonts w:ascii="Arial" w:eastAsia="Arial" w:hAnsi="Arial" w:cs="Arial"/>
          <w:sz w:val="22"/>
        </w:rPr>
        <w:t>supported</w:t>
      </w:r>
      <w:r w:rsidRPr="627DF818">
        <w:rPr>
          <w:rFonts w:ascii="Arial" w:eastAsia="Arial" w:hAnsi="Arial" w:cs="Arial"/>
          <w:sz w:val="22"/>
        </w:rPr>
        <w:t xml:space="preserve"> functionality, </w:t>
      </w:r>
      <w:r w:rsidR="6788CD98" w:rsidRPr="627DF818">
        <w:rPr>
          <w:rFonts w:ascii="Arial" w:eastAsia="Arial" w:hAnsi="Arial" w:cs="Arial"/>
          <w:sz w:val="22"/>
        </w:rPr>
        <w:t>fair</w:t>
      </w:r>
      <w:r w:rsidRPr="627DF818">
        <w:rPr>
          <w:rFonts w:ascii="Arial" w:eastAsia="Arial" w:hAnsi="Arial" w:cs="Arial"/>
          <w:sz w:val="22"/>
        </w:rPr>
        <w:t xml:space="preserve"> access to care, and support systems that families can sustain.</w:t>
      </w:r>
    </w:p>
    <w:p w14:paraId="08CAF2C7" w14:textId="10BC9FE2" w:rsidR="001C5A47" w:rsidRDefault="44039489" w:rsidP="627DF818">
      <w:pPr>
        <w:spacing w:line="360" w:lineRule="auto"/>
        <w:rPr>
          <w:rFonts w:ascii="Arial" w:eastAsia="Arial" w:hAnsi="Arial" w:cs="Arial"/>
          <w:sz w:val="22"/>
        </w:rPr>
      </w:pPr>
      <w:r w:rsidRPr="627DF818">
        <w:rPr>
          <w:rFonts w:ascii="Arial" w:eastAsia="Arial" w:hAnsi="Arial" w:cs="Arial"/>
          <w:sz w:val="22"/>
        </w:rPr>
        <w:t>In terms of implementation, the primary assessment is practical rather than theoretical: can individuals leave each interaction with a personali</w:t>
      </w:r>
      <w:r w:rsidR="62C8BA56" w:rsidRPr="627DF818">
        <w:rPr>
          <w:rFonts w:ascii="Arial" w:eastAsia="Arial" w:hAnsi="Arial" w:cs="Arial"/>
          <w:sz w:val="22"/>
        </w:rPr>
        <w:t>s</w:t>
      </w:r>
      <w:r w:rsidRPr="627DF818">
        <w:rPr>
          <w:rFonts w:ascii="Arial" w:eastAsia="Arial" w:hAnsi="Arial" w:cs="Arial"/>
          <w:sz w:val="22"/>
        </w:rPr>
        <w:t xml:space="preserve">ed plan they co-created, comprehend it, and afford it? Are caregivers able to articulate emergency protocols? Does the healthcare team </w:t>
      </w:r>
      <w:r w:rsidR="6788CD98" w:rsidRPr="627DF818">
        <w:rPr>
          <w:rFonts w:ascii="Arial" w:eastAsia="Arial" w:hAnsi="Arial" w:cs="Arial"/>
          <w:sz w:val="22"/>
        </w:rPr>
        <w:t>show</w:t>
      </w:r>
      <w:r w:rsidRPr="627DF818">
        <w:rPr>
          <w:rFonts w:ascii="Arial" w:eastAsia="Arial" w:hAnsi="Arial" w:cs="Arial"/>
          <w:sz w:val="22"/>
        </w:rPr>
        <w:t xml:space="preserve"> missed reviews, signs of distress, foot complications, and declining functionality? Can commissioners address disparities in service </w:t>
      </w:r>
      <w:r w:rsidR="6788CD98" w:rsidRPr="627DF818">
        <w:rPr>
          <w:rFonts w:ascii="Arial" w:eastAsia="Arial" w:hAnsi="Arial" w:cs="Arial"/>
          <w:sz w:val="22"/>
        </w:rPr>
        <w:t>use</w:t>
      </w:r>
      <w:r w:rsidRPr="627DF818">
        <w:rPr>
          <w:rFonts w:ascii="Arial" w:eastAsia="Arial" w:hAnsi="Arial" w:cs="Arial"/>
          <w:sz w:val="22"/>
        </w:rPr>
        <w:t xml:space="preserve"> through outreach initiatives, translation services, community resources, and </w:t>
      </w:r>
      <w:r w:rsidR="6788CD98" w:rsidRPr="627DF818">
        <w:rPr>
          <w:rFonts w:ascii="Arial" w:eastAsia="Arial" w:hAnsi="Arial" w:cs="Arial"/>
          <w:sz w:val="22"/>
        </w:rPr>
        <w:t>prompt</w:t>
      </w:r>
      <w:r w:rsidRPr="627DF818">
        <w:rPr>
          <w:rFonts w:ascii="Arial" w:eastAsia="Arial" w:hAnsi="Arial" w:cs="Arial"/>
          <w:sz w:val="22"/>
        </w:rPr>
        <w:t xml:space="preserve"> expert </w:t>
      </w:r>
      <w:r w:rsidR="3D9B4CB4" w:rsidRPr="627DF818">
        <w:rPr>
          <w:rFonts w:ascii="Arial" w:eastAsia="Arial" w:hAnsi="Arial" w:cs="Arial"/>
          <w:sz w:val="22"/>
        </w:rPr>
        <w:t>aid</w:t>
      </w:r>
      <w:r w:rsidRPr="627DF818">
        <w:rPr>
          <w:rFonts w:ascii="Arial" w:eastAsia="Arial" w:hAnsi="Arial" w:cs="Arial"/>
          <w:sz w:val="22"/>
        </w:rPr>
        <w:t xml:space="preserve">? If any of these criteria are unmet, the model risks </w:t>
      </w:r>
      <w:r w:rsidR="0E216570" w:rsidRPr="627DF818">
        <w:rPr>
          <w:rFonts w:ascii="Arial" w:eastAsia="Arial" w:hAnsi="Arial" w:cs="Arial"/>
          <w:sz w:val="22"/>
        </w:rPr>
        <w:t>being still</w:t>
      </w:r>
      <w:r w:rsidRPr="627DF818">
        <w:rPr>
          <w:rFonts w:ascii="Arial" w:eastAsia="Arial" w:hAnsi="Arial" w:cs="Arial"/>
          <w:sz w:val="22"/>
        </w:rPr>
        <w:t xml:space="preserve"> merely a conceptual framework rather than an effective healthcare solution.</w:t>
      </w:r>
    </w:p>
    <w:p w14:paraId="45CE4605" w14:textId="77777777" w:rsidR="00FB5F1A" w:rsidRPr="004671D6" w:rsidRDefault="00FB5F1A" w:rsidP="6A9355C1">
      <w:pPr>
        <w:spacing w:line="360" w:lineRule="auto"/>
        <w:rPr>
          <w:rFonts w:ascii="Arial" w:hAnsi="Arial" w:cs="Arial"/>
          <w:sz w:val="22"/>
        </w:rPr>
      </w:pPr>
    </w:p>
    <w:p w14:paraId="6CD0772F" w14:textId="77777777" w:rsidR="001C5A47" w:rsidRPr="004671D6" w:rsidRDefault="00EC3E56" w:rsidP="6A9355C1">
      <w:pPr>
        <w:spacing w:line="360" w:lineRule="auto"/>
        <w:rPr>
          <w:rFonts w:ascii="Arial" w:hAnsi="Arial" w:cs="Arial"/>
          <w:sz w:val="22"/>
        </w:rPr>
      </w:pPr>
      <w:r w:rsidRPr="6A9355C1">
        <w:rPr>
          <w:rFonts w:ascii="Arial" w:hAnsi="Arial" w:cs="Arial"/>
          <w:sz w:val="22"/>
        </w:rPr>
        <w:br w:type="page"/>
      </w:r>
    </w:p>
    <w:p w14:paraId="14793D70" w14:textId="77777777" w:rsidR="001C5A47" w:rsidRPr="004671D6" w:rsidRDefault="3F0BB615" w:rsidP="627DF818">
      <w:pPr>
        <w:pStyle w:val="Heading1"/>
        <w:spacing w:line="360" w:lineRule="auto"/>
        <w:rPr>
          <w:rFonts w:ascii="Arial" w:hAnsi="Arial" w:cs="Arial"/>
          <w:color w:val="auto"/>
          <w:sz w:val="22"/>
          <w:szCs w:val="22"/>
        </w:rPr>
      </w:pPr>
      <w:r w:rsidRPr="627DF818">
        <w:rPr>
          <w:rFonts w:ascii="Arial" w:hAnsi="Arial" w:cs="Arial"/>
          <w:color w:val="auto"/>
          <w:sz w:val="22"/>
          <w:szCs w:val="22"/>
        </w:rPr>
        <w:t>References</w:t>
      </w:r>
    </w:p>
    <w:p w14:paraId="12C42D40" w14:textId="15503691" w:rsidR="001C5A47" w:rsidRPr="004671D6" w:rsidRDefault="001C5A47" w:rsidP="627DF818">
      <w:pPr>
        <w:spacing w:after="60" w:line="360" w:lineRule="auto"/>
        <w:rPr>
          <w:rFonts w:ascii="Arial" w:hAnsi="Arial" w:cs="Arial"/>
          <w:sz w:val="22"/>
        </w:rPr>
      </w:pPr>
    </w:p>
    <w:p w14:paraId="1050D7D8" w14:textId="6C6E0038" w:rsidR="00620277" w:rsidRPr="004671D6" w:rsidRDefault="13CABC7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 xml:space="preserve">Coleman, K., Austin, B.T., Brach, </w:t>
      </w:r>
      <w:r w:rsidR="03736C87" w:rsidRPr="627DF818">
        <w:rPr>
          <w:rStyle w:val="bumpedfont17"/>
          <w:rFonts w:ascii="Arial" w:hAnsi="Arial" w:cs="Arial"/>
          <w:color w:val="000000" w:themeColor="text1"/>
          <w:sz w:val="22"/>
          <w:szCs w:val="22"/>
        </w:rPr>
        <w:t>C.,</w:t>
      </w:r>
      <w:r w:rsidRPr="627DF818">
        <w:rPr>
          <w:rStyle w:val="bumpedfont17"/>
          <w:rFonts w:ascii="Arial" w:hAnsi="Arial" w:cs="Arial"/>
          <w:color w:val="000000" w:themeColor="text1"/>
          <w:sz w:val="22"/>
          <w:szCs w:val="22"/>
        </w:rPr>
        <w:t xml:space="preserve"> and Wagner, E.H. (2009) ‘Evidence on the Chronic Care Model in the new millennium’, Health Affairs, 28(1), pp. 75–85. Available at: https://doi.org/10.1377/hlthaff.28.1.75 (Accessed: 23 September 2026).</w:t>
      </w:r>
    </w:p>
    <w:p w14:paraId="1A61D7CC" w14:textId="6D4D10DE" w:rsidR="008E0F40" w:rsidRPr="004671D6" w:rsidRDefault="13CABC7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 xml:space="preserve">Coulter, A., Kramer, G., Warren, </w:t>
      </w:r>
      <w:r w:rsidR="03736C87" w:rsidRPr="627DF818">
        <w:rPr>
          <w:rStyle w:val="bumpedfont17"/>
          <w:rFonts w:ascii="Arial" w:hAnsi="Arial" w:cs="Arial"/>
          <w:color w:val="000000" w:themeColor="text1"/>
          <w:sz w:val="22"/>
          <w:szCs w:val="22"/>
        </w:rPr>
        <w:t>T.,</w:t>
      </w:r>
      <w:r w:rsidRPr="627DF818">
        <w:rPr>
          <w:rStyle w:val="bumpedfont17"/>
          <w:rFonts w:ascii="Arial" w:hAnsi="Arial" w:cs="Arial"/>
          <w:color w:val="000000" w:themeColor="text1"/>
          <w:sz w:val="22"/>
          <w:szCs w:val="22"/>
        </w:rPr>
        <w:t xml:space="preserve"> and Salisbury, C. (2016) ‘Building the House of Care for people with long-term conditions: the foundation of the House of Care framework’, British Journal of General Practice, 66(645), pp. e288–e290. Available at: https://bjgp.org/content/66/645/e288 (Accessed: 23 September 2026).</w:t>
      </w:r>
    </w:p>
    <w:p w14:paraId="76F612AE" w14:textId="24A7574A" w:rsidR="00352384" w:rsidRPr="004671D6" w:rsidRDefault="3B6D388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 xml:space="preserve">Coulter, A., Roberts, </w:t>
      </w:r>
      <w:r w:rsidR="4BB489CE" w:rsidRPr="627DF818">
        <w:rPr>
          <w:rStyle w:val="bumpedfont17"/>
          <w:rFonts w:ascii="Arial" w:hAnsi="Arial" w:cs="Arial"/>
          <w:color w:val="000000" w:themeColor="text1"/>
          <w:sz w:val="22"/>
          <w:szCs w:val="22"/>
        </w:rPr>
        <w:t>S.,</w:t>
      </w:r>
      <w:r w:rsidRPr="627DF818">
        <w:rPr>
          <w:rStyle w:val="bumpedfont17"/>
          <w:rFonts w:ascii="Arial" w:hAnsi="Arial" w:cs="Arial"/>
          <w:color w:val="000000" w:themeColor="text1"/>
          <w:sz w:val="22"/>
          <w:szCs w:val="22"/>
        </w:rPr>
        <w:t xml:space="preserve"> and Dixon, A. (2013) Delivering better services for people with long-term conditions: building the House of Care. London: The King’s Fund. Available at: https://www.kingsfund.org.uk/publications/delivering-better-services-people-long-term-conditions (Accessed: 2</w:t>
      </w:r>
      <w:r w:rsidR="3C33CB14" w:rsidRPr="627DF818">
        <w:rPr>
          <w:rStyle w:val="bumpedfont17"/>
          <w:rFonts w:ascii="Arial" w:hAnsi="Arial" w:cs="Arial"/>
          <w:color w:val="000000" w:themeColor="text1"/>
          <w:sz w:val="22"/>
          <w:szCs w:val="22"/>
        </w:rPr>
        <w:t xml:space="preserve">4 </w:t>
      </w:r>
      <w:r w:rsidRPr="627DF818">
        <w:rPr>
          <w:rStyle w:val="bumpedfont17"/>
          <w:rFonts w:ascii="Arial" w:hAnsi="Arial" w:cs="Arial"/>
          <w:color w:val="000000" w:themeColor="text1"/>
          <w:sz w:val="22"/>
          <w:szCs w:val="22"/>
        </w:rPr>
        <w:t>September 2026).</w:t>
      </w:r>
    </w:p>
    <w:p w14:paraId="45801FCE" w14:textId="770B7EC4" w:rsidR="008E0F40" w:rsidRPr="004671D6" w:rsidRDefault="3B6D388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Davies, M.J., D’Alessio, D.A., Fradkin, J. et al. (2018) ‘Management of hyperglycaemia in type 2 diabetes, 2018: a consensus report by the American Diabetes Association and the European Association for the Study of Diabetes’, Diabetologia, 61(12), pp. 2461–2498. Available at: https://doi.org/10.1007/s00125-018-4729-5 (Accessed: 2</w:t>
      </w:r>
      <w:r w:rsidR="5414391C" w:rsidRPr="627DF818">
        <w:rPr>
          <w:rStyle w:val="bumpedfont17"/>
          <w:rFonts w:ascii="Arial" w:hAnsi="Arial" w:cs="Arial"/>
          <w:color w:val="000000" w:themeColor="text1"/>
          <w:sz w:val="22"/>
          <w:szCs w:val="22"/>
        </w:rPr>
        <w:t>1</w:t>
      </w:r>
      <w:r w:rsidRPr="627DF818">
        <w:rPr>
          <w:rStyle w:val="bumpedfont17"/>
          <w:rFonts w:ascii="Arial" w:hAnsi="Arial" w:cs="Arial"/>
          <w:color w:val="000000" w:themeColor="text1"/>
          <w:sz w:val="22"/>
          <w:szCs w:val="22"/>
        </w:rPr>
        <w:t xml:space="preserve"> September 2026).</w:t>
      </w:r>
    </w:p>
    <w:p w14:paraId="5F510125" w14:textId="0E42AFDE" w:rsidR="008E0F40" w:rsidRPr="004671D6" w:rsidRDefault="3B6D388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Diabetes UK (2024) End of life care for people with diabetes: clinical recommendations. Available at: https://www.diabetes.org.uk/for-professionals/improving-care/clinical-recommendations-for-professionals/diagnosis-ongoing-management-monitoring/end-of-life-care (Accessed: 2</w:t>
      </w:r>
      <w:r w:rsidR="0EA1B98C" w:rsidRPr="627DF818">
        <w:rPr>
          <w:rStyle w:val="bumpedfont17"/>
          <w:rFonts w:ascii="Arial" w:hAnsi="Arial" w:cs="Arial"/>
          <w:color w:val="000000" w:themeColor="text1"/>
          <w:sz w:val="22"/>
          <w:szCs w:val="22"/>
        </w:rPr>
        <w:t>0</w:t>
      </w:r>
      <w:r w:rsidRPr="627DF818">
        <w:rPr>
          <w:rStyle w:val="bumpedfont17"/>
          <w:rFonts w:ascii="Arial" w:hAnsi="Arial" w:cs="Arial"/>
          <w:color w:val="000000" w:themeColor="text1"/>
          <w:sz w:val="22"/>
          <w:szCs w:val="22"/>
        </w:rPr>
        <w:t xml:space="preserve"> September 2026).</w:t>
      </w:r>
    </w:p>
    <w:p w14:paraId="41A5C414" w14:textId="6B74221E" w:rsidR="008E0F40" w:rsidRPr="004671D6" w:rsidRDefault="13CABC7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Diabetes UK (2024) NHS ‘soups and shakes’ diet study shows one third of people with type 2 diabetes enter remission. Available at: https://www.diabetes.org.uk/about-us/news-and-views/nhs-soup-and-shake-diet-to-help-people-with-type-2-into-remission (Accessed: 23 September 2026).</w:t>
      </w:r>
    </w:p>
    <w:p w14:paraId="0F6012BA" w14:textId="65B9E909" w:rsidR="008E0F40" w:rsidRPr="004671D6" w:rsidRDefault="3B6D388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Diabetes UK (2026) Diabetes statistics. Available at: https://www.diabetes.org.uk/about-us/about-the-charity/our-strategy/statistics (Accessed: 2</w:t>
      </w:r>
      <w:r w:rsidR="3297618D" w:rsidRPr="627DF818">
        <w:rPr>
          <w:rStyle w:val="bumpedfont17"/>
          <w:rFonts w:ascii="Arial" w:hAnsi="Arial" w:cs="Arial"/>
          <w:color w:val="000000" w:themeColor="text1"/>
          <w:sz w:val="22"/>
          <w:szCs w:val="22"/>
        </w:rPr>
        <w:t>6</w:t>
      </w:r>
      <w:r w:rsidRPr="627DF818">
        <w:rPr>
          <w:rStyle w:val="bumpedfont17"/>
          <w:rFonts w:ascii="Arial" w:hAnsi="Arial" w:cs="Arial"/>
          <w:color w:val="000000" w:themeColor="text1"/>
          <w:sz w:val="22"/>
          <w:szCs w:val="22"/>
        </w:rPr>
        <w:t xml:space="preserve"> September 2026).</w:t>
      </w:r>
    </w:p>
    <w:p w14:paraId="73BB2CC7" w14:textId="736CDCC3" w:rsidR="008E0F40" w:rsidRPr="004671D6" w:rsidRDefault="13CABC7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Dunning, T., Sinclair, A. and Colagiuri, S. (2020) ‘Palliative and end-of-life care: vital aspects of holistic diabetes care of older people with diabetes’, Diabetes Spectrum, 33(3), pp. 246–254. Available at: https://pmc.ncbi.nlm.nih.gov/articles/PMC7428665/ (Accessed: 23 September 2026).</w:t>
      </w:r>
    </w:p>
    <w:p w14:paraId="6EB1CBDF" w14:textId="5D7279E6" w:rsidR="008E0F40" w:rsidRPr="004671D6" w:rsidRDefault="13CABC7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International Diabetes Federation (2025) IDF Diabetes Atlas. 11th edn. Available at: https://diabetesatlas.org/ (Accessed: 23 September 2026).</w:t>
      </w:r>
    </w:p>
    <w:p w14:paraId="35E71456" w14:textId="61BBF704" w:rsidR="008E0F40" w:rsidRPr="004671D6" w:rsidRDefault="3B6D388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Khaledi, M., Haghighatdoost, F., Feizi, A. and Aminorroaya, A. (2019) ‘The prevalence of comorbid depression in patients with type 2 diabetes: an updated systematic review and meta-analysis on huge number of observational studies’, Acta Diabetologica, 56(6), pp. 631–650. Available at: https://pubmed.ncbi.nlm.nih.gov/30903433/ (Accessed: 2</w:t>
      </w:r>
      <w:r w:rsidR="2DE3C1A4" w:rsidRPr="627DF818">
        <w:rPr>
          <w:rStyle w:val="bumpedfont17"/>
          <w:rFonts w:ascii="Arial" w:hAnsi="Arial" w:cs="Arial"/>
          <w:color w:val="000000" w:themeColor="text1"/>
          <w:sz w:val="22"/>
          <w:szCs w:val="22"/>
        </w:rPr>
        <w:t>7</w:t>
      </w:r>
      <w:r w:rsidRPr="627DF818">
        <w:rPr>
          <w:rStyle w:val="bumpedfont17"/>
          <w:rFonts w:ascii="Arial" w:hAnsi="Arial" w:cs="Arial"/>
          <w:color w:val="000000" w:themeColor="text1"/>
          <w:sz w:val="22"/>
          <w:szCs w:val="22"/>
        </w:rPr>
        <w:t xml:space="preserve"> September 2026).</w:t>
      </w:r>
    </w:p>
    <w:p w14:paraId="7D03F77D" w14:textId="6599B202" w:rsidR="008E0F40" w:rsidRPr="004671D6" w:rsidRDefault="13CABC7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Lean, M.E.J., Leslie, W.S., Barnes, A.C.</w:t>
      </w:r>
      <w:r w:rsidRPr="627DF818">
        <w:rPr>
          <w:rStyle w:val="bumpedfont17"/>
          <w:rFonts w:ascii="Arial" w:hAnsi="Arial" w:cs="Arial"/>
          <w:color w:val="FF0000"/>
          <w:sz w:val="22"/>
          <w:szCs w:val="22"/>
        </w:rPr>
        <w:t xml:space="preserve"> </w:t>
      </w:r>
      <w:r w:rsidRPr="627DF818">
        <w:rPr>
          <w:rStyle w:val="bumpedfont17"/>
          <w:rFonts w:ascii="Arial" w:hAnsi="Arial" w:cs="Arial"/>
          <w:color w:val="000000" w:themeColor="text1"/>
          <w:sz w:val="22"/>
          <w:szCs w:val="22"/>
        </w:rPr>
        <w:t xml:space="preserve"> (2018) ‘Primary care-led weight management for remission of type 2 diabetes (DiRECT): an open-label, cluster-randomised trial’, The Lancet, 391(10120), pp. 541–551. Available at: https://doi.org/10.1016/S0140-6736(17)33102-1 (Accessed: 23 September 2026).</w:t>
      </w:r>
    </w:p>
    <w:p w14:paraId="1C3A64DB" w14:textId="21DE9285" w:rsidR="008E0F40" w:rsidRPr="004671D6" w:rsidRDefault="13CABC7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Lean, M.E.J., Leslie, W.S., Barnes, A.C.  (2019) ‘Durability of a primary care-led weight-management intervention for remission of type 2 diabetes: 2-year results of the DiRECT open-label, cluster-randomised trial’, The Lancet Diabetes &amp; Endocrinology, 7(5), pp. 344–355. Available at: https://doi.org/10.1016/S2213-8587(19)30068-3 (Accessed: 23 September 2026).</w:t>
      </w:r>
    </w:p>
    <w:p w14:paraId="073BF55C" w14:textId="0D07C04D" w:rsidR="008E0F40" w:rsidRPr="004671D6" w:rsidRDefault="3B6D388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Marmot, M. (2010) Fair Society, Healthy Lives: The Marmot Review. London: Department of Health. Available at: https://www.instituteofhealthequity.org/resources-reports/fair-society-healthy-lives-the-marmot-review/fair-society-healthy-lives-full-report-pdf.pdf (Accessed: 2</w:t>
      </w:r>
      <w:r w:rsidR="3046DEDB" w:rsidRPr="627DF818">
        <w:rPr>
          <w:rStyle w:val="bumpedfont17"/>
          <w:rFonts w:ascii="Arial" w:hAnsi="Arial" w:cs="Arial"/>
          <w:color w:val="000000" w:themeColor="text1"/>
          <w:sz w:val="22"/>
          <w:szCs w:val="22"/>
        </w:rPr>
        <w:t>8</w:t>
      </w:r>
      <w:r w:rsidRPr="627DF818">
        <w:rPr>
          <w:rStyle w:val="bumpedfont17"/>
          <w:rFonts w:ascii="Arial" w:hAnsi="Arial" w:cs="Arial"/>
          <w:color w:val="000000" w:themeColor="text1"/>
          <w:sz w:val="22"/>
          <w:szCs w:val="22"/>
        </w:rPr>
        <w:t xml:space="preserve"> September 2026).</w:t>
      </w:r>
    </w:p>
    <w:p w14:paraId="22408F0F" w14:textId="2FBC9326" w:rsidR="008E0F40" w:rsidRPr="004671D6" w:rsidRDefault="13CABC7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National Voices (2013) A narrative for person-centred coordinated care (‘I’ statements). London: National Voices. Available at: https://www.nationalvoices.org.uk/ (Accessed: 23 September 2026).</w:t>
      </w:r>
    </w:p>
    <w:p w14:paraId="21BCF49D" w14:textId="405D5189" w:rsidR="008E0F40" w:rsidRPr="004671D6" w:rsidRDefault="3B6D388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 xml:space="preserve">NHS Digital (2026) National Diabetes Audit Report 1: care processes and treatment targets 2024/25. Available at: https://digital.nhs.uk/data-and-information/publications/statistical/national-diabetes-audit (Accessed: </w:t>
      </w:r>
      <w:r w:rsidR="77616CCF" w:rsidRPr="627DF818">
        <w:rPr>
          <w:rStyle w:val="bumpedfont17"/>
          <w:rFonts w:ascii="Arial" w:hAnsi="Arial" w:cs="Arial"/>
          <w:color w:val="000000" w:themeColor="text1"/>
          <w:sz w:val="22"/>
          <w:szCs w:val="22"/>
        </w:rPr>
        <w:t>19</w:t>
      </w:r>
      <w:r w:rsidRPr="627DF818">
        <w:rPr>
          <w:rStyle w:val="bumpedfont17"/>
          <w:rFonts w:ascii="Arial" w:hAnsi="Arial" w:cs="Arial"/>
          <w:color w:val="000000" w:themeColor="text1"/>
          <w:sz w:val="22"/>
          <w:szCs w:val="22"/>
        </w:rPr>
        <w:t xml:space="preserve"> September 2026).</w:t>
      </w:r>
    </w:p>
    <w:p w14:paraId="6900ED6B" w14:textId="61257A9D" w:rsidR="008E0F40" w:rsidRPr="004671D6" w:rsidRDefault="13CABC7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NHS England (2019) NHS comprehensive model of personalised care. Available at: https://www.england.nhs.uk/personalisedcare/comprehensive-model-of-personalised-care/ (Accessed: 23 September 2026).</w:t>
      </w:r>
    </w:p>
    <w:p w14:paraId="63A11F86" w14:textId="05A4FA37" w:rsidR="008E0F40" w:rsidRPr="004671D6" w:rsidRDefault="13CABC7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NHS England (2019) The NHS Long Term Plan. Available at: https://www.longtermplan.nhs.uk/ (Accessed: 23 September 2026).</w:t>
      </w:r>
    </w:p>
    <w:p w14:paraId="2E575853" w14:textId="77777777" w:rsidR="00352384" w:rsidRPr="004671D6" w:rsidRDefault="13CABC7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NHS England (2024) NHS Type 2 Diabetes Path to Remission Programme. Available at: https://www.england.nhs.uk/diabetes/treatment-care/diabetes-remission/ (Accessed: 23 September 2026).</w:t>
      </w:r>
    </w:p>
    <w:p w14:paraId="2B534483" w14:textId="0EE264B3" w:rsidR="008E0F40" w:rsidRPr="004671D6" w:rsidRDefault="3B6D388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NICE (2017) End of life care for adults. Quality standard QS13. Available at: https://www.nice.org.uk/guidance/qs13 (Accessed: 2</w:t>
      </w:r>
      <w:r w:rsidR="5F3E5EAD" w:rsidRPr="627DF818">
        <w:rPr>
          <w:rStyle w:val="bumpedfont17"/>
          <w:rFonts w:ascii="Arial" w:hAnsi="Arial" w:cs="Arial"/>
          <w:color w:val="000000" w:themeColor="text1"/>
          <w:sz w:val="22"/>
          <w:szCs w:val="22"/>
        </w:rPr>
        <w:t>7</w:t>
      </w:r>
      <w:r w:rsidRPr="627DF818">
        <w:rPr>
          <w:rStyle w:val="bumpedfont17"/>
          <w:rFonts w:ascii="Arial" w:hAnsi="Arial" w:cs="Arial"/>
          <w:color w:val="000000" w:themeColor="text1"/>
          <w:sz w:val="22"/>
          <w:szCs w:val="22"/>
        </w:rPr>
        <w:t xml:space="preserve"> September 2026).</w:t>
      </w:r>
    </w:p>
    <w:p w14:paraId="34781714" w14:textId="5394466E" w:rsidR="008E0F40" w:rsidRPr="004671D6" w:rsidRDefault="3B6D388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NICE (2026) Type 2 diabetes in adults: management. NICE guideline NG28. Available at: https://www.nice.org.uk/guidance/ng28 (Accessed: 2</w:t>
      </w:r>
      <w:r w:rsidR="6C11158E" w:rsidRPr="627DF818">
        <w:rPr>
          <w:rStyle w:val="bumpedfont17"/>
          <w:rFonts w:ascii="Arial" w:hAnsi="Arial" w:cs="Arial"/>
          <w:color w:val="000000" w:themeColor="text1"/>
          <w:sz w:val="22"/>
          <w:szCs w:val="22"/>
        </w:rPr>
        <w:t>9</w:t>
      </w:r>
      <w:r w:rsidRPr="627DF818">
        <w:rPr>
          <w:rStyle w:val="bumpedfont17"/>
          <w:rFonts w:ascii="Arial" w:hAnsi="Arial" w:cs="Arial"/>
          <w:color w:val="000000" w:themeColor="text1"/>
          <w:sz w:val="22"/>
          <w:szCs w:val="22"/>
        </w:rPr>
        <w:t xml:space="preserve"> September 2026).</w:t>
      </w:r>
    </w:p>
    <w:p w14:paraId="7E1A2AA9" w14:textId="5F48E6DB" w:rsidR="008E0F40" w:rsidRPr="004671D6" w:rsidRDefault="13CABC76" w:rsidP="627DF818">
      <w:pPr>
        <w:pStyle w:val="s16"/>
        <w:spacing w:before="0" w:beforeAutospacing="0" w:after="45" w:afterAutospacing="0" w:line="360" w:lineRule="auto"/>
        <w:rPr>
          <w:rFonts w:ascii="Arial" w:hAnsi="Arial" w:cs="Arial"/>
          <w:color w:val="000000"/>
          <w:sz w:val="22"/>
          <w:szCs w:val="22"/>
        </w:rPr>
      </w:pPr>
      <w:r w:rsidRPr="627DF818">
        <w:rPr>
          <w:rStyle w:val="bumpedfont17"/>
          <w:rFonts w:ascii="Arial" w:hAnsi="Arial" w:cs="Arial"/>
          <w:color w:val="000000" w:themeColor="text1"/>
          <w:sz w:val="22"/>
          <w:szCs w:val="22"/>
        </w:rPr>
        <w:t>Office for Health Improvement and Disparities (2025) Diabetes profile: statistical commentary, March 2025. Available at: https://www.gov.uk/government/statistics/diabetes-profile-update-march-2025/diabetes-profile-statistical-commentary-march-2025 (Accessed: 23 September 2026).</w:t>
      </w:r>
    </w:p>
    <w:p w14:paraId="4CE391C6" w14:textId="01FDFB34" w:rsidR="008E0F40" w:rsidRPr="004671D6" w:rsidRDefault="13CABC76" w:rsidP="627DF818">
      <w:pPr>
        <w:pStyle w:val="s16"/>
        <w:spacing w:before="0" w:beforeAutospacing="0" w:after="45" w:afterAutospacing="0" w:line="360" w:lineRule="auto"/>
        <w:rPr>
          <w:rFonts w:ascii="Arial" w:hAnsi="Arial" w:cs="Arial"/>
          <w:color w:val="000000"/>
          <w:sz w:val="22"/>
          <w:szCs w:val="22"/>
        </w:rPr>
      </w:pPr>
      <w:r w:rsidRPr="6A9355C1">
        <w:rPr>
          <w:rStyle w:val="bumpedfont17"/>
          <w:rFonts w:ascii="Arial" w:hAnsi="Arial" w:cs="Arial"/>
          <w:color w:val="000000" w:themeColor="text1"/>
          <w:sz w:val="22"/>
          <w:szCs w:val="22"/>
        </w:rPr>
        <w:t>Perrin, N.E., Davies, M.J., Robertson, N., Snoek, F.J. and Khunti, K. (2017) ‘The prevalence of diabetes-specific emotional distress in people with Type 2 diabetes: a systematic review and meta-analysis’, Diabetic Medicine, 34(11), pp. 1508–1520. Available at: https://doi.org/10.1111/dme.13448 (Accessed: 23 September 2026).</w:t>
      </w:r>
    </w:p>
    <w:p w14:paraId="058A43AE" w14:textId="733C9D9E" w:rsidR="008E0F40" w:rsidRPr="004671D6" w:rsidRDefault="5508F00D" w:rsidP="6A9355C1">
      <w:pPr>
        <w:pStyle w:val="s16"/>
        <w:spacing w:before="0" w:beforeAutospacing="0" w:after="45" w:afterAutospacing="0" w:line="360" w:lineRule="auto"/>
        <w:rPr>
          <w:rFonts w:ascii="Arial" w:hAnsi="Arial" w:cs="Arial"/>
          <w:color w:val="000000" w:themeColor="text1"/>
          <w:sz w:val="22"/>
          <w:szCs w:val="22"/>
        </w:rPr>
      </w:pPr>
      <w:r w:rsidRPr="6A9355C1">
        <w:rPr>
          <w:rStyle w:val="bumpedfont17"/>
          <w:rFonts w:ascii="Arial" w:hAnsi="Arial" w:cs="Arial"/>
          <w:color w:val="000000" w:themeColor="text1"/>
          <w:sz w:val="22"/>
          <w:szCs w:val="22"/>
        </w:rPr>
        <w:t>The King’s Fund (2022) Integrated care systems explained. Available at: https://www.kingsfund.org.uk/insight-and-analysis/long-reads/integrated-care-systems-explained (Accessed: 23 September 2026).</w:t>
      </w:r>
    </w:p>
    <w:p w14:paraId="00C0FDBA" w14:textId="77777777" w:rsidR="008E0F40" w:rsidRPr="004671D6" w:rsidRDefault="5508F00D" w:rsidP="6A9355C1">
      <w:pPr>
        <w:pStyle w:val="s16"/>
        <w:spacing w:before="0" w:beforeAutospacing="0" w:after="45" w:afterAutospacing="0" w:line="360" w:lineRule="auto"/>
        <w:rPr>
          <w:rFonts w:ascii="Arial" w:hAnsi="Arial" w:cs="Arial"/>
          <w:color w:val="000000" w:themeColor="text1"/>
          <w:sz w:val="22"/>
          <w:szCs w:val="22"/>
        </w:rPr>
      </w:pPr>
      <w:r w:rsidRPr="6A9355C1">
        <w:rPr>
          <w:rFonts w:ascii="Arial" w:hAnsi="Arial" w:cs="Arial"/>
          <w:color w:val="000000" w:themeColor="text1"/>
          <w:sz w:val="22"/>
          <w:szCs w:val="22"/>
        </w:rPr>
        <w:t>https://www.news-medical.net/health/What-is-Type-2-Diabetes.aspx (Accessed 2026)</w:t>
      </w:r>
    </w:p>
    <w:p w14:paraId="59B7A5EC" w14:textId="77777777" w:rsidR="008E0F40" w:rsidRPr="004671D6" w:rsidRDefault="5508F00D" w:rsidP="6A9355C1">
      <w:pPr>
        <w:pStyle w:val="s16"/>
        <w:spacing w:before="0" w:beforeAutospacing="0" w:after="45" w:afterAutospacing="0" w:line="360" w:lineRule="auto"/>
        <w:rPr>
          <w:rFonts w:ascii="Arial" w:hAnsi="Arial" w:cs="Arial"/>
          <w:color w:val="000000" w:themeColor="text1"/>
          <w:sz w:val="22"/>
          <w:szCs w:val="22"/>
        </w:rPr>
      </w:pPr>
      <w:r w:rsidRPr="6A9355C1">
        <w:rPr>
          <w:rStyle w:val="bumpedfont17"/>
          <w:rFonts w:ascii="Arial" w:hAnsi="Arial" w:cs="Arial"/>
          <w:color w:val="000000" w:themeColor="text1"/>
          <w:sz w:val="22"/>
          <w:szCs w:val="22"/>
        </w:rPr>
        <w:t>UK Parliament (2022) Health and Care Act 2022. Available at: https://www.legislation.gov.uk/ukpga/2022/31/contents/enacted (Accessed: 23 September 2026).</w:t>
      </w:r>
    </w:p>
    <w:p w14:paraId="04B55124" w14:textId="7AEB35B3" w:rsidR="008E0F40" w:rsidRPr="004671D6" w:rsidRDefault="5508F00D" w:rsidP="6A9355C1">
      <w:pPr>
        <w:pStyle w:val="s16"/>
        <w:spacing w:before="0" w:beforeAutospacing="0" w:after="45" w:afterAutospacing="0" w:line="360" w:lineRule="auto"/>
        <w:rPr>
          <w:rFonts w:ascii="Arial" w:hAnsi="Arial" w:cs="Arial"/>
          <w:color w:val="000000" w:themeColor="text1"/>
          <w:sz w:val="22"/>
          <w:szCs w:val="22"/>
        </w:rPr>
      </w:pPr>
      <w:r w:rsidRPr="6A9355C1">
        <w:rPr>
          <w:rStyle w:val="bumpedfont17"/>
          <w:rFonts w:ascii="Arial" w:hAnsi="Arial" w:cs="Arial"/>
          <w:color w:val="000000" w:themeColor="text1"/>
          <w:sz w:val="22"/>
          <w:szCs w:val="22"/>
        </w:rPr>
        <w:t>Wagner, E.H. (1998) ‘Chronic disease management: what will it take to improve care for chronic illness?’, Effective Clinical Practice, 1(1), pp. 2–4. Available at: https://pubmed.ncbi.nlm.nih.gov/9654370/ (Accessed: 27 September 2026).</w:t>
      </w:r>
    </w:p>
    <w:p w14:paraId="5CB84492" w14:textId="77777777" w:rsidR="008E0F40" w:rsidRPr="004671D6" w:rsidRDefault="5508F00D" w:rsidP="6A9355C1">
      <w:pPr>
        <w:pStyle w:val="s16"/>
        <w:spacing w:before="0" w:beforeAutospacing="0" w:after="45" w:afterAutospacing="0" w:line="360" w:lineRule="auto"/>
        <w:rPr>
          <w:rFonts w:ascii="Arial" w:hAnsi="Arial" w:cs="Arial"/>
          <w:color w:val="000000" w:themeColor="text1"/>
          <w:sz w:val="22"/>
          <w:szCs w:val="22"/>
        </w:rPr>
      </w:pPr>
      <w:r w:rsidRPr="6A9355C1">
        <w:rPr>
          <w:rStyle w:val="bumpedfont17"/>
          <w:rFonts w:ascii="Arial" w:hAnsi="Arial" w:cs="Arial"/>
          <w:color w:val="000000" w:themeColor="text1"/>
          <w:sz w:val="22"/>
          <w:szCs w:val="22"/>
        </w:rPr>
        <w:t>Wagner, E.H., Austin, B.T. and Von Korff, M. (1996) ‘Organising care for patients with chronic illness’, Milbank Quarterly, 74(4), pp. 511–544. Available at: https://pubmed.ncbi.nlm.nih.gov/8941260/ (Accessed: 23 September 2026).</w:t>
      </w:r>
    </w:p>
    <w:p w14:paraId="58EF5C75" w14:textId="36107E30" w:rsidR="008E0F40" w:rsidRPr="004671D6" w:rsidRDefault="5508F00D" w:rsidP="6A9355C1">
      <w:pPr>
        <w:pStyle w:val="s16"/>
        <w:spacing w:before="0" w:beforeAutospacing="0" w:after="45" w:afterAutospacing="0" w:line="360" w:lineRule="auto"/>
        <w:rPr>
          <w:rFonts w:ascii="Arial" w:hAnsi="Arial" w:cs="Arial"/>
          <w:color w:val="000000" w:themeColor="text1"/>
          <w:sz w:val="22"/>
          <w:szCs w:val="22"/>
        </w:rPr>
      </w:pPr>
      <w:r w:rsidRPr="6A9355C1">
        <w:rPr>
          <w:rStyle w:val="bumpedfont17"/>
          <w:rFonts w:ascii="Arial" w:hAnsi="Arial" w:cs="Arial"/>
          <w:color w:val="000000" w:themeColor="text1"/>
          <w:sz w:val="22"/>
          <w:szCs w:val="22"/>
        </w:rPr>
        <w:t>Wagner, E.H., Austin, B.T., Davis, C., Hindmarsh, M., Schaefer, J. and Bonomi, A. (2001) ‘Improving chronic illness care: translating evidence into action’, Health Affairs, 20(6), pp. 64–78. Available at: https://doi.org/10.1377/hlthaff.20.6.64 (Accessed: 22 September 2026).</w:t>
      </w:r>
    </w:p>
    <w:p w14:paraId="164E4C64" w14:textId="24F64A55" w:rsidR="008E0F40" w:rsidRPr="004671D6" w:rsidRDefault="5508F00D" w:rsidP="6A9355C1">
      <w:pPr>
        <w:pStyle w:val="s16"/>
        <w:spacing w:before="0" w:beforeAutospacing="0" w:after="45" w:afterAutospacing="0" w:line="360" w:lineRule="auto"/>
        <w:rPr>
          <w:rFonts w:ascii="Arial" w:hAnsi="Arial" w:cs="Arial"/>
          <w:color w:val="000000" w:themeColor="text1"/>
          <w:sz w:val="22"/>
          <w:szCs w:val="22"/>
        </w:rPr>
      </w:pPr>
      <w:r w:rsidRPr="6A9355C1">
        <w:rPr>
          <w:rStyle w:val="bumpedfont17"/>
          <w:rFonts w:ascii="Arial" w:hAnsi="Arial" w:cs="Arial"/>
          <w:color w:val="000000" w:themeColor="text1"/>
          <w:sz w:val="22"/>
          <w:szCs w:val="22"/>
        </w:rPr>
        <w:t>World Health Organisation (2024) Diabetes. Available at: https://www.who.int/news-room/fact-sheets/detail/diabetes (Accessed: 21 September 2026).</w:t>
      </w:r>
    </w:p>
    <w:p w14:paraId="679D88AB" w14:textId="3257A2E2" w:rsidR="008E0F40" w:rsidRPr="004671D6" w:rsidRDefault="5508F00D" w:rsidP="6A9355C1">
      <w:pPr>
        <w:pStyle w:val="s16"/>
        <w:spacing w:before="0" w:beforeAutospacing="0" w:after="45" w:afterAutospacing="0" w:line="360" w:lineRule="auto"/>
        <w:rPr>
          <w:rStyle w:val="bumpedfont17"/>
          <w:rFonts w:ascii="Arial" w:hAnsi="Arial" w:cs="Arial"/>
          <w:color w:val="000000" w:themeColor="text1"/>
          <w:sz w:val="22"/>
          <w:szCs w:val="22"/>
        </w:rPr>
      </w:pPr>
      <w:r w:rsidRPr="6A9355C1">
        <w:rPr>
          <w:rStyle w:val="bumpedfont17"/>
          <w:rFonts w:ascii="Arial" w:hAnsi="Arial" w:cs="Arial"/>
          <w:color w:val="000000" w:themeColor="text1"/>
          <w:sz w:val="22"/>
          <w:szCs w:val="22"/>
        </w:rPr>
        <w:t>Zhou, B., Carrillo-Larco, R.M., Danaei, G. et al. (2024) ‘Worldwide trends in diabetes prevalence and treatment from 1990 to 2022: a pooled analysis of 1108 population-representative studies with 141 million participants’, The Lancet, 404(10467). Available at: https://doi.org/10.1016/S0140-6736(24)02317-1 (Accessed: 23 September 2026).</w:t>
      </w:r>
    </w:p>
    <w:p w14:paraId="5E3C0B07" w14:textId="77777777" w:rsidR="008E0F40" w:rsidRPr="004671D6" w:rsidRDefault="5508F00D" w:rsidP="6A9355C1">
      <w:pPr>
        <w:spacing w:after="60" w:line="360" w:lineRule="auto"/>
        <w:rPr>
          <w:rFonts w:ascii="Arial" w:hAnsi="Arial" w:cs="Arial"/>
          <w:sz w:val="22"/>
        </w:rPr>
      </w:pPr>
      <w:r w:rsidRPr="6A9355C1">
        <w:rPr>
          <w:rFonts w:ascii="Arial" w:hAnsi="Arial" w:cs="Arial"/>
          <w:sz w:val="22"/>
        </w:rPr>
        <w:t>Coulter, A., Roberts, S. and Dixon, A. (2013) Delivering better services for people with long-term conditions: building the house of care. London: The King's Fund. Available at: https://www.kingsfund.org.uk/publications/delivering-better-services-people-long-term-conditions (Accessed: 23 October 2026).</w:t>
      </w:r>
    </w:p>
    <w:p w14:paraId="4EFE1744" w14:textId="7D655AD5" w:rsidR="008E0F40" w:rsidRPr="004671D6" w:rsidRDefault="5508F00D" w:rsidP="6A9355C1">
      <w:pPr>
        <w:spacing w:after="60" w:line="360" w:lineRule="auto"/>
      </w:pPr>
      <w:r w:rsidRPr="6A9355C1">
        <w:rPr>
          <w:rFonts w:ascii="Arial" w:hAnsi="Arial" w:cs="Arial"/>
          <w:sz w:val="22"/>
        </w:rPr>
        <w:t>NHS England (2016) Personalised care and support planning handbook: the journey to person-centred care. Leeds: NHS England. Available at: https://www.england.nhs.uk/wp-content/uploads/2016/04/core-info-care-support-planning-1.pdf (Accessed: 23 October 2026).</w:t>
      </w:r>
      <w:r w:rsidRPr="6A9355C1">
        <w:rPr>
          <w:rStyle w:val="bumpedfont17"/>
          <w:rFonts w:ascii="Arial" w:hAnsi="Arial" w:cs="Arial"/>
          <w:color w:val="000000" w:themeColor="text1"/>
          <w:sz w:val="22"/>
        </w:rPr>
        <w:t xml:space="preserve"> </w:t>
      </w:r>
    </w:p>
    <w:p w14:paraId="515C46D9" w14:textId="44FC0962" w:rsidR="008E0F40" w:rsidRPr="004671D6" w:rsidRDefault="13CABC76" w:rsidP="6A9355C1">
      <w:pPr>
        <w:pStyle w:val="s16"/>
        <w:spacing w:before="0" w:beforeAutospacing="0" w:after="45" w:afterAutospacing="0" w:line="360" w:lineRule="auto"/>
        <w:rPr>
          <w:rFonts w:ascii="Arial" w:hAnsi="Arial" w:cs="Arial"/>
          <w:color w:val="000000"/>
          <w:sz w:val="22"/>
          <w:szCs w:val="22"/>
        </w:rPr>
      </w:pPr>
      <w:r w:rsidRPr="6A9355C1">
        <w:rPr>
          <w:rStyle w:val="bumpedfont17"/>
          <w:rFonts w:ascii="Arial" w:hAnsi="Arial" w:cs="Arial"/>
          <w:color w:val="000000" w:themeColor="text1"/>
          <w:sz w:val="22"/>
          <w:szCs w:val="22"/>
        </w:rPr>
        <w:t>Sturt, J., Dennick, K., Hessler, D., Hunter, B.M., Oliver, J. and Fisher, L. (2015) ‘Effective interventions for reducing diabetes distress: systematic review and meta-analysis’, International Diabetes Nursing, 12(2), pp. 40–55. Available at: https://diabetesdistress.org/resources/ (Accessed: 23 September 2026).</w:t>
      </w:r>
    </w:p>
    <w:p w14:paraId="30A30AA9" w14:textId="77777777" w:rsidR="00927F68" w:rsidRPr="004671D6" w:rsidRDefault="00927F68">
      <w:pPr>
        <w:spacing w:after="60"/>
        <w:rPr>
          <w:rFonts w:ascii="Arial" w:hAnsi="Arial" w:cs="Arial"/>
          <w:sz w:val="22"/>
        </w:rPr>
      </w:pPr>
    </w:p>
    <w:sectPr w:rsidR="00927F68" w:rsidRPr="004671D6" w:rsidSect="00034616">
      <w:pgSz w:w="12240" w:h="15840"/>
      <w:pgMar w:top="936" w:right="1080" w:bottom="936"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F2DEDD16"/>
    <w:lvl w:ilvl="0">
      <w:start w:val="1"/>
      <w:numFmt w:val="bullet"/>
      <w:pStyle w:val="ListBullet"/>
      <w:lvlText w:val=""/>
      <w:lvlJc w:val="left"/>
      <w:pPr>
        <w:tabs>
          <w:tab w:val="num" w:pos="360"/>
        </w:tabs>
        <w:ind w:left="360" w:hanging="360"/>
      </w:pPr>
      <w:rPr>
        <w:rFonts w:ascii="Symbol" w:hAnsi="Symbol" w:hint="default"/>
      </w:rPr>
    </w:lvl>
  </w:abstractNum>
  <w:num w:numId="1" w16cid:durableId="1133910355">
    <w:abstractNumId w:val="3"/>
  </w:num>
  <w:num w:numId="2" w16cid:durableId="1464958480">
    <w:abstractNumId w:val="4"/>
  </w:num>
  <w:num w:numId="3" w16cid:durableId="1563061339">
    <w:abstractNumId w:val="5"/>
  </w:num>
  <w:num w:numId="4" w16cid:durableId="1564369190">
    <w:abstractNumId w:val="6"/>
  </w:num>
  <w:num w:numId="5" w16cid:durableId="1702630825">
    <w:abstractNumId w:val="7"/>
  </w:num>
  <w:num w:numId="6" w16cid:durableId="1760520322">
    <w:abstractNumId w:val="8"/>
  </w:num>
  <w:num w:numId="7" w16cid:durableId="1858617546">
    <w:abstractNumId w:val="0"/>
  </w:num>
  <w:num w:numId="8" w16cid:durableId="491258783">
    <w:abstractNumId w:val="1"/>
  </w:num>
  <w:num w:numId="9" w16cid:durableId="5640698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5E25"/>
    <w:rsid w:val="00010A65"/>
    <w:rsid w:val="00021259"/>
    <w:rsid w:val="0003216C"/>
    <w:rsid w:val="00034616"/>
    <w:rsid w:val="00041E00"/>
    <w:rsid w:val="0004238E"/>
    <w:rsid w:val="00044B6E"/>
    <w:rsid w:val="0006063C"/>
    <w:rsid w:val="000610BB"/>
    <w:rsid w:val="00067E3C"/>
    <w:rsid w:val="00070AA8"/>
    <w:rsid w:val="000746E8"/>
    <w:rsid w:val="00083780"/>
    <w:rsid w:val="00084D98"/>
    <w:rsid w:val="00093BC8"/>
    <w:rsid w:val="000A5CA0"/>
    <w:rsid w:val="000C0856"/>
    <w:rsid w:val="000C0AA8"/>
    <w:rsid w:val="000D3D18"/>
    <w:rsid w:val="000D685A"/>
    <w:rsid w:val="000D7D3C"/>
    <w:rsid w:val="000E076E"/>
    <w:rsid w:val="000E436A"/>
    <w:rsid w:val="000F2997"/>
    <w:rsid w:val="001034E4"/>
    <w:rsid w:val="00106C78"/>
    <w:rsid w:val="00112503"/>
    <w:rsid w:val="001363D7"/>
    <w:rsid w:val="0014003F"/>
    <w:rsid w:val="0015074B"/>
    <w:rsid w:val="00191D8C"/>
    <w:rsid w:val="00193AC9"/>
    <w:rsid w:val="00195459"/>
    <w:rsid w:val="001B0A10"/>
    <w:rsid w:val="001B2477"/>
    <w:rsid w:val="001B59A6"/>
    <w:rsid w:val="001C542D"/>
    <w:rsid w:val="001C5A47"/>
    <w:rsid w:val="00203223"/>
    <w:rsid w:val="00217952"/>
    <w:rsid w:val="00217B60"/>
    <w:rsid w:val="00230989"/>
    <w:rsid w:val="00251C80"/>
    <w:rsid w:val="0029639D"/>
    <w:rsid w:val="002B51AD"/>
    <w:rsid w:val="002B5EC6"/>
    <w:rsid w:val="002F3D3C"/>
    <w:rsid w:val="002FE932"/>
    <w:rsid w:val="003016DF"/>
    <w:rsid w:val="00313354"/>
    <w:rsid w:val="00326F90"/>
    <w:rsid w:val="00352384"/>
    <w:rsid w:val="003775E4"/>
    <w:rsid w:val="00391621"/>
    <w:rsid w:val="0039434C"/>
    <w:rsid w:val="003A4CA9"/>
    <w:rsid w:val="003A72EB"/>
    <w:rsid w:val="003C16ED"/>
    <w:rsid w:val="003C5FA9"/>
    <w:rsid w:val="003D0C80"/>
    <w:rsid w:val="003D2321"/>
    <w:rsid w:val="003F4D4E"/>
    <w:rsid w:val="004004B3"/>
    <w:rsid w:val="00412E29"/>
    <w:rsid w:val="004213C6"/>
    <w:rsid w:val="00422571"/>
    <w:rsid w:val="00431D5C"/>
    <w:rsid w:val="00434569"/>
    <w:rsid w:val="0043551E"/>
    <w:rsid w:val="004671D6"/>
    <w:rsid w:val="004838CC"/>
    <w:rsid w:val="00490AB0"/>
    <w:rsid w:val="00492D18"/>
    <w:rsid w:val="00493273"/>
    <w:rsid w:val="004A4DDA"/>
    <w:rsid w:val="004B220E"/>
    <w:rsid w:val="004C4E39"/>
    <w:rsid w:val="004D4458"/>
    <w:rsid w:val="004E4147"/>
    <w:rsid w:val="004F2062"/>
    <w:rsid w:val="004F2F11"/>
    <w:rsid w:val="00501376"/>
    <w:rsid w:val="00521091"/>
    <w:rsid w:val="0053704E"/>
    <w:rsid w:val="00542C10"/>
    <w:rsid w:val="00560090"/>
    <w:rsid w:val="00565D4C"/>
    <w:rsid w:val="00575B1E"/>
    <w:rsid w:val="005813E0"/>
    <w:rsid w:val="005C71BC"/>
    <w:rsid w:val="005D2056"/>
    <w:rsid w:val="005F2839"/>
    <w:rsid w:val="005F57D3"/>
    <w:rsid w:val="00600484"/>
    <w:rsid w:val="00601009"/>
    <w:rsid w:val="00604DC9"/>
    <w:rsid w:val="006155CB"/>
    <w:rsid w:val="00620277"/>
    <w:rsid w:val="00637A02"/>
    <w:rsid w:val="00640D9E"/>
    <w:rsid w:val="006440E0"/>
    <w:rsid w:val="0064666F"/>
    <w:rsid w:val="00656D51"/>
    <w:rsid w:val="00661D04"/>
    <w:rsid w:val="006709F4"/>
    <w:rsid w:val="006904E9"/>
    <w:rsid w:val="006B46E1"/>
    <w:rsid w:val="006C2838"/>
    <w:rsid w:val="006C56E8"/>
    <w:rsid w:val="006C62A5"/>
    <w:rsid w:val="006DE32B"/>
    <w:rsid w:val="007122BC"/>
    <w:rsid w:val="00733E03"/>
    <w:rsid w:val="007606A7"/>
    <w:rsid w:val="007828B1"/>
    <w:rsid w:val="00784846"/>
    <w:rsid w:val="00795C0C"/>
    <w:rsid w:val="007C6733"/>
    <w:rsid w:val="007D6590"/>
    <w:rsid w:val="007F16E6"/>
    <w:rsid w:val="00805C3D"/>
    <w:rsid w:val="00811CD5"/>
    <w:rsid w:val="00816723"/>
    <w:rsid w:val="00822FC4"/>
    <w:rsid w:val="008274D5"/>
    <w:rsid w:val="00827E93"/>
    <w:rsid w:val="00850B8F"/>
    <w:rsid w:val="00851931"/>
    <w:rsid w:val="008648C7"/>
    <w:rsid w:val="00864E8E"/>
    <w:rsid w:val="008715F6"/>
    <w:rsid w:val="00876F57"/>
    <w:rsid w:val="008823A1"/>
    <w:rsid w:val="00882C45"/>
    <w:rsid w:val="00891CBF"/>
    <w:rsid w:val="00894493"/>
    <w:rsid w:val="008A1F6B"/>
    <w:rsid w:val="008D2F8D"/>
    <w:rsid w:val="008E0366"/>
    <w:rsid w:val="008E0F40"/>
    <w:rsid w:val="008E4A0E"/>
    <w:rsid w:val="008F700C"/>
    <w:rsid w:val="008F7509"/>
    <w:rsid w:val="009012B2"/>
    <w:rsid w:val="00902A29"/>
    <w:rsid w:val="00912322"/>
    <w:rsid w:val="0092074C"/>
    <w:rsid w:val="00927F68"/>
    <w:rsid w:val="00946B2A"/>
    <w:rsid w:val="00983781"/>
    <w:rsid w:val="00983A7E"/>
    <w:rsid w:val="0099528E"/>
    <w:rsid w:val="009E3CB2"/>
    <w:rsid w:val="009F5D22"/>
    <w:rsid w:val="00A01004"/>
    <w:rsid w:val="00A01D16"/>
    <w:rsid w:val="00A05973"/>
    <w:rsid w:val="00A21FDC"/>
    <w:rsid w:val="00A32673"/>
    <w:rsid w:val="00A53C4D"/>
    <w:rsid w:val="00A75825"/>
    <w:rsid w:val="00A802FC"/>
    <w:rsid w:val="00A96DA9"/>
    <w:rsid w:val="00AA1D8D"/>
    <w:rsid w:val="00AB1A25"/>
    <w:rsid w:val="00B070B7"/>
    <w:rsid w:val="00B223B5"/>
    <w:rsid w:val="00B23FC1"/>
    <w:rsid w:val="00B345C4"/>
    <w:rsid w:val="00B47730"/>
    <w:rsid w:val="00B5289A"/>
    <w:rsid w:val="00B6279A"/>
    <w:rsid w:val="00B63524"/>
    <w:rsid w:val="00B66334"/>
    <w:rsid w:val="00B73FF9"/>
    <w:rsid w:val="00B74F40"/>
    <w:rsid w:val="00B76DC2"/>
    <w:rsid w:val="00B84100"/>
    <w:rsid w:val="00B963BF"/>
    <w:rsid w:val="00BA23BB"/>
    <w:rsid w:val="00BA6CF7"/>
    <w:rsid w:val="00BB4312"/>
    <w:rsid w:val="00BB5152"/>
    <w:rsid w:val="00BB6D4F"/>
    <w:rsid w:val="00BB7EC0"/>
    <w:rsid w:val="00BC65BA"/>
    <w:rsid w:val="00BD0B0E"/>
    <w:rsid w:val="00BD7D81"/>
    <w:rsid w:val="00C10D8C"/>
    <w:rsid w:val="00C21298"/>
    <w:rsid w:val="00C26875"/>
    <w:rsid w:val="00C3678A"/>
    <w:rsid w:val="00C72074"/>
    <w:rsid w:val="00C76A87"/>
    <w:rsid w:val="00C90614"/>
    <w:rsid w:val="00C92002"/>
    <w:rsid w:val="00C94375"/>
    <w:rsid w:val="00CB0664"/>
    <w:rsid w:val="00CB293E"/>
    <w:rsid w:val="00CC7528"/>
    <w:rsid w:val="00CD0DD9"/>
    <w:rsid w:val="00CD3361"/>
    <w:rsid w:val="00CD4D9E"/>
    <w:rsid w:val="00CE0305"/>
    <w:rsid w:val="00CE29A0"/>
    <w:rsid w:val="00D01561"/>
    <w:rsid w:val="00D14154"/>
    <w:rsid w:val="00D151ED"/>
    <w:rsid w:val="00D32A3A"/>
    <w:rsid w:val="00D35E4F"/>
    <w:rsid w:val="00D374B3"/>
    <w:rsid w:val="00D46B49"/>
    <w:rsid w:val="00D47751"/>
    <w:rsid w:val="00D52526"/>
    <w:rsid w:val="00D52AD4"/>
    <w:rsid w:val="00D93D87"/>
    <w:rsid w:val="00DA34C7"/>
    <w:rsid w:val="00DA3F94"/>
    <w:rsid w:val="00DA55F9"/>
    <w:rsid w:val="00DA6A00"/>
    <w:rsid w:val="00DC280B"/>
    <w:rsid w:val="00DE2712"/>
    <w:rsid w:val="00DF0B79"/>
    <w:rsid w:val="00DF7F03"/>
    <w:rsid w:val="00E2601F"/>
    <w:rsid w:val="00E3401C"/>
    <w:rsid w:val="00E37879"/>
    <w:rsid w:val="00E37E17"/>
    <w:rsid w:val="00E8617A"/>
    <w:rsid w:val="00E977C9"/>
    <w:rsid w:val="00EA7CBD"/>
    <w:rsid w:val="00EB3302"/>
    <w:rsid w:val="00EC3E56"/>
    <w:rsid w:val="00ED0A5A"/>
    <w:rsid w:val="00ED0E0B"/>
    <w:rsid w:val="00EE0037"/>
    <w:rsid w:val="00EE1237"/>
    <w:rsid w:val="00EE3A57"/>
    <w:rsid w:val="00EF1F44"/>
    <w:rsid w:val="00EF55F3"/>
    <w:rsid w:val="00EF5958"/>
    <w:rsid w:val="00F14918"/>
    <w:rsid w:val="00F15633"/>
    <w:rsid w:val="00F24A12"/>
    <w:rsid w:val="00F33E18"/>
    <w:rsid w:val="00F36EAF"/>
    <w:rsid w:val="00F43EEE"/>
    <w:rsid w:val="00F445EC"/>
    <w:rsid w:val="00F506AE"/>
    <w:rsid w:val="00F82FA3"/>
    <w:rsid w:val="00FB1861"/>
    <w:rsid w:val="00FB5DA9"/>
    <w:rsid w:val="00FB5F1A"/>
    <w:rsid w:val="00FC0A58"/>
    <w:rsid w:val="00FC5F0A"/>
    <w:rsid w:val="00FC693F"/>
    <w:rsid w:val="00FD24B1"/>
    <w:rsid w:val="00FE15AD"/>
    <w:rsid w:val="00FE5CAA"/>
    <w:rsid w:val="00FF38C8"/>
    <w:rsid w:val="00FF713E"/>
    <w:rsid w:val="00FFA0FB"/>
    <w:rsid w:val="015FD64B"/>
    <w:rsid w:val="0185DB04"/>
    <w:rsid w:val="01D9C78C"/>
    <w:rsid w:val="02ADB7E9"/>
    <w:rsid w:val="02B6E9F4"/>
    <w:rsid w:val="0346333A"/>
    <w:rsid w:val="036DC473"/>
    <w:rsid w:val="03736C87"/>
    <w:rsid w:val="03BAB65D"/>
    <w:rsid w:val="03C87804"/>
    <w:rsid w:val="03E4D945"/>
    <w:rsid w:val="03F5EF00"/>
    <w:rsid w:val="044F989E"/>
    <w:rsid w:val="04A0B0B2"/>
    <w:rsid w:val="04C38BF0"/>
    <w:rsid w:val="04F047E3"/>
    <w:rsid w:val="0536B34A"/>
    <w:rsid w:val="05452892"/>
    <w:rsid w:val="060A7D45"/>
    <w:rsid w:val="06C32266"/>
    <w:rsid w:val="07890C27"/>
    <w:rsid w:val="0838B351"/>
    <w:rsid w:val="08438538"/>
    <w:rsid w:val="08D5FF3C"/>
    <w:rsid w:val="09225CA4"/>
    <w:rsid w:val="093D7664"/>
    <w:rsid w:val="094F8106"/>
    <w:rsid w:val="09A15C8F"/>
    <w:rsid w:val="0A05DA10"/>
    <w:rsid w:val="0A0FB83C"/>
    <w:rsid w:val="0A67902A"/>
    <w:rsid w:val="0B6C7CDB"/>
    <w:rsid w:val="0BDC00F9"/>
    <w:rsid w:val="0CA44ED8"/>
    <w:rsid w:val="0CC54FF1"/>
    <w:rsid w:val="0CE76432"/>
    <w:rsid w:val="0D1309AF"/>
    <w:rsid w:val="0D333E80"/>
    <w:rsid w:val="0D43D353"/>
    <w:rsid w:val="0E216570"/>
    <w:rsid w:val="0E286013"/>
    <w:rsid w:val="0E334FE8"/>
    <w:rsid w:val="0E73634B"/>
    <w:rsid w:val="0E953775"/>
    <w:rsid w:val="0EA1B98C"/>
    <w:rsid w:val="0EC50B34"/>
    <w:rsid w:val="0F41C3B7"/>
    <w:rsid w:val="0FBEC944"/>
    <w:rsid w:val="0FBED372"/>
    <w:rsid w:val="0FD38D4A"/>
    <w:rsid w:val="0FF39993"/>
    <w:rsid w:val="101B15FD"/>
    <w:rsid w:val="102C13B0"/>
    <w:rsid w:val="110D9F0C"/>
    <w:rsid w:val="11C08815"/>
    <w:rsid w:val="126C44A9"/>
    <w:rsid w:val="12E26EB3"/>
    <w:rsid w:val="137292DD"/>
    <w:rsid w:val="1392AC5D"/>
    <w:rsid w:val="13CABC76"/>
    <w:rsid w:val="1511740D"/>
    <w:rsid w:val="152D6C62"/>
    <w:rsid w:val="154BC3DA"/>
    <w:rsid w:val="15AC32DA"/>
    <w:rsid w:val="160BF870"/>
    <w:rsid w:val="160F37C0"/>
    <w:rsid w:val="17F5BCB7"/>
    <w:rsid w:val="183B8BFE"/>
    <w:rsid w:val="18557CA7"/>
    <w:rsid w:val="1859F989"/>
    <w:rsid w:val="18A9F948"/>
    <w:rsid w:val="19430233"/>
    <w:rsid w:val="19B52956"/>
    <w:rsid w:val="19B944E3"/>
    <w:rsid w:val="1A93F7B3"/>
    <w:rsid w:val="1A9D8F96"/>
    <w:rsid w:val="1ACDE1F8"/>
    <w:rsid w:val="1ADB624F"/>
    <w:rsid w:val="1C3AD017"/>
    <w:rsid w:val="1C734500"/>
    <w:rsid w:val="1C7AAF0B"/>
    <w:rsid w:val="1D2351C7"/>
    <w:rsid w:val="1D735291"/>
    <w:rsid w:val="1F2E0184"/>
    <w:rsid w:val="2032C649"/>
    <w:rsid w:val="20E22B17"/>
    <w:rsid w:val="2122BEE4"/>
    <w:rsid w:val="214A8D4A"/>
    <w:rsid w:val="21752A22"/>
    <w:rsid w:val="21851B99"/>
    <w:rsid w:val="21E16984"/>
    <w:rsid w:val="2205B7A9"/>
    <w:rsid w:val="2264DF55"/>
    <w:rsid w:val="22910ED6"/>
    <w:rsid w:val="22A02FA2"/>
    <w:rsid w:val="2475473D"/>
    <w:rsid w:val="256A90E2"/>
    <w:rsid w:val="257AFA9F"/>
    <w:rsid w:val="2589A3A5"/>
    <w:rsid w:val="25A63B45"/>
    <w:rsid w:val="26075B54"/>
    <w:rsid w:val="26176AA5"/>
    <w:rsid w:val="261ACE0D"/>
    <w:rsid w:val="269AA20A"/>
    <w:rsid w:val="278E0DA5"/>
    <w:rsid w:val="27B99225"/>
    <w:rsid w:val="280D719A"/>
    <w:rsid w:val="283CFB66"/>
    <w:rsid w:val="28B50084"/>
    <w:rsid w:val="28B5A4F7"/>
    <w:rsid w:val="28D612B8"/>
    <w:rsid w:val="296EA7DB"/>
    <w:rsid w:val="298B64E5"/>
    <w:rsid w:val="2A93A59D"/>
    <w:rsid w:val="2AB79F39"/>
    <w:rsid w:val="2AC39D5A"/>
    <w:rsid w:val="2C74406B"/>
    <w:rsid w:val="2CA334AC"/>
    <w:rsid w:val="2CF6DDBB"/>
    <w:rsid w:val="2DE3C1A4"/>
    <w:rsid w:val="2DE7D3ED"/>
    <w:rsid w:val="2ECB896A"/>
    <w:rsid w:val="2F18F4AD"/>
    <w:rsid w:val="2F3571AA"/>
    <w:rsid w:val="2FA1B2D5"/>
    <w:rsid w:val="2FDF2504"/>
    <w:rsid w:val="3038296E"/>
    <w:rsid w:val="3046DEDB"/>
    <w:rsid w:val="3049B088"/>
    <w:rsid w:val="3071EA5E"/>
    <w:rsid w:val="314185C7"/>
    <w:rsid w:val="31494822"/>
    <w:rsid w:val="317DFF24"/>
    <w:rsid w:val="31914C1C"/>
    <w:rsid w:val="31C5B671"/>
    <w:rsid w:val="326ECE84"/>
    <w:rsid w:val="3297618D"/>
    <w:rsid w:val="330C346D"/>
    <w:rsid w:val="334AEBF9"/>
    <w:rsid w:val="33A58EE9"/>
    <w:rsid w:val="33E47755"/>
    <w:rsid w:val="34736D0E"/>
    <w:rsid w:val="3508AC39"/>
    <w:rsid w:val="3599B285"/>
    <w:rsid w:val="35D10915"/>
    <w:rsid w:val="35EBEBE5"/>
    <w:rsid w:val="3663DAB6"/>
    <w:rsid w:val="36B18144"/>
    <w:rsid w:val="371EDC78"/>
    <w:rsid w:val="3770E979"/>
    <w:rsid w:val="3771B292"/>
    <w:rsid w:val="37CCE2D0"/>
    <w:rsid w:val="38095420"/>
    <w:rsid w:val="383D2884"/>
    <w:rsid w:val="389C4208"/>
    <w:rsid w:val="3906DCED"/>
    <w:rsid w:val="398CF917"/>
    <w:rsid w:val="39E98D2B"/>
    <w:rsid w:val="3A51DEB0"/>
    <w:rsid w:val="3A795C73"/>
    <w:rsid w:val="3ADEA5A6"/>
    <w:rsid w:val="3B6D3886"/>
    <w:rsid w:val="3B877A28"/>
    <w:rsid w:val="3C33CB14"/>
    <w:rsid w:val="3C6B6A01"/>
    <w:rsid w:val="3C6B7516"/>
    <w:rsid w:val="3CAAA4E0"/>
    <w:rsid w:val="3CB58BBD"/>
    <w:rsid w:val="3D5B3F9C"/>
    <w:rsid w:val="3D9B4CB4"/>
    <w:rsid w:val="3DAACE28"/>
    <w:rsid w:val="3E7FB00F"/>
    <w:rsid w:val="3EC8724E"/>
    <w:rsid w:val="3EDAC6A7"/>
    <w:rsid w:val="3F0BB615"/>
    <w:rsid w:val="3F474A29"/>
    <w:rsid w:val="3F82BBD3"/>
    <w:rsid w:val="3FE2C5A8"/>
    <w:rsid w:val="4040E22D"/>
    <w:rsid w:val="40607377"/>
    <w:rsid w:val="4094D5CE"/>
    <w:rsid w:val="412023EB"/>
    <w:rsid w:val="41238219"/>
    <w:rsid w:val="415EC1EC"/>
    <w:rsid w:val="4169EEBC"/>
    <w:rsid w:val="416D7391"/>
    <w:rsid w:val="41763393"/>
    <w:rsid w:val="4254DAD2"/>
    <w:rsid w:val="4292AD12"/>
    <w:rsid w:val="4341B864"/>
    <w:rsid w:val="44039489"/>
    <w:rsid w:val="4440422B"/>
    <w:rsid w:val="447DD828"/>
    <w:rsid w:val="44D83F41"/>
    <w:rsid w:val="44D96D08"/>
    <w:rsid w:val="4570EE9B"/>
    <w:rsid w:val="45F0AB3E"/>
    <w:rsid w:val="461AF1AE"/>
    <w:rsid w:val="4680D5BA"/>
    <w:rsid w:val="46F3DB32"/>
    <w:rsid w:val="48C2ADC8"/>
    <w:rsid w:val="48DEE71B"/>
    <w:rsid w:val="48ED51B1"/>
    <w:rsid w:val="48F55201"/>
    <w:rsid w:val="49133684"/>
    <w:rsid w:val="49A07EF8"/>
    <w:rsid w:val="49FD17B4"/>
    <w:rsid w:val="4A7D00F9"/>
    <w:rsid w:val="4AE34DA2"/>
    <w:rsid w:val="4B69360E"/>
    <w:rsid w:val="4BB489CE"/>
    <w:rsid w:val="4BD28F6F"/>
    <w:rsid w:val="4C010E05"/>
    <w:rsid w:val="4C08249C"/>
    <w:rsid w:val="4C1200AC"/>
    <w:rsid w:val="4C2D19AD"/>
    <w:rsid w:val="4C5060E4"/>
    <w:rsid w:val="4CC2543F"/>
    <w:rsid w:val="4CC8C12A"/>
    <w:rsid w:val="4CDABBCB"/>
    <w:rsid w:val="4D15225E"/>
    <w:rsid w:val="4D5CA480"/>
    <w:rsid w:val="4D70A0AC"/>
    <w:rsid w:val="4D7DBCCE"/>
    <w:rsid w:val="4DD8FF49"/>
    <w:rsid w:val="4DF7E8F2"/>
    <w:rsid w:val="4DF9182B"/>
    <w:rsid w:val="4EC29691"/>
    <w:rsid w:val="4ED18DF6"/>
    <w:rsid w:val="4F4D1EFE"/>
    <w:rsid w:val="4FC47ECD"/>
    <w:rsid w:val="4FE8E3BB"/>
    <w:rsid w:val="5029B9E7"/>
    <w:rsid w:val="502B4502"/>
    <w:rsid w:val="503A3CDC"/>
    <w:rsid w:val="505428C7"/>
    <w:rsid w:val="509BEF1E"/>
    <w:rsid w:val="50B189B2"/>
    <w:rsid w:val="511D6029"/>
    <w:rsid w:val="5282CD0B"/>
    <w:rsid w:val="5322F23A"/>
    <w:rsid w:val="53319A3A"/>
    <w:rsid w:val="53354A38"/>
    <w:rsid w:val="535B0F32"/>
    <w:rsid w:val="539778C6"/>
    <w:rsid w:val="53C45249"/>
    <w:rsid w:val="5414391C"/>
    <w:rsid w:val="5425C8B8"/>
    <w:rsid w:val="54AF0C35"/>
    <w:rsid w:val="54E36C63"/>
    <w:rsid w:val="5508F00D"/>
    <w:rsid w:val="55B965B2"/>
    <w:rsid w:val="562E85CA"/>
    <w:rsid w:val="5656C51F"/>
    <w:rsid w:val="56A11580"/>
    <w:rsid w:val="57546BB2"/>
    <w:rsid w:val="575CD6D7"/>
    <w:rsid w:val="578F66F7"/>
    <w:rsid w:val="5840A2B5"/>
    <w:rsid w:val="584714BC"/>
    <w:rsid w:val="587A2223"/>
    <w:rsid w:val="596C6EED"/>
    <w:rsid w:val="599346A6"/>
    <w:rsid w:val="59F2EB5B"/>
    <w:rsid w:val="5AAC1764"/>
    <w:rsid w:val="5B049484"/>
    <w:rsid w:val="5B3F8648"/>
    <w:rsid w:val="5BCE61E9"/>
    <w:rsid w:val="5C7B188F"/>
    <w:rsid w:val="5D3419E1"/>
    <w:rsid w:val="5D722C72"/>
    <w:rsid w:val="5DAA4F23"/>
    <w:rsid w:val="5DD99A8E"/>
    <w:rsid w:val="5E4110FD"/>
    <w:rsid w:val="5E8B0896"/>
    <w:rsid w:val="5EB09FBF"/>
    <w:rsid w:val="5F2D169B"/>
    <w:rsid w:val="5F3E5EAD"/>
    <w:rsid w:val="5F4DAA85"/>
    <w:rsid w:val="6077D10A"/>
    <w:rsid w:val="611AF674"/>
    <w:rsid w:val="615A154D"/>
    <w:rsid w:val="627DF818"/>
    <w:rsid w:val="62C8BA56"/>
    <w:rsid w:val="633AE98A"/>
    <w:rsid w:val="63FD9176"/>
    <w:rsid w:val="64E603EA"/>
    <w:rsid w:val="64FCD64D"/>
    <w:rsid w:val="653AF0C0"/>
    <w:rsid w:val="6697C976"/>
    <w:rsid w:val="66A61E40"/>
    <w:rsid w:val="66F6AB29"/>
    <w:rsid w:val="6712ACF3"/>
    <w:rsid w:val="673C496D"/>
    <w:rsid w:val="67683629"/>
    <w:rsid w:val="6788CD98"/>
    <w:rsid w:val="67EBFF1D"/>
    <w:rsid w:val="68749C27"/>
    <w:rsid w:val="690A7B72"/>
    <w:rsid w:val="6965D34B"/>
    <w:rsid w:val="6A00401B"/>
    <w:rsid w:val="6A69904A"/>
    <w:rsid w:val="6A9355C1"/>
    <w:rsid w:val="6ACD5A69"/>
    <w:rsid w:val="6AEC7140"/>
    <w:rsid w:val="6B120D72"/>
    <w:rsid w:val="6B7C985B"/>
    <w:rsid w:val="6C029B1F"/>
    <w:rsid w:val="6C05DB74"/>
    <w:rsid w:val="6C11158E"/>
    <w:rsid w:val="6CEBBFF0"/>
    <w:rsid w:val="6CF1C38A"/>
    <w:rsid w:val="6D6C90AC"/>
    <w:rsid w:val="6E0E645F"/>
    <w:rsid w:val="6F415D72"/>
    <w:rsid w:val="6FA1AA3A"/>
    <w:rsid w:val="6FADF476"/>
    <w:rsid w:val="703D50DF"/>
    <w:rsid w:val="70B5C6B7"/>
    <w:rsid w:val="70C057C5"/>
    <w:rsid w:val="70F2B32B"/>
    <w:rsid w:val="7100EB0C"/>
    <w:rsid w:val="7161CD25"/>
    <w:rsid w:val="716A3E98"/>
    <w:rsid w:val="71826C7E"/>
    <w:rsid w:val="7206B7D4"/>
    <w:rsid w:val="721FF48A"/>
    <w:rsid w:val="724852D0"/>
    <w:rsid w:val="72B18A84"/>
    <w:rsid w:val="72F1B03A"/>
    <w:rsid w:val="72F59E26"/>
    <w:rsid w:val="734D5123"/>
    <w:rsid w:val="73DED8C3"/>
    <w:rsid w:val="74357FE1"/>
    <w:rsid w:val="74ABD45B"/>
    <w:rsid w:val="74EE6207"/>
    <w:rsid w:val="752547E2"/>
    <w:rsid w:val="752C38DC"/>
    <w:rsid w:val="75356B84"/>
    <w:rsid w:val="7570945C"/>
    <w:rsid w:val="757E3933"/>
    <w:rsid w:val="75AFE3E6"/>
    <w:rsid w:val="75E19D7A"/>
    <w:rsid w:val="75E3E80E"/>
    <w:rsid w:val="764635DB"/>
    <w:rsid w:val="764E197A"/>
    <w:rsid w:val="77616CCF"/>
    <w:rsid w:val="783298C8"/>
    <w:rsid w:val="783AB9D0"/>
    <w:rsid w:val="78757272"/>
    <w:rsid w:val="788BDB4F"/>
    <w:rsid w:val="78E56BB4"/>
    <w:rsid w:val="7941EC9B"/>
    <w:rsid w:val="795B9326"/>
    <w:rsid w:val="795BA3AC"/>
    <w:rsid w:val="79BBF911"/>
    <w:rsid w:val="79C7F812"/>
    <w:rsid w:val="7A537845"/>
    <w:rsid w:val="7A6A44FE"/>
    <w:rsid w:val="7B20C794"/>
    <w:rsid w:val="7B21CCF0"/>
    <w:rsid w:val="7B525ED2"/>
    <w:rsid w:val="7B5928E9"/>
    <w:rsid w:val="7C00159F"/>
    <w:rsid w:val="7D1C9341"/>
    <w:rsid w:val="7ED395BB"/>
    <w:rsid w:val="7EEC486A"/>
    <w:rsid w:val="7EFBD185"/>
    <w:rsid w:val="7F14B675"/>
    <w:rsid w:val="7F294DCB"/>
    <w:rsid w:val="7F38D700"/>
    <w:rsid w:val="7F3960F2"/>
    <w:rsid w:val="7F5E1C06"/>
    <w:rsid w:val="7F6D720A"/>
    <w:rsid w:val="7F753ACC"/>
    <w:rsid w:val="7FD0428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31A4B01"/>
  <w14:defaultImageDpi w14:val="300"/>
  <w15:docId w15:val="{80D0FB92-3E76-4E9F-9EFB-D08D8B46A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2457A6"/>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2457A6"/>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6"/>
      </w:numPr>
      <w:contextualSpacing/>
    </w:pPr>
  </w:style>
  <w:style w:type="paragraph" w:styleId="ListBullet2">
    <w:name w:val="List Bullet 2"/>
    <w:basedOn w:val="Normal"/>
    <w:uiPriority w:val="99"/>
    <w:unhideWhenUsed/>
    <w:rsid w:val="00326F90"/>
    <w:pPr>
      <w:numPr>
        <w:numId w:val="4"/>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1"/>
      </w:numPr>
      <w:contextualSpacing/>
    </w:pPr>
  </w:style>
  <w:style w:type="paragraph" w:styleId="ListNumber3">
    <w:name w:val="List Number 3"/>
    <w:basedOn w:val="Normal"/>
    <w:uiPriority w:val="99"/>
    <w:unhideWhenUsed/>
    <w:rsid w:val="0029639D"/>
    <w:pPr>
      <w:numPr>
        <w:numId w:val="9"/>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paragraph" w:customStyle="1" w:styleId="s16">
    <w:name w:val="s16"/>
    <w:basedOn w:val="Normal"/>
    <w:rsid w:val="008E0F40"/>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bumpedfont17">
    <w:name w:val="bumpedfont17"/>
    <w:basedOn w:val="DefaultParagraphFont"/>
    <w:rsid w:val="008E0F40"/>
  </w:style>
  <w:style w:type="character" w:styleId="Hyperlink">
    <w:name w:val="Hyperlink"/>
    <w:basedOn w:val="DefaultParagraphFont"/>
    <w:uiPriority w:val="99"/>
    <w:unhideWhenUsed/>
    <w:rsid w:val="00BA23BB"/>
    <w:rPr>
      <w:color w:val="0000FF" w:themeColor="hyperlink"/>
      <w:u w:val="single"/>
    </w:rPr>
  </w:style>
  <w:style w:type="character" w:styleId="UnresolvedMention">
    <w:name w:val="Unresolved Mention"/>
    <w:basedOn w:val="DefaultParagraphFont"/>
    <w:uiPriority w:val="99"/>
    <w:semiHidden/>
    <w:unhideWhenUsed/>
    <w:rsid w:val="00BA23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4899</Words>
  <Characters>27929</Characters>
  <Application>Microsoft Office Word</Application>
  <DocSecurity>4</DocSecurity>
  <Lines>232</Lines>
  <Paragraphs>65</Paragraphs>
  <ScaleCrop>false</ScaleCrop>
  <Manager/>
  <Company/>
  <LinksUpToDate>false</LinksUpToDate>
  <CharactersWithSpaces>32763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Sirmenaz Bibi (2232147)</cp:lastModifiedBy>
  <cp:revision>232</cp:revision>
  <dcterms:created xsi:type="dcterms:W3CDTF">2026-09-23T18:06:00Z</dcterms:created>
  <dcterms:modified xsi:type="dcterms:W3CDTF">2026-10-22T23:35:00Z</dcterms:modified>
  <cp:category/>
</cp:coreProperties>
</file>