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28241" w14:textId="77777777" w:rsidR="00423B40" w:rsidRDefault="00423B40">
      <w:pPr>
        <w:spacing w:after="158"/>
        <w:ind w:left="49"/>
        <w:rPr>
          <w:color w:val="121212"/>
        </w:rPr>
      </w:pPr>
    </w:p>
    <w:p w14:paraId="193BCCBC" w14:textId="77777777" w:rsidR="00423B40" w:rsidRDefault="00636AB1">
      <w:pPr>
        <w:ind w:left="49"/>
        <w:jc w:val="center"/>
        <w:rPr>
          <w:color w:val="121212"/>
        </w:rPr>
      </w:pPr>
      <w:r>
        <w:rPr>
          <w:color w:val="121212"/>
        </w:rPr>
        <w:t xml:space="preserve"> </w:t>
      </w:r>
    </w:p>
    <w:p w14:paraId="262A08F6" w14:textId="77777777" w:rsidR="00423B40" w:rsidRDefault="00636AB1">
      <w:pPr>
        <w:spacing w:after="158"/>
        <w:ind w:left="49"/>
        <w:jc w:val="center"/>
        <w:rPr>
          <w:color w:val="121212"/>
        </w:rPr>
      </w:pPr>
      <w:r>
        <w:rPr>
          <w:noProof/>
          <w:color w:val="121212"/>
          <w:lang w:val="en-US" w:eastAsia="en-US"/>
        </w:rPr>
        <w:drawing>
          <wp:inline distT="0" distB="0" distL="0" distR="0" wp14:anchorId="2DE1F449" wp14:editId="506551CF">
            <wp:extent cx="1979930" cy="824230"/>
            <wp:effectExtent l="0" t="0" r="0" b="0"/>
            <wp:docPr id="2028226346" name="image1.png"/>
            <wp:cNvGraphicFramePr/>
            <a:graphic xmlns:a="http://schemas.openxmlformats.org/drawingml/2006/main">
              <a:graphicData uri="http://schemas.openxmlformats.org/drawingml/2006/picture">
                <pic:pic xmlns:pic="http://schemas.openxmlformats.org/drawingml/2006/picture">
                  <pic:nvPicPr>
                    <pic:cNvPr id="2028226346" name="image1.png"/>
                    <pic:cNvPicPr preferRelativeResize="0"/>
                  </pic:nvPicPr>
                  <pic:blipFill>
                    <a:blip r:embed="rId9"/>
                    <a:srcRect/>
                    <a:stretch>
                      <a:fillRect/>
                    </a:stretch>
                  </pic:blipFill>
                  <pic:spPr>
                    <a:xfrm>
                      <a:off x="0" y="0"/>
                      <a:ext cx="1980000" cy="824400"/>
                    </a:xfrm>
                    <a:prstGeom prst="rect">
                      <a:avLst/>
                    </a:prstGeom>
                  </pic:spPr>
                </pic:pic>
              </a:graphicData>
            </a:graphic>
          </wp:inline>
        </w:drawing>
      </w:r>
      <w:r>
        <w:rPr>
          <w:color w:val="121212"/>
        </w:rPr>
        <w:t xml:space="preserve"> </w:t>
      </w:r>
    </w:p>
    <w:p w14:paraId="35A695D7" w14:textId="77777777" w:rsidR="00423B40" w:rsidRDefault="00636AB1">
      <w:pPr>
        <w:spacing w:after="287"/>
        <w:ind w:left="49"/>
        <w:jc w:val="center"/>
        <w:rPr>
          <w:color w:val="121212"/>
        </w:rPr>
      </w:pPr>
      <w:r>
        <w:rPr>
          <w:color w:val="121212"/>
        </w:rPr>
        <w:t xml:space="preserve"> </w:t>
      </w:r>
    </w:p>
    <w:p w14:paraId="52CF3617" w14:textId="77777777" w:rsidR="00423B40" w:rsidRDefault="00636AB1">
      <w:pPr>
        <w:spacing w:after="157"/>
        <w:jc w:val="center"/>
        <w:rPr>
          <w:b/>
          <w:bCs/>
          <w:color w:val="121212"/>
          <w:sz w:val="20"/>
          <w:szCs w:val="20"/>
        </w:rPr>
      </w:pPr>
      <w:r>
        <w:rPr>
          <w:b/>
          <w:bCs/>
          <w:color w:val="121212"/>
          <w:sz w:val="28"/>
          <w:szCs w:val="28"/>
        </w:rPr>
        <w:t>Impact of pelvic floor dysfunction on quality of life and risk of major depressive disorder among young adults (18-35) in the UK: A Systematic Review</w:t>
      </w:r>
    </w:p>
    <w:p w14:paraId="725AFA27" w14:textId="77777777" w:rsidR="00423B40" w:rsidRDefault="00636AB1">
      <w:pPr>
        <w:spacing w:after="42"/>
        <w:ind w:left="89"/>
        <w:jc w:val="center"/>
        <w:rPr>
          <w:color w:val="121212"/>
        </w:rPr>
      </w:pPr>
      <w:r>
        <w:rPr>
          <w:color w:val="121212"/>
          <w:sz w:val="36"/>
          <w:szCs w:val="36"/>
        </w:rPr>
        <w:t xml:space="preserve"> </w:t>
      </w:r>
    </w:p>
    <w:p w14:paraId="273B964B" w14:textId="77777777" w:rsidR="00423B40" w:rsidRDefault="00636AB1">
      <w:pPr>
        <w:spacing w:after="157"/>
        <w:ind w:left="2367" w:right="2358"/>
        <w:jc w:val="center"/>
        <w:rPr>
          <w:color w:val="121212"/>
        </w:rPr>
      </w:pPr>
      <w:r>
        <w:rPr>
          <w:color w:val="121212"/>
        </w:rPr>
        <w:t xml:space="preserve">by </w:t>
      </w:r>
    </w:p>
    <w:p w14:paraId="340172EB" w14:textId="77777777" w:rsidR="00423B40" w:rsidRDefault="00636AB1">
      <w:pPr>
        <w:spacing w:after="158"/>
        <w:ind w:left="59"/>
        <w:jc w:val="center"/>
        <w:rPr>
          <w:color w:val="121212"/>
        </w:rPr>
      </w:pPr>
      <w:r>
        <w:rPr>
          <w:color w:val="121212"/>
        </w:rPr>
        <w:t xml:space="preserve"> </w:t>
      </w:r>
    </w:p>
    <w:p w14:paraId="36A279A3" w14:textId="77777777" w:rsidR="00423B40" w:rsidRDefault="00636AB1">
      <w:pPr>
        <w:spacing w:after="158"/>
        <w:ind w:left="59"/>
        <w:jc w:val="center"/>
        <w:rPr>
          <w:b/>
          <w:bCs/>
          <w:color w:val="121212"/>
        </w:rPr>
      </w:pPr>
      <w:r>
        <w:rPr>
          <w:b/>
          <w:bCs/>
          <w:color w:val="121212"/>
        </w:rPr>
        <w:t>Student name: Dhwani Patel</w:t>
      </w:r>
    </w:p>
    <w:p w14:paraId="12213B02" w14:textId="77777777" w:rsidR="00423B40" w:rsidRDefault="00636AB1">
      <w:pPr>
        <w:spacing w:after="158"/>
        <w:ind w:left="59"/>
        <w:jc w:val="center"/>
        <w:rPr>
          <w:b/>
          <w:bCs/>
          <w:color w:val="121212"/>
        </w:rPr>
      </w:pPr>
      <w:r>
        <w:rPr>
          <w:b/>
          <w:bCs/>
          <w:color w:val="121212"/>
        </w:rPr>
        <w:t xml:space="preserve">Student ID:2431311 </w:t>
      </w:r>
    </w:p>
    <w:p w14:paraId="1FE17892" w14:textId="77777777" w:rsidR="00423B40" w:rsidRDefault="00423B40">
      <w:pPr>
        <w:spacing w:after="156"/>
        <w:ind w:left="59"/>
        <w:jc w:val="center"/>
        <w:rPr>
          <w:color w:val="121212"/>
        </w:rPr>
      </w:pPr>
    </w:p>
    <w:p w14:paraId="27DB3F66" w14:textId="77777777" w:rsidR="00423B40" w:rsidRDefault="00636AB1">
      <w:pPr>
        <w:spacing w:after="158"/>
        <w:ind w:left="59"/>
        <w:jc w:val="center"/>
        <w:rPr>
          <w:color w:val="121212"/>
        </w:rPr>
      </w:pPr>
      <w:r>
        <w:rPr>
          <w:color w:val="121212"/>
        </w:rPr>
        <w:t xml:space="preserve"> </w:t>
      </w:r>
    </w:p>
    <w:p w14:paraId="211BF509" w14:textId="77777777" w:rsidR="00423B40" w:rsidRDefault="00636AB1">
      <w:pPr>
        <w:spacing w:after="156"/>
        <w:ind w:left="59"/>
        <w:jc w:val="center"/>
        <w:rPr>
          <w:color w:val="121212"/>
        </w:rPr>
      </w:pPr>
      <w:r>
        <w:rPr>
          <w:color w:val="121212"/>
        </w:rPr>
        <w:t>A Dissertation submitted in partial fulfilment of the requirements for the degree of Masters of Science in Public Health and Social Care in Practice</w:t>
      </w:r>
    </w:p>
    <w:p w14:paraId="489430F6" w14:textId="77777777" w:rsidR="00423B40" w:rsidRDefault="00423B40">
      <w:pPr>
        <w:spacing w:after="169"/>
        <w:jc w:val="center"/>
        <w:rPr>
          <w:b/>
          <w:bCs/>
          <w:color w:val="121212"/>
        </w:rPr>
      </w:pPr>
    </w:p>
    <w:p w14:paraId="78272D46" w14:textId="77777777" w:rsidR="00423B40" w:rsidRDefault="00636AB1">
      <w:pPr>
        <w:spacing w:after="169"/>
        <w:jc w:val="center"/>
        <w:rPr>
          <w:b/>
          <w:bCs/>
          <w:color w:val="121212"/>
        </w:rPr>
      </w:pPr>
      <w:r>
        <w:rPr>
          <w:b/>
          <w:bCs/>
          <w:color w:val="121212"/>
        </w:rPr>
        <w:t>The Institute of Inner-City Learning</w:t>
      </w:r>
    </w:p>
    <w:p w14:paraId="1200C374" w14:textId="77777777" w:rsidR="00423B40" w:rsidRDefault="00636AB1">
      <w:pPr>
        <w:spacing w:after="169"/>
        <w:jc w:val="center"/>
        <w:rPr>
          <w:b/>
          <w:bCs/>
          <w:color w:val="121212"/>
        </w:rPr>
      </w:pPr>
      <w:r>
        <w:rPr>
          <w:b/>
          <w:bCs/>
          <w:color w:val="121212"/>
        </w:rPr>
        <w:t>University of Wales Trinity Saint David – London Campus</w:t>
      </w:r>
    </w:p>
    <w:p w14:paraId="4256F7B5" w14:textId="77777777" w:rsidR="00423B40" w:rsidRDefault="00423B40">
      <w:pPr>
        <w:spacing w:after="157"/>
        <w:ind w:left="2367" w:right="2357"/>
        <w:jc w:val="center"/>
        <w:rPr>
          <w:b/>
          <w:bCs/>
          <w:color w:val="121212"/>
        </w:rPr>
      </w:pPr>
    </w:p>
    <w:p w14:paraId="1D69A7EF" w14:textId="77777777" w:rsidR="00423B40" w:rsidRDefault="00423B40">
      <w:pPr>
        <w:spacing w:after="157"/>
        <w:ind w:left="2367" w:right="2357"/>
        <w:jc w:val="center"/>
        <w:rPr>
          <w:b/>
          <w:bCs/>
          <w:color w:val="121212"/>
        </w:rPr>
      </w:pPr>
    </w:p>
    <w:p w14:paraId="795C32BE" w14:textId="77777777" w:rsidR="00423B40" w:rsidRDefault="00636AB1">
      <w:pPr>
        <w:spacing w:after="157"/>
        <w:ind w:left="2367" w:right="2357"/>
        <w:jc w:val="center"/>
        <w:rPr>
          <w:b/>
          <w:bCs/>
          <w:color w:val="121212"/>
        </w:rPr>
      </w:pPr>
      <w:r>
        <w:rPr>
          <w:b/>
          <w:bCs/>
          <w:color w:val="121212"/>
        </w:rPr>
        <w:t xml:space="preserve">[2026] </w:t>
      </w:r>
    </w:p>
    <w:p w14:paraId="6113A8B2" w14:textId="77777777" w:rsidR="00423B40" w:rsidRDefault="00636AB1">
      <w:pPr>
        <w:spacing w:line="278" w:lineRule="auto"/>
        <w:jc w:val="left"/>
        <w:rPr>
          <w:b/>
          <w:bCs/>
          <w:color w:val="121212"/>
        </w:rPr>
      </w:pPr>
      <w:r>
        <w:rPr>
          <w:color w:val="121212"/>
        </w:rPr>
        <w:br w:type="page"/>
      </w:r>
    </w:p>
    <w:p w14:paraId="4A3B904D" w14:textId="77777777" w:rsidR="00423B40" w:rsidRDefault="00636AB1">
      <w:pPr>
        <w:spacing w:after="200" w:line="276" w:lineRule="auto"/>
        <w:rPr>
          <w:rFonts w:eastAsia="Times New Roman"/>
          <w:b/>
          <w:bCs/>
          <w:color w:val="121212"/>
          <w:sz w:val="24"/>
          <w:szCs w:val="24"/>
          <w:lang w:val="hr-HR"/>
        </w:rPr>
      </w:pPr>
      <w:r>
        <w:rPr>
          <w:rFonts w:eastAsia="Times New Roman"/>
          <w:b/>
          <w:bCs/>
          <w:color w:val="121212"/>
          <w:sz w:val="24"/>
          <w:szCs w:val="24"/>
          <w:lang w:val="hr-HR"/>
        </w:rPr>
        <w:lastRenderedPageBreak/>
        <w:t>Declaration</w:t>
      </w:r>
    </w:p>
    <w:p w14:paraId="6A1BB96E" w14:textId="5764F1E1" w:rsidR="00423B40" w:rsidRDefault="00636AB1">
      <w:pPr>
        <w:spacing w:after="200" w:line="276" w:lineRule="auto"/>
        <w:rPr>
          <w:rFonts w:eastAsia="Times New Roman"/>
          <w:color w:val="121212"/>
          <w:lang w:val="hr-HR"/>
        </w:rPr>
      </w:pPr>
      <w:r>
        <w:rPr>
          <w:noProof/>
          <w:color w:val="121212"/>
          <w:sz w:val="20"/>
          <w:szCs w:val="20"/>
          <w:lang w:val="en-US" w:eastAsia="en-US"/>
        </w:rPr>
        <mc:AlternateContent>
          <mc:Choice Requires="wps">
            <w:drawing>
              <wp:anchor distT="0" distB="0" distL="114300" distR="114300" simplePos="0" relativeHeight="251659264" behindDoc="0" locked="0" layoutInCell="1" allowOverlap="1" wp14:anchorId="5A00625E" wp14:editId="5BCA86C4">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a="http://schemas.openxmlformats.org/drawingml/2006/main" xmlns:pic="http://schemas.openxmlformats.org/drawingml/2006/picture" xmlns:a14="http://schemas.microsoft.com/office/drawing/2010/main" xmlns:c="http://schemas.openxmlformats.org/drawingml/2006/chart" xmlns:wpsCustomData="http://www.wps.cn/officeDocument/2013/wpsCustomData">
            <w:pict w14:anchorId="57A2424B">
              <v:shape id="Ink 16" style="position:absolute;left:0pt;margin-left:-127.85pt;margin-top:18.55pt;height:1.45pt;width:1.45pt;z-index:251659264;mso-width-relative:page;mso-height-relative:page;" coordsize="21600,21600" o:spid="_x0000_s1026" filled="f" stroked="f" o:gfxdata="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">
                <v:fill on="f" focussize="0,0"/>
                <v:stroke on="f" weight="1.41724409448819pt" color="#000000" opacity="65535f"/>
                <v:imagedata o:title=""/>
                <o:lock v:ext="edit" aspectratio="t"/>
              </v:shape>
            </w:pict>
          </mc:Fallback>
        </mc:AlternateContent>
      </w:r>
      <w:r>
        <w:rPr>
          <w:noProof/>
          <w:color w:val="121212"/>
          <w:sz w:val="20"/>
          <w:szCs w:val="20"/>
          <w:lang w:val="en-US" w:eastAsia="en-US"/>
        </w:rPr>
        <mc:AlternateContent>
          <mc:Choice Requires="wps">
            <w:drawing>
              <wp:anchor distT="0" distB="0" distL="114300" distR="114300" simplePos="0" relativeHeight="251660288" behindDoc="0" locked="0" layoutInCell="1" allowOverlap="1" wp14:anchorId="03A0E626" wp14:editId="4EA9E438">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ChangeAspect="1"/>
                        </w14:cNvContentPartPr>
                      </w14:nvContentPartPr>
                      <w14:xfrm>
                        <a:off x="0" y="0"/>
                        <a:ext cx="18415" cy="23495"/>
                      </w14:xfrm>
                    </w14:contentPart>
                  </a:graphicData>
                </a:graphic>
              </wp:anchor>
            </w:drawing>
          </mc:Choice>
          <mc:Fallback xmlns:a="http://schemas.openxmlformats.org/drawingml/2006/main" xmlns:pic="http://schemas.openxmlformats.org/drawingml/2006/picture" xmlns:a14="http://schemas.microsoft.com/office/drawing/2010/main" xmlns:c="http://schemas.openxmlformats.org/drawingml/2006/chart" xmlns:wpsCustomData="http://www.wps.cn/officeDocument/2013/wpsCustomData">
            <w:pict w14:anchorId="3AD0005D">
              <v:shape id="Ink 15" style="position:absolute;left:0pt;margin-left:-127.85pt;margin-top:19.05pt;height:1.85pt;width:1.45pt;z-index:251660288;mso-width-relative:page;mso-height-relative:page;" coordsize="21600,21600" o:spid="_x0000_s1026" filled="f" stroked="f" o:gfxdata="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">
                <v:fill on="f" focussize="0,0"/>
                <v:stroke on="f" weight="1.41724409448819pt" color="#000000" opacity="65535f"/>
                <v:imagedata o:title=""/>
                <o:lock v:ext="edit" aspectratio="t"/>
              </v:shape>
            </w:pict>
          </mc:Fallback>
        </mc:AlternateContent>
      </w:r>
      <w:r>
        <w:rPr>
          <w:noProof/>
          <w:color w:val="121212"/>
          <w:sz w:val="20"/>
          <w:szCs w:val="20"/>
          <w:lang w:val="en-US" w:eastAsia="en-US"/>
        </w:rPr>
        <mc:AlternateContent>
          <mc:Choice Requires="wps">
            <w:drawing>
              <wp:anchor distT="0" distB="0" distL="114300" distR="114300" simplePos="0" relativeHeight="251661312" behindDoc="0" locked="0" layoutInCell="1" allowOverlap="1" wp14:anchorId="66A51CD2" wp14:editId="674F9461">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a="http://schemas.openxmlformats.org/drawingml/2006/main" xmlns:pic="http://schemas.openxmlformats.org/drawingml/2006/picture" xmlns:a14="http://schemas.microsoft.com/office/drawing/2010/main" xmlns:c="http://schemas.openxmlformats.org/drawingml/2006/chart" xmlns:wpsCustomData="http://www.wps.cn/officeDocument/2013/wpsCustomData">
            <w:pict w14:anchorId="13037E0B">
              <v:shape id="Ink 14" style="position:absolute;left:0pt;margin-left:-127.85pt;margin-top:19.35pt;height:1.45pt;width:1.45pt;z-index:251661312;mso-width-relative:page;mso-height-relative:page;" coordsize="21600,21600" o:spid="_x0000_s1026" filled="f" stroked="f" o:gfxdata="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">
                <v:fill on="f" focussize="0,0"/>
                <v:stroke on="f" weight="1.41724409448819pt" color="#000000" opacity="65535f"/>
                <v:imagedata o:title=""/>
                <o:lock v:ext="edit" aspectratio="t"/>
              </v:shape>
            </w:pict>
          </mc:Fallback>
        </mc:AlternateContent>
      </w:r>
      <w:r>
        <w:rPr>
          <w:noProof/>
          <w:color w:val="121212"/>
          <w:sz w:val="20"/>
          <w:szCs w:val="20"/>
          <w:lang w:val="en-US" w:eastAsia="en-US"/>
        </w:rPr>
        <mc:AlternateContent>
          <mc:Choice Requires="wps">
            <w:drawing>
              <wp:anchor distT="0" distB="0" distL="114300" distR="114300" simplePos="0" relativeHeight="251662336" behindDoc="0" locked="0" layoutInCell="1" allowOverlap="1" wp14:anchorId="72FC433F" wp14:editId="52ACCB4F">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a="http://schemas.openxmlformats.org/drawingml/2006/main" xmlns:pic="http://schemas.openxmlformats.org/drawingml/2006/picture" xmlns:a14="http://schemas.microsoft.com/office/drawing/2010/main" xmlns:c="http://schemas.openxmlformats.org/drawingml/2006/chart" xmlns:wpsCustomData="http://www.wps.cn/officeDocument/2013/wpsCustomData">
            <w:pict w14:anchorId="175CD979">
              <v:shape id="Ink 11" style="position:absolute;left:0pt;margin-left:-152.4pt;margin-top:19.2pt;height:1.45pt;width:1.45pt;z-index:251662336;mso-width-relative:page;mso-height-relative:page;" coordsize="21600,21600" o:spid="_x0000_s1026" filled="f" stroked="f" o:gfxdata="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">
                <v:fill on="f" focussize="0,0"/>
                <v:stroke on="f" weight="1.41724409448819pt" color="#000000" opacity="65535f"/>
                <v:imagedata o:title=""/>
                <o:lock v:ext="edit" aspectratio="t"/>
              </v:shape>
            </w:pict>
          </mc:Fallback>
        </mc:AlternateContent>
      </w:r>
      <w:r>
        <w:rPr>
          <w:rFonts w:eastAsia="Times New Roman"/>
          <w:color w:val="121212"/>
          <w:lang w:val="hr-HR"/>
        </w:rPr>
        <w:t>I,</w:t>
      </w:r>
      <w:r w:rsidR="001834BA">
        <w:rPr>
          <w:rFonts w:eastAsia="Times New Roman"/>
          <w:color w:val="121212"/>
          <w:lang w:val="hr-HR"/>
        </w:rPr>
        <w:t xml:space="preserve"> Dhwani Yogeshbhai Patel </w:t>
      </w:r>
      <w:r>
        <w:rPr>
          <w:rFonts w:eastAsia="Times New Roman"/>
          <w:color w:val="121212"/>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4A59A89" w14:textId="77777777" w:rsidR="00423B40" w:rsidRDefault="00423B40">
      <w:pPr>
        <w:spacing w:after="200" w:line="276" w:lineRule="auto"/>
        <w:rPr>
          <w:rFonts w:eastAsia="Times New Roman"/>
          <w:color w:val="121212"/>
          <w:lang w:val="hr-HR"/>
        </w:rPr>
      </w:pPr>
    </w:p>
    <w:p w14:paraId="202650FD" w14:textId="77777777" w:rsidR="00423B40" w:rsidRDefault="00423B40">
      <w:pPr>
        <w:spacing w:after="200" w:line="276" w:lineRule="auto"/>
        <w:rPr>
          <w:rFonts w:eastAsia="Times New Roman"/>
          <w:color w:val="121212"/>
          <w:lang w:val="hr-HR"/>
        </w:rPr>
      </w:pPr>
    </w:p>
    <w:p w14:paraId="78FDBDDE" w14:textId="77777777" w:rsidR="00423B40" w:rsidRDefault="00636AB1">
      <w:pPr>
        <w:spacing w:after="200" w:line="276" w:lineRule="auto"/>
        <w:rPr>
          <w:rFonts w:eastAsia="Times New Roman"/>
          <w:color w:val="121212"/>
          <w:lang w:val="hr-HR"/>
        </w:rPr>
      </w:pPr>
      <w:r>
        <w:rPr>
          <w:rFonts w:eastAsia="Times New Roman"/>
          <w:color w:val="121212"/>
          <w:lang w:val="hr-HR"/>
        </w:rPr>
        <w:t>Signed:………………………………………………</w:t>
      </w:r>
    </w:p>
    <w:p w14:paraId="3969E430" w14:textId="77777777" w:rsidR="00423B40" w:rsidRDefault="00423B40">
      <w:pPr>
        <w:spacing w:after="200" w:line="276" w:lineRule="auto"/>
        <w:rPr>
          <w:rFonts w:eastAsia="Times New Roman"/>
          <w:color w:val="121212"/>
          <w:lang w:val="hr-HR"/>
        </w:rPr>
      </w:pPr>
    </w:p>
    <w:p w14:paraId="2E63C68D" w14:textId="77777777" w:rsidR="00423B40" w:rsidRDefault="00636AB1">
      <w:pPr>
        <w:spacing w:after="200" w:line="276" w:lineRule="auto"/>
        <w:rPr>
          <w:rFonts w:eastAsia="Times New Roman"/>
          <w:color w:val="121212"/>
          <w:lang w:val="hr-HR"/>
        </w:rPr>
      </w:pPr>
      <w:r>
        <w:rPr>
          <w:rFonts w:eastAsia="Times New Roman"/>
          <w:color w:val="121212"/>
          <w:lang w:val="hr-HR"/>
        </w:rPr>
        <w:t>Date:...………………………………………………</w:t>
      </w:r>
    </w:p>
    <w:p w14:paraId="44C4E324" w14:textId="77777777" w:rsidR="00423B40" w:rsidRDefault="00423B40">
      <w:pPr>
        <w:spacing w:after="157"/>
        <w:ind w:left="2367" w:right="2357"/>
        <w:jc w:val="center"/>
        <w:rPr>
          <w:b/>
          <w:bCs/>
          <w:color w:val="121212"/>
        </w:rPr>
      </w:pPr>
    </w:p>
    <w:p w14:paraId="504AC6B3" w14:textId="77777777" w:rsidR="00423B40" w:rsidRDefault="00636AB1">
      <w:pPr>
        <w:spacing w:line="278" w:lineRule="auto"/>
        <w:jc w:val="left"/>
        <w:rPr>
          <w:b/>
          <w:bCs/>
          <w:color w:val="121212"/>
        </w:rPr>
      </w:pPr>
      <w:r>
        <w:rPr>
          <w:b/>
          <w:bCs/>
          <w:color w:val="121212"/>
        </w:rPr>
        <w:br w:type="page"/>
      </w:r>
    </w:p>
    <w:p w14:paraId="5FB5AD13" w14:textId="77777777" w:rsidR="00423B40" w:rsidRDefault="00636AB1">
      <w:pPr>
        <w:spacing w:after="157"/>
        <w:ind w:left="2367" w:right="2357"/>
        <w:jc w:val="center"/>
        <w:rPr>
          <w:b/>
          <w:bCs/>
          <w:color w:val="121212"/>
        </w:rPr>
      </w:pPr>
      <w:r>
        <w:rPr>
          <w:b/>
          <w:bCs/>
          <w:color w:val="121212"/>
        </w:rPr>
        <w:lastRenderedPageBreak/>
        <w:t>Acknowledgement</w:t>
      </w:r>
    </w:p>
    <w:p w14:paraId="57BD88E5" w14:textId="77777777" w:rsidR="00423B40" w:rsidRDefault="00636AB1">
      <w:pPr>
        <w:rPr>
          <w:color w:val="121212"/>
        </w:rPr>
      </w:pPr>
      <w:r>
        <w:rPr>
          <w:color w:val="121212"/>
        </w:rPr>
        <w:t>I would like to thank my supervisor for giving me a lot of guidance and allowing me to have feedback and Academic support to complete the research study. They encouraged and guided them out to a successful completion of the study. Also grateful to my department friends and all the non-academic staff of the university who helped me to provide available academic resources and support in my learning journey.  Thanking you,</w:t>
      </w:r>
    </w:p>
    <w:p w14:paraId="1D398E9D" w14:textId="77777777" w:rsidR="00423B40" w:rsidRDefault="00636AB1">
      <w:pPr>
        <w:rPr>
          <w:color w:val="121212"/>
        </w:rPr>
      </w:pPr>
      <w:r>
        <w:rPr>
          <w:color w:val="121212"/>
        </w:rPr>
        <w:t>Thanking You.</w:t>
      </w:r>
    </w:p>
    <w:p w14:paraId="4420D335" w14:textId="77777777" w:rsidR="00423B40" w:rsidRDefault="00423B40">
      <w:pPr>
        <w:spacing w:after="157"/>
        <w:ind w:right="2357"/>
        <w:jc w:val="left"/>
        <w:rPr>
          <w:b/>
          <w:bCs/>
          <w:color w:val="121212"/>
        </w:rPr>
      </w:pPr>
    </w:p>
    <w:p w14:paraId="3A537E9B" w14:textId="77777777" w:rsidR="00423B40" w:rsidRDefault="00636AB1">
      <w:pPr>
        <w:spacing w:after="157"/>
        <w:ind w:left="2367" w:right="2357"/>
        <w:jc w:val="center"/>
        <w:rPr>
          <w:b/>
          <w:bCs/>
          <w:color w:val="121212"/>
        </w:rPr>
      </w:pPr>
      <w:r>
        <w:rPr>
          <w:color w:val="121212"/>
        </w:rPr>
        <w:br w:type="page"/>
      </w:r>
    </w:p>
    <w:p w14:paraId="302CDECB" w14:textId="77777777" w:rsidR="00423B40" w:rsidRDefault="00636AB1">
      <w:pPr>
        <w:spacing w:after="157"/>
        <w:ind w:left="2367" w:right="2357"/>
        <w:jc w:val="center"/>
        <w:rPr>
          <w:b/>
          <w:bCs/>
          <w:color w:val="121212"/>
        </w:rPr>
      </w:pPr>
      <w:r>
        <w:rPr>
          <w:b/>
          <w:bCs/>
          <w:color w:val="121212"/>
        </w:rPr>
        <w:lastRenderedPageBreak/>
        <w:t>Abstract</w:t>
      </w:r>
    </w:p>
    <w:p w14:paraId="7C62DF9F" w14:textId="77777777" w:rsidR="002D62B3" w:rsidRDefault="00C66C84" w:rsidP="00C66C84">
      <w:pPr>
        <w:spacing w:after="157"/>
        <w:ind w:right="95"/>
        <w:rPr>
          <w:color w:val="FF0000"/>
        </w:rPr>
      </w:pPr>
      <w:r w:rsidRPr="00823DBA">
        <w:rPr>
          <w:color w:val="FF0000"/>
        </w:rPr>
        <w:t xml:space="preserve">A collection of disorders known as pelvic floor dysfunction (PFD) such as urinary incontinence (UI), faecal incontinence and chronic pelvic pain may impact physical, psychological and social health and wellbeing. The aim of this systematic review is to explore the relationship of pelvic floor dysfunction and its implications for the quality of life for young adults (aged 18-35 years) in the UK and to summarise key patterns, evidence gaps and implications for public health based on the literature currently available. </w:t>
      </w:r>
    </w:p>
    <w:p w14:paraId="69F2B218" w14:textId="7829D2EA" w:rsidR="00C66C84" w:rsidRPr="00823DBA" w:rsidRDefault="00C66C84" w:rsidP="00C66C84">
      <w:pPr>
        <w:spacing w:after="157"/>
        <w:ind w:right="95"/>
        <w:rPr>
          <w:color w:val="FF0000"/>
        </w:rPr>
      </w:pPr>
      <w:r w:rsidRPr="00823DBA">
        <w:rPr>
          <w:color w:val="FF0000"/>
        </w:rPr>
        <w:t xml:space="preserve">Data collection and analysis were done by doing systematic literature review and thematic analysis. The Preferred Reporting Items for Systematic Reviews and Meta-Analyses (PRISMA) guidelines have been used to report the process of the review, and the quality of the 15 reviewed studies has been judged using the Critical Appraisal Skills Programme (CASP) framework. </w:t>
      </w:r>
      <w:r w:rsidR="00AB1E09">
        <w:rPr>
          <w:color w:val="FF0000"/>
        </w:rPr>
        <w:t>Two</w:t>
      </w:r>
      <w:r w:rsidRPr="00823DBA">
        <w:rPr>
          <w:color w:val="FF0000"/>
        </w:rPr>
        <w:t xml:space="preserve"> main themes emerged from the thematic analysis: PFD's impact on quality of life is multidimensional, psychological vulnerability is linked with PFD.</w:t>
      </w:r>
    </w:p>
    <w:p w14:paraId="3454EC66" w14:textId="77777777" w:rsidR="002D62B3" w:rsidRDefault="00C66C84" w:rsidP="00C66C84">
      <w:pPr>
        <w:spacing w:after="157"/>
        <w:ind w:right="95"/>
        <w:rPr>
          <w:color w:val="FF0000"/>
        </w:rPr>
      </w:pPr>
      <w:r w:rsidRPr="00823DBA">
        <w:rPr>
          <w:color w:val="FF0000"/>
        </w:rPr>
        <w:t xml:space="preserve">The overall results showed that individual, reproductive and awareness-related factors can affect the outcomes of PFD among young adults. The review also cited possible implications of PFD on areas beyond its physiological or physical symptoms such as physical functioning, emotional wellbeing, social participation and everyday activities. Psychological vulnerability was also found to be an important relationship between PFD and quality of life. </w:t>
      </w:r>
    </w:p>
    <w:p w14:paraId="7B8187ED" w14:textId="38FDD1B5" w:rsidR="00423B40" w:rsidRDefault="00C66C84" w:rsidP="00C66C84">
      <w:pPr>
        <w:spacing w:after="157"/>
        <w:ind w:right="95"/>
        <w:rPr>
          <w:color w:val="FF0000"/>
        </w:rPr>
      </w:pPr>
      <w:r w:rsidRPr="00823DBA">
        <w:rPr>
          <w:color w:val="FF0000"/>
        </w:rPr>
        <w:t>The findings highlight the need for early identification and screening to ensure prop</w:t>
      </w:r>
      <w:r w:rsidR="00364771" w:rsidRPr="00823DBA">
        <w:rPr>
          <w:color w:val="FF0000"/>
        </w:rPr>
        <w:t>er management of PFD and minimis</w:t>
      </w:r>
      <w:r w:rsidRPr="00823DBA">
        <w:rPr>
          <w:color w:val="FF0000"/>
        </w:rPr>
        <w:t xml:space="preserve">e the impact it could have on young adults. Improved awareness about the pelvic floor and understanding of its health could also lead to earlier detection of symptoms and individuals accessing the necessary support. Hence, better education, routine assessment and prevention measures, integrated health care practices are suggested to </w:t>
      </w:r>
      <w:r w:rsidR="00451CCF" w:rsidRPr="00823DBA">
        <w:rPr>
          <w:color w:val="FF0000"/>
        </w:rPr>
        <w:t xml:space="preserve">help support good pelvic health. It also helps </w:t>
      </w:r>
      <w:r w:rsidRPr="00823DBA">
        <w:rPr>
          <w:color w:val="FF0000"/>
        </w:rPr>
        <w:t>reduce the factors that may cause pelvic floor dysfunction in young adults that could, consequently, increase early interventions.</w:t>
      </w:r>
    </w:p>
    <w:p w14:paraId="38D461FE" w14:textId="130B3E74" w:rsidR="005432CC" w:rsidRPr="00823DBA" w:rsidRDefault="005432CC" w:rsidP="00C66C84">
      <w:pPr>
        <w:spacing w:after="157"/>
        <w:ind w:right="95"/>
        <w:rPr>
          <w:color w:val="FF0000"/>
        </w:rPr>
      </w:pPr>
      <w:r w:rsidRPr="005432CC">
        <w:rPr>
          <w:color w:val="FF0000"/>
        </w:rPr>
        <w:t>Overall, this systematic review demonstrates that pelvic floor dysfunction can substantially affect the quality of life of young adults through physical, psychological and social consequences. Individual, reproductive and awareness-related factors may influence PFD experiences and outcomes. The findings highlight the importance of improving awareness, early identification and access to appropriate support. Greater emphasis on pelvic floor education, preventive interventions and integrated care may contribute to earlier intervention and improved health outcomes among young adults in the UK.</w:t>
      </w:r>
    </w:p>
    <w:p w14:paraId="33489AEA" w14:textId="77777777" w:rsidR="00423B40" w:rsidRDefault="00636AB1">
      <w:pPr>
        <w:rPr>
          <w:b/>
          <w:bCs/>
          <w:color w:val="121212"/>
        </w:rPr>
      </w:pPr>
      <w:r>
        <w:rPr>
          <w:color w:val="121212"/>
        </w:rPr>
        <w:br w:type="page"/>
      </w:r>
    </w:p>
    <w:p w14:paraId="036BDA9A" w14:textId="77777777" w:rsidR="00423B40" w:rsidRDefault="00636AB1">
      <w:pPr>
        <w:keepNext/>
        <w:keepLines/>
        <w:spacing w:before="240" w:after="0" w:line="259" w:lineRule="auto"/>
        <w:jc w:val="center"/>
        <w:rPr>
          <w:b/>
          <w:bCs/>
          <w:color w:val="121212"/>
          <w:sz w:val="28"/>
          <w:szCs w:val="28"/>
        </w:rPr>
      </w:pPr>
      <w:bookmarkStart w:id="0" w:name="_heading=h.g9hkkugsxp17" w:colFirst="0" w:colLast="0"/>
      <w:bookmarkEnd w:id="0"/>
      <w:r>
        <w:rPr>
          <w:b/>
          <w:bCs/>
          <w:color w:val="121212"/>
          <w:sz w:val="28"/>
          <w:szCs w:val="28"/>
        </w:rPr>
        <w:lastRenderedPageBreak/>
        <w:t>Table of Contents</w:t>
      </w:r>
    </w:p>
    <w:sdt>
      <w:sdtPr>
        <w:rPr>
          <w:color w:val="121212"/>
        </w:rPr>
        <w:id w:val="-610088646"/>
      </w:sdtPr>
      <w:sdtContent>
        <w:p w14:paraId="5BAE0662" w14:textId="77777777" w:rsidR="00423B40" w:rsidRDefault="00636AB1">
          <w:pPr>
            <w:pStyle w:val="TOC1"/>
            <w:tabs>
              <w:tab w:val="right" w:leader="dot" w:pos="9016"/>
            </w:tabs>
            <w:rPr>
              <w:rFonts w:asciiTheme="minorHAnsi" w:eastAsiaTheme="minorEastAsia" w:hAnsiTheme="minorHAnsi" w:cstheme="minorBidi"/>
              <w:color w:val="121212"/>
              <w:kern w:val="2"/>
              <w:sz w:val="24"/>
              <w:szCs w:val="24"/>
              <w:lang w:eastAsia="en-GB"/>
            </w:rPr>
          </w:pPr>
          <w:r>
            <w:rPr>
              <w:color w:val="121212"/>
            </w:rPr>
            <w:fldChar w:fldCharType="begin"/>
          </w:r>
          <w:r>
            <w:rPr>
              <w:color w:val="121212"/>
            </w:rPr>
            <w:instrText xml:space="preserve"> TOC \h \u \z \t "Heading 1,1,Heading 2,2,Heading 3,3,"</w:instrText>
          </w:r>
          <w:r>
            <w:rPr>
              <w:color w:val="121212"/>
            </w:rPr>
            <w:fldChar w:fldCharType="separate"/>
          </w:r>
          <w:hyperlink w:anchor="_Toc240448236" w:history="1">
            <w:r w:rsidR="00423B40">
              <w:rPr>
                <w:rStyle w:val="Hyperlink"/>
                <w:color w:val="121212"/>
              </w:rPr>
              <w:t>Chapter 1: Introduction</w:t>
            </w:r>
            <w:r w:rsidR="00423B40">
              <w:rPr>
                <w:color w:val="121212"/>
              </w:rPr>
              <w:tab/>
            </w:r>
            <w:r w:rsidR="00423B40">
              <w:rPr>
                <w:color w:val="121212"/>
              </w:rPr>
              <w:fldChar w:fldCharType="begin"/>
            </w:r>
            <w:r w:rsidR="00423B40">
              <w:rPr>
                <w:color w:val="121212"/>
              </w:rPr>
              <w:instrText xml:space="preserve"> PAGEREF _Toc240448236 \h </w:instrText>
            </w:r>
            <w:r w:rsidR="00423B40">
              <w:rPr>
                <w:color w:val="121212"/>
              </w:rPr>
            </w:r>
            <w:r w:rsidR="00423B40">
              <w:rPr>
                <w:color w:val="121212"/>
              </w:rPr>
              <w:fldChar w:fldCharType="separate"/>
            </w:r>
            <w:r w:rsidR="00423B40">
              <w:rPr>
                <w:color w:val="121212"/>
              </w:rPr>
              <w:t>11</w:t>
            </w:r>
            <w:r w:rsidR="00423B40">
              <w:rPr>
                <w:color w:val="121212"/>
              </w:rPr>
              <w:fldChar w:fldCharType="end"/>
            </w:r>
          </w:hyperlink>
        </w:p>
        <w:p w14:paraId="3E37BF89"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37" w:history="1">
            <w:r>
              <w:rPr>
                <w:rStyle w:val="Hyperlink"/>
                <w:color w:val="121212"/>
              </w:rPr>
              <w:t>1.1 Background and Context</w:t>
            </w:r>
            <w:r>
              <w:rPr>
                <w:color w:val="121212"/>
              </w:rPr>
              <w:tab/>
            </w:r>
            <w:r>
              <w:rPr>
                <w:color w:val="121212"/>
              </w:rPr>
              <w:fldChar w:fldCharType="begin"/>
            </w:r>
            <w:r>
              <w:rPr>
                <w:color w:val="121212"/>
              </w:rPr>
              <w:instrText xml:space="preserve"> PAGEREF _Toc240448237 \h </w:instrText>
            </w:r>
            <w:r>
              <w:rPr>
                <w:color w:val="121212"/>
              </w:rPr>
            </w:r>
            <w:r>
              <w:rPr>
                <w:color w:val="121212"/>
              </w:rPr>
              <w:fldChar w:fldCharType="separate"/>
            </w:r>
            <w:r>
              <w:rPr>
                <w:color w:val="121212"/>
              </w:rPr>
              <w:t>11</w:t>
            </w:r>
            <w:r>
              <w:rPr>
                <w:color w:val="121212"/>
              </w:rPr>
              <w:fldChar w:fldCharType="end"/>
            </w:r>
          </w:hyperlink>
        </w:p>
        <w:p w14:paraId="7BBBADC1"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38" w:history="1">
            <w:r>
              <w:rPr>
                <w:rStyle w:val="Hyperlink"/>
                <w:color w:val="121212"/>
              </w:rPr>
              <w:t>1.2 Existing Research and Knowledge Gaps</w:t>
            </w:r>
            <w:r>
              <w:rPr>
                <w:color w:val="121212"/>
              </w:rPr>
              <w:tab/>
            </w:r>
            <w:r>
              <w:rPr>
                <w:color w:val="121212"/>
              </w:rPr>
              <w:fldChar w:fldCharType="begin"/>
            </w:r>
            <w:r>
              <w:rPr>
                <w:color w:val="121212"/>
              </w:rPr>
              <w:instrText xml:space="preserve"> PAGEREF _Toc240448238 \h </w:instrText>
            </w:r>
            <w:r>
              <w:rPr>
                <w:color w:val="121212"/>
              </w:rPr>
            </w:r>
            <w:r>
              <w:rPr>
                <w:color w:val="121212"/>
              </w:rPr>
              <w:fldChar w:fldCharType="separate"/>
            </w:r>
            <w:r>
              <w:rPr>
                <w:color w:val="121212"/>
              </w:rPr>
              <w:t>13</w:t>
            </w:r>
            <w:r>
              <w:rPr>
                <w:color w:val="121212"/>
              </w:rPr>
              <w:fldChar w:fldCharType="end"/>
            </w:r>
          </w:hyperlink>
        </w:p>
        <w:p w14:paraId="6A05ADC9"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39" w:history="1">
            <w:r>
              <w:rPr>
                <w:rStyle w:val="Hyperlink"/>
                <w:color w:val="121212"/>
              </w:rPr>
              <w:t>1.3 Research Aim, Question, and Objectives</w:t>
            </w:r>
            <w:r>
              <w:rPr>
                <w:color w:val="121212"/>
              </w:rPr>
              <w:tab/>
            </w:r>
            <w:r>
              <w:rPr>
                <w:color w:val="121212"/>
              </w:rPr>
              <w:fldChar w:fldCharType="begin"/>
            </w:r>
            <w:r>
              <w:rPr>
                <w:color w:val="121212"/>
              </w:rPr>
              <w:instrText xml:space="preserve"> PAGEREF _Toc240448239 \h </w:instrText>
            </w:r>
            <w:r>
              <w:rPr>
                <w:color w:val="121212"/>
              </w:rPr>
            </w:r>
            <w:r>
              <w:rPr>
                <w:color w:val="121212"/>
              </w:rPr>
              <w:fldChar w:fldCharType="separate"/>
            </w:r>
            <w:r>
              <w:rPr>
                <w:color w:val="121212"/>
              </w:rPr>
              <w:t>14</w:t>
            </w:r>
            <w:r>
              <w:rPr>
                <w:color w:val="121212"/>
              </w:rPr>
              <w:fldChar w:fldCharType="end"/>
            </w:r>
          </w:hyperlink>
        </w:p>
        <w:p w14:paraId="76E8EEC7"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40" w:history="1">
            <w:r>
              <w:rPr>
                <w:rStyle w:val="Hyperlink"/>
                <w:color w:val="121212"/>
              </w:rPr>
              <w:t>1.4 Research Rationale</w:t>
            </w:r>
            <w:r>
              <w:rPr>
                <w:color w:val="121212"/>
              </w:rPr>
              <w:tab/>
            </w:r>
            <w:r>
              <w:rPr>
                <w:color w:val="121212"/>
              </w:rPr>
              <w:fldChar w:fldCharType="begin"/>
            </w:r>
            <w:r>
              <w:rPr>
                <w:color w:val="121212"/>
              </w:rPr>
              <w:instrText xml:space="preserve"> PAGEREF _Toc240448240 \h </w:instrText>
            </w:r>
            <w:r>
              <w:rPr>
                <w:color w:val="121212"/>
              </w:rPr>
            </w:r>
            <w:r>
              <w:rPr>
                <w:color w:val="121212"/>
              </w:rPr>
              <w:fldChar w:fldCharType="separate"/>
            </w:r>
            <w:r>
              <w:rPr>
                <w:color w:val="121212"/>
              </w:rPr>
              <w:t>14</w:t>
            </w:r>
            <w:r>
              <w:rPr>
                <w:color w:val="121212"/>
              </w:rPr>
              <w:fldChar w:fldCharType="end"/>
            </w:r>
          </w:hyperlink>
        </w:p>
        <w:p w14:paraId="611D44AC"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41" w:history="1">
            <w:r>
              <w:rPr>
                <w:rStyle w:val="Hyperlink"/>
                <w:color w:val="121212"/>
              </w:rPr>
              <w:t>1.5 Research Significance</w:t>
            </w:r>
            <w:r>
              <w:rPr>
                <w:color w:val="121212"/>
              </w:rPr>
              <w:tab/>
            </w:r>
            <w:r>
              <w:rPr>
                <w:color w:val="121212"/>
              </w:rPr>
              <w:fldChar w:fldCharType="begin"/>
            </w:r>
            <w:r>
              <w:rPr>
                <w:color w:val="121212"/>
              </w:rPr>
              <w:instrText xml:space="preserve"> PAGEREF _Toc240448241 \h </w:instrText>
            </w:r>
            <w:r>
              <w:rPr>
                <w:color w:val="121212"/>
              </w:rPr>
            </w:r>
            <w:r>
              <w:rPr>
                <w:color w:val="121212"/>
              </w:rPr>
              <w:fldChar w:fldCharType="separate"/>
            </w:r>
            <w:r>
              <w:rPr>
                <w:color w:val="121212"/>
              </w:rPr>
              <w:t>15</w:t>
            </w:r>
            <w:r>
              <w:rPr>
                <w:color w:val="121212"/>
              </w:rPr>
              <w:fldChar w:fldCharType="end"/>
            </w:r>
          </w:hyperlink>
        </w:p>
        <w:p w14:paraId="3AE06868"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42" w:history="1">
            <w:r>
              <w:rPr>
                <w:rStyle w:val="Hyperlink"/>
                <w:color w:val="121212"/>
              </w:rPr>
              <w:t>1.5 Structure of the Dissertation</w:t>
            </w:r>
            <w:r>
              <w:rPr>
                <w:color w:val="121212"/>
              </w:rPr>
              <w:tab/>
            </w:r>
            <w:r>
              <w:rPr>
                <w:color w:val="121212"/>
              </w:rPr>
              <w:fldChar w:fldCharType="begin"/>
            </w:r>
            <w:r>
              <w:rPr>
                <w:color w:val="121212"/>
              </w:rPr>
              <w:instrText xml:space="preserve"> PAGEREF _Toc240448242 \h </w:instrText>
            </w:r>
            <w:r>
              <w:rPr>
                <w:color w:val="121212"/>
              </w:rPr>
            </w:r>
            <w:r>
              <w:rPr>
                <w:color w:val="121212"/>
              </w:rPr>
              <w:fldChar w:fldCharType="separate"/>
            </w:r>
            <w:r>
              <w:rPr>
                <w:color w:val="121212"/>
              </w:rPr>
              <w:t>15</w:t>
            </w:r>
            <w:r>
              <w:rPr>
                <w:color w:val="121212"/>
              </w:rPr>
              <w:fldChar w:fldCharType="end"/>
            </w:r>
          </w:hyperlink>
        </w:p>
        <w:p w14:paraId="4E12232A" w14:textId="77777777" w:rsidR="00423B40" w:rsidRDefault="00423B40">
          <w:pPr>
            <w:pStyle w:val="TOC1"/>
            <w:tabs>
              <w:tab w:val="right" w:leader="dot" w:pos="9016"/>
            </w:tabs>
            <w:rPr>
              <w:rFonts w:asciiTheme="minorHAnsi" w:eastAsiaTheme="minorEastAsia" w:hAnsiTheme="minorHAnsi" w:cstheme="minorBidi"/>
              <w:color w:val="121212"/>
              <w:kern w:val="2"/>
              <w:sz w:val="24"/>
              <w:szCs w:val="24"/>
              <w:lang w:eastAsia="en-GB"/>
            </w:rPr>
          </w:pPr>
          <w:hyperlink w:anchor="_Toc240448243" w:history="1">
            <w:r>
              <w:rPr>
                <w:rStyle w:val="Hyperlink"/>
                <w:color w:val="121212"/>
              </w:rPr>
              <w:t>Chapter 2: Literature Review</w:t>
            </w:r>
            <w:r>
              <w:rPr>
                <w:color w:val="121212"/>
              </w:rPr>
              <w:tab/>
            </w:r>
            <w:r>
              <w:rPr>
                <w:color w:val="121212"/>
              </w:rPr>
              <w:fldChar w:fldCharType="begin"/>
            </w:r>
            <w:r>
              <w:rPr>
                <w:color w:val="121212"/>
              </w:rPr>
              <w:instrText xml:space="preserve"> PAGEREF _Toc240448243 \h </w:instrText>
            </w:r>
            <w:r>
              <w:rPr>
                <w:color w:val="121212"/>
              </w:rPr>
            </w:r>
            <w:r>
              <w:rPr>
                <w:color w:val="121212"/>
              </w:rPr>
              <w:fldChar w:fldCharType="separate"/>
            </w:r>
            <w:r>
              <w:rPr>
                <w:color w:val="121212"/>
              </w:rPr>
              <w:t>17</w:t>
            </w:r>
            <w:r>
              <w:rPr>
                <w:color w:val="121212"/>
              </w:rPr>
              <w:fldChar w:fldCharType="end"/>
            </w:r>
          </w:hyperlink>
        </w:p>
        <w:p w14:paraId="28DBE3BE"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44" w:history="1">
            <w:r>
              <w:rPr>
                <w:rStyle w:val="Hyperlink"/>
                <w:color w:val="121212"/>
              </w:rPr>
              <w:t>2.1 Introduction</w:t>
            </w:r>
            <w:r>
              <w:rPr>
                <w:color w:val="121212"/>
              </w:rPr>
              <w:tab/>
            </w:r>
            <w:r>
              <w:rPr>
                <w:color w:val="121212"/>
              </w:rPr>
              <w:fldChar w:fldCharType="begin"/>
            </w:r>
            <w:r>
              <w:rPr>
                <w:color w:val="121212"/>
              </w:rPr>
              <w:instrText xml:space="preserve"> PAGEREF _Toc240448244 \h </w:instrText>
            </w:r>
            <w:r>
              <w:rPr>
                <w:color w:val="121212"/>
              </w:rPr>
            </w:r>
            <w:r>
              <w:rPr>
                <w:color w:val="121212"/>
              </w:rPr>
              <w:fldChar w:fldCharType="separate"/>
            </w:r>
            <w:r>
              <w:rPr>
                <w:color w:val="121212"/>
              </w:rPr>
              <w:t>17</w:t>
            </w:r>
            <w:r>
              <w:rPr>
                <w:color w:val="121212"/>
              </w:rPr>
              <w:fldChar w:fldCharType="end"/>
            </w:r>
          </w:hyperlink>
        </w:p>
        <w:p w14:paraId="16BCAF91"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45" w:history="1">
            <w:r>
              <w:rPr>
                <w:rStyle w:val="Hyperlink"/>
                <w:color w:val="121212"/>
              </w:rPr>
              <w:t>2.2 Definition of Concepts</w:t>
            </w:r>
            <w:r>
              <w:rPr>
                <w:color w:val="121212"/>
              </w:rPr>
              <w:tab/>
            </w:r>
            <w:r>
              <w:rPr>
                <w:color w:val="121212"/>
              </w:rPr>
              <w:fldChar w:fldCharType="begin"/>
            </w:r>
            <w:r>
              <w:rPr>
                <w:color w:val="121212"/>
              </w:rPr>
              <w:instrText xml:space="preserve"> PAGEREF _Toc240448245 \h </w:instrText>
            </w:r>
            <w:r>
              <w:rPr>
                <w:color w:val="121212"/>
              </w:rPr>
            </w:r>
            <w:r>
              <w:rPr>
                <w:color w:val="121212"/>
              </w:rPr>
              <w:fldChar w:fldCharType="separate"/>
            </w:r>
            <w:r>
              <w:rPr>
                <w:color w:val="121212"/>
              </w:rPr>
              <w:t>17</w:t>
            </w:r>
            <w:r>
              <w:rPr>
                <w:color w:val="121212"/>
              </w:rPr>
              <w:fldChar w:fldCharType="end"/>
            </w:r>
          </w:hyperlink>
        </w:p>
        <w:p w14:paraId="5FA80259"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46" w:history="1">
            <w:r>
              <w:rPr>
                <w:rStyle w:val="Hyperlink"/>
                <w:color w:val="121212"/>
              </w:rPr>
              <w:t>2.3 Theoretical Framework</w:t>
            </w:r>
            <w:r>
              <w:rPr>
                <w:color w:val="121212"/>
              </w:rPr>
              <w:tab/>
            </w:r>
            <w:r>
              <w:rPr>
                <w:color w:val="121212"/>
              </w:rPr>
              <w:fldChar w:fldCharType="begin"/>
            </w:r>
            <w:r>
              <w:rPr>
                <w:color w:val="121212"/>
              </w:rPr>
              <w:instrText xml:space="preserve"> PAGEREF _Toc240448246 \h </w:instrText>
            </w:r>
            <w:r>
              <w:rPr>
                <w:color w:val="121212"/>
              </w:rPr>
            </w:r>
            <w:r>
              <w:rPr>
                <w:color w:val="121212"/>
              </w:rPr>
              <w:fldChar w:fldCharType="separate"/>
            </w:r>
            <w:r>
              <w:rPr>
                <w:color w:val="121212"/>
              </w:rPr>
              <w:t>18</w:t>
            </w:r>
            <w:r>
              <w:rPr>
                <w:color w:val="121212"/>
              </w:rPr>
              <w:fldChar w:fldCharType="end"/>
            </w:r>
          </w:hyperlink>
        </w:p>
        <w:p w14:paraId="4B6F04C5"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47" w:history="1">
            <w:r>
              <w:rPr>
                <w:rStyle w:val="Hyperlink"/>
                <w:color w:val="121212"/>
              </w:rPr>
              <w:t>2.4 Empirical Evidence</w:t>
            </w:r>
            <w:r>
              <w:rPr>
                <w:color w:val="121212"/>
              </w:rPr>
              <w:tab/>
            </w:r>
            <w:r>
              <w:rPr>
                <w:color w:val="121212"/>
              </w:rPr>
              <w:fldChar w:fldCharType="begin"/>
            </w:r>
            <w:r>
              <w:rPr>
                <w:color w:val="121212"/>
              </w:rPr>
              <w:instrText xml:space="preserve"> PAGEREF _Toc240448247 \h </w:instrText>
            </w:r>
            <w:r>
              <w:rPr>
                <w:color w:val="121212"/>
              </w:rPr>
            </w:r>
            <w:r>
              <w:rPr>
                <w:color w:val="121212"/>
              </w:rPr>
              <w:fldChar w:fldCharType="separate"/>
            </w:r>
            <w:r>
              <w:rPr>
                <w:color w:val="121212"/>
              </w:rPr>
              <w:t>21</w:t>
            </w:r>
            <w:r>
              <w:rPr>
                <w:color w:val="121212"/>
              </w:rPr>
              <w:fldChar w:fldCharType="end"/>
            </w:r>
          </w:hyperlink>
        </w:p>
        <w:p w14:paraId="7D16DDBE" w14:textId="77777777" w:rsidR="00423B40" w:rsidRDefault="00423B40">
          <w:pPr>
            <w:pStyle w:val="TOC3"/>
            <w:tabs>
              <w:tab w:val="right" w:leader="dot" w:pos="9016"/>
            </w:tabs>
            <w:rPr>
              <w:rFonts w:asciiTheme="minorHAnsi" w:eastAsiaTheme="minorEastAsia" w:hAnsiTheme="minorHAnsi" w:cstheme="minorBidi"/>
              <w:color w:val="121212"/>
              <w:kern w:val="2"/>
              <w:sz w:val="24"/>
              <w:szCs w:val="24"/>
              <w:lang w:eastAsia="en-GB"/>
            </w:rPr>
          </w:pPr>
          <w:hyperlink w:anchor="_Toc240448248" w:history="1">
            <w:r>
              <w:rPr>
                <w:rStyle w:val="Hyperlink"/>
                <w:color w:val="121212"/>
              </w:rPr>
              <w:t>2.4.1 Symptoms of pelvic floor dysfunction among young adults aged 18-35 years</w:t>
            </w:r>
            <w:r>
              <w:rPr>
                <w:color w:val="121212"/>
              </w:rPr>
              <w:tab/>
            </w:r>
            <w:r>
              <w:rPr>
                <w:color w:val="121212"/>
              </w:rPr>
              <w:fldChar w:fldCharType="begin"/>
            </w:r>
            <w:r>
              <w:rPr>
                <w:color w:val="121212"/>
              </w:rPr>
              <w:instrText xml:space="preserve"> PAGEREF _Toc240448248 \h </w:instrText>
            </w:r>
            <w:r>
              <w:rPr>
                <w:color w:val="121212"/>
              </w:rPr>
            </w:r>
            <w:r>
              <w:rPr>
                <w:color w:val="121212"/>
              </w:rPr>
              <w:fldChar w:fldCharType="separate"/>
            </w:r>
            <w:r>
              <w:rPr>
                <w:color w:val="121212"/>
              </w:rPr>
              <w:t>21</w:t>
            </w:r>
            <w:r>
              <w:rPr>
                <w:color w:val="121212"/>
              </w:rPr>
              <w:fldChar w:fldCharType="end"/>
            </w:r>
          </w:hyperlink>
        </w:p>
        <w:p w14:paraId="7145BC9A" w14:textId="77777777" w:rsidR="00423B40" w:rsidRDefault="00423B40">
          <w:pPr>
            <w:pStyle w:val="TOC3"/>
            <w:tabs>
              <w:tab w:val="right" w:leader="dot" w:pos="9016"/>
            </w:tabs>
            <w:rPr>
              <w:rFonts w:asciiTheme="minorHAnsi" w:eastAsiaTheme="minorEastAsia" w:hAnsiTheme="minorHAnsi" w:cstheme="minorBidi"/>
              <w:color w:val="121212"/>
              <w:kern w:val="2"/>
              <w:sz w:val="24"/>
              <w:szCs w:val="24"/>
              <w:lang w:eastAsia="en-GB"/>
            </w:rPr>
          </w:pPr>
          <w:hyperlink w:anchor="_Toc240448249" w:history="1">
            <w:r>
              <w:rPr>
                <w:rStyle w:val="Hyperlink"/>
                <w:color w:val="121212"/>
              </w:rPr>
              <w:t>2.4.2 Correlation between the symptoms of pelvic floor dysfunction and the markers of major depressive disorder in the selected population</w:t>
            </w:r>
            <w:r>
              <w:rPr>
                <w:color w:val="121212"/>
              </w:rPr>
              <w:tab/>
            </w:r>
            <w:r>
              <w:rPr>
                <w:color w:val="121212"/>
              </w:rPr>
              <w:fldChar w:fldCharType="begin"/>
            </w:r>
            <w:r>
              <w:rPr>
                <w:color w:val="121212"/>
              </w:rPr>
              <w:instrText xml:space="preserve"> PAGEREF _Toc240448249 \h </w:instrText>
            </w:r>
            <w:r>
              <w:rPr>
                <w:color w:val="121212"/>
              </w:rPr>
            </w:r>
            <w:r>
              <w:rPr>
                <w:color w:val="121212"/>
              </w:rPr>
              <w:fldChar w:fldCharType="separate"/>
            </w:r>
            <w:r>
              <w:rPr>
                <w:color w:val="121212"/>
              </w:rPr>
              <w:t>22</w:t>
            </w:r>
            <w:r>
              <w:rPr>
                <w:color w:val="121212"/>
              </w:rPr>
              <w:fldChar w:fldCharType="end"/>
            </w:r>
          </w:hyperlink>
        </w:p>
        <w:p w14:paraId="1B616672" w14:textId="77777777" w:rsidR="00423B40" w:rsidRDefault="00423B40">
          <w:pPr>
            <w:pStyle w:val="TOC3"/>
            <w:tabs>
              <w:tab w:val="right" w:leader="dot" w:pos="9016"/>
            </w:tabs>
            <w:rPr>
              <w:rFonts w:asciiTheme="minorHAnsi" w:eastAsiaTheme="minorEastAsia" w:hAnsiTheme="minorHAnsi" w:cstheme="minorBidi"/>
              <w:color w:val="121212"/>
              <w:kern w:val="2"/>
              <w:sz w:val="24"/>
              <w:szCs w:val="24"/>
              <w:lang w:eastAsia="en-GB"/>
            </w:rPr>
          </w:pPr>
          <w:hyperlink w:anchor="_Toc240448250" w:history="1">
            <w:r>
              <w:rPr>
                <w:rStyle w:val="Hyperlink"/>
                <w:color w:val="121212"/>
              </w:rPr>
              <w:t>2.4.3 Impact of moderating variables on the association between pelvic floor dysfunction and mental health outcomes.</w:t>
            </w:r>
            <w:r>
              <w:rPr>
                <w:color w:val="121212"/>
              </w:rPr>
              <w:tab/>
            </w:r>
            <w:r>
              <w:rPr>
                <w:color w:val="121212"/>
              </w:rPr>
              <w:fldChar w:fldCharType="begin"/>
            </w:r>
            <w:r>
              <w:rPr>
                <w:color w:val="121212"/>
              </w:rPr>
              <w:instrText xml:space="preserve"> PAGEREF _Toc240448250 \h </w:instrText>
            </w:r>
            <w:r>
              <w:rPr>
                <w:color w:val="121212"/>
              </w:rPr>
            </w:r>
            <w:r>
              <w:rPr>
                <w:color w:val="121212"/>
              </w:rPr>
              <w:fldChar w:fldCharType="separate"/>
            </w:r>
            <w:r>
              <w:rPr>
                <w:color w:val="121212"/>
              </w:rPr>
              <w:t>23</w:t>
            </w:r>
            <w:r>
              <w:rPr>
                <w:color w:val="121212"/>
              </w:rPr>
              <w:fldChar w:fldCharType="end"/>
            </w:r>
          </w:hyperlink>
        </w:p>
        <w:p w14:paraId="02A3D8B1" w14:textId="77777777" w:rsidR="00423B40" w:rsidRDefault="00423B40">
          <w:pPr>
            <w:pStyle w:val="TOC3"/>
            <w:tabs>
              <w:tab w:val="right" w:leader="dot" w:pos="9016"/>
            </w:tabs>
            <w:rPr>
              <w:rFonts w:asciiTheme="minorHAnsi" w:eastAsiaTheme="minorEastAsia" w:hAnsiTheme="minorHAnsi" w:cstheme="minorBidi"/>
              <w:color w:val="121212"/>
              <w:kern w:val="2"/>
              <w:sz w:val="24"/>
              <w:szCs w:val="24"/>
              <w:lang w:eastAsia="en-GB"/>
            </w:rPr>
          </w:pPr>
          <w:hyperlink w:anchor="_Toc240448251" w:history="1">
            <w:r>
              <w:rPr>
                <w:rStyle w:val="Hyperlink"/>
                <w:color w:val="121212"/>
              </w:rPr>
              <w:t>2.4.4 Strategies for improving clinical practice, early identification, and integrated care approaches for pelvic floor dysfunction and associated mental health</w:t>
            </w:r>
            <w:r>
              <w:rPr>
                <w:color w:val="121212"/>
              </w:rPr>
              <w:tab/>
            </w:r>
            <w:r>
              <w:rPr>
                <w:color w:val="121212"/>
              </w:rPr>
              <w:fldChar w:fldCharType="begin"/>
            </w:r>
            <w:r>
              <w:rPr>
                <w:color w:val="121212"/>
              </w:rPr>
              <w:instrText xml:space="preserve"> PAGEREF _Toc240448251 \h </w:instrText>
            </w:r>
            <w:r>
              <w:rPr>
                <w:color w:val="121212"/>
              </w:rPr>
            </w:r>
            <w:r>
              <w:rPr>
                <w:color w:val="121212"/>
              </w:rPr>
              <w:fldChar w:fldCharType="separate"/>
            </w:r>
            <w:r>
              <w:rPr>
                <w:color w:val="121212"/>
              </w:rPr>
              <w:t>25</w:t>
            </w:r>
            <w:r>
              <w:rPr>
                <w:color w:val="121212"/>
              </w:rPr>
              <w:fldChar w:fldCharType="end"/>
            </w:r>
          </w:hyperlink>
        </w:p>
        <w:p w14:paraId="62BCB765"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52" w:history="1">
            <w:r>
              <w:rPr>
                <w:rStyle w:val="Hyperlink"/>
                <w:color w:val="121212"/>
              </w:rPr>
              <w:t>2.5 Literature Gap</w:t>
            </w:r>
            <w:r>
              <w:rPr>
                <w:color w:val="121212"/>
              </w:rPr>
              <w:tab/>
            </w:r>
            <w:r>
              <w:rPr>
                <w:color w:val="121212"/>
              </w:rPr>
              <w:fldChar w:fldCharType="begin"/>
            </w:r>
            <w:r>
              <w:rPr>
                <w:color w:val="121212"/>
              </w:rPr>
              <w:instrText xml:space="preserve"> PAGEREF _Toc240448252 \h </w:instrText>
            </w:r>
            <w:r>
              <w:rPr>
                <w:color w:val="121212"/>
              </w:rPr>
            </w:r>
            <w:r>
              <w:rPr>
                <w:color w:val="121212"/>
              </w:rPr>
              <w:fldChar w:fldCharType="separate"/>
            </w:r>
            <w:r>
              <w:rPr>
                <w:color w:val="121212"/>
              </w:rPr>
              <w:t>26</w:t>
            </w:r>
            <w:r>
              <w:rPr>
                <w:color w:val="121212"/>
              </w:rPr>
              <w:fldChar w:fldCharType="end"/>
            </w:r>
          </w:hyperlink>
        </w:p>
        <w:p w14:paraId="7CD48744"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53" w:history="1">
            <w:r>
              <w:rPr>
                <w:rStyle w:val="Hyperlink"/>
                <w:color w:val="121212"/>
              </w:rPr>
              <w:t>2.6 Conceptual Framework</w:t>
            </w:r>
            <w:r>
              <w:rPr>
                <w:color w:val="121212"/>
              </w:rPr>
              <w:tab/>
            </w:r>
            <w:r>
              <w:rPr>
                <w:color w:val="121212"/>
              </w:rPr>
              <w:fldChar w:fldCharType="begin"/>
            </w:r>
            <w:r>
              <w:rPr>
                <w:color w:val="121212"/>
              </w:rPr>
              <w:instrText xml:space="preserve"> PAGEREF _Toc240448253 \h </w:instrText>
            </w:r>
            <w:r>
              <w:rPr>
                <w:color w:val="121212"/>
              </w:rPr>
            </w:r>
            <w:r>
              <w:rPr>
                <w:color w:val="121212"/>
              </w:rPr>
              <w:fldChar w:fldCharType="separate"/>
            </w:r>
            <w:r>
              <w:rPr>
                <w:color w:val="121212"/>
              </w:rPr>
              <w:t>27</w:t>
            </w:r>
            <w:r>
              <w:rPr>
                <w:color w:val="121212"/>
              </w:rPr>
              <w:fldChar w:fldCharType="end"/>
            </w:r>
          </w:hyperlink>
        </w:p>
        <w:p w14:paraId="005629ED"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54" w:history="1">
            <w:r>
              <w:rPr>
                <w:rStyle w:val="Hyperlink"/>
                <w:color w:val="121212"/>
              </w:rPr>
              <w:t>2.7 Summary</w:t>
            </w:r>
            <w:r>
              <w:rPr>
                <w:color w:val="121212"/>
              </w:rPr>
              <w:tab/>
            </w:r>
            <w:r>
              <w:rPr>
                <w:color w:val="121212"/>
              </w:rPr>
              <w:fldChar w:fldCharType="begin"/>
            </w:r>
            <w:r>
              <w:rPr>
                <w:color w:val="121212"/>
              </w:rPr>
              <w:instrText xml:space="preserve"> PAGEREF _Toc240448254 \h </w:instrText>
            </w:r>
            <w:r>
              <w:rPr>
                <w:color w:val="121212"/>
              </w:rPr>
            </w:r>
            <w:r>
              <w:rPr>
                <w:color w:val="121212"/>
              </w:rPr>
              <w:fldChar w:fldCharType="separate"/>
            </w:r>
            <w:r>
              <w:rPr>
                <w:color w:val="121212"/>
              </w:rPr>
              <w:t>27</w:t>
            </w:r>
            <w:r>
              <w:rPr>
                <w:color w:val="121212"/>
              </w:rPr>
              <w:fldChar w:fldCharType="end"/>
            </w:r>
          </w:hyperlink>
        </w:p>
        <w:p w14:paraId="04932412" w14:textId="77777777" w:rsidR="00423B40" w:rsidRDefault="00423B40">
          <w:pPr>
            <w:pStyle w:val="TOC1"/>
            <w:tabs>
              <w:tab w:val="right" w:leader="dot" w:pos="9016"/>
            </w:tabs>
            <w:rPr>
              <w:rFonts w:asciiTheme="minorHAnsi" w:eastAsiaTheme="minorEastAsia" w:hAnsiTheme="minorHAnsi" w:cstheme="minorBidi"/>
              <w:color w:val="121212"/>
              <w:kern w:val="2"/>
              <w:sz w:val="24"/>
              <w:szCs w:val="24"/>
              <w:lang w:eastAsia="en-GB"/>
            </w:rPr>
          </w:pPr>
          <w:hyperlink w:anchor="_Toc240448255" w:history="1">
            <w:r>
              <w:rPr>
                <w:rStyle w:val="Hyperlink"/>
                <w:color w:val="121212"/>
              </w:rPr>
              <w:t>Chapter 3: Methods &amp; Methodology</w:t>
            </w:r>
            <w:r>
              <w:rPr>
                <w:color w:val="121212"/>
              </w:rPr>
              <w:tab/>
            </w:r>
            <w:r>
              <w:rPr>
                <w:color w:val="121212"/>
              </w:rPr>
              <w:fldChar w:fldCharType="begin"/>
            </w:r>
            <w:r>
              <w:rPr>
                <w:color w:val="121212"/>
              </w:rPr>
              <w:instrText xml:space="preserve"> PAGEREF _Toc240448255 \h </w:instrText>
            </w:r>
            <w:r>
              <w:rPr>
                <w:color w:val="121212"/>
              </w:rPr>
            </w:r>
            <w:r>
              <w:rPr>
                <w:color w:val="121212"/>
              </w:rPr>
              <w:fldChar w:fldCharType="separate"/>
            </w:r>
            <w:r>
              <w:rPr>
                <w:color w:val="121212"/>
              </w:rPr>
              <w:t>28</w:t>
            </w:r>
            <w:r>
              <w:rPr>
                <w:color w:val="121212"/>
              </w:rPr>
              <w:fldChar w:fldCharType="end"/>
            </w:r>
          </w:hyperlink>
        </w:p>
        <w:p w14:paraId="1BDB7825"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56" w:history="1">
            <w:r>
              <w:rPr>
                <w:rStyle w:val="Hyperlink"/>
                <w:color w:val="121212"/>
              </w:rPr>
              <w:t>3.1 Introduction</w:t>
            </w:r>
            <w:r>
              <w:rPr>
                <w:color w:val="121212"/>
              </w:rPr>
              <w:tab/>
            </w:r>
            <w:r>
              <w:rPr>
                <w:color w:val="121212"/>
              </w:rPr>
              <w:fldChar w:fldCharType="begin"/>
            </w:r>
            <w:r>
              <w:rPr>
                <w:color w:val="121212"/>
              </w:rPr>
              <w:instrText xml:space="preserve"> PAGEREF _Toc240448256 \h </w:instrText>
            </w:r>
            <w:r>
              <w:rPr>
                <w:color w:val="121212"/>
              </w:rPr>
            </w:r>
            <w:r>
              <w:rPr>
                <w:color w:val="121212"/>
              </w:rPr>
              <w:fldChar w:fldCharType="separate"/>
            </w:r>
            <w:r>
              <w:rPr>
                <w:color w:val="121212"/>
              </w:rPr>
              <w:t>28</w:t>
            </w:r>
            <w:r>
              <w:rPr>
                <w:color w:val="121212"/>
              </w:rPr>
              <w:fldChar w:fldCharType="end"/>
            </w:r>
          </w:hyperlink>
        </w:p>
        <w:p w14:paraId="4D9CEEBB"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57" w:history="1">
            <w:r>
              <w:rPr>
                <w:rStyle w:val="Hyperlink"/>
                <w:color w:val="121212"/>
              </w:rPr>
              <w:t>3.2 Research Philosophy</w:t>
            </w:r>
            <w:r>
              <w:rPr>
                <w:color w:val="121212"/>
              </w:rPr>
              <w:tab/>
            </w:r>
            <w:r>
              <w:rPr>
                <w:color w:val="121212"/>
              </w:rPr>
              <w:fldChar w:fldCharType="begin"/>
            </w:r>
            <w:r>
              <w:rPr>
                <w:color w:val="121212"/>
              </w:rPr>
              <w:instrText xml:space="preserve"> PAGEREF _Toc240448257 \h </w:instrText>
            </w:r>
            <w:r>
              <w:rPr>
                <w:color w:val="121212"/>
              </w:rPr>
            </w:r>
            <w:r>
              <w:rPr>
                <w:color w:val="121212"/>
              </w:rPr>
              <w:fldChar w:fldCharType="separate"/>
            </w:r>
            <w:r>
              <w:rPr>
                <w:color w:val="121212"/>
              </w:rPr>
              <w:t>28</w:t>
            </w:r>
            <w:r>
              <w:rPr>
                <w:color w:val="121212"/>
              </w:rPr>
              <w:fldChar w:fldCharType="end"/>
            </w:r>
          </w:hyperlink>
        </w:p>
        <w:p w14:paraId="187F53F1"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58" w:history="1">
            <w:r>
              <w:rPr>
                <w:rStyle w:val="Hyperlink"/>
                <w:color w:val="121212"/>
              </w:rPr>
              <w:t>3.3 Ethical Consideration</w:t>
            </w:r>
            <w:r>
              <w:rPr>
                <w:color w:val="121212"/>
              </w:rPr>
              <w:tab/>
            </w:r>
            <w:r>
              <w:rPr>
                <w:color w:val="121212"/>
              </w:rPr>
              <w:fldChar w:fldCharType="begin"/>
            </w:r>
            <w:r>
              <w:rPr>
                <w:color w:val="121212"/>
              </w:rPr>
              <w:instrText xml:space="preserve"> PAGEREF _Toc240448258 \h </w:instrText>
            </w:r>
            <w:r>
              <w:rPr>
                <w:color w:val="121212"/>
              </w:rPr>
            </w:r>
            <w:r>
              <w:rPr>
                <w:color w:val="121212"/>
              </w:rPr>
              <w:fldChar w:fldCharType="separate"/>
            </w:r>
            <w:r>
              <w:rPr>
                <w:color w:val="121212"/>
              </w:rPr>
              <w:t>28</w:t>
            </w:r>
            <w:r>
              <w:rPr>
                <w:color w:val="121212"/>
              </w:rPr>
              <w:fldChar w:fldCharType="end"/>
            </w:r>
          </w:hyperlink>
        </w:p>
        <w:p w14:paraId="67C3F1CE"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59" w:history="1">
            <w:r>
              <w:rPr>
                <w:rStyle w:val="Hyperlink"/>
                <w:color w:val="121212"/>
              </w:rPr>
              <w:t>3.4 Research Approach</w:t>
            </w:r>
            <w:r>
              <w:rPr>
                <w:color w:val="121212"/>
              </w:rPr>
              <w:tab/>
            </w:r>
            <w:r>
              <w:rPr>
                <w:color w:val="121212"/>
              </w:rPr>
              <w:fldChar w:fldCharType="begin"/>
            </w:r>
            <w:r>
              <w:rPr>
                <w:color w:val="121212"/>
              </w:rPr>
              <w:instrText xml:space="preserve"> PAGEREF _Toc240448259 \h </w:instrText>
            </w:r>
            <w:r>
              <w:rPr>
                <w:color w:val="121212"/>
              </w:rPr>
            </w:r>
            <w:r>
              <w:rPr>
                <w:color w:val="121212"/>
              </w:rPr>
              <w:fldChar w:fldCharType="separate"/>
            </w:r>
            <w:r>
              <w:rPr>
                <w:color w:val="121212"/>
              </w:rPr>
              <w:t>29</w:t>
            </w:r>
            <w:r>
              <w:rPr>
                <w:color w:val="121212"/>
              </w:rPr>
              <w:fldChar w:fldCharType="end"/>
            </w:r>
          </w:hyperlink>
        </w:p>
        <w:p w14:paraId="632060F2"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60" w:history="1">
            <w:r>
              <w:rPr>
                <w:rStyle w:val="Hyperlink"/>
                <w:color w:val="121212"/>
              </w:rPr>
              <w:t>3.5 Research Strategy</w:t>
            </w:r>
            <w:r>
              <w:rPr>
                <w:color w:val="121212"/>
              </w:rPr>
              <w:tab/>
            </w:r>
            <w:r>
              <w:rPr>
                <w:color w:val="121212"/>
              </w:rPr>
              <w:fldChar w:fldCharType="begin"/>
            </w:r>
            <w:r>
              <w:rPr>
                <w:color w:val="121212"/>
              </w:rPr>
              <w:instrText xml:space="preserve"> PAGEREF _Toc240448260 \h </w:instrText>
            </w:r>
            <w:r>
              <w:rPr>
                <w:color w:val="121212"/>
              </w:rPr>
            </w:r>
            <w:r>
              <w:rPr>
                <w:color w:val="121212"/>
              </w:rPr>
              <w:fldChar w:fldCharType="separate"/>
            </w:r>
            <w:r>
              <w:rPr>
                <w:color w:val="121212"/>
              </w:rPr>
              <w:t>29</w:t>
            </w:r>
            <w:r>
              <w:rPr>
                <w:color w:val="121212"/>
              </w:rPr>
              <w:fldChar w:fldCharType="end"/>
            </w:r>
          </w:hyperlink>
        </w:p>
        <w:p w14:paraId="6C342071"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61" w:history="1">
            <w:r>
              <w:rPr>
                <w:rStyle w:val="Hyperlink"/>
                <w:color w:val="121212"/>
              </w:rPr>
              <w:t>3.6 Study Design</w:t>
            </w:r>
            <w:r>
              <w:rPr>
                <w:color w:val="121212"/>
              </w:rPr>
              <w:tab/>
            </w:r>
            <w:r>
              <w:rPr>
                <w:color w:val="121212"/>
              </w:rPr>
              <w:fldChar w:fldCharType="begin"/>
            </w:r>
            <w:r>
              <w:rPr>
                <w:color w:val="121212"/>
              </w:rPr>
              <w:instrText xml:space="preserve"> PAGEREF _Toc240448261 \h </w:instrText>
            </w:r>
            <w:r>
              <w:rPr>
                <w:color w:val="121212"/>
              </w:rPr>
            </w:r>
            <w:r>
              <w:rPr>
                <w:color w:val="121212"/>
              </w:rPr>
              <w:fldChar w:fldCharType="separate"/>
            </w:r>
            <w:r>
              <w:rPr>
                <w:color w:val="121212"/>
              </w:rPr>
              <w:t>30</w:t>
            </w:r>
            <w:r>
              <w:rPr>
                <w:color w:val="121212"/>
              </w:rPr>
              <w:fldChar w:fldCharType="end"/>
            </w:r>
          </w:hyperlink>
        </w:p>
        <w:p w14:paraId="26CD8AE9"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62" w:history="1">
            <w:r>
              <w:rPr>
                <w:rStyle w:val="Hyperlink"/>
                <w:color w:val="121212"/>
              </w:rPr>
              <w:t>3.7 Method of Data Collection</w:t>
            </w:r>
            <w:r>
              <w:rPr>
                <w:color w:val="121212"/>
              </w:rPr>
              <w:tab/>
            </w:r>
            <w:r>
              <w:rPr>
                <w:color w:val="121212"/>
              </w:rPr>
              <w:fldChar w:fldCharType="begin"/>
            </w:r>
            <w:r>
              <w:rPr>
                <w:color w:val="121212"/>
              </w:rPr>
              <w:instrText xml:space="preserve"> PAGEREF _Toc240448262 \h </w:instrText>
            </w:r>
            <w:r>
              <w:rPr>
                <w:color w:val="121212"/>
              </w:rPr>
            </w:r>
            <w:r>
              <w:rPr>
                <w:color w:val="121212"/>
              </w:rPr>
              <w:fldChar w:fldCharType="separate"/>
            </w:r>
            <w:r>
              <w:rPr>
                <w:color w:val="121212"/>
              </w:rPr>
              <w:t>30</w:t>
            </w:r>
            <w:r>
              <w:rPr>
                <w:color w:val="121212"/>
              </w:rPr>
              <w:fldChar w:fldCharType="end"/>
            </w:r>
          </w:hyperlink>
        </w:p>
        <w:p w14:paraId="3656C9DD" w14:textId="77777777" w:rsidR="00423B40" w:rsidRDefault="00423B40">
          <w:pPr>
            <w:pStyle w:val="TOC3"/>
            <w:tabs>
              <w:tab w:val="right" w:leader="dot" w:pos="9016"/>
            </w:tabs>
            <w:rPr>
              <w:rFonts w:asciiTheme="minorHAnsi" w:eastAsiaTheme="minorEastAsia" w:hAnsiTheme="minorHAnsi" w:cstheme="minorBidi"/>
              <w:color w:val="121212"/>
              <w:kern w:val="2"/>
              <w:sz w:val="24"/>
              <w:szCs w:val="24"/>
              <w:lang w:eastAsia="en-GB"/>
            </w:rPr>
          </w:pPr>
          <w:hyperlink w:anchor="_Toc240448263" w:history="1">
            <w:r>
              <w:rPr>
                <w:rStyle w:val="Hyperlink"/>
                <w:color w:val="121212"/>
              </w:rPr>
              <w:t>3.7.1 Search Strategy</w:t>
            </w:r>
            <w:r>
              <w:rPr>
                <w:color w:val="121212"/>
              </w:rPr>
              <w:tab/>
            </w:r>
            <w:r>
              <w:rPr>
                <w:color w:val="121212"/>
              </w:rPr>
              <w:fldChar w:fldCharType="begin"/>
            </w:r>
            <w:r>
              <w:rPr>
                <w:color w:val="121212"/>
              </w:rPr>
              <w:instrText xml:space="preserve"> PAGEREF _Toc240448263 \h </w:instrText>
            </w:r>
            <w:r>
              <w:rPr>
                <w:color w:val="121212"/>
              </w:rPr>
            </w:r>
            <w:r>
              <w:rPr>
                <w:color w:val="121212"/>
              </w:rPr>
              <w:fldChar w:fldCharType="separate"/>
            </w:r>
            <w:r>
              <w:rPr>
                <w:color w:val="121212"/>
              </w:rPr>
              <w:t>30</w:t>
            </w:r>
            <w:r>
              <w:rPr>
                <w:color w:val="121212"/>
              </w:rPr>
              <w:fldChar w:fldCharType="end"/>
            </w:r>
          </w:hyperlink>
        </w:p>
        <w:p w14:paraId="3A8AE61F"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64" w:history="1">
            <w:r>
              <w:rPr>
                <w:rStyle w:val="Hyperlink"/>
                <w:color w:val="121212"/>
              </w:rPr>
              <w:t>3.8 Framing the Research Question (PICO)</w:t>
            </w:r>
            <w:r>
              <w:rPr>
                <w:color w:val="121212"/>
              </w:rPr>
              <w:tab/>
            </w:r>
            <w:r>
              <w:rPr>
                <w:color w:val="121212"/>
              </w:rPr>
              <w:fldChar w:fldCharType="begin"/>
            </w:r>
            <w:r>
              <w:rPr>
                <w:color w:val="121212"/>
              </w:rPr>
              <w:instrText xml:space="preserve"> PAGEREF _Toc240448264 \h </w:instrText>
            </w:r>
            <w:r>
              <w:rPr>
                <w:color w:val="121212"/>
              </w:rPr>
            </w:r>
            <w:r>
              <w:rPr>
                <w:color w:val="121212"/>
              </w:rPr>
              <w:fldChar w:fldCharType="separate"/>
            </w:r>
            <w:r>
              <w:rPr>
                <w:color w:val="121212"/>
              </w:rPr>
              <w:t>30</w:t>
            </w:r>
            <w:r>
              <w:rPr>
                <w:color w:val="121212"/>
              </w:rPr>
              <w:fldChar w:fldCharType="end"/>
            </w:r>
          </w:hyperlink>
        </w:p>
        <w:p w14:paraId="7DAB0DFF"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65" w:history="1">
            <w:r>
              <w:rPr>
                <w:rStyle w:val="Hyperlink"/>
                <w:color w:val="121212"/>
              </w:rPr>
              <w:t>3.9 Database Research Procedure</w:t>
            </w:r>
            <w:r>
              <w:rPr>
                <w:color w:val="121212"/>
              </w:rPr>
              <w:tab/>
            </w:r>
            <w:r>
              <w:rPr>
                <w:color w:val="121212"/>
              </w:rPr>
              <w:fldChar w:fldCharType="begin"/>
            </w:r>
            <w:r>
              <w:rPr>
                <w:color w:val="121212"/>
              </w:rPr>
              <w:instrText xml:space="preserve"> PAGEREF _Toc240448265 \h </w:instrText>
            </w:r>
            <w:r>
              <w:rPr>
                <w:color w:val="121212"/>
              </w:rPr>
            </w:r>
            <w:r>
              <w:rPr>
                <w:color w:val="121212"/>
              </w:rPr>
              <w:fldChar w:fldCharType="separate"/>
            </w:r>
            <w:r>
              <w:rPr>
                <w:color w:val="121212"/>
              </w:rPr>
              <w:t>31</w:t>
            </w:r>
            <w:r>
              <w:rPr>
                <w:color w:val="121212"/>
              </w:rPr>
              <w:fldChar w:fldCharType="end"/>
            </w:r>
          </w:hyperlink>
        </w:p>
        <w:p w14:paraId="2644EE91"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66" w:history="1">
            <w:r>
              <w:rPr>
                <w:rStyle w:val="Hyperlink"/>
                <w:color w:val="121212"/>
              </w:rPr>
              <w:t>3.10 Hand Search</w:t>
            </w:r>
            <w:r>
              <w:rPr>
                <w:color w:val="121212"/>
              </w:rPr>
              <w:tab/>
            </w:r>
            <w:r>
              <w:rPr>
                <w:color w:val="121212"/>
              </w:rPr>
              <w:fldChar w:fldCharType="begin"/>
            </w:r>
            <w:r>
              <w:rPr>
                <w:color w:val="121212"/>
              </w:rPr>
              <w:instrText xml:space="preserve"> PAGEREF _Toc240448266 \h </w:instrText>
            </w:r>
            <w:r>
              <w:rPr>
                <w:color w:val="121212"/>
              </w:rPr>
            </w:r>
            <w:r>
              <w:rPr>
                <w:color w:val="121212"/>
              </w:rPr>
              <w:fldChar w:fldCharType="separate"/>
            </w:r>
            <w:r>
              <w:rPr>
                <w:color w:val="121212"/>
              </w:rPr>
              <w:t>31</w:t>
            </w:r>
            <w:r>
              <w:rPr>
                <w:color w:val="121212"/>
              </w:rPr>
              <w:fldChar w:fldCharType="end"/>
            </w:r>
          </w:hyperlink>
        </w:p>
        <w:p w14:paraId="3D80FEFA"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67" w:history="1">
            <w:r>
              <w:rPr>
                <w:rStyle w:val="Hyperlink"/>
                <w:color w:val="121212"/>
              </w:rPr>
              <w:t>3.11 Grey Literature</w:t>
            </w:r>
            <w:r>
              <w:rPr>
                <w:color w:val="121212"/>
              </w:rPr>
              <w:tab/>
            </w:r>
            <w:r>
              <w:rPr>
                <w:color w:val="121212"/>
              </w:rPr>
              <w:fldChar w:fldCharType="begin"/>
            </w:r>
            <w:r>
              <w:rPr>
                <w:color w:val="121212"/>
              </w:rPr>
              <w:instrText xml:space="preserve"> PAGEREF _Toc240448267 \h </w:instrText>
            </w:r>
            <w:r>
              <w:rPr>
                <w:color w:val="121212"/>
              </w:rPr>
            </w:r>
            <w:r>
              <w:rPr>
                <w:color w:val="121212"/>
              </w:rPr>
              <w:fldChar w:fldCharType="separate"/>
            </w:r>
            <w:r>
              <w:rPr>
                <w:color w:val="121212"/>
              </w:rPr>
              <w:t>32</w:t>
            </w:r>
            <w:r>
              <w:rPr>
                <w:color w:val="121212"/>
              </w:rPr>
              <w:fldChar w:fldCharType="end"/>
            </w:r>
          </w:hyperlink>
        </w:p>
        <w:p w14:paraId="18C28F8B"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68" w:history="1">
            <w:r>
              <w:rPr>
                <w:rStyle w:val="Hyperlink"/>
                <w:color w:val="121212"/>
              </w:rPr>
              <w:t>3.12 Inclusion and Exclusion</w:t>
            </w:r>
            <w:r>
              <w:rPr>
                <w:color w:val="121212"/>
              </w:rPr>
              <w:tab/>
            </w:r>
            <w:r>
              <w:rPr>
                <w:color w:val="121212"/>
              </w:rPr>
              <w:fldChar w:fldCharType="begin"/>
            </w:r>
            <w:r>
              <w:rPr>
                <w:color w:val="121212"/>
              </w:rPr>
              <w:instrText xml:space="preserve"> PAGEREF _Toc240448268 \h </w:instrText>
            </w:r>
            <w:r>
              <w:rPr>
                <w:color w:val="121212"/>
              </w:rPr>
            </w:r>
            <w:r>
              <w:rPr>
                <w:color w:val="121212"/>
              </w:rPr>
              <w:fldChar w:fldCharType="separate"/>
            </w:r>
            <w:r>
              <w:rPr>
                <w:color w:val="121212"/>
              </w:rPr>
              <w:t>32</w:t>
            </w:r>
            <w:r>
              <w:rPr>
                <w:color w:val="121212"/>
              </w:rPr>
              <w:fldChar w:fldCharType="end"/>
            </w:r>
          </w:hyperlink>
        </w:p>
        <w:p w14:paraId="7B098F59"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69" w:history="1">
            <w:r>
              <w:rPr>
                <w:rStyle w:val="Hyperlink"/>
                <w:color w:val="121212"/>
              </w:rPr>
              <w:t>3.13 Study Selection</w:t>
            </w:r>
            <w:r>
              <w:rPr>
                <w:color w:val="121212"/>
              </w:rPr>
              <w:tab/>
            </w:r>
            <w:r>
              <w:rPr>
                <w:color w:val="121212"/>
              </w:rPr>
              <w:fldChar w:fldCharType="begin"/>
            </w:r>
            <w:r>
              <w:rPr>
                <w:color w:val="121212"/>
              </w:rPr>
              <w:instrText xml:space="preserve"> PAGEREF _Toc240448269 \h </w:instrText>
            </w:r>
            <w:r>
              <w:rPr>
                <w:color w:val="121212"/>
              </w:rPr>
            </w:r>
            <w:r>
              <w:rPr>
                <w:color w:val="121212"/>
              </w:rPr>
              <w:fldChar w:fldCharType="separate"/>
            </w:r>
            <w:r>
              <w:rPr>
                <w:color w:val="121212"/>
              </w:rPr>
              <w:t>34</w:t>
            </w:r>
            <w:r>
              <w:rPr>
                <w:color w:val="121212"/>
              </w:rPr>
              <w:fldChar w:fldCharType="end"/>
            </w:r>
          </w:hyperlink>
        </w:p>
        <w:p w14:paraId="38CD50F4"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70" w:history="1">
            <w:r>
              <w:rPr>
                <w:rStyle w:val="Hyperlink"/>
                <w:color w:val="121212"/>
              </w:rPr>
              <w:t>3.14 Summary of Left Articles</w:t>
            </w:r>
            <w:r>
              <w:rPr>
                <w:color w:val="121212"/>
              </w:rPr>
              <w:tab/>
            </w:r>
            <w:r>
              <w:rPr>
                <w:color w:val="121212"/>
              </w:rPr>
              <w:fldChar w:fldCharType="begin"/>
            </w:r>
            <w:r>
              <w:rPr>
                <w:color w:val="121212"/>
              </w:rPr>
              <w:instrText xml:space="preserve"> PAGEREF _Toc240448270 \h </w:instrText>
            </w:r>
            <w:r>
              <w:rPr>
                <w:color w:val="121212"/>
              </w:rPr>
            </w:r>
            <w:r>
              <w:rPr>
                <w:color w:val="121212"/>
              </w:rPr>
              <w:fldChar w:fldCharType="separate"/>
            </w:r>
            <w:r>
              <w:rPr>
                <w:color w:val="121212"/>
              </w:rPr>
              <w:t>34</w:t>
            </w:r>
            <w:r>
              <w:rPr>
                <w:color w:val="121212"/>
              </w:rPr>
              <w:fldChar w:fldCharType="end"/>
            </w:r>
          </w:hyperlink>
        </w:p>
        <w:p w14:paraId="37A771A4"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71" w:history="1">
            <w:r>
              <w:rPr>
                <w:rStyle w:val="Hyperlink"/>
                <w:color w:val="121212"/>
              </w:rPr>
              <w:t>3.15 Quality Assessment</w:t>
            </w:r>
            <w:r>
              <w:rPr>
                <w:color w:val="121212"/>
              </w:rPr>
              <w:tab/>
            </w:r>
            <w:r>
              <w:rPr>
                <w:color w:val="121212"/>
              </w:rPr>
              <w:fldChar w:fldCharType="begin"/>
            </w:r>
            <w:r>
              <w:rPr>
                <w:color w:val="121212"/>
              </w:rPr>
              <w:instrText xml:space="preserve"> PAGEREF _Toc240448271 \h </w:instrText>
            </w:r>
            <w:r>
              <w:rPr>
                <w:color w:val="121212"/>
              </w:rPr>
            </w:r>
            <w:r>
              <w:rPr>
                <w:color w:val="121212"/>
              </w:rPr>
              <w:fldChar w:fldCharType="separate"/>
            </w:r>
            <w:r>
              <w:rPr>
                <w:color w:val="121212"/>
              </w:rPr>
              <w:t>34</w:t>
            </w:r>
            <w:r>
              <w:rPr>
                <w:color w:val="121212"/>
              </w:rPr>
              <w:fldChar w:fldCharType="end"/>
            </w:r>
          </w:hyperlink>
        </w:p>
        <w:p w14:paraId="2DBF619E"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72" w:history="1">
            <w:r>
              <w:rPr>
                <w:rStyle w:val="Hyperlink"/>
                <w:color w:val="121212"/>
              </w:rPr>
              <w:t>3.16 Data Extraction</w:t>
            </w:r>
            <w:r>
              <w:rPr>
                <w:color w:val="121212"/>
              </w:rPr>
              <w:tab/>
            </w:r>
            <w:r>
              <w:rPr>
                <w:color w:val="121212"/>
              </w:rPr>
              <w:fldChar w:fldCharType="begin"/>
            </w:r>
            <w:r>
              <w:rPr>
                <w:color w:val="121212"/>
              </w:rPr>
              <w:instrText xml:space="preserve"> PAGEREF _Toc240448272 \h </w:instrText>
            </w:r>
            <w:r>
              <w:rPr>
                <w:color w:val="121212"/>
              </w:rPr>
            </w:r>
            <w:r>
              <w:rPr>
                <w:color w:val="121212"/>
              </w:rPr>
              <w:fldChar w:fldCharType="separate"/>
            </w:r>
            <w:r>
              <w:rPr>
                <w:color w:val="121212"/>
              </w:rPr>
              <w:t>35</w:t>
            </w:r>
            <w:r>
              <w:rPr>
                <w:color w:val="121212"/>
              </w:rPr>
              <w:fldChar w:fldCharType="end"/>
            </w:r>
          </w:hyperlink>
        </w:p>
        <w:p w14:paraId="2210B75A"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73" w:history="1">
            <w:r>
              <w:rPr>
                <w:rStyle w:val="Hyperlink"/>
                <w:color w:val="121212"/>
              </w:rPr>
              <w:t>3.17 Data Synthesis</w:t>
            </w:r>
            <w:r>
              <w:rPr>
                <w:color w:val="121212"/>
              </w:rPr>
              <w:tab/>
            </w:r>
            <w:r>
              <w:rPr>
                <w:color w:val="121212"/>
              </w:rPr>
              <w:fldChar w:fldCharType="begin"/>
            </w:r>
            <w:r>
              <w:rPr>
                <w:color w:val="121212"/>
              </w:rPr>
              <w:instrText xml:space="preserve"> PAGEREF _Toc240448273 \h </w:instrText>
            </w:r>
            <w:r>
              <w:rPr>
                <w:color w:val="121212"/>
              </w:rPr>
            </w:r>
            <w:r>
              <w:rPr>
                <w:color w:val="121212"/>
              </w:rPr>
              <w:fldChar w:fldCharType="separate"/>
            </w:r>
            <w:r>
              <w:rPr>
                <w:color w:val="121212"/>
              </w:rPr>
              <w:t>35</w:t>
            </w:r>
            <w:r>
              <w:rPr>
                <w:color w:val="121212"/>
              </w:rPr>
              <w:fldChar w:fldCharType="end"/>
            </w:r>
          </w:hyperlink>
        </w:p>
        <w:p w14:paraId="7656C013"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74" w:history="1">
            <w:r>
              <w:rPr>
                <w:rStyle w:val="Hyperlink"/>
                <w:color w:val="121212"/>
              </w:rPr>
              <w:t>3.18 Scope and Limitation of the Research</w:t>
            </w:r>
            <w:r>
              <w:rPr>
                <w:color w:val="121212"/>
              </w:rPr>
              <w:tab/>
            </w:r>
            <w:r>
              <w:rPr>
                <w:color w:val="121212"/>
              </w:rPr>
              <w:fldChar w:fldCharType="begin"/>
            </w:r>
            <w:r>
              <w:rPr>
                <w:color w:val="121212"/>
              </w:rPr>
              <w:instrText xml:space="preserve"> PAGEREF _Toc240448274 \h </w:instrText>
            </w:r>
            <w:r>
              <w:rPr>
                <w:color w:val="121212"/>
              </w:rPr>
            </w:r>
            <w:r>
              <w:rPr>
                <w:color w:val="121212"/>
              </w:rPr>
              <w:fldChar w:fldCharType="separate"/>
            </w:r>
            <w:r>
              <w:rPr>
                <w:color w:val="121212"/>
              </w:rPr>
              <w:t>36</w:t>
            </w:r>
            <w:r>
              <w:rPr>
                <w:color w:val="121212"/>
              </w:rPr>
              <w:fldChar w:fldCharType="end"/>
            </w:r>
          </w:hyperlink>
        </w:p>
        <w:p w14:paraId="79138492"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75" w:history="1">
            <w:r>
              <w:rPr>
                <w:rStyle w:val="Hyperlink"/>
                <w:color w:val="121212"/>
              </w:rPr>
              <w:t>3.19 Summary of Chapter</w:t>
            </w:r>
            <w:r>
              <w:rPr>
                <w:color w:val="121212"/>
              </w:rPr>
              <w:tab/>
            </w:r>
            <w:r>
              <w:rPr>
                <w:color w:val="121212"/>
              </w:rPr>
              <w:fldChar w:fldCharType="begin"/>
            </w:r>
            <w:r>
              <w:rPr>
                <w:color w:val="121212"/>
              </w:rPr>
              <w:instrText xml:space="preserve"> PAGEREF _Toc240448275 \h </w:instrText>
            </w:r>
            <w:r>
              <w:rPr>
                <w:color w:val="121212"/>
              </w:rPr>
            </w:r>
            <w:r>
              <w:rPr>
                <w:color w:val="121212"/>
              </w:rPr>
              <w:fldChar w:fldCharType="separate"/>
            </w:r>
            <w:r>
              <w:rPr>
                <w:color w:val="121212"/>
              </w:rPr>
              <w:t>36</w:t>
            </w:r>
            <w:r>
              <w:rPr>
                <w:color w:val="121212"/>
              </w:rPr>
              <w:fldChar w:fldCharType="end"/>
            </w:r>
          </w:hyperlink>
        </w:p>
        <w:p w14:paraId="7CD1D5FD"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76" w:history="1">
            <w:r>
              <w:rPr>
                <w:rStyle w:val="Hyperlink"/>
                <w:color w:val="121212"/>
              </w:rPr>
              <w:t>3.20 Chapter Summary</w:t>
            </w:r>
            <w:r>
              <w:rPr>
                <w:color w:val="121212"/>
              </w:rPr>
              <w:tab/>
            </w:r>
            <w:r>
              <w:rPr>
                <w:color w:val="121212"/>
              </w:rPr>
              <w:fldChar w:fldCharType="begin"/>
            </w:r>
            <w:r>
              <w:rPr>
                <w:color w:val="121212"/>
              </w:rPr>
              <w:instrText xml:space="preserve"> PAGEREF _Toc240448276 \h </w:instrText>
            </w:r>
            <w:r>
              <w:rPr>
                <w:color w:val="121212"/>
              </w:rPr>
            </w:r>
            <w:r>
              <w:rPr>
                <w:color w:val="121212"/>
              </w:rPr>
              <w:fldChar w:fldCharType="separate"/>
            </w:r>
            <w:r>
              <w:rPr>
                <w:color w:val="121212"/>
              </w:rPr>
              <w:t>36</w:t>
            </w:r>
            <w:r>
              <w:rPr>
                <w:color w:val="121212"/>
              </w:rPr>
              <w:fldChar w:fldCharType="end"/>
            </w:r>
          </w:hyperlink>
        </w:p>
        <w:p w14:paraId="190B3BFB" w14:textId="77777777" w:rsidR="00423B40" w:rsidRDefault="00423B40">
          <w:pPr>
            <w:pStyle w:val="TOC1"/>
            <w:tabs>
              <w:tab w:val="right" w:leader="dot" w:pos="9016"/>
            </w:tabs>
            <w:rPr>
              <w:rFonts w:asciiTheme="minorHAnsi" w:eastAsiaTheme="minorEastAsia" w:hAnsiTheme="minorHAnsi" w:cstheme="minorBidi"/>
              <w:color w:val="121212"/>
              <w:kern w:val="2"/>
              <w:sz w:val="24"/>
              <w:szCs w:val="24"/>
              <w:lang w:eastAsia="en-GB"/>
            </w:rPr>
          </w:pPr>
          <w:hyperlink w:anchor="_Toc240448277" w:history="1">
            <w:r>
              <w:rPr>
                <w:rStyle w:val="Hyperlink"/>
                <w:color w:val="121212"/>
              </w:rPr>
              <w:t>Chapter 4: Results</w:t>
            </w:r>
            <w:r>
              <w:rPr>
                <w:color w:val="121212"/>
              </w:rPr>
              <w:tab/>
            </w:r>
            <w:r>
              <w:rPr>
                <w:color w:val="121212"/>
              </w:rPr>
              <w:fldChar w:fldCharType="begin"/>
            </w:r>
            <w:r>
              <w:rPr>
                <w:color w:val="121212"/>
              </w:rPr>
              <w:instrText xml:space="preserve"> PAGEREF _Toc240448277 \h </w:instrText>
            </w:r>
            <w:r>
              <w:rPr>
                <w:color w:val="121212"/>
              </w:rPr>
            </w:r>
            <w:r>
              <w:rPr>
                <w:color w:val="121212"/>
              </w:rPr>
              <w:fldChar w:fldCharType="separate"/>
            </w:r>
            <w:r>
              <w:rPr>
                <w:color w:val="121212"/>
              </w:rPr>
              <w:t>38</w:t>
            </w:r>
            <w:r>
              <w:rPr>
                <w:color w:val="121212"/>
              </w:rPr>
              <w:fldChar w:fldCharType="end"/>
            </w:r>
          </w:hyperlink>
        </w:p>
        <w:p w14:paraId="5F08C367"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78" w:history="1">
            <w:r>
              <w:rPr>
                <w:rStyle w:val="Hyperlink"/>
                <w:color w:val="121212"/>
              </w:rPr>
              <w:t>4.1 Introduction</w:t>
            </w:r>
            <w:r>
              <w:rPr>
                <w:color w:val="121212"/>
              </w:rPr>
              <w:tab/>
            </w:r>
            <w:r>
              <w:rPr>
                <w:color w:val="121212"/>
              </w:rPr>
              <w:fldChar w:fldCharType="begin"/>
            </w:r>
            <w:r>
              <w:rPr>
                <w:color w:val="121212"/>
              </w:rPr>
              <w:instrText xml:space="preserve"> PAGEREF _Toc240448278 \h </w:instrText>
            </w:r>
            <w:r>
              <w:rPr>
                <w:color w:val="121212"/>
              </w:rPr>
            </w:r>
            <w:r>
              <w:rPr>
                <w:color w:val="121212"/>
              </w:rPr>
              <w:fldChar w:fldCharType="separate"/>
            </w:r>
            <w:r>
              <w:rPr>
                <w:color w:val="121212"/>
              </w:rPr>
              <w:t>38</w:t>
            </w:r>
            <w:r>
              <w:rPr>
                <w:color w:val="121212"/>
              </w:rPr>
              <w:fldChar w:fldCharType="end"/>
            </w:r>
          </w:hyperlink>
        </w:p>
        <w:p w14:paraId="6E3D4199"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79" w:history="1">
            <w:r>
              <w:rPr>
                <w:rStyle w:val="Hyperlink"/>
                <w:color w:val="121212"/>
              </w:rPr>
              <w:t>4.2 PRISMA Statement</w:t>
            </w:r>
            <w:r>
              <w:rPr>
                <w:color w:val="121212"/>
              </w:rPr>
              <w:tab/>
            </w:r>
            <w:r>
              <w:rPr>
                <w:color w:val="121212"/>
              </w:rPr>
              <w:fldChar w:fldCharType="begin"/>
            </w:r>
            <w:r>
              <w:rPr>
                <w:color w:val="121212"/>
              </w:rPr>
              <w:instrText xml:space="preserve"> PAGEREF _Toc240448279 \h </w:instrText>
            </w:r>
            <w:r>
              <w:rPr>
                <w:color w:val="121212"/>
              </w:rPr>
            </w:r>
            <w:r>
              <w:rPr>
                <w:color w:val="121212"/>
              </w:rPr>
              <w:fldChar w:fldCharType="separate"/>
            </w:r>
            <w:r>
              <w:rPr>
                <w:color w:val="121212"/>
              </w:rPr>
              <w:t>38</w:t>
            </w:r>
            <w:r>
              <w:rPr>
                <w:color w:val="121212"/>
              </w:rPr>
              <w:fldChar w:fldCharType="end"/>
            </w:r>
          </w:hyperlink>
        </w:p>
        <w:p w14:paraId="3F0A7C19"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80" w:history="1">
            <w:r>
              <w:rPr>
                <w:rStyle w:val="Hyperlink"/>
                <w:color w:val="121212"/>
              </w:rPr>
              <w:t>4.3 Data Extraction/Summary table</w:t>
            </w:r>
            <w:r>
              <w:rPr>
                <w:color w:val="121212"/>
              </w:rPr>
              <w:tab/>
            </w:r>
            <w:r>
              <w:rPr>
                <w:color w:val="121212"/>
              </w:rPr>
              <w:fldChar w:fldCharType="begin"/>
            </w:r>
            <w:r>
              <w:rPr>
                <w:color w:val="121212"/>
              </w:rPr>
              <w:instrText xml:space="preserve"> PAGEREF _Toc240448280 \h </w:instrText>
            </w:r>
            <w:r>
              <w:rPr>
                <w:color w:val="121212"/>
              </w:rPr>
            </w:r>
            <w:r>
              <w:rPr>
                <w:color w:val="121212"/>
              </w:rPr>
              <w:fldChar w:fldCharType="separate"/>
            </w:r>
            <w:r>
              <w:rPr>
                <w:color w:val="121212"/>
              </w:rPr>
              <w:t>39</w:t>
            </w:r>
            <w:r>
              <w:rPr>
                <w:color w:val="121212"/>
              </w:rPr>
              <w:fldChar w:fldCharType="end"/>
            </w:r>
          </w:hyperlink>
        </w:p>
        <w:p w14:paraId="1047AC1E"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81" w:history="1">
            <w:r>
              <w:rPr>
                <w:rStyle w:val="Hyperlink"/>
                <w:color w:val="121212"/>
              </w:rPr>
              <w:t>4.4 Thematic Results</w:t>
            </w:r>
            <w:r>
              <w:rPr>
                <w:color w:val="121212"/>
              </w:rPr>
              <w:tab/>
            </w:r>
            <w:r>
              <w:rPr>
                <w:color w:val="121212"/>
              </w:rPr>
              <w:fldChar w:fldCharType="begin"/>
            </w:r>
            <w:r>
              <w:rPr>
                <w:color w:val="121212"/>
              </w:rPr>
              <w:instrText xml:space="preserve"> PAGEREF _Toc240448281 \h </w:instrText>
            </w:r>
            <w:r>
              <w:rPr>
                <w:color w:val="121212"/>
              </w:rPr>
            </w:r>
            <w:r>
              <w:rPr>
                <w:color w:val="121212"/>
              </w:rPr>
              <w:fldChar w:fldCharType="separate"/>
            </w:r>
            <w:r>
              <w:rPr>
                <w:color w:val="121212"/>
              </w:rPr>
              <w:t>45</w:t>
            </w:r>
            <w:r>
              <w:rPr>
                <w:color w:val="121212"/>
              </w:rPr>
              <w:fldChar w:fldCharType="end"/>
            </w:r>
          </w:hyperlink>
        </w:p>
        <w:p w14:paraId="28A2B6FE"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82" w:history="1">
            <w:r>
              <w:rPr>
                <w:rStyle w:val="Hyperlink"/>
                <w:color w:val="121212"/>
              </w:rPr>
              <w:t>4.5 Thematic Analysis</w:t>
            </w:r>
            <w:r>
              <w:rPr>
                <w:color w:val="121212"/>
              </w:rPr>
              <w:tab/>
            </w:r>
            <w:r>
              <w:rPr>
                <w:color w:val="121212"/>
              </w:rPr>
              <w:fldChar w:fldCharType="begin"/>
            </w:r>
            <w:r>
              <w:rPr>
                <w:color w:val="121212"/>
              </w:rPr>
              <w:instrText xml:space="preserve"> PAGEREF _Toc240448282 \h </w:instrText>
            </w:r>
            <w:r>
              <w:rPr>
                <w:color w:val="121212"/>
              </w:rPr>
            </w:r>
            <w:r>
              <w:rPr>
                <w:color w:val="121212"/>
              </w:rPr>
              <w:fldChar w:fldCharType="separate"/>
            </w:r>
            <w:r>
              <w:rPr>
                <w:color w:val="121212"/>
              </w:rPr>
              <w:t>48</w:t>
            </w:r>
            <w:r>
              <w:rPr>
                <w:color w:val="121212"/>
              </w:rPr>
              <w:fldChar w:fldCharType="end"/>
            </w:r>
          </w:hyperlink>
        </w:p>
        <w:p w14:paraId="0552FBAE"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83" w:history="1">
            <w:r>
              <w:rPr>
                <w:rStyle w:val="Hyperlink"/>
                <w:color w:val="121212"/>
              </w:rPr>
              <w:t>4.6 Chapter Summary</w:t>
            </w:r>
            <w:r>
              <w:rPr>
                <w:color w:val="121212"/>
              </w:rPr>
              <w:tab/>
            </w:r>
            <w:r>
              <w:rPr>
                <w:color w:val="121212"/>
              </w:rPr>
              <w:fldChar w:fldCharType="begin"/>
            </w:r>
            <w:r>
              <w:rPr>
                <w:color w:val="121212"/>
              </w:rPr>
              <w:instrText xml:space="preserve"> PAGEREF _Toc240448283 \h </w:instrText>
            </w:r>
            <w:r>
              <w:rPr>
                <w:color w:val="121212"/>
              </w:rPr>
            </w:r>
            <w:r>
              <w:rPr>
                <w:color w:val="121212"/>
              </w:rPr>
              <w:fldChar w:fldCharType="separate"/>
            </w:r>
            <w:r>
              <w:rPr>
                <w:color w:val="121212"/>
              </w:rPr>
              <w:t>50</w:t>
            </w:r>
            <w:r>
              <w:rPr>
                <w:color w:val="121212"/>
              </w:rPr>
              <w:fldChar w:fldCharType="end"/>
            </w:r>
          </w:hyperlink>
        </w:p>
        <w:p w14:paraId="5B8DE7AC" w14:textId="77777777" w:rsidR="00423B40" w:rsidRDefault="00423B40">
          <w:pPr>
            <w:pStyle w:val="TOC1"/>
            <w:tabs>
              <w:tab w:val="right" w:leader="dot" w:pos="9016"/>
            </w:tabs>
            <w:rPr>
              <w:rFonts w:asciiTheme="minorHAnsi" w:eastAsiaTheme="minorEastAsia" w:hAnsiTheme="minorHAnsi" w:cstheme="minorBidi"/>
              <w:color w:val="121212"/>
              <w:kern w:val="2"/>
              <w:sz w:val="24"/>
              <w:szCs w:val="24"/>
              <w:lang w:eastAsia="en-GB"/>
            </w:rPr>
          </w:pPr>
          <w:hyperlink w:anchor="_Toc240448284" w:history="1">
            <w:r>
              <w:rPr>
                <w:rStyle w:val="Hyperlink"/>
                <w:color w:val="121212"/>
              </w:rPr>
              <w:t>Chapter 5: Discussion</w:t>
            </w:r>
            <w:r>
              <w:rPr>
                <w:color w:val="121212"/>
              </w:rPr>
              <w:tab/>
            </w:r>
            <w:r>
              <w:rPr>
                <w:color w:val="121212"/>
              </w:rPr>
              <w:fldChar w:fldCharType="begin"/>
            </w:r>
            <w:r>
              <w:rPr>
                <w:color w:val="121212"/>
              </w:rPr>
              <w:instrText xml:space="preserve"> PAGEREF _Toc240448284 \h </w:instrText>
            </w:r>
            <w:r>
              <w:rPr>
                <w:color w:val="121212"/>
              </w:rPr>
            </w:r>
            <w:r>
              <w:rPr>
                <w:color w:val="121212"/>
              </w:rPr>
              <w:fldChar w:fldCharType="separate"/>
            </w:r>
            <w:r>
              <w:rPr>
                <w:color w:val="121212"/>
              </w:rPr>
              <w:t>51</w:t>
            </w:r>
            <w:r>
              <w:rPr>
                <w:color w:val="121212"/>
              </w:rPr>
              <w:fldChar w:fldCharType="end"/>
            </w:r>
          </w:hyperlink>
        </w:p>
        <w:p w14:paraId="6DFDAACA"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85" w:history="1">
            <w:r>
              <w:rPr>
                <w:rStyle w:val="Hyperlink"/>
                <w:color w:val="121212"/>
              </w:rPr>
              <w:t>5.1 Introduction</w:t>
            </w:r>
            <w:r>
              <w:rPr>
                <w:color w:val="121212"/>
              </w:rPr>
              <w:tab/>
            </w:r>
            <w:r>
              <w:rPr>
                <w:color w:val="121212"/>
              </w:rPr>
              <w:fldChar w:fldCharType="begin"/>
            </w:r>
            <w:r>
              <w:rPr>
                <w:color w:val="121212"/>
              </w:rPr>
              <w:instrText xml:space="preserve"> PAGEREF _Toc240448285 \h </w:instrText>
            </w:r>
            <w:r>
              <w:rPr>
                <w:color w:val="121212"/>
              </w:rPr>
            </w:r>
            <w:r>
              <w:rPr>
                <w:color w:val="121212"/>
              </w:rPr>
              <w:fldChar w:fldCharType="separate"/>
            </w:r>
            <w:r>
              <w:rPr>
                <w:color w:val="121212"/>
              </w:rPr>
              <w:t>51</w:t>
            </w:r>
            <w:r>
              <w:rPr>
                <w:color w:val="121212"/>
              </w:rPr>
              <w:fldChar w:fldCharType="end"/>
            </w:r>
          </w:hyperlink>
        </w:p>
        <w:p w14:paraId="378E0A82"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86" w:history="1">
            <w:r>
              <w:rPr>
                <w:rStyle w:val="Hyperlink"/>
                <w:color w:val="121212"/>
              </w:rPr>
              <w:t>5.2 Interpretation of the Findings</w:t>
            </w:r>
            <w:r>
              <w:rPr>
                <w:color w:val="121212"/>
              </w:rPr>
              <w:tab/>
            </w:r>
            <w:r>
              <w:rPr>
                <w:color w:val="121212"/>
              </w:rPr>
              <w:fldChar w:fldCharType="begin"/>
            </w:r>
            <w:r>
              <w:rPr>
                <w:color w:val="121212"/>
              </w:rPr>
              <w:instrText xml:space="preserve"> PAGEREF _Toc240448286 \h </w:instrText>
            </w:r>
            <w:r>
              <w:rPr>
                <w:color w:val="121212"/>
              </w:rPr>
            </w:r>
            <w:r>
              <w:rPr>
                <w:color w:val="121212"/>
              </w:rPr>
              <w:fldChar w:fldCharType="separate"/>
            </w:r>
            <w:r>
              <w:rPr>
                <w:color w:val="121212"/>
              </w:rPr>
              <w:t>51</w:t>
            </w:r>
            <w:r>
              <w:rPr>
                <w:color w:val="121212"/>
              </w:rPr>
              <w:fldChar w:fldCharType="end"/>
            </w:r>
          </w:hyperlink>
        </w:p>
        <w:p w14:paraId="5F35F21E"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87" w:history="1">
            <w:r>
              <w:rPr>
                <w:rStyle w:val="Hyperlink"/>
                <w:color w:val="121212"/>
              </w:rPr>
              <w:t>5.3 Implications of the Findings</w:t>
            </w:r>
            <w:r>
              <w:rPr>
                <w:color w:val="121212"/>
              </w:rPr>
              <w:tab/>
            </w:r>
            <w:r>
              <w:rPr>
                <w:color w:val="121212"/>
              </w:rPr>
              <w:fldChar w:fldCharType="begin"/>
            </w:r>
            <w:r>
              <w:rPr>
                <w:color w:val="121212"/>
              </w:rPr>
              <w:instrText xml:space="preserve"> PAGEREF _Toc240448287 \h </w:instrText>
            </w:r>
            <w:r>
              <w:rPr>
                <w:color w:val="121212"/>
              </w:rPr>
            </w:r>
            <w:r>
              <w:rPr>
                <w:color w:val="121212"/>
              </w:rPr>
              <w:fldChar w:fldCharType="separate"/>
            </w:r>
            <w:r>
              <w:rPr>
                <w:color w:val="121212"/>
              </w:rPr>
              <w:t>52</w:t>
            </w:r>
            <w:r>
              <w:rPr>
                <w:color w:val="121212"/>
              </w:rPr>
              <w:fldChar w:fldCharType="end"/>
            </w:r>
          </w:hyperlink>
        </w:p>
        <w:p w14:paraId="33966162"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88" w:history="1">
            <w:r>
              <w:rPr>
                <w:rStyle w:val="Hyperlink"/>
                <w:color w:val="121212"/>
              </w:rPr>
              <w:t>5.4 strength and Limitations of the Findings</w:t>
            </w:r>
            <w:r>
              <w:rPr>
                <w:color w:val="121212"/>
              </w:rPr>
              <w:tab/>
            </w:r>
            <w:r>
              <w:rPr>
                <w:color w:val="121212"/>
              </w:rPr>
              <w:fldChar w:fldCharType="begin"/>
            </w:r>
            <w:r>
              <w:rPr>
                <w:color w:val="121212"/>
              </w:rPr>
              <w:instrText xml:space="preserve"> PAGEREF _Toc240448288 \h </w:instrText>
            </w:r>
            <w:r>
              <w:rPr>
                <w:color w:val="121212"/>
              </w:rPr>
            </w:r>
            <w:r>
              <w:rPr>
                <w:color w:val="121212"/>
              </w:rPr>
              <w:fldChar w:fldCharType="separate"/>
            </w:r>
            <w:r>
              <w:rPr>
                <w:color w:val="121212"/>
              </w:rPr>
              <w:t>54</w:t>
            </w:r>
            <w:r>
              <w:rPr>
                <w:color w:val="121212"/>
              </w:rPr>
              <w:fldChar w:fldCharType="end"/>
            </w:r>
          </w:hyperlink>
        </w:p>
        <w:p w14:paraId="2B22C970"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89" w:history="1">
            <w:r>
              <w:rPr>
                <w:rStyle w:val="Hyperlink"/>
                <w:color w:val="121212"/>
              </w:rPr>
              <w:t>5.5 Chapter Summary</w:t>
            </w:r>
            <w:r>
              <w:rPr>
                <w:color w:val="121212"/>
              </w:rPr>
              <w:tab/>
            </w:r>
            <w:r>
              <w:rPr>
                <w:color w:val="121212"/>
              </w:rPr>
              <w:fldChar w:fldCharType="begin"/>
            </w:r>
            <w:r>
              <w:rPr>
                <w:color w:val="121212"/>
              </w:rPr>
              <w:instrText xml:space="preserve"> PAGEREF _Toc240448289 \h </w:instrText>
            </w:r>
            <w:r>
              <w:rPr>
                <w:color w:val="121212"/>
              </w:rPr>
            </w:r>
            <w:r>
              <w:rPr>
                <w:color w:val="121212"/>
              </w:rPr>
              <w:fldChar w:fldCharType="separate"/>
            </w:r>
            <w:r>
              <w:rPr>
                <w:color w:val="121212"/>
              </w:rPr>
              <w:t>55</w:t>
            </w:r>
            <w:r>
              <w:rPr>
                <w:color w:val="121212"/>
              </w:rPr>
              <w:fldChar w:fldCharType="end"/>
            </w:r>
          </w:hyperlink>
        </w:p>
        <w:p w14:paraId="7096A98C" w14:textId="77777777" w:rsidR="00423B40" w:rsidRDefault="00423B40">
          <w:pPr>
            <w:pStyle w:val="TOC1"/>
            <w:tabs>
              <w:tab w:val="right" w:leader="dot" w:pos="9016"/>
            </w:tabs>
            <w:rPr>
              <w:rFonts w:asciiTheme="minorHAnsi" w:eastAsiaTheme="minorEastAsia" w:hAnsiTheme="minorHAnsi" w:cstheme="minorBidi"/>
              <w:color w:val="121212"/>
              <w:kern w:val="2"/>
              <w:sz w:val="24"/>
              <w:szCs w:val="24"/>
              <w:lang w:eastAsia="en-GB"/>
            </w:rPr>
          </w:pPr>
          <w:hyperlink w:anchor="_Toc240448290" w:history="1">
            <w:r>
              <w:rPr>
                <w:rStyle w:val="Hyperlink"/>
                <w:color w:val="121212"/>
              </w:rPr>
              <w:t>Chapter 6: Conclusion &amp; Recommendations</w:t>
            </w:r>
            <w:r>
              <w:rPr>
                <w:color w:val="121212"/>
              </w:rPr>
              <w:tab/>
            </w:r>
            <w:r>
              <w:rPr>
                <w:color w:val="121212"/>
              </w:rPr>
              <w:fldChar w:fldCharType="begin"/>
            </w:r>
            <w:r>
              <w:rPr>
                <w:color w:val="121212"/>
              </w:rPr>
              <w:instrText xml:space="preserve"> PAGEREF _Toc240448290 \h </w:instrText>
            </w:r>
            <w:r>
              <w:rPr>
                <w:color w:val="121212"/>
              </w:rPr>
            </w:r>
            <w:r>
              <w:rPr>
                <w:color w:val="121212"/>
              </w:rPr>
              <w:fldChar w:fldCharType="separate"/>
            </w:r>
            <w:r>
              <w:rPr>
                <w:color w:val="121212"/>
              </w:rPr>
              <w:t>56</w:t>
            </w:r>
            <w:r>
              <w:rPr>
                <w:color w:val="121212"/>
              </w:rPr>
              <w:fldChar w:fldCharType="end"/>
            </w:r>
          </w:hyperlink>
        </w:p>
        <w:p w14:paraId="5EF35439"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91" w:history="1">
            <w:r>
              <w:rPr>
                <w:rStyle w:val="Hyperlink"/>
                <w:color w:val="121212"/>
              </w:rPr>
              <w:t>6.1 Concluding Findings aligning with research questions</w:t>
            </w:r>
            <w:r>
              <w:rPr>
                <w:color w:val="121212"/>
              </w:rPr>
              <w:tab/>
            </w:r>
            <w:r>
              <w:rPr>
                <w:color w:val="121212"/>
              </w:rPr>
              <w:fldChar w:fldCharType="begin"/>
            </w:r>
            <w:r>
              <w:rPr>
                <w:color w:val="121212"/>
              </w:rPr>
              <w:instrText xml:space="preserve"> PAGEREF _Toc240448291 \h </w:instrText>
            </w:r>
            <w:r>
              <w:rPr>
                <w:color w:val="121212"/>
              </w:rPr>
            </w:r>
            <w:r>
              <w:rPr>
                <w:color w:val="121212"/>
              </w:rPr>
              <w:fldChar w:fldCharType="separate"/>
            </w:r>
            <w:r>
              <w:rPr>
                <w:color w:val="121212"/>
              </w:rPr>
              <w:t>56</w:t>
            </w:r>
            <w:r>
              <w:rPr>
                <w:color w:val="121212"/>
              </w:rPr>
              <w:fldChar w:fldCharType="end"/>
            </w:r>
          </w:hyperlink>
        </w:p>
        <w:p w14:paraId="37F2EBFE"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92" w:history="1">
            <w:r>
              <w:rPr>
                <w:rStyle w:val="Hyperlink"/>
                <w:color w:val="121212"/>
              </w:rPr>
              <w:t>6.2 Reflection on the Research Approach</w:t>
            </w:r>
            <w:r>
              <w:rPr>
                <w:color w:val="121212"/>
              </w:rPr>
              <w:tab/>
            </w:r>
            <w:r>
              <w:rPr>
                <w:color w:val="121212"/>
              </w:rPr>
              <w:fldChar w:fldCharType="begin"/>
            </w:r>
            <w:r>
              <w:rPr>
                <w:color w:val="121212"/>
              </w:rPr>
              <w:instrText xml:space="preserve"> PAGEREF _Toc240448292 \h </w:instrText>
            </w:r>
            <w:r>
              <w:rPr>
                <w:color w:val="121212"/>
              </w:rPr>
            </w:r>
            <w:r>
              <w:rPr>
                <w:color w:val="121212"/>
              </w:rPr>
              <w:fldChar w:fldCharType="separate"/>
            </w:r>
            <w:r>
              <w:rPr>
                <w:color w:val="121212"/>
              </w:rPr>
              <w:t>56</w:t>
            </w:r>
            <w:r>
              <w:rPr>
                <w:color w:val="121212"/>
              </w:rPr>
              <w:fldChar w:fldCharType="end"/>
            </w:r>
          </w:hyperlink>
        </w:p>
        <w:p w14:paraId="7D544E94"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93" w:history="1">
            <w:r>
              <w:rPr>
                <w:rStyle w:val="Hyperlink"/>
                <w:color w:val="121212"/>
              </w:rPr>
              <w:t>6.3 Recommendations</w:t>
            </w:r>
            <w:r>
              <w:rPr>
                <w:color w:val="121212"/>
              </w:rPr>
              <w:tab/>
            </w:r>
            <w:r>
              <w:rPr>
                <w:color w:val="121212"/>
              </w:rPr>
              <w:fldChar w:fldCharType="begin"/>
            </w:r>
            <w:r>
              <w:rPr>
                <w:color w:val="121212"/>
              </w:rPr>
              <w:instrText xml:space="preserve"> PAGEREF _Toc240448293 \h </w:instrText>
            </w:r>
            <w:r>
              <w:rPr>
                <w:color w:val="121212"/>
              </w:rPr>
            </w:r>
            <w:r>
              <w:rPr>
                <w:color w:val="121212"/>
              </w:rPr>
              <w:fldChar w:fldCharType="separate"/>
            </w:r>
            <w:r>
              <w:rPr>
                <w:color w:val="121212"/>
              </w:rPr>
              <w:t>57</w:t>
            </w:r>
            <w:r>
              <w:rPr>
                <w:color w:val="121212"/>
              </w:rPr>
              <w:fldChar w:fldCharType="end"/>
            </w:r>
          </w:hyperlink>
        </w:p>
        <w:p w14:paraId="265785C5"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94" w:history="1">
            <w:r>
              <w:rPr>
                <w:rStyle w:val="Hyperlink"/>
                <w:color w:val="121212"/>
              </w:rPr>
              <w:t>6.4 Future studies</w:t>
            </w:r>
            <w:r>
              <w:rPr>
                <w:color w:val="121212"/>
              </w:rPr>
              <w:tab/>
            </w:r>
            <w:r>
              <w:rPr>
                <w:color w:val="121212"/>
              </w:rPr>
              <w:fldChar w:fldCharType="begin"/>
            </w:r>
            <w:r>
              <w:rPr>
                <w:color w:val="121212"/>
              </w:rPr>
              <w:instrText xml:space="preserve"> PAGEREF _Toc240448294 \h </w:instrText>
            </w:r>
            <w:r>
              <w:rPr>
                <w:color w:val="121212"/>
              </w:rPr>
            </w:r>
            <w:r>
              <w:rPr>
                <w:color w:val="121212"/>
              </w:rPr>
              <w:fldChar w:fldCharType="separate"/>
            </w:r>
            <w:r>
              <w:rPr>
                <w:color w:val="121212"/>
              </w:rPr>
              <w:t>58</w:t>
            </w:r>
            <w:r>
              <w:rPr>
                <w:color w:val="121212"/>
              </w:rPr>
              <w:fldChar w:fldCharType="end"/>
            </w:r>
          </w:hyperlink>
        </w:p>
        <w:p w14:paraId="06B38FBE"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95" w:history="1">
            <w:r>
              <w:rPr>
                <w:rStyle w:val="Hyperlink"/>
                <w:color w:val="121212"/>
              </w:rPr>
              <w:t>6.5 Contribution to Knowledge and Significance of the Research</w:t>
            </w:r>
            <w:r>
              <w:rPr>
                <w:color w:val="121212"/>
              </w:rPr>
              <w:tab/>
            </w:r>
            <w:r>
              <w:rPr>
                <w:color w:val="121212"/>
              </w:rPr>
              <w:fldChar w:fldCharType="begin"/>
            </w:r>
            <w:r>
              <w:rPr>
                <w:color w:val="121212"/>
              </w:rPr>
              <w:instrText xml:space="preserve"> PAGEREF _Toc240448295 \h </w:instrText>
            </w:r>
            <w:r>
              <w:rPr>
                <w:color w:val="121212"/>
              </w:rPr>
            </w:r>
            <w:r>
              <w:rPr>
                <w:color w:val="121212"/>
              </w:rPr>
              <w:fldChar w:fldCharType="separate"/>
            </w:r>
            <w:r>
              <w:rPr>
                <w:color w:val="121212"/>
              </w:rPr>
              <w:t>58</w:t>
            </w:r>
            <w:r>
              <w:rPr>
                <w:color w:val="121212"/>
              </w:rPr>
              <w:fldChar w:fldCharType="end"/>
            </w:r>
          </w:hyperlink>
        </w:p>
        <w:p w14:paraId="319E0FD7" w14:textId="77777777" w:rsidR="00423B40" w:rsidRDefault="00423B40">
          <w:pPr>
            <w:pStyle w:val="TOC1"/>
            <w:tabs>
              <w:tab w:val="right" w:leader="dot" w:pos="9016"/>
            </w:tabs>
            <w:rPr>
              <w:rFonts w:asciiTheme="minorHAnsi" w:eastAsiaTheme="minorEastAsia" w:hAnsiTheme="minorHAnsi" w:cstheme="minorBidi"/>
              <w:color w:val="121212"/>
              <w:kern w:val="2"/>
              <w:sz w:val="24"/>
              <w:szCs w:val="24"/>
              <w:lang w:eastAsia="en-GB"/>
            </w:rPr>
          </w:pPr>
          <w:hyperlink w:anchor="_Toc240448296" w:history="1">
            <w:r>
              <w:rPr>
                <w:rStyle w:val="Hyperlink"/>
                <w:color w:val="121212"/>
              </w:rPr>
              <w:t>Reference list</w:t>
            </w:r>
            <w:r>
              <w:rPr>
                <w:color w:val="121212"/>
              </w:rPr>
              <w:tab/>
            </w:r>
            <w:r>
              <w:rPr>
                <w:color w:val="121212"/>
              </w:rPr>
              <w:fldChar w:fldCharType="begin"/>
            </w:r>
            <w:r>
              <w:rPr>
                <w:color w:val="121212"/>
              </w:rPr>
              <w:instrText xml:space="preserve"> PAGEREF _Toc240448296 \h </w:instrText>
            </w:r>
            <w:r>
              <w:rPr>
                <w:color w:val="121212"/>
              </w:rPr>
            </w:r>
            <w:r>
              <w:rPr>
                <w:color w:val="121212"/>
              </w:rPr>
              <w:fldChar w:fldCharType="separate"/>
            </w:r>
            <w:r>
              <w:rPr>
                <w:color w:val="121212"/>
              </w:rPr>
              <w:t>60</w:t>
            </w:r>
            <w:r>
              <w:rPr>
                <w:color w:val="121212"/>
              </w:rPr>
              <w:fldChar w:fldCharType="end"/>
            </w:r>
          </w:hyperlink>
        </w:p>
        <w:p w14:paraId="17D27E34" w14:textId="77777777" w:rsidR="00423B40" w:rsidRDefault="00423B40">
          <w:pPr>
            <w:pStyle w:val="TOC1"/>
            <w:tabs>
              <w:tab w:val="right" w:leader="dot" w:pos="9016"/>
            </w:tabs>
            <w:rPr>
              <w:rFonts w:asciiTheme="minorHAnsi" w:eastAsiaTheme="minorEastAsia" w:hAnsiTheme="minorHAnsi" w:cstheme="minorBidi"/>
              <w:color w:val="121212"/>
              <w:kern w:val="2"/>
              <w:sz w:val="24"/>
              <w:szCs w:val="24"/>
              <w:lang w:eastAsia="en-GB"/>
            </w:rPr>
          </w:pPr>
          <w:hyperlink w:anchor="_Toc240448297" w:history="1">
            <w:r>
              <w:rPr>
                <w:rStyle w:val="Hyperlink"/>
                <w:color w:val="121212"/>
              </w:rPr>
              <w:t>Appendices</w:t>
            </w:r>
            <w:r>
              <w:rPr>
                <w:color w:val="121212"/>
              </w:rPr>
              <w:tab/>
            </w:r>
            <w:r>
              <w:rPr>
                <w:color w:val="121212"/>
              </w:rPr>
              <w:fldChar w:fldCharType="begin"/>
            </w:r>
            <w:r>
              <w:rPr>
                <w:color w:val="121212"/>
              </w:rPr>
              <w:instrText xml:space="preserve"> PAGEREF _Toc240448297 \h </w:instrText>
            </w:r>
            <w:r>
              <w:rPr>
                <w:color w:val="121212"/>
              </w:rPr>
            </w:r>
            <w:r>
              <w:rPr>
                <w:color w:val="121212"/>
              </w:rPr>
              <w:fldChar w:fldCharType="separate"/>
            </w:r>
            <w:r>
              <w:rPr>
                <w:color w:val="121212"/>
              </w:rPr>
              <w:t>70</w:t>
            </w:r>
            <w:r>
              <w:rPr>
                <w:color w:val="121212"/>
              </w:rPr>
              <w:fldChar w:fldCharType="end"/>
            </w:r>
          </w:hyperlink>
        </w:p>
        <w:p w14:paraId="0140553B" w14:textId="77777777" w:rsidR="00423B40" w:rsidRDefault="00423B40">
          <w:pPr>
            <w:pStyle w:val="TOC2"/>
            <w:tabs>
              <w:tab w:val="right" w:leader="dot" w:pos="9016"/>
            </w:tabs>
            <w:rPr>
              <w:rFonts w:asciiTheme="minorHAnsi" w:eastAsiaTheme="minorEastAsia" w:hAnsiTheme="minorHAnsi" w:cstheme="minorBidi"/>
              <w:color w:val="121212"/>
              <w:kern w:val="2"/>
              <w:sz w:val="24"/>
              <w:szCs w:val="24"/>
              <w:lang w:eastAsia="en-GB"/>
            </w:rPr>
          </w:pPr>
          <w:hyperlink w:anchor="_Toc240448298" w:history="1">
            <w:r>
              <w:rPr>
                <w:rStyle w:val="Hyperlink"/>
                <w:color w:val="121212"/>
              </w:rPr>
              <w:t>Appendix 1: CASP Table of Studies</w:t>
            </w:r>
            <w:r>
              <w:rPr>
                <w:color w:val="121212"/>
              </w:rPr>
              <w:tab/>
            </w:r>
            <w:r>
              <w:rPr>
                <w:color w:val="121212"/>
              </w:rPr>
              <w:fldChar w:fldCharType="begin"/>
            </w:r>
            <w:r>
              <w:rPr>
                <w:color w:val="121212"/>
              </w:rPr>
              <w:instrText xml:space="preserve"> PAGEREF _Toc240448298 \h </w:instrText>
            </w:r>
            <w:r>
              <w:rPr>
                <w:color w:val="121212"/>
              </w:rPr>
            </w:r>
            <w:r>
              <w:rPr>
                <w:color w:val="121212"/>
              </w:rPr>
              <w:fldChar w:fldCharType="separate"/>
            </w:r>
            <w:r>
              <w:rPr>
                <w:color w:val="121212"/>
              </w:rPr>
              <w:t>70</w:t>
            </w:r>
            <w:r>
              <w:rPr>
                <w:color w:val="121212"/>
              </w:rPr>
              <w:fldChar w:fldCharType="end"/>
            </w:r>
          </w:hyperlink>
        </w:p>
        <w:p w14:paraId="1C125EB9" w14:textId="77777777" w:rsidR="00423B40" w:rsidRDefault="00636AB1">
          <w:pPr>
            <w:rPr>
              <w:color w:val="121212"/>
            </w:rPr>
          </w:pPr>
          <w:r>
            <w:rPr>
              <w:color w:val="121212"/>
            </w:rPr>
            <w:fldChar w:fldCharType="end"/>
          </w:r>
        </w:p>
      </w:sdtContent>
    </w:sdt>
    <w:p w14:paraId="07C8B215" w14:textId="77777777" w:rsidR="00423B40" w:rsidRDefault="00636AB1">
      <w:pPr>
        <w:spacing w:line="278" w:lineRule="auto"/>
        <w:jc w:val="left"/>
        <w:rPr>
          <w:color w:val="121212"/>
        </w:rPr>
      </w:pPr>
      <w:r>
        <w:rPr>
          <w:color w:val="121212"/>
        </w:rPr>
        <w:br w:type="page"/>
      </w:r>
    </w:p>
    <w:p w14:paraId="39648A90" w14:textId="77777777" w:rsidR="00423B40" w:rsidRDefault="00636AB1">
      <w:pPr>
        <w:jc w:val="center"/>
        <w:rPr>
          <w:b/>
          <w:bCs/>
          <w:color w:val="121212"/>
        </w:rPr>
      </w:pPr>
      <w:r>
        <w:rPr>
          <w:b/>
          <w:bCs/>
          <w:color w:val="121212"/>
        </w:rPr>
        <w:lastRenderedPageBreak/>
        <w:t>List of Figures</w:t>
      </w:r>
    </w:p>
    <w:p w14:paraId="6124779C" w14:textId="77777777" w:rsidR="00423B40" w:rsidRDefault="00636AB1">
      <w:pPr>
        <w:pStyle w:val="TableofFigures"/>
        <w:tabs>
          <w:tab w:val="right" w:leader="dot" w:pos="9016"/>
        </w:tabs>
        <w:rPr>
          <w:color w:val="121212"/>
        </w:rPr>
      </w:pPr>
      <w:r>
        <w:rPr>
          <w:color w:val="121212"/>
        </w:rPr>
        <w:fldChar w:fldCharType="begin"/>
      </w:r>
      <w:r>
        <w:rPr>
          <w:color w:val="121212"/>
        </w:rPr>
        <w:instrText xml:space="preserve"> TOC \h \z \t "Heading 4" \c </w:instrText>
      </w:r>
      <w:r>
        <w:rPr>
          <w:color w:val="121212"/>
        </w:rPr>
        <w:fldChar w:fldCharType="separate"/>
      </w:r>
      <w:hyperlink w:anchor="_Toc240448173" w:history="1">
        <w:r w:rsidR="00423B40">
          <w:rPr>
            <w:rStyle w:val="Hyperlink"/>
            <w:color w:val="121212"/>
          </w:rPr>
          <w:t>Figure 1.1: Reported prevalence ranges of pelvic floor-related symptoms among males</w:t>
        </w:r>
        <w:r w:rsidR="00423B40">
          <w:rPr>
            <w:color w:val="121212"/>
          </w:rPr>
          <w:tab/>
        </w:r>
        <w:r w:rsidR="00423B40">
          <w:rPr>
            <w:color w:val="121212"/>
          </w:rPr>
          <w:fldChar w:fldCharType="begin"/>
        </w:r>
        <w:r w:rsidR="00423B40">
          <w:rPr>
            <w:color w:val="121212"/>
          </w:rPr>
          <w:instrText xml:space="preserve"> PAGEREF _Toc240448173 \h </w:instrText>
        </w:r>
        <w:r w:rsidR="00423B40">
          <w:rPr>
            <w:color w:val="121212"/>
          </w:rPr>
        </w:r>
        <w:r w:rsidR="00423B40">
          <w:rPr>
            <w:color w:val="121212"/>
          </w:rPr>
          <w:fldChar w:fldCharType="separate"/>
        </w:r>
        <w:r w:rsidR="00423B40">
          <w:rPr>
            <w:color w:val="121212"/>
          </w:rPr>
          <w:t>12</w:t>
        </w:r>
        <w:r w:rsidR="00423B40">
          <w:rPr>
            <w:color w:val="121212"/>
          </w:rPr>
          <w:fldChar w:fldCharType="end"/>
        </w:r>
      </w:hyperlink>
    </w:p>
    <w:p w14:paraId="4F0D943B" w14:textId="77777777" w:rsidR="00423B40" w:rsidRDefault="00423B40">
      <w:pPr>
        <w:pStyle w:val="TableofFigures"/>
        <w:tabs>
          <w:tab w:val="right" w:leader="dot" w:pos="9016"/>
        </w:tabs>
        <w:rPr>
          <w:color w:val="121212"/>
        </w:rPr>
      </w:pPr>
      <w:hyperlink w:anchor="_Toc240448174" w:history="1">
        <w:r>
          <w:rPr>
            <w:rStyle w:val="Hyperlink"/>
            <w:color w:val="121212"/>
          </w:rPr>
          <w:t>Figure 2.1: Biopsychosocial Model</w:t>
        </w:r>
        <w:r>
          <w:rPr>
            <w:color w:val="121212"/>
          </w:rPr>
          <w:tab/>
        </w:r>
        <w:r>
          <w:rPr>
            <w:color w:val="121212"/>
          </w:rPr>
          <w:fldChar w:fldCharType="begin"/>
        </w:r>
        <w:r>
          <w:rPr>
            <w:color w:val="121212"/>
          </w:rPr>
          <w:instrText xml:space="preserve"> PAGEREF _Toc240448174 \h </w:instrText>
        </w:r>
        <w:r>
          <w:rPr>
            <w:color w:val="121212"/>
          </w:rPr>
        </w:r>
        <w:r>
          <w:rPr>
            <w:color w:val="121212"/>
          </w:rPr>
          <w:fldChar w:fldCharType="separate"/>
        </w:r>
        <w:r>
          <w:rPr>
            <w:color w:val="121212"/>
          </w:rPr>
          <w:t>18</w:t>
        </w:r>
        <w:r>
          <w:rPr>
            <w:color w:val="121212"/>
          </w:rPr>
          <w:fldChar w:fldCharType="end"/>
        </w:r>
      </w:hyperlink>
    </w:p>
    <w:p w14:paraId="56FC7F3D" w14:textId="77777777" w:rsidR="00423B40" w:rsidRDefault="00423B40">
      <w:pPr>
        <w:pStyle w:val="TableofFigures"/>
        <w:tabs>
          <w:tab w:val="right" w:leader="dot" w:pos="9016"/>
        </w:tabs>
        <w:rPr>
          <w:color w:val="121212"/>
        </w:rPr>
      </w:pPr>
      <w:hyperlink w:anchor="_Toc240448175" w:history="1">
        <w:r>
          <w:rPr>
            <w:rStyle w:val="Hyperlink"/>
            <w:color w:val="121212"/>
          </w:rPr>
          <w:t>Figure 2.2: Stress Process Model</w:t>
        </w:r>
        <w:r>
          <w:rPr>
            <w:color w:val="121212"/>
          </w:rPr>
          <w:tab/>
        </w:r>
        <w:r>
          <w:rPr>
            <w:color w:val="121212"/>
          </w:rPr>
          <w:fldChar w:fldCharType="begin"/>
        </w:r>
        <w:r>
          <w:rPr>
            <w:color w:val="121212"/>
          </w:rPr>
          <w:instrText xml:space="preserve"> PAGEREF _Toc240448175 \h </w:instrText>
        </w:r>
        <w:r>
          <w:rPr>
            <w:color w:val="121212"/>
          </w:rPr>
        </w:r>
        <w:r>
          <w:rPr>
            <w:color w:val="121212"/>
          </w:rPr>
          <w:fldChar w:fldCharType="separate"/>
        </w:r>
        <w:r>
          <w:rPr>
            <w:color w:val="121212"/>
          </w:rPr>
          <w:t>19</w:t>
        </w:r>
        <w:r>
          <w:rPr>
            <w:color w:val="121212"/>
          </w:rPr>
          <w:fldChar w:fldCharType="end"/>
        </w:r>
      </w:hyperlink>
    </w:p>
    <w:p w14:paraId="2FAA1EE7" w14:textId="77777777" w:rsidR="00423B40" w:rsidRDefault="00423B40">
      <w:pPr>
        <w:pStyle w:val="TableofFigures"/>
        <w:tabs>
          <w:tab w:val="right" w:leader="dot" w:pos="9016"/>
        </w:tabs>
        <w:rPr>
          <w:color w:val="121212"/>
        </w:rPr>
      </w:pPr>
      <w:hyperlink w:anchor="_Toc240448176" w:history="1">
        <w:r>
          <w:rPr>
            <w:rStyle w:val="Hyperlink"/>
            <w:color w:val="121212"/>
          </w:rPr>
          <w:t>Figure 2.3: Common-Sense Model of Self-Regulation (CSM)</w:t>
        </w:r>
        <w:r>
          <w:rPr>
            <w:color w:val="121212"/>
          </w:rPr>
          <w:tab/>
        </w:r>
        <w:r>
          <w:rPr>
            <w:color w:val="121212"/>
          </w:rPr>
          <w:fldChar w:fldCharType="begin"/>
        </w:r>
        <w:r>
          <w:rPr>
            <w:color w:val="121212"/>
          </w:rPr>
          <w:instrText xml:space="preserve"> PAGEREF _Toc240448176 \h </w:instrText>
        </w:r>
        <w:r>
          <w:rPr>
            <w:color w:val="121212"/>
          </w:rPr>
        </w:r>
        <w:r>
          <w:rPr>
            <w:color w:val="121212"/>
          </w:rPr>
          <w:fldChar w:fldCharType="separate"/>
        </w:r>
        <w:r>
          <w:rPr>
            <w:color w:val="121212"/>
          </w:rPr>
          <w:t>20</w:t>
        </w:r>
        <w:r>
          <w:rPr>
            <w:color w:val="121212"/>
          </w:rPr>
          <w:fldChar w:fldCharType="end"/>
        </w:r>
      </w:hyperlink>
    </w:p>
    <w:p w14:paraId="2C70524B" w14:textId="77777777" w:rsidR="00423B40" w:rsidRDefault="00423B40">
      <w:pPr>
        <w:pStyle w:val="TableofFigures"/>
        <w:tabs>
          <w:tab w:val="right" w:leader="dot" w:pos="9016"/>
        </w:tabs>
        <w:rPr>
          <w:color w:val="121212"/>
        </w:rPr>
      </w:pPr>
      <w:hyperlink w:anchor="_Toc240448177" w:history="1">
        <w:r>
          <w:rPr>
            <w:rStyle w:val="Hyperlink"/>
            <w:color w:val="121212"/>
          </w:rPr>
          <w:t>Figure 4.1: PRISMA Flow Chart</w:t>
        </w:r>
        <w:r>
          <w:rPr>
            <w:color w:val="121212"/>
          </w:rPr>
          <w:tab/>
        </w:r>
        <w:r>
          <w:rPr>
            <w:color w:val="121212"/>
          </w:rPr>
          <w:fldChar w:fldCharType="begin"/>
        </w:r>
        <w:r>
          <w:rPr>
            <w:color w:val="121212"/>
          </w:rPr>
          <w:instrText xml:space="preserve"> PAGEREF _Toc240448177 \h </w:instrText>
        </w:r>
        <w:r>
          <w:rPr>
            <w:color w:val="121212"/>
          </w:rPr>
        </w:r>
        <w:r>
          <w:rPr>
            <w:color w:val="121212"/>
          </w:rPr>
          <w:fldChar w:fldCharType="separate"/>
        </w:r>
        <w:r>
          <w:rPr>
            <w:color w:val="121212"/>
          </w:rPr>
          <w:t>38</w:t>
        </w:r>
        <w:r>
          <w:rPr>
            <w:color w:val="121212"/>
          </w:rPr>
          <w:fldChar w:fldCharType="end"/>
        </w:r>
      </w:hyperlink>
    </w:p>
    <w:p w14:paraId="6C11E0EF" w14:textId="77777777" w:rsidR="00423B40" w:rsidRDefault="00636AB1">
      <w:pPr>
        <w:rPr>
          <w:color w:val="121212"/>
        </w:rPr>
      </w:pPr>
      <w:r>
        <w:rPr>
          <w:color w:val="121212"/>
        </w:rPr>
        <w:fldChar w:fldCharType="end"/>
      </w:r>
    </w:p>
    <w:p w14:paraId="04EF1AED" w14:textId="77777777" w:rsidR="00423B40" w:rsidRDefault="00636AB1">
      <w:pPr>
        <w:spacing w:line="278" w:lineRule="auto"/>
        <w:jc w:val="left"/>
        <w:rPr>
          <w:color w:val="121212"/>
        </w:rPr>
      </w:pPr>
      <w:r>
        <w:rPr>
          <w:color w:val="121212"/>
        </w:rPr>
        <w:br w:type="page"/>
      </w:r>
    </w:p>
    <w:p w14:paraId="63E8B15D" w14:textId="77777777" w:rsidR="00423B40" w:rsidRDefault="00636AB1">
      <w:pPr>
        <w:jc w:val="center"/>
        <w:rPr>
          <w:b/>
          <w:bCs/>
          <w:color w:val="121212"/>
        </w:rPr>
      </w:pPr>
      <w:r>
        <w:rPr>
          <w:b/>
          <w:bCs/>
          <w:color w:val="121212"/>
        </w:rPr>
        <w:lastRenderedPageBreak/>
        <w:t>List of Tables</w:t>
      </w:r>
    </w:p>
    <w:p w14:paraId="70E9309F" w14:textId="77777777" w:rsidR="00423B40" w:rsidRDefault="00636AB1">
      <w:pPr>
        <w:pStyle w:val="TableofFigures"/>
        <w:tabs>
          <w:tab w:val="right" w:leader="dot" w:pos="9016"/>
        </w:tabs>
        <w:rPr>
          <w:rFonts w:asciiTheme="minorHAnsi" w:eastAsiaTheme="minorEastAsia" w:hAnsiTheme="minorHAnsi" w:cstheme="minorBidi"/>
          <w:color w:val="121212"/>
          <w:kern w:val="2"/>
          <w:sz w:val="24"/>
          <w:szCs w:val="24"/>
          <w:lang w:eastAsia="en-GB"/>
        </w:rPr>
      </w:pPr>
      <w:r>
        <w:rPr>
          <w:color w:val="121212"/>
        </w:rPr>
        <w:fldChar w:fldCharType="begin"/>
      </w:r>
      <w:r>
        <w:rPr>
          <w:color w:val="121212"/>
        </w:rPr>
        <w:instrText xml:space="preserve"> TOC \h \z \t "Heading 5" \c </w:instrText>
      </w:r>
      <w:r>
        <w:rPr>
          <w:color w:val="121212"/>
        </w:rPr>
        <w:fldChar w:fldCharType="separate"/>
      </w:r>
      <w:hyperlink w:anchor="_Toc240448192" w:history="1">
        <w:r w:rsidR="00423B40">
          <w:rPr>
            <w:rStyle w:val="Hyperlink"/>
            <w:color w:val="121212"/>
          </w:rPr>
          <w:t>Table 3.1: PICO Framework</w:t>
        </w:r>
        <w:r w:rsidR="00423B40">
          <w:rPr>
            <w:color w:val="121212"/>
          </w:rPr>
          <w:tab/>
        </w:r>
        <w:r w:rsidR="00423B40">
          <w:rPr>
            <w:color w:val="121212"/>
          </w:rPr>
          <w:fldChar w:fldCharType="begin"/>
        </w:r>
        <w:r w:rsidR="00423B40">
          <w:rPr>
            <w:color w:val="121212"/>
          </w:rPr>
          <w:instrText xml:space="preserve"> PAGEREF _Toc240448192 \h </w:instrText>
        </w:r>
        <w:r w:rsidR="00423B40">
          <w:rPr>
            <w:color w:val="121212"/>
          </w:rPr>
        </w:r>
        <w:r w:rsidR="00423B40">
          <w:rPr>
            <w:color w:val="121212"/>
          </w:rPr>
          <w:fldChar w:fldCharType="separate"/>
        </w:r>
        <w:r w:rsidR="00423B40">
          <w:rPr>
            <w:color w:val="121212"/>
          </w:rPr>
          <w:t>31</w:t>
        </w:r>
        <w:r w:rsidR="00423B40">
          <w:rPr>
            <w:color w:val="121212"/>
          </w:rPr>
          <w:fldChar w:fldCharType="end"/>
        </w:r>
      </w:hyperlink>
    </w:p>
    <w:p w14:paraId="3CFB3CEC" w14:textId="77777777" w:rsidR="00423B40" w:rsidRDefault="00423B40">
      <w:pPr>
        <w:pStyle w:val="TableofFigures"/>
        <w:tabs>
          <w:tab w:val="right" w:leader="dot" w:pos="9016"/>
        </w:tabs>
        <w:rPr>
          <w:rFonts w:asciiTheme="minorHAnsi" w:eastAsiaTheme="minorEastAsia" w:hAnsiTheme="minorHAnsi" w:cstheme="minorBidi"/>
          <w:color w:val="121212"/>
          <w:kern w:val="2"/>
          <w:sz w:val="24"/>
          <w:szCs w:val="24"/>
          <w:lang w:eastAsia="en-GB"/>
        </w:rPr>
      </w:pPr>
      <w:hyperlink w:anchor="_Toc240448193" w:history="1">
        <w:r>
          <w:rPr>
            <w:rStyle w:val="Hyperlink"/>
            <w:color w:val="121212"/>
          </w:rPr>
          <w:t>Table 3.2: Inclusion and Exclusion Criteria</w:t>
        </w:r>
        <w:r>
          <w:rPr>
            <w:color w:val="121212"/>
          </w:rPr>
          <w:tab/>
        </w:r>
        <w:r>
          <w:rPr>
            <w:color w:val="121212"/>
          </w:rPr>
          <w:fldChar w:fldCharType="begin"/>
        </w:r>
        <w:r>
          <w:rPr>
            <w:color w:val="121212"/>
          </w:rPr>
          <w:instrText xml:space="preserve"> PAGEREF _Toc240448193 \h </w:instrText>
        </w:r>
        <w:r>
          <w:rPr>
            <w:color w:val="121212"/>
          </w:rPr>
        </w:r>
        <w:r>
          <w:rPr>
            <w:color w:val="121212"/>
          </w:rPr>
          <w:fldChar w:fldCharType="separate"/>
        </w:r>
        <w:r>
          <w:rPr>
            <w:color w:val="121212"/>
          </w:rPr>
          <w:t>33</w:t>
        </w:r>
        <w:r>
          <w:rPr>
            <w:color w:val="121212"/>
          </w:rPr>
          <w:fldChar w:fldCharType="end"/>
        </w:r>
      </w:hyperlink>
    </w:p>
    <w:p w14:paraId="0D5CF8A3" w14:textId="77777777" w:rsidR="00423B40" w:rsidRDefault="00423B40">
      <w:pPr>
        <w:pStyle w:val="TableofFigures"/>
        <w:tabs>
          <w:tab w:val="right" w:leader="dot" w:pos="9016"/>
        </w:tabs>
        <w:rPr>
          <w:rFonts w:asciiTheme="minorHAnsi" w:eastAsiaTheme="minorEastAsia" w:hAnsiTheme="minorHAnsi" w:cstheme="minorBidi"/>
          <w:color w:val="121212"/>
          <w:kern w:val="2"/>
          <w:sz w:val="24"/>
          <w:szCs w:val="24"/>
          <w:lang w:eastAsia="en-GB"/>
        </w:rPr>
      </w:pPr>
      <w:hyperlink w:anchor="_Toc240448194" w:history="1">
        <w:r>
          <w:rPr>
            <w:rStyle w:val="Hyperlink"/>
            <w:color w:val="121212"/>
          </w:rPr>
          <w:t>Table 3.3: Screening Result</w:t>
        </w:r>
        <w:r>
          <w:rPr>
            <w:color w:val="121212"/>
          </w:rPr>
          <w:tab/>
        </w:r>
        <w:r>
          <w:rPr>
            <w:color w:val="121212"/>
          </w:rPr>
          <w:fldChar w:fldCharType="begin"/>
        </w:r>
        <w:r>
          <w:rPr>
            <w:color w:val="121212"/>
          </w:rPr>
          <w:instrText xml:space="preserve"> PAGEREF _Toc240448194 \h </w:instrText>
        </w:r>
        <w:r>
          <w:rPr>
            <w:color w:val="121212"/>
          </w:rPr>
        </w:r>
        <w:r>
          <w:rPr>
            <w:color w:val="121212"/>
          </w:rPr>
          <w:fldChar w:fldCharType="separate"/>
        </w:r>
        <w:r>
          <w:rPr>
            <w:color w:val="121212"/>
          </w:rPr>
          <w:t>34</w:t>
        </w:r>
        <w:r>
          <w:rPr>
            <w:color w:val="121212"/>
          </w:rPr>
          <w:fldChar w:fldCharType="end"/>
        </w:r>
      </w:hyperlink>
    </w:p>
    <w:p w14:paraId="42BB42F5" w14:textId="77777777" w:rsidR="00423B40" w:rsidRDefault="00423B40">
      <w:pPr>
        <w:pStyle w:val="TableofFigures"/>
        <w:tabs>
          <w:tab w:val="right" w:leader="dot" w:pos="9016"/>
        </w:tabs>
        <w:rPr>
          <w:rFonts w:asciiTheme="minorHAnsi" w:eastAsiaTheme="minorEastAsia" w:hAnsiTheme="minorHAnsi" w:cstheme="minorBidi"/>
          <w:color w:val="121212"/>
          <w:kern w:val="2"/>
          <w:sz w:val="24"/>
          <w:szCs w:val="24"/>
          <w:lang w:eastAsia="en-GB"/>
        </w:rPr>
      </w:pPr>
      <w:hyperlink w:anchor="_Toc240448195" w:history="1">
        <w:r>
          <w:rPr>
            <w:rStyle w:val="Hyperlink"/>
            <w:color w:val="121212"/>
          </w:rPr>
          <w:t>Table 4.1: Data Extraction Table</w:t>
        </w:r>
        <w:r>
          <w:rPr>
            <w:color w:val="121212"/>
          </w:rPr>
          <w:tab/>
        </w:r>
        <w:r>
          <w:rPr>
            <w:color w:val="121212"/>
          </w:rPr>
          <w:fldChar w:fldCharType="begin"/>
        </w:r>
        <w:r>
          <w:rPr>
            <w:color w:val="121212"/>
          </w:rPr>
          <w:instrText xml:space="preserve"> PAGEREF _Toc240448195 \h </w:instrText>
        </w:r>
        <w:r>
          <w:rPr>
            <w:color w:val="121212"/>
          </w:rPr>
        </w:r>
        <w:r>
          <w:rPr>
            <w:color w:val="121212"/>
          </w:rPr>
          <w:fldChar w:fldCharType="separate"/>
        </w:r>
        <w:r>
          <w:rPr>
            <w:color w:val="121212"/>
          </w:rPr>
          <w:t>45</w:t>
        </w:r>
        <w:r>
          <w:rPr>
            <w:color w:val="121212"/>
          </w:rPr>
          <w:fldChar w:fldCharType="end"/>
        </w:r>
      </w:hyperlink>
    </w:p>
    <w:p w14:paraId="25047E42" w14:textId="77777777" w:rsidR="00423B40" w:rsidRDefault="00423B40">
      <w:pPr>
        <w:pStyle w:val="TableofFigures"/>
        <w:tabs>
          <w:tab w:val="right" w:leader="dot" w:pos="9016"/>
        </w:tabs>
        <w:rPr>
          <w:rFonts w:asciiTheme="minorHAnsi" w:eastAsiaTheme="minorEastAsia" w:hAnsiTheme="minorHAnsi" w:cstheme="minorBidi"/>
          <w:color w:val="121212"/>
          <w:kern w:val="2"/>
          <w:sz w:val="24"/>
          <w:szCs w:val="24"/>
          <w:lang w:eastAsia="en-GB"/>
        </w:rPr>
      </w:pPr>
      <w:hyperlink w:anchor="_Toc240448196" w:history="1">
        <w:r>
          <w:rPr>
            <w:rStyle w:val="Hyperlink"/>
            <w:color w:val="121212"/>
          </w:rPr>
          <w:t>Table 4.2: Thematic Coding Table</w:t>
        </w:r>
        <w:r>
          <w:rPr>
            <w:color w:val="121212"/>
          </w:rPr>
          <w:tab/>
        </w:r>
        <w:r>
          <w:rPr>
            <w:color w:val="121212"/>
          </w:rPr>
          <w:fldChar w:fldCharType="begin"/>
        </w:r>
        <w:r>
          <w:rPr>
            <w:color w:val="121212"/>
          </w:rPr>
          <w:instrText xml:space="preserve"> PAGEREF _Toc240448196 \h </w:instrText>
        </w:r>
        <w:r>
          <w:rPr>
            <w:color w:val="121212"/>
          </w:rPr>
        </w:r>
        <w:r>
          <w:rPr>
            <w:color w:val="121212"/>
          </w:rPr>
          <w:fldChar w:fldCharType="separate"/>
        </w:r>
        <w:r>
          <w:rPr>
            <w:color w:val="121212"/>
          </w:rPr>
          <w:t>47</w:t>
        </w:r>
        <w:r>
          <w:rPr>
            <w:color w:val="121212"/>
          </w:rPr>
          <w:fldChar w:fldCharType="end"/>
        </w:r>
      </w:hyperlink>
    </w:p>
    <w:p w14:paraId="386C67DE" w14:textId="77777777" w:rsidR="00423B40" w:rsidRDefault="00636AB1">
      <w:pPr>
        <w:rPr>
          <w:color w:val="121212"/>
        </w:rPr>
      </w:pPr>
      <w:r>
        <w:rPr>
          <w:color w:val="121212"/>
        </w:rPr>
        <w:fldChar w:fldCharType="end"/>
      </w:r>
    </w:p>
    <w:p w14:paraId="31D98AD6" w14:textId="77777777" w:rsidR="00423B40" w:rsidRDefault="00636AB1">
      <w:pPr>
        <w:spacing w:line="278" w:lineRule="auto"/>
        <w:jc w:val="left"/>
        <w:rPr>
          <w:color w:val="121212"/>
        </w:rPr>
      </w:pPr>
      <w:r>
        <w:rPr>
          <w:color w:val="121212"/>
        </w:rPr>
        <w:br w:type="page"/>
      </w:r>
    </w:p>
    <w:p w14:paraId="01B00FC2" w14:textId="77777777" w:rsidR="00423B40" w:rsidRDefault="00636AB1">
      <w:pPr>
        <w:jc w:val="center"/>
        <w:rPr>
          <w:b/>
          <w:bCs/>
          <w:color w:val="121212"/>
        </w:rPr>
      </w:pPr>
      <w:r>
        <w:rPr>
          <w:b/>
          <w:bCs/>
          <w:color w:val="121212"/>
        </w:rPr>
        <w:lastRenderedPageBreak/>
        <w:t>List of Abbreviations</w:t>
      </w:r>
    </w:p>
    <w:tbl>
      <w:tblPr>
        <w:tblStyle w:val="TableGrid"/>
        <w:tblW w:w="0" w:type="auto"/>
        <w:tblLayout w:type="fixed"/>
        <w:tblLook w:val="04A0" w:firstRow="1" w:lastRow="0" w:firstColumn="1" w:lastColumn="0" w:noHBand="0" w:noVBand="1"/>
      </w:tblPr>
      <w:tblGrid>
        <w:gridCol w:w="1561"/>
        <w:gridCol w:w="7039"/>
      </w:tblGrid>
      <w:tr w:rsidR="00423B40" w14:paraId="76AE1464" w14:textId="77777777">
        <w:tc>
          <w:tcPr>
            <w:tcW w:w="1561" w:type="dxa"/>
          </w:tcPr>
          <w:p w14:paraId="5A593B0D" w14:textId="77777777" w:rsidR="00423B40" w:rsidRDefault="00636AB1">
            <w:pPr>
              <w:rPr>
                <w:b/>
                <w:bCs/>
                <w:color w:val="121212"/>
              </w:rPr>
            </w:pPr>
            <w:r>
              <w:rPr>
                <w:b/>
                <w:bCs/>
                <w:color w:val="121212"/>
              </w:rPr>
              <w:t>Abbreviation</w:t>
            </w:r>
          </w:p>
        </w:tc>
        <w:tc>
          <w:tcPr>
            <w:tcW w:w="7039" w:type="dxa"/>
          </w:tcPr>
          <w:p w14:paraId="2C3B36B2" w14:textId="77777777" w:rsidR="00423B40" w:rsidRDefault="00636AB1">
            <w:pPr>
              <w:rPr>
                <w:b/>
                <w:bCs/>
                <w:color w:val="121212"/>
              </w:rPr>
            </w:pPr>
            <w:r>
              <w:rPr>
                <w:b/>
                <w:bCs/>
                <w:color w:val="121212"/>
              </w:rPr>
              <w:t>Full Form</w:t>
            </w:r>
          </w:p>
        </w:tc>
      </w:tr>
      <w:tr w:rsidR="00423B40" w14:paraId="11573E66" w14:textId="77777777">
        <w:tc>
          <w:tcPr>
            <w:tcW w:w="1561" w:type="dxa"/>
          </w:tcPr>
          <w:p w14:paraId="0F513658" w14:textId="77777777" w:rsidR="00423B40" w:rsidRDefault="00636AB1">
            <w:pPr>
              <w:rPr>
                <w:color w:val="121212"/>
              </w:rPr>
            </w:pPr>
            <w:r>
              <w:rPr>
                <w:b/>
                <w:bCs/>
                <w:color w:val="121212"/>
              </w:rPr>
              <w:t>BPS</w:t>
            </w:r>
          </w:p>
        </w:tc>
        <w:tc>
          <w:tcPr>
            <w:tcW w:w="7039" w:type="dxa"/>
          </w:tcPr>
          <w:p w14:paraId="399E84BE" w14:textId="77777777" w:rsidR="00423B40" w:rsidRDefault="00636AB1">
            <w:pPr>
              <w:rPr>
                <w:color w:val="121212"/>
              </w:rPr>
            </w:pPr>
            <w:r>
              <w:rPr>
                <w:color w:val="121212"/>
              </w:rPr>
              <w:t>Biopsychosocial Model</w:t>
            </w:r>
          </w:p>
        </w:tc>
      </w:tr>
      <w:tr w:rsidR="00423B40" w14:paraId="2BB5DF01" w14:textId="77777777">
        <w:tc>
          <w:tcPr>
            <w:tcW w:w="1561" w:type="dxa"/>
          </w:tcPr>
          <w:p w14:paraId="5B018C92" w14:textId="77777777" w:rsidR="00423B40" w:rsidRDefault="00636AB1">
            <w:pPr>
              <w:rPr>
                <w:color w:val="121212"/>
              </w:rPr>
            </w:pPr>
            <w:r>
              <w:rPr>
                <w:b/>
                <w:bCs/>
                <w:color w:val="121212"/>
              </w:rPr>
              <w:t>CASP</w:t>
            </w:r>
          </w:p>
        </w:tc>
        <w:tc>
          <w:tcPr>
            <w:tcW w:w="7039" w:type="dxa"/>
          </w:tcPr>
          <w:p w14:paraId="657A9BBF" w14:textId="77777777" w:rsidR="00423B40" w:rsidRDefault="00636AB1">
            <w:pPr>
              <w:rPr>
                <w:color w:val="121212"/>
              </w:rPr>
            </w:pPr>
            <w:r>
              <w:rPr>
                <w:color w:val="121212"/>
              </w:rPr>
              <w:t>Critical Appraisal Skills Programme</w:t>
            </w:r>
          </w:p>
        </w:tc>
      </w:tr>
      <w:tr w:rsidR="00423B40" w14:paraId="5F94B273" w14:textId="77777777">
        <w:tc>
          <w:tcPr>
            <w:tcW w:w="1561" w:type="dxa"/>
          </w:tcPr>
          <w:p w14:paraId="7B39036C" w14:textId="77777777" w:rsidR="00423B40" w:rsidRDefault="00636AB1">
            <w:pPr>
              <w:rPr>
                <w:color w:val="121212"/>
              </w:rPr>
            </w:pPr>
            <w:r>
              <w:rPr>
                <w:b/>
                <w:bCs/>
                <w:color w:val="121212"/>
              </w:rPr>
              <w:t>CINAHL</w:t>
            </w:r>
          </w:p>
        </w:tc>
        <w:tc>
          <w:tcPr>
            <w:tcW w:w="7039" w:type="dxa"/>
          </w:tcPr>
          <w:p w14:paraId="5545532C" w14:textId="77777777" w:rsidR="00423B40" w:rsidRDefault="00636AB1">
            <w:pPr>
              <w:rPr>
                <w:color w:val="121212"/>
              </w:rPr>
            </w:pPr>
            <w:r>
              <w:rPr>
                <w:color w:val="121212"/>
              </w:rPr>
              <w:t>Cumulative Index to Nursing and Allied Health Literature</w:t>
            </w:r>
          </w:p>
        </w:tc>
      </w:tr>
      <w:tr w:rsidR="00423B40" w14:paraId="0D553512" w14:textId="77777777">
        <w:tc>
          <w:tcPr>
            <w:tcW w:w="1561" w:type="dxa"/>
          </w:tcPr>
          <w:p w14:paraId="668EBC18" w14:textId="77777777" w:rsidR="00423B40" w:rsidRDefault="00636AB1">
            <w:pPr>
              <w:rPr>
                <w:color w:val="121212"/>
              </w:rPr>
            </w:pPr>
            <w:r>
              <w:rPr>
                <w:b/>
                <w:bCs/>
                <w:color w:val="121212"/>
              </w:rPr>
              <w:t>CSM</w:t>
            </w:r>
          </w:p>
        </w:tc>
        <w:tc>
          <w:tcPr>
            <w:tcW w:w="7039" w:type="dxa"/>
          </w:tcPr>
          <w:p w14:paraId="0CD2C827" w14:textId="77777777" w:rsidR="00423B40" w:rsidRDefault="00636AB1">
            <w:pPr>
              <w:rPr>
                <w:color w:val="121212"/>
              </w:rPr>
            </w:pPr>
            <w:r>
              <w:rPr>
                <w:color w:val="121212"/>
              </w:rPr>
              <w:t>Common-Sense Model of Self-Regulation</w:t>
            </w:r>
          </w:p>
        </w:tc>
      </w:tr>
      <w:tr w:rsidR="00423B40" w14:paraId="34D919AD" w14:textId="77777777">
        <w:tc>
          <w:tcPr>
            <w:tcW w:w="1561" w:type="dxa"/>
          </w:tcPr>
          <w:p w14:paraId="18E1B029" w14:textId="77777777" w:rsidR="00423B40" w:rsidRDefault="00636AB1">
            <w:pPr>
              <w:rPr>
                <w:color w:val="121212"/>
              </w:rPr>
            </w:pPr>
            <w:r>
              <w:rPr>
                <w:b/>
                <w:bCs/>
                <w:color w:val="121212"/>
              </w:rPr>
              <w:t>EPDS</w:t>
            </w:r>
          </w:p>
        </w:tc>
        <w:tc>
          <w:tcPr>
            <w:tcW w:w="7039" w:type="dxa"/>
          </w:tcPr>
          <w:p w14:paraId="252FC659" w14:textId="77777777" w:rsidR="00423B40" w:rsidRDefault="00636AB1">
            <w:pPr>
              <w:rPr>
                <w:color w:val="121212"/>
              </w:rPr>
            </w:pPr>
            <w:r>
              <w:rPr>
                <w:color w:val="121212"/>
              </w:rPr>
              <w:t>Edinburgh Postnatal Depression Scale</w:t>
            </w:r>
          </w:p>
        </w:tc>
      </w:tr>
      <w:tr w:rsidR="00423B40" w14:paraId="265E664C" w14:textId="77777777">
        <w:tc>
          <w:tcPr>
            <w:tcW w:w="1561" w:type="dxa"/>
          </w:tcPr>
          <w:p w14:paraId="07BAD76B" w14:textId="77777777" w:rsidR="00423B40" w:rsidRDefault="00636AB1">
            <w:pPr>
              <w:rPr>
                <w:color w:val="121212"/>
              </w:rPr>
            </w:pPr>
            <w:r>
              <w:rPr>
                <w:b/>
                <w:bCs/>
                <w:color w:val="121212"/>
              </w:rPr>
              <w:t>HRQOL</w:t>
            </w:r>
          </w:p>
        </w:tc>
        <w:tc>
          <w:tcPr>
            <w:tcW w:w="7039" w:type="dxa"/>
          </w:tcPr>
          <w:p w14:paraId="25E6E7FC" w14:textId="77777777" w:rsidR="00423B40" w:rsidRDefault="00636AB1">
            <w:pPr>
              <w:rPr>
                <w:color w:val="121212"/>
              </w:rPr>
            </w:pPr>
            <w:r>
              <w:rPr>
                <w:color w:val="121212"/>
              </w:rPr>
              <w:t>Health-Related Quality of Life</w:t>
            </w:r>
          </w:p>
        </w:tc>
      </w:tr>
      <w:tr w:rsidR="00423B40" w14:paraId="2189B147" w14:textId="77777777">
        <w:tc>
          <w:tcPr>
            <w:tcW w:w="1561" w:type="dxa"/>
          </w:tcPr>
          <w:p w14:paraId="0E872A7C" w14:textId="77777777" w:rsidR="00423B40" w:rsidRDefault="00636AB1">
            <w:pPr>
              <w:rPr>
                <w:color w:val="121212"/>
              </w:rPr>
            </w:pPr>
            <w:r>
              <w:rPr>
                <w:b/>
                <w:bCs/>
                <w:color w:val="121212"/>
              </w:rPr>
              <w:t>MDD</w:t>
            </w:r>
          </w:p>
        </w:tc>
        <w:tc>
          <w:tcPr>
            <w:tcW w:w="7039" w:type="dxa"/>
          </w:tcPr>
          <w:p w14:paraId="7275855A" w14:textId="77777777" w:rsidR="00423B40" w:rsidRDefault="00636AB1">
            <w:pPr>
              <w:rPr>
                <w:color w:val="121212"/>
              </w:rPr>
            </w:pPr>
            <w:r>
              <w:rPr>
                <w:color w:val="121212"/>
              </w:rPr>
              <w:t>Major Depressive Disorder</w:t>
            </w:r>
          </w:p>
        </w:tc>
      </w:tr>
      <w:tr w:rsidR="00423B40" w14:paraId="25B2AD87" w14:textId="77777777">
        <w:tc>
          <w:tcPr>
            <w:tcW w:w="1561" w:type="dxa"/>
          </w:tcPr>
          <w:p w14:paraId="3A62B3B4" w14:textId="77777777" w:rsidR="00423B40" w:rsidRDefault="00636AB1">
            <w:pPr>
              <w:rPr>
                <w:color w:val="121212"/>
              </w:rPr>
            </w:pPr>
            <w:r>
              <w:rPr>
                <w:b/>
                <w:bCs/>
                <w:color w:val="121212"/>
              </w:rPr>
              <w:t>MeSH</w:t>
            </w:r>
          </w:p>
        </w:tc>
        <w:tc>
          <w:tcPr>
            <w:tcW w:w="7039" w:type="dxa"/>
          </w:tcPr>
          <w:p w14:paraId="7794E218" w14:textId="77777777" w:rsidR="00423B40" w:rsidRDefault="00636AB1">
            <w:pPr>
              <w:rPr>
                <w:color w:val="121212"/>
              </w:rPr>
            </w:pPr>
            <w:r>
              <w:rPr>
                <w:color w:val="121212"/>
              </w:rPr>
              <w:t>Medical Subject Headings</w:t>
            </w:r>
          </w:p>
        </w:tc>
      </w:tr>
      <w:tr w:rsidR="00423B40" w14:paraId="37C6F580" w14:textId="77777777">
        <w:tc>
          <w:tcPr>
            <w:tcW w:w="1561" w:type="dxa"/>
          </w:tcPr>
          <w:p w14:paraId="52B7E2CB" w14:textId="77777777" w:rsidR="00423B40" w:rsidRDefault="00636AB1">
            <w:pPr>
              <w:rPr>
                <w:color w:val="121212"/>
              </w:rPr>
            </w:pPr>
            <w:r>
              <w:rPr>
                <w:b/>
                <w:bCs/>
                <w:color w:val="121212"/>
              </w:rPr>
              <w:t>NHS</w:t>
            </w:r>
          </w:p>
        </w:tc>
        <w:tc>
          <w:tcPr>
            <w:tcW w:w="7039" w:type="dxa"/>
          </w:tcPr>
          <w:p w14:paraId="73845BE9" w14:textId="77777777" w:rsidR="00423B40" w:rsidRDefault="00636AB1">
            <w:pPr>
              <w:rPr>
                <w:color w:val="121212"/>
              </w:rPr>
            </w:pPr>
            <w:r>
              <w:rPr>
                <w:color w:val="121212"/>
              </w:rPr>
              <w:t>National Health Service</w:t>
            </w:r>
          </w:p>
        </w:tc>
      </w:tr>
      <w:tr w:rsidR="00423B40" w14:paraId="2918E2F8" w14:textId="77777777">
        <w:tc>
          <w:tcPr>
            <w:tcW w:w="1561" w:type="dxa"/>
          </w:tcPr>
          <w:p w14:paraId="66C51314" w14:textId="77777777" w:rsidR="00423B40" w:rsidRDefault="00636AB1">
            <w:pPr>
              <w:rPr>
                <w:color w:val="121212"/>
              </w:rPr>
            </w:pPr>
            <w:r>
              <w:rPr>
                <w:b/>
                <w:bCs/>
                <w:color w:val="121212"/>
              </w:rPr>
              <w:t>OR</w:t>
            </w:r>
          </w:p>
        </w:tc>
        <w:tc>
          <w:tcPr>
            <w:tcW w:w="7039" w:type="dxa"/>
          </w:tcPr>
          <w:p w14:paraId="3179CF77" w14:textId="77777777" w:rsidR="00423B40" w:rsidRDefault="00636AB1">
            <w:pPr>
              <w:rPr>
                <w:color w:val="121212"/>
              </w:rPr>
            </w:pPr>
            <w:r>
              <w:rPr>
                <w:color w:val="121212"/>
              </w:rPr>
              <w:t>Odds Ratio</w:t>
            </w:r>
          </w:p>
        </w:tc>
      </w:tr>
      <w:tr w:rsidR="00423B40" w14:paraId="68B17862" w14:textId="77777777">
        <w:tc>
          <w:tcPr>
            <w:tcW w:w="1561" w:type="dxa"/>
          </w:tcPr>
          <w:p w14:paraId="3AC81CA9" w14:textId="77777777" w:rsidR="00423B40" w:rsidRDefault="00636AB1">
            <w:pPr>
              <w:rPr>
                <w:color w:val="121212"/>
              </w:rPr>
            </w:pPr>
            <w:r>
              <w:rPr>
                <w:b/>
                <w:bCs/>
                <w:color w:val="121212"/>
              </w:rPr>
              <w:t>PFD</w:t>
            </w:r>
          </w:p>
        </w:tc>
        <w:tc>
          <w:tcPr>
            <w:tcW w:w="7039" w:type="dxa"/>
          </w:tcPr>
          <w:p w14:paraId="2A004DB2" w14:textId="77777777" w:rsidR="00423B40" w:rsidRDefault="00636AB1">
            <w:pPr>
              <w:rPr>
                <w:color w:val="121212"/>
              </w:rPr>
            </w:pPr>
            <w:r>
              <w:rPr>
                <w:color w:val="121212"/>
              </w:rPr>
              <w:t>Pelvic Floor Dysfunction</w:t>
            </w:r>
          </w:p>
        </w:tc>
      </w:tr>
      <w:tr w:rsidR="00423B40" w14:paraId="7742BDDB" w14:textId="77777777">
        <w:tc>
          <w:tcPr>
            <w:tcW w:w="1561" w:type="dxa"/>
          </w:tcPr>
          <w:p w14:paraId="7B6435D1" w14:textId="77777777" w:rsidR="00423B40" w:rsidRDefault="00636AB1">
            <w:pPr>
              <w:rPr>
                <w:color w:val="121212"/>
              </w:rPr>
            </w:pPr>
            <w:r>
              <w:rPr>
                <w:b/>
                <w:bCs/>
                <w:color w:val="121212"/>
              </w:rPr>
              <w:t>PICO</w:t>
            </w:r>
          </w:p>
        </w:tc>
        <w:tc>
          <w:tcPr>
            <w:tcW w:w="7039" w:type="dxa"/>
          </w:tcPr>
          <w:p w14:paraId="4E719A8C" w14:textId="77777777" w:rsidR="00423B40" w:rsidRDefault="00636AB1">
            <w:pPr>
              <w:rPr>
                <w:color w:val="121212"/>
              </w:rPr>
            </w:pPr>
            <w:r>
              <w:rPr>
                <w:color w:val="121212"/>
              </w:rPr>
              <w:t>Population, Intervention, Comparison and Outcome</w:t>
            </w:r>
          </w:p>
        </w:tc>
      </w:tr>
      <w:tr w:rsidR="00423B40" w14:paraId="7A12FD2B" w14:textId="77777777">
        <w:tc>
          <w:tcPr>
            <w:tcW w:w="1561" w:type="dxa"/>
          </w:tcPr>
          <w:p w14:paraId="567A61F5" w14:textId="77777777" w:rsidR="00423B40" w:rsidRDefault="00636AB1">
            <w:pPr>
              <w:rPr>
                <w:color w:val="121212"/>
              </w:rPr>
            </w:pPr>
            <w:r>
              <w:rPr>
                <w:b/>
                <w:bCs/>
                <w:color w:val="121212"/>
              </w:rPr>
              <w:t>POP</w:t>
            </w:r>
          </w:p>
        </w:tc>
        <w:tc>
          <w:tcPr>
            <w:tcW w:w="7039" w:type="dxa"/>
          </w:tcPr>
          <w:p w14:paraId="300CE752" w14:textId="77777777" w:rsidR="00423B40" w:rsidRDefault="00636AB1">
            <w:pPr>
              <w:rPr>
                <w:color w:val="121212"/>
              </w:rPr>
            </w:pPr>
            <w:r>
              <w:rPr>
                <w:color w:val="121212"/>
              </w:rPr>
              <w:t>Pelvic Organ Prolapse</w:t>
            </w:r>
          </w:p>
        </w:tc>
      </w:tr>
      <w:tr w:rsidR="00423B40" w14:paraId="363B2D5F" w14:textId="77777777">
        <w:tc>
          <w:tcPr>
            <w:tcW w:w="1561" w:type="dxa"/>
          </w:tcPr>
          <w:p w14:paraId="4587464B" w14:textId="77777777" w:rsidR="00423B40" w:rsidRDefault="00636AB1">
            <w:pPr>
              <w:rPr>
                <w:color w:val="121212"/>
              </w:rPr>
            </w:pPr>
            <w:r>
              <w:rPr>
                <w:b/>
                <w:bCs/>
                <w:color w:val="121212"/>
              </w:rPr>
              <w:t>PRISMA</w:t>
            </w:r>
          </w:p>
        </w:tc>
        <w:tc>
          <w:tcPr>
            <w:tcW w:w="7039" w:type="dxa"/>
          </w:tcPr>
          <w:p w14:paraId="71A085D5" w14:textId="77777777" w:rsidR="00423B40" w:rsidRDefault="00636AB1">
            <w:pPr>
              <w:rPr>
                <w:color w:val="121212"/>
              </w:rPr>
            </w:pPr>
            <w:r>
              <w:rPr>
                <w:color w:val="121212"/>
              </w:rPr>
              <w:t>Preferred Reporting Items for Systematic Reviews and Meta-Analyses</w:t>
            </w:r>
          </w:p>
        </w:tc>
      </w:tr>
      <w:tr w:rsidR="00423B40" w14:paraId="79F53958" w14:textId="77777777">
        <w:tc>
          <w:tcPr>
            <w:tcW w:w="1561" w:type="dxa"/>
          </w:tcPr>
          <w:p w14:paraId="17486C0F" w14:textId="77777777" w:rsidR="00423B40" w:rsidRDefault="00636AB1">
            <w:pPr>
              <w:rPr>
                <w:color w:val="121212"/>
              </w:rPr>
            </w:pPr>
            <w:r>
              <w:rPr>
                <w:b/>
                <w:bCs/>
                <w:color w:val="121212"/>
              </w:rPr>
              <w:t>QoL</w:t>
            </w:r>
          </w:p>
        </w:tc>
        <w:tc>
          <w:tcPr>
            <w:tcW w:w="7039" w:type="dxa"/>
          </w:tcPr>
          <w:p w14:paraId="5066270F" w14:textId="77777777" w:rsidR="00423B40" w:rsidRDefault="00636AB1">
            <w:pPr>
              <w:rPr>
                <w:color w:val="121212"/>
              </w:rPr>
            </w:pPr>
            <w:r>
              <w:rPr>
                <w:color w:val="121212"/>
              </w:rPr>
              <w:t>Quality of Life</w:t>
            </w:r>
          </w:p>
        </w:tc>
      </w:tr>
      <w:tr w:rsidR="00423B40" w14:paraId="34C9A371" w14:textId="77777777">
        <w:tc>
          <w:tcPr>
            <w:tcW w:w="1561" w:type="dxa"/>
          </w:tcPr>
          <w:p w14:paraId="4FA5EF70" w14:textId="77777777" w:rsidR="00423B40" w:rsidRDefault="00636AB1">
            <w:pPr>
              <w:rPr>
                <w:color w:val="121212"/>
              </w:rPr>
            </w:pPr>
            <w:r>
              <w:rPr>
                <w:b/>
                <w:bCs/>
                <w:color w:val="121212"/>
              </w:rPr>
              <w:t>RCOG</w:t>
            </w:r>
          </w:p>
        </w:tc>
        <w:tc>
          <w:tcPr>
            <w:tcW w:w="7039" w:type="dxa"/>
          </w:tcPr>
          <w:p w14:paraId="2BDF68F1" w14:textId="77777777" w:rsidR="00423B40" w:rsidRDefault="00636AB1">
            <w:pPr>
              <w:rPr>
                <w:color w:val="121212"/>
              </w:rPr>
            </w:pPr>
            <w:r>
              <w:rPr>
                <w:color w:val="121212"/>
              </w:rPr>
              <w:t>Royal College of Obstetricians and Gynaecologists</w:t>
            </w:r>
          </w:p>
        </w:tc>
      </w:tr>
      <w:tr w:rsidR="00423B40" w14:paraId="1CDF3CED" w14:textId="77777777">
        <w:tc>
          <w:tcPr>
            <w:tcW w:w="1561" w:type="dxa"/>
          </w:tcPr>
          <w:p w14:paraId="3690013D" w14:textId="77777777" w:rsidR="00423B40" w:rsidRDefault="00636AB1">
            <w:pPr>
              <w:rPr>
                <w:color w:val="121212"/>
              </w:rPr>
            </w:pPr>
            <w:r>
              <w:rPr>
                <w:b/>
                <w:bCs/>
                <w:color w:val="121212"/>
              </w:rPr>
              <w:t>SF-12</w:t>
            </w:r>
          </w:p>
        </w:tc>
        <w:tc>
          <w:tcPr>
            <w:tcW w:w="7039" w:type="dxa"/>
          </w:tcPr>
          <w:p w14:paraId="4D8C5D2C" w14:textId="77777777" w:rsidR="00423B40" w:rsidRDefault="00636AB1">
            <w:pPr>
              <w:rPr>
                <w:color w:val="121212"/>
              </w:rPr>
            </w:pPr>
            <w:r>
              <w:rPr>
                <w:color w:val="121212"/>
              </w:rPr>
              <w:t>12-Item Short Form Health Survey</w:t>
            </w:r>
          </w:p>
        </w:tc>
      </w:tr>
      <w:tr w:rsidR="00423B40" w14:paraId="08BFFF67" w14:textId="77777777">
        <w:tc>
          <w:tcPr>
            <w:tcW w:w="1561" w:type="dxa"/>
          </w:tcPr>
          <w:p w14:paraId="3B30FEB4" w14:textId="77777777" w:rsidR="00423B40" w:rsidRDefault="00636AB1">
            <w:pPr>
              <w:rPr>
                <w:color w:val="121212"/>
              </w:rPr>
            </w:pPr>
            <w:r>
              <w:rPr>
                <w:b/>
                <w:bCs/>
                <w:color w:val="121212"/>
              </w:rPr>
              <w:t>UI</w:t>
            </w:r>
          </w:p>
        </w:tc>
        <w:tc>
          <w:tcPr>
            <w:tcW w:w="7039" w:type="dxa"/>
          </w:tcPr>
          <w:p w14:paraId="61A8187B" w14:textId="77777777" w:rsidR="00423B40" w:rsidRDefault="00636AB1">
            <w:pPr>
              <w:rPr>
                <w:color w:val="121212"/>
              </w:rPr>
            </w:pPr>
            <w:r>
              <w:rPr>
                <w:color w:val="121212"/>
              </w:rPr>
              <w:t>Urinary Incontinence</w:t>
            </w:r>
          </w:p>
        </w:tc>
      </w:tr>
      <w:tr w:rsidR="00423B40" w14:paraId="074F3B2E" w14:textId="77777777">
        <w:tc>
          <w:tcPr>
            <w:tcW w:w="1561" w:type="dxa"/>
          </w:tcPr>
          <w:p w14:paraId="48B5C84B" w14:textId="77777777" w:rsidR="00423B40" w:rsidRDefault="00636AB1">
            <w:pPr>
              <w:rPr>
                <w:color w:val="121212"/>
              </w:rPr>
            </w:pPr>
            <w:r>
              <w:rPr>
                <w:b/>
                <w:bCs/>
                <w:color w:val="121212"/>
              </w:rPr>
              <w:t>UK</w:t>
            </w:r>
          </w:p>
        </w:tc>
        <w:tc>
          <w:tcPr>
            <w:tcW w:w="7039" w:type="dxa"/>
          </w:tcPr>
          <w:p w14:paraId="00D1AFBB" w14:textId="77777777" w:rsidR="00423B40" w:rsidRDefault="00636AB1">
            <w:pPr>
              <w:rPr>
                <w:color w:val="121212"/>
              </w:rPr>
            </w:pPr>
            <w:r>
              <w:rPr>
                <w:color w:val="121212"/>
              </w:rPr>
              <w:t>United Kingdom</w:t>
            </w:r>
          </w:p>
        </w:tc>
      </w:tr>
    </w:tbl>
    <w:p w14:paraId="059E0791" w14:textId="77777777" w:rsidR="00423B40" w:rsidRDefault="00423B40">
      <w:pPr>
        <w:rPr>
          <w:color w:val="121212"/>
        </w:rPr>
      </w:pPr>
    </w:p>
    <w:p w14:paraId="1A94F8F8" w14:textId="77777777" w:rsidR="00423B40" w:rsidRDefault="00636AB1">
      <w:pPr>
        <w:rPr>
          <w:b/>
          <w:bCs/>
          <w:color w:val="121212"/>
        </w:rPr>
      </w:pPr>
      <w:r>
        <w:rPr>
          <w:color w:val="121212"/>
        </w:rPr>
        <w:br w:type="page"/>
      </w:r>
    </w:p>
    <w:p w14:paraId="601FEF29" w14:textId="77777777" w:rsidR="00423B40" w:rsidRDefault="00636AB1">
      <w:pPr>
        <w:pStyle w:val="Heading1"/>
        <w:rPr>
          <w:color w:val="121212"/>
        </w:rPr>
      </w:pPr>
      <w:bookmarkStart w:id="1" w:name="_Toc240448236"/>
      <w:r>
        <w:rPr>
          <w:color w:val="121212"/>
        </w:rPr>
        <w:lastRenderedPageBreak/>
        <w:t>Chapter 1: Introduction</w:t>
      </w:r>
      <w:bookmarkEnd w:id="1"/>
    </w:p>
    <w:p w14:paraId="4426EEC5" w14:textId="77777777" w:rsidR="00423B40" w:rsidRDefault="00636AB1">
      <w:pPr>
        <w:pStyle w:val="Heading2"/>
        <w:rPr>
          <w:color w:val="121212"/>
        </w:rPr>
      </w:pPr>
      <w:bookmarkStart w:id="2" w:name="_Toc240448237"/>
      <w:r>
        <w:rPr>
          <w:color w:val="121212"/>
        </w:rPr>
        <w:t>1.1 Background and Context</w:t>
      </w:r>
      <w:bookmarkEnd w:id="2"/>
    </w:p>
    <w:p w14:paraId="24A2C8E5" w14:textId="219FD4BF" w:rsidR="00423B40" w:rsidRPr="000F3854" w:rsidRDefault="00636AB1">
      <w:pPr>
        <w:rPr>
          <w:color w:val="121212"/>
          <w:lang w:val="en-IN"/>
        </w:rPr>
      </w:pPr>
      <w:r>
        <w:rPr>
          <w:color w:val="121212"/>
        </w:rPr>
        <w:t>Pelvic floor dysfunction (PFD) is an umbrella term for many conditions including urinary incontinence (UI) (Digesu, Swift and Bhide, 2026), faecal incontinence and chronic pelvic pain (Digesu, Swift and Bhide, 2026). It encompasses each of the dimensions of physical, social, emotional, and sexual health and is more far-reaching with young people. Although PFD is usually thought of as occurring among older women or during the postpartum period, recent studies confirmed that PFD is also common in younger women, 18 to 35, as a result of the use of high-impact activities, obesity, underreporting because of stigma, and lack of awareness</w:t>
      </w:r>
      <w:r w:rsidR="000F3854">
        <w:rPr>
          <w:color w:val="121212"/>
        </w:rPr>
        <w:t xml:space="preserve"> </w:t>
      </w:r>
      <w:r w:rsidR="000F3854" w:rsidRPr="000F3854">
        <w:rPr>
          <w:color w:val="121212"/>
          <w:lang w:val="en-IN"/>
        </w:rPr>
        <w:t>(Fisher-Yosef et al., 2024</w:t>
      </w:r>
      <w:r w:rsidR="000F3854">
        <w:rPr>
          <w:color w:val="121212"/>
          <w:lang w:val="en-IN"/>
        </w:rPr>
        <w:t>)</w:t>
      </w:r>
      <w:r>
        <w:rPr>
          <w:color w:val="121212"/>
        </w:rPr>
        <w:t>.</w:t>
      </w:r>
    </w:p>
    <w:p w14:paraId="1401BE0E" w14:textId="77777777" w:rsidR="00423B40" w:rsidRDefault="00636AB1">
      <w:pPr>
        <w:rPr>
          <w:color w:val="121212"/>
        </w:rPr>
      </w:pPr>
      <w:r>
        <w:rPr>
          <w:color w:val="121212"/>
        </w:rPr>
        <w:t>In the UK, an RCOG survey (2023) of 2,000 women in 2022 found that more than 60% of females suffer from at least one of the symptoms of poor pelvic floor health, 21% experience urinary incontinence, and 25% experience a frequent need to pass urine (Rcog.org.uk, 2023). More than half (55%) never or rarely performed pelvic floor exercises, and almost one quarter (23%) didn't know what to do for the exercises. 69% of women did not talk to the NHS about symptoms, signifying a lack of awareness and access to health care.</w:t>
      </w:r>
    </w:p>
    <w:p w14:paraId="21E4CFCB" w14:textId="77777777" w:rsidR="00423B40" w:rsidRDefault="00636AB1">
      <w:pPr>
        <w:rPr>
          <w:color w:val="121212"/>
        </w:rPr>
      </w:pPr>
      <w:r>
        <w:rPr>
          <w:color w:val="121212"/>
        </w:rPr>
        <w:t>On the global scale and in developed countries, prevalence of PFD among females is estimated to be 25-43%, with significantly high prevalence within the younger age groups (</w:t>
      </w:r>
      <w:proofErr w:type="spellStart"/>
      <w:r>
        <w:rPr>
          <w:color w:val="121212"/>
        </w:rPr>
        <w:t>Aiyegbusi</w:t>
      </w:r>
      <w:proofErr w:type="spellEnd"/>
      <w:r>
        <w:rPr>
          <w:color w:val="121212"/>
        </w:rPr>
        <w:t xml:space="preserve"> </w:t>
      </w:r>
      <w:r>
        <w:rPr>
          <w:i/>
          <w:iCs/>
          <w:color w:val="121212"/>
        </w:rPr>
        <w:t>et al</w:t>
      </w:r>
      <w:r>
        <w:rPr>
          <w:color w:val="121212"/>
        </w:rPr>
        <w:t xml:space="preserve">., 2023). An underreporting of symptoms can be attributable to embarrassment or normalization, with urinary incontinence and pelvic pain occurring during early adulthood, as shown by AlQuaiz </w:t>
      </w:r>
      <w:r>
        <w:rPr>
          <w:i/>
          <w:iCs/>
          <w:color w:val="121212"/>
        </w:rPr>
        <w:t>et al</w:t>
      </w:r>
      <w:r>
        <w:rPr>
          <w:color w:val="121212"/>
        </w:rPr>
        <w:t>. (2023).</w:t>
      </w:r>
    </w:p>
    <w:p w14:paraId="620454C5" w14:textId="77777777" w:rsidR="00423B40" w:rsidRDefault="00636AB1">
      <w:pPr>
        <w:rPr>
          <w:color w:val="121212"/>
        </w:rPr>
      </w:pPr>
      <w:r>
        <w:rPr>
          <w:color w:val="121212"/>
        </w:rPr>
        <w:t xml:space="preserve">Pelvic floor dysfunction also affects men, although male prevalence is less frequently reported. A scoping review found that co-existing lower urinary tract symptoms and erectile dysfunction affected approximately 14%–61% of male populations, while defecatory incontinence affected around 1%–14% (Knol-de Vries and Blanker, 2022). </w:t>
      </w:r>
    </w:p>
    <w:p w14:paraId="5B34E1FB" w14:textId="77777777" w:rsidR="00423B40" w:rsidRDefault="00636AB1">
      <w:pPr>
        <w:jc w:val="center"/>
        <w:rPr>
          <w:color w:val="121212"/>
        </w:rPr>
      </w:pPr>
      <w:r>
        <w:rPr>
          <w:noProof/>
          <w:color w:val="121212"/>
          <w:lang w:val="en-US" w:eastAsia="en-US"/>
        </w:rPr>
        <w:lastRenderedPageBreak/>
        <w:drawing>
          <wp:inline distT="0" distB="0" distL="0" distR="0" wp14:anchorId="4A008677" wp14:editId="11336B3C">
            <wp:extent cx="4572000" cy="2743200"/>
            <wp:effectExtent l="0" t="0" r="0" b="0"/>
            <wp:docPr id="2028226345" name="Chart 20282263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6CE40EA" w14:textId="77777777" w:rsidR="00423B40" w:rsidRDefault="00636AB1">
      <w:pPr>
        <w:pStyle w:val="Heading4"/>
        <w:rPr>
          <w:color w:val="121212"/>
        </w:rPr>
      </w:pPr>
      <w:bookmarkStart w:id="3" w:name="_Toc240448173"/>
      <w:r>
        <w:rPr>
          <w:color w:val="121212"/>
        </w:rPr>
        <w:t>Figure 1.1: Reported prevalence ranges of pelvic floor-related symptoms among males</w:t>
      </w:r>
      <w:bookmarkEnd w:id="3"/>
    </w:p>
    <w:p w14:paraId="019D059D" w14:textId="1FB42103" w:rsidR="00423B40" w:rsidRDefault="00636AB1">
      <w:pPr>
        <w:jc w:val="center"/>
        <w:rPr>
          <w:color w:val="121212"/>
        </w:rPr>
      </w:pPr>
      <w:r>
        <w:rPr>
          <w:color w:val="121212"/>
        </w:rPr>
        <w:t xml:space="preserve">(Source: </w:t>
      </w:r>
      <w:sdt>
        <w:sdtPr>
          <w:rPr>
            <w:color w:val="121212"/>
          </w:rPr>
          <w:tag w:val="goog_rdk_0"/>
          <w:id w:val="-571189128"/>
          <w:showingPlcHdr/>
        </w:sdtPr>
        <w:sdtContent>
          <w:r w:rsidR="00BC693A">
            <w:rPr>
              <w:color w:val="121212"/>
            </w:rPr>
            <w:t xml:space="preserve">     </w:t>
          </w:r>
        </w:sdtContent>
      </w:sdt>
      <w:r>
        <w:rPr>
          <w:color w:val="121212"/>
        </w:rPr>
        <w:t xml:space="preserve"> Knol-de Vries and Blanker, 2022)</w:t>
      </w:r>
    </w:p>
    <w:p w14:paraId="7FECF8C6" w14:textId="77777777" w:rsidR="00423B40" w:rsidRDefault="00636AB1">
      <w:pPr>
        <w:rPr>
          <w:color w:val="121212"/>
        </w:rPr>
      </w:pPr>
      <w:r>
        <w:rPr>
          <w:color w:val="121212"/>
        </w:rPr>
        <w:t>Figure 1.1 shows that pelvic floor-related symptoms are also important among males. The wide prevalence ranges reflect differences in participant characteristics, symptom definitions and measurement methods across studies. Nevertheless, the findings challenge the assumption that pelvic floor dysfunction is exclusively a women’s health concern. They also demonstrate the need for UK research that reports male prevalence specifically within the 18–35-year age group.</w:t>
      </w:r>
    </w:p>
    <w:p w14:paraId="4110D298" w14:textId="763A0AD3" w:rsidR="00423B40" w:rsidRPr="000F3854" w:rsidRDefault="00636AB1">
      <w:pPr>
        <w:rPr>
          <w:color w:val="121212"/>
          <w:lang w:val="en-IN"/>
        </w:rPr>
      </w:pPr>
      <w:r>
        <w:rPr>
          <w:color w:val="121212"/>
        </w:rPr>
        <w:t>The UK Health Research Authority similarly reports that up to 61% of males may experience lower urinary tract, erectile and/or bowel dysfunction (Hra.nhs.uk, 2020). Male symptoms can include urinary leakage, constipation, erectile difficulties and chronic pelvic pain</w:t>
      </w:r>
      <w:r w:rsidR="000F3854">
        <w:rPr>
          <w:color w:val="121212"/>
        </w:rPr>
        <w:t xml:space="preserve"> </w:t>
      </w:r>
      <w:r w:rsidR="000F3854" w:rsidRPr="000F3854">
        <w:rPr>
          <w:color w:val="121212"/>
          <w:lang w:val="en-IN"/>
        </w:rPr>
        <w:t>(Franz et al., 2023)</w:t>
      </w:r>
      <w:r>
        <w:rPr>
          <w:color w:val="121212"/>
        </w:rPr>
        <w:t>. However, embarrassment, limited awareness and the common belief that pelvic floor dysfunction is mainly a women’s condition may discourage men from seeking help</w:t>
      </w:r>
      <w:r w:rsidR="000F3854">
        <w:rPr>
          <w:color w:val="121212"/>
        </w:rPr>
        <w:t xml:space="preserve"> </w:t>
      </w:r>
      <w:r w:rsidR="000F3854" w:rsidRPr="000F3854">
        <w:rPr>
          <w:color w:val="121212"/>
          <w:lang w:val="en-IN"/>
        </w:rPr>
        <w:t>(</w:t>
      </w:r>
      <w:proofErr w:type="spellStart"/>
      <w:r w:rsidR="000F3854" w:rsidRPr="000F3854">
        <w:rPr>
          <w:color w:val="121212"/>
          <w:lang w:val="en-IN"/>
        </w:rPr>
        <w:t>Wesseldijk</w:t>
      </w:r>
      <w:proofErr w:type="spellEnd"/>
      <w:r w:rsidR="000F3854" w:rsidRPr="000F3854">
        <w:rPr>
          <w:color w:val="121212"/>
          <w:lang w:val="en-IN"/>
        </w:rPr>
        <w:t xml:space="preserve"> et al., 2024)</w:t>
      </w:r>
      <w:r>
        <w:rPr>
          <w:color w:val="121212"/>
        </w:rPr>
        <w:t>. Importantly, the available estimates cover broad adult populations rather than specifically UK men aged 18–35. This demonstrates a major evidence gap and supports the inclusion of gender as a moderating factor in the present systematic review.</w:t>
      </w:r>
    </w:p>
    <w:p w14:paraId="70FA268C" w14:textId="7555D186" w:rsidR="00423B40" w:rsidRPr="000F3854" w:rsidRDefault="00636AB1">
      <w:pPr>
        <w:rPr>
          <w:color w:val="121212"/>
          <w:lang w:val="en-IN"/>
        </w:rPr>
      </w:pPr>
      <w:r>
        <w:rPr>
          <w:color w:val="121212"/>
        </w:rPr>
        <w:t>There is a significant relationship between PFD and physical, social, and occupational quality of life (QoL), which can be explained by highly positive cases in PFD and problems in mental health</w:t>
      </w:r>
      <w:r w:rsidR="000F3854">
        <w:rPr>
          <w:color w:val="121212"/>
        </w:rPr>
        <w:t xml:space="preserve"> </w:t>
      </w:r>
      <w:r w:rsidR="000F3854" w:rsidRPr="000F3854">
        <w:rPr>
          <w:color w:val="121212"/>
          <w:lang w:val="en-IN"/>
        </w:rPr>
        <w:t>(Peinado Molina et al., 2023)</w:t>
      </w:r>
      <w:r>
        <w:rPr>
          <w:color w:val="121212"/>
        </w:rPr>
        <w:t xml:space="preserve">. In 2024, Molina </w:t>
      </w:r>
      <w:r>
        <w:rPr>
          <w:i/>
          <w:iCs/>
          <w:color w:val="121212"/>
        </w:rPr>
        <w:t>et al</w:t>
      </w:r>
      <w:r>
        <w:rPr>
          <w:color w:val="121212"/>
        </w:rPr>
        <w:t xml:space="preserve">. performed a systematic review and meta-analysis, and they came out with a high prevalence of depression among women with PFD (26.3 % for UI and up to 34.9 % prolapse) and anxiety (up to 46.9 % UI). This forms a biopsychosocial cycle as isolation, sexual dysfunction, and incontinence add to shame and </w:t>
      </w:r>
      <w:r>
        <w:rPr>
          <w:color w:val="121212"/>
        </w:rPr>
        <w:lastRenderedPageBreak/>
        <w:t>increased risk for major depressive disorder (MDD), which in turn leads to chronic pain and more incontinence.</w:t>
      </w:r>
      <w:r w:rsidR="000F3854">
        <w:rPr>
          <w:color w:val="121212"/>
          <w:lang w:val="en-IN"/>
        </w:rPr>
        <w:t xml:space="preserve"> </w:t>
      </w:r>
      <w:r>
        <w:rPr>
          <w:color w:val="121212"/>
        </w:rPr>
        <w:t xml:space="preserve">In the case of the study conducted by Molina </w:t>
      </w:r>
      <w:r>
        <w:rPr>
          <w:i/>
          <w:iCs/>
          <w:color w:val="121212"/>
        </w:rPr>
        <w:t>et al</w:t>
      </w:r>
      <w:r>
        <w:rPr>
          <w:color w:val="121212"/>
        </w:rPr>
        <w:t xml:space="preserve">. (2023), who found that deficits in emotional functioning and social functioning were among the greatest impairments that pelvic floor disorders had on health-related quality of life. But there is a paucity of UK evidence on the situation of young adults, highlighting a need for synthesis of evidence specific to this less studied public health issue. </w:t>
      </w:r>
    </w:p>
    <w:p w14:paraId="47A5CA8F" w14:textId="77777777" w:rsidR="00423B40" w:rsidRDefault="00636AB1">
      <w:pPr>
        <w:pStyle w:val="Heading2"/>
        <w:rPr>
          <w:color w:val="121212"/>
        </w:rPr>
      </w:pPr>
      <w:bookmarkStart w:id="4" w:name="_Toc240448238"/>
      <w:r>
        <w:rPr>
          <w:color w:val="121212"/>
        </w:rPr>
        <w:t>1.2 Existing Research and Knowledge Gaps</w:t>
      </w:r>
      <w:bookmarkEnd w:id="4"/>
    </w:p>
    <w:p w14:paraId="3E58B9F9" w14:textId="77777777" w:rsidR="00423B40" w:rsidRDefault="00636AB1">
      <w:pPr>
        <w:rPr>
          <w:color w:val="121212"/>
        </w:rPr>
      </w:pPr>
      <w:r>
        <w:rPr>
          <w:color w:val="121212"/>
        </w:rPr>
        <w:t>Past research has acknowledged the burden of pelvic floor dysfunction (PFD) in the world and in our region in youth and has shown that there is a significant link between low quality of life (QoL) and high mental health risk (Peinado</w:t>
      </w:r>
      <w:r>
        <w:rPr>
          <w:rFonts w:ascii="Cambria Math" w:eastAsia="Cambria Math" w:hAnsi="Cambria Math" w:cs="Cambria Math"/>
          <w:color w:val="121212"/>
        </w:rPr>
        <w:t>‐</w:t>
      </w:r>
      <w:r>
        <w:rPr>
          <w:color w:val="121212"/>
        </w:rPr>
        <w:t xml:space="preserve">Molina </w:t>
      </w:r>
      <w:r>
        <w:rPr>
          <w:i/>
          <w:iCs/>
          <w:color w:val="121212"/>
        </w:rPr>
        <w:t>et al</w:t>
      </w:r>
      <w:r>
        <w:rPr>
          <w:color w:val="121212"/>
        </w:rPr>
        <w:t xml:space="preserve">., 2023). One cross-sectional study in 2023 had 1,446 women (mean age 44.27 years) and revealed that PFD symptoms, especially POP, colorectal anal symptoms, and urinary symptoms, were significantly associated with poor HRQOL in all SF-12 domains, with the majority in the emotional domain after accounting for the factors affecting the findings (Terefe </w:t>
      </w:r>
      <w:r>
        <w:rPr>
          <w:i/>
          <w:iCs/>
          <w:color w:val="121212"/>
        </w:rPr>
        <w:t>et al</w:t>
      </w:r>
      <w:r>
        <w:rPr>
          <w:color w:val="121212"/>
        </w:rPr>
        <w:t>., 2022).</w:t>
      </w:r>
    </w:p>
    <w:p w14:paraId="6CE3601E" w14:textId="6C48219D" w:rsidR="00423B40" w:rsidRPr="000F3854" w:rsidRDefault="00636AB1">
      <w:pPr>
        <w:rPr>
          <w:color w:val="121212"/>
          <w:lang w:val="en-IN"/>
        </w:rPr>
      </w:pPr>
      <w:r>
        <w:rPr>
          <w:color w:val="121212"/>
        </w:rPr>
        <w:t>In the UK, there are approximately 5 million women affected by PFD, and the costs to the NHS are vast, therefore emphasizing the importance of preventing PFD in the younger generations</w:t>
      </w:r>
      <w:r w:rsidR="000F3854">
        <w:rPr>
          <w:color w:val="121212"/>
        </w:rPr>
        <w:t xml:space="preserve"> </w:t>
      </w:r>
      <w:r w:rsidR="000F3854" w:rsidRPr="000F3854">
        <w:rPr>
          <w:color w:val="121212"/>
          <w:lang w:val="en-IN"/>
        </w:rPr>
        <w:t>(Health Research Authority, 2020)</w:t>
      </w:r>
      <w:r>
        <w:rPr>
          <w:color w:val="121212"/>
        </w:rPr>
        <w:t>.  Women are especially prone: One study of rural postpartum women found more than half met criteria for possible depression on the EPDS, and more severe PFD symptoms correlated with higher risk of depressive symptoms (</w:t>
      </w:r>
      <w:proofErr w:type="spellStart"/>
      <w:r>
        <w:rPr>
          <w:color w:val="121212"/>
        </w:rPr>
        <w:t>Slomian</w:t>
      </w:r>
      <w:proofErr w:type="spellEnd"/>
      <w:r>
        <w:rPr>
          <w:color w:val="121212"/>
        </w:rPr>
        <w:t xml:space="preserve"> </w:t>
      </w:r>
      <w:r>
        <w:rPr>
          <w:i/>
          <w:iCs/>
          <w:color w:val="121212"/>
        </w:rPr>
        <w:t>et al</w:t>
      </w:r>
      <w:r>
        <w:rPr>
          <w:color w:val="121212"/>
        </w:rPr>
        <w:t>., 2019).</w:t>
      </w:r>
    </w:p>
    <w:p w14:paraId="69EB56DB" w14:textId="0CC632D9" w:rsidR="00423B40" w:rsidRDefault="00636AB1">
      <w:pPr>
        <w:rPr>
          <w:color w:val="121212"/>
        </w:rPr>
      </w:pPr>
      <w:r>
        <w:rPr>
          <w:color w:val="121212"/>
        </w:rPr>
        <w:t xml:space="preserve">The strongest associations between PFD and depression and anxiety were found in 2022, with a prevalence between 30 and 50% reported for PFDs, such as stress urinary incontinence (Kalata </w:t>
      </w:r>
      <w:r>
        <w:rPr>
          <w:i/>
          <w:iCs/>
          <w:color w:val="121212"/>
        </w:rPr>
        <w:t>et al.,</w:t>
      </w:r>
      <w:r>
        <w:rPr>
          <w:color w:val="121212"/>
        </w:rPr>
        <w:t xml:space="preserve"> 2023). Anxiety and psychological problems are common and occur in response to ongoing incontinence, pain, and sexual dysfunction and can lead to greater isolation and poorer function</w:t>
      </w:r>
      <w:r w:rsidR="0003652C">
        <w:rPr>
          <w:color w:val="121212"/>
        </w:rPr>
        <w:t xml:space="preserve"> </w:t>
      </w:r>
      <w:r w:rsidR="0003652C" w:rsidRPr="0003652C">
        <w:rPr>
          <w:color w:val="121212"/>
        </w:rPr>
        <w:t>(Frigerio et al., 2022)</w:t>
      </w:r>
      <w:r>
        <w:rPr>
          <w:color w:val="121212"/>
        </w:rPr>
        <w:t>.</w:t>
      </w:r>
    </w:p>
    <w:p w14:paraId="0470086C" w14:textId="24177B85" w:rsidR="00423B40" w:rsidRDefault="00636AB1">
      <w:pPr>
        <w:rPr>
          <w:color w:val="121212"/>
        </w:rPr>
      </w:pPr>
      <w:r>
        <w:rPr>
          <w:color w:val="121212"/>
        </w:rPr>
        <w:t>However, these new discoveries point to co-occurring disorders and long-term effects as well. During a scoping review, researchers could identify the symptoms affecting the pelvic floor that, combined with others, can result in decreased quality of life, as the symptoms are complex. PFDs in women, when left untreated, have been shown to be associated with poor scores on standardized measures of vitality and body pain and mental health scores, and conditions (such as sleep apnea and menopause) are shown to exacerbate this</w:t>
      </w:r>
      <w:r w:rsidR="0003652C">
        <w:rPr>
          <w:color w:val="121212"/>
        </w:rPr>
        <w:t xml:space="preserve"> </w:t>
      </w:r>
      <w:r w:rsidR="0003652C" w:rsidRPr="0003652C">
        <w:rPr>
          <w:color w:val="121212"/>
        </w:rPr>
        <w:t>(Chen et al., 2025)</w:t>
      </w:r>
      <w:r>
        <w:rPr>
          <w:color w:val="121212"/>
        </w:rPr>
        <w:t>.</w:t>
      </w:r>
    </w:p>
    <w:p w14:paraId="58FFCA2F" w14:textId="77777777" w:rsidR="00423B40" w:rsidRDefault="00636AB1">
      <w:pPr>
        <w:rPr>
          <w:b/>
          <w:bCs/>
          <w:color w:val="121212"/>
        </w:rPr>
      </w:pPr>
      <w:r>
        <w:rPr>
          <w:b/>
          <w:bCs/>
          <w:color w:val="121212"/>
        </w:rPr>
        <w:t>Knowledge Gaps</w:t>
      </w:r>
    </w:p>
    <w:p w14:paraId="67FC5AB1" w14:textId="77777777" w:rsidR="00423B40" w:rsidRDefault="00636AB1">
      <w:pPr>
        <w:rPr>
          <w:color w:val="121212"/>
        </w:rPr>
      </w:pPr>
      <w:r>
        <w:rPr>
          <w:color w:val="121212"/>
        </w:rPr>
        <w:lastRenderedPageBreak/>
        <w:t xml:space="preserve">Various research papers have concentrated primarily on older or postpartum demographics, with little known about the younger age group (18-35) in the UK. Few studies have tried to integrate the findings of the studies on moderating factors (gender differences, barriers to healthcare, stigma, and social support) in this population. There is limited research that has examined both QoL measures with regards to MHD risk in relation to public health in the UK. Currently, however, research is still lacking on the long-term effects of early intervention and culturally specific methods of working with young adults (Avula </w:t>
      </w:r>
      <w:r>
        <w:rPr>
          <w:i/>
          <w:iCs/>
          <w:color w:val="121212"/>
        </w:rPr>
        <w:t>et al</w:t>
      </w:r>
      <w:r>
        <w:rPr>
          <w:color w:val="121212"/>
        </w:rPr>
        <w:t>., 2025). In this systematic review attention will be placed on recent peer-reviewed evidence that will attempt to fill some of these gaps and which will enable screening in the early years and provision for young adults in the UK to be planned and provided within a holistic, biopsychosocial approach.</w:t>
      </w:r>
    </w:p>
    <w:p w14:paraId="57302E89" w14:textId="77777777" w:rsidR="00423B40" w:rsidRDefault="00636AB1">
      <w:pPr>
        <w:pStyle w:val="Heading2"/>
        <w:rPr>
          <w:color w:val="121212"/>
        </w:rPr>
      </w:pPr>
      <w:bookmarkStart w:id="5" w:name="_Toc240448239"/>
      <w:r>
        <w:rPr>
          <w:color w:val="121212"/>
        </w:rPr>
        <w:t>1.3 Research Aim, Question, and Objectives</w:t>
      </w:r>
      <w:bookmarkEnd w:id="5"/>
    </w:p>
    <w:p w14:paraId="6E762FBC" w14:textId="77777777" w:rsidR="00423B40" w:rsidRDefault="00636AB1">
      <w:pPr>
        <w:rPr>
          <w:b/>
          <w:bCs/>
          <w:color w:val="121212"/>
          <w:u w:val="single"/>
        </w:rPr>
      </w:pPr>
      <w:r>
        <w:rPr>
          <w:b/>
          <w:bCs/>
          <w:color w:val="121212"/>
          <w:u w:val="single"/>
        </w:rPr>
        <w:t>Questions</w:t>
      </w:r>
    </w:p>
    <w:p w14:paraId="471223B3" w14:textId="77777777" w:rsidR="00423B40" w:rsidRDefault="00636AB1">
      <w:pPr>
        <w:rPr>
          <w:color w:val="121212"/>
        </w:rPr>
      </w:pPr>
      <w:r>
        <w:rPr>
          <w:color w:val="121212"/>
        </w:rPr>
        <w:t>What is the extent to which pelvic floor dysfunction affects quality of life and heightens the risk of major depressive disorder in young adults (18-35 years) in the UK?</w:t>
      </w:r>
    </w:p>
    <w:p w14:paraId="1DF07327" w14:textId="77777777" w:rsidR="00423B40" w:rsidRDefault="00636AB1">
      <w:pPr>
        <w:rPr>
          <w:b/>
          <w:bCs/>
          <w:color w:val="121212"/>
          <w:u w:val="single"/>
        </w:rPr>
      </w:pPr>
      <w:r>
        <w:rPr>
          <w:b/>
          <w:bCs/>
          <w:color w:val="121212"/>
          <w:u w:val="single"/>
        </w:rPr>
        <w:t>Aim</w:t>
      </w:r>
    </w:p>
    <w:p w14:paraId="2C7E72F0" w14:textId="77777777" w:rsidR="00423B40" w:rsidRDefault="00636AB1">
      <w:pPr>
        <w:rPr>
          <w:color w:val="121212"/>
        </w:rPr>
      </w:pPr>
      <w:r>
        <w:rPr>
          <w:color w:val="121212"/>
        </w:rPr>
        <w:t>This systematic review aims to explore the effect of pelvic floor dysfunction on quality of life and the associated risk of major depressive disorder among young adults (aged 18-35) in the UK and to shed light on major patterns, gaps, and implications for public health in the context of evidence available so far.</w:t>
      </w:r>
    </w:p>
    <w:p w14:paraId="0A0C3DE1" w14:textId="77777777" w:rsidR="00423B40" w:rsidRDefault="00636AB1">
      <w:pPr>
        <w:rPr>
          <w:color w:val="121212"/>
        </w:rPr>
      </w:pPr>
      <w:r>
        <w:rPr>
          <w:b/>
          <w:bCs/>
          <w:color w:val="121212"/>
          <w:u w:val="single"/>
        </w:rPr>
        <w:t>Objectives</w:t>
      </w:r>
    </w:p>
    <w:p w14:paraId="12AE884E" w14:textId="77777777" w:rsidR="00423B40" w:rsidRDefault="00636AB1">
      <w:pPr>
        <w:numPr>
          <w:ilvl w:val="0"/>
          <w:numId w:val="1"/>
        </w:numPr>
        <w:spacing w:after="0"/>
        <w:rPr>
          <w:color w:val="121212"/>
        </w:rPr>
      </w:pPr>
      <w:r>
        <w:rPr>
          <w:color w:val="121212"/>
        </w:rPr>
        <w:t>To evaluate the effect of pelvic floor dysfunction on the quality of life in terms of physical, social, emotional, and occupational functions.</w:t>
      </w:r>
    </w:p>
    <w:p w14:paraId="4CAFC837" w14:textId="77777777" w:rsidR="00423B40" w:rsidRDefault="00636AB1">
      <w:pPr>
        <w:numPr>
          <w:ilvl w:val="0"/>
          <w:numId w:val="1"/>
        </w:numPr>
        <w:spacing w:after="0"/>
        <w:rPr>
          <w:color w:val="121212"/>
        </w:rPr>
      </w:pPr>
      <w:r>
        <w:rPr>
          <w:color w:val="121212"/>
        </w:rPr>
        <w:t>To assess the correlation between the symptoms of pelvic floor dysfunction and the markers of major depressive disorder in the selected population.</w:t>
      </w:r>
    </w:p>
    <w:p w14:paraId="0EA0C272" w14:textId="77777777" w:rsidR="00423B40" w:rsidRDefault="00636AB1">
      <w:pPr>
        <w:numPr>
          <w:ilvl w:val="0"/>
          <w:numId w:val="1"/>
        </w:numPr>
        <w:spacing w:after="0"/>
        <w:rPr>
          <w:color w:val="121212"/>
        </w:rPr>
      </w:pPr>
      <w:r>
        <w:rPr>
          <w:color w:val="121212"/>
        </w:rPr>
        <w:t>To investigate the possibility of moderating variables (e.g., gender, healthcare access, stigma, and social support) having any impact on the association between pelvic floor dysfunction and mental health outcomes.</w:t>
      </w:r>
    </w:p>
    <w:p w14:paraId="4850486F" w14:textId="77777777" w:rsidR="00423B40" w:rsidRDefault="00636AB1">
      <w:pPr>
        <w:numPr>
          <w:ilvl w:val="0"/>
          <w:numId w:val="1"/>
        </w:numPr>
        <w:spacing w:after="0"/>
        <w:rPr>
          <w:color w:val="121212"/>
        </w:rPr>
      </w:pPr>
      <w:r>
        <w:rPr>
          <w:color w:val="121212"/>
        </w:rPr>
        <w:t>To provide evidence-based recommendations for improving clinical practice, early identification, and integrated care approaches for pelvic floor dysfunction and associated mental health outcomes among young adults in the UK.</w:t>
      </w:r>
    </w:p>
    <w:p w14:paraId="4AF7ACEE" w14:textId="77777777" w:rsidR="00423B40" w:rsidRDefault="00636AB1">
      <w:pPr>
        <w:pStyle w:val="Heading2"/>
        <w:rPr>
          <w:color w:val="121212"/>
        </w:rPr>
      </w:pPr>
      <w:bookmarkStart w:id="6" w:name="_Toc240448240"/>
      <w:r>
        <w:rPr>
          <w:color w:val="121212"/>
        </w:rPr>
        <w:t>1.4 Research Rationale</w:t>
      </w:r>
      <w:bookmarkEnd w:id="6"/>
    </w:p>
    <w:p w14:paraId="1AB201CD" w14:textId="77777777" w:rsidR="00423B40" w:rsidRDefault="00636AB1">
      <w:pPr>
        <w:rPr>
          <w:color w:val="121212"/>
        </w:rPr>
      </w:pPr>
      <w:r>
        <w:rPr>
          <w:color w:val="121212"/>
        </w:rPr>
        <w:t xml:space="preserve">Pelvic floor dysfunction (PFD) has become a growing public health problem that impacts physical, emotional and social functioning and has been a major area of study in older women </w:t>
      </w:r>
      <w:r>
        <w:rPr>
          <w:color w:val="121212"/>
        </w:rPr>
        <w:lastRenderedPageBreak/>
        <w:t xml:space="preserve">and postpartum populations (Peinado‐Molina </w:t>
      </w:r>
      <w:r>
        <w:rPr>
          <w:i/>
          <w:iCs/>
          <w:color w:val="121212"/>
        </w:rPr>
        <w:t>et al</w:t>
      </w:r>
      <w:r>
        <w:rPr>
          <w:color w:val="121212"/>
        </w:rPr>
        <w:t>., 2023). There is limited literature about the young adult population group (18-35 years in the UK) that also shows significant symptoms and psychological distress (</w:t>
      </w:r>
      <w:proofErr w:type="spellStart"/>
      <w:r>
        <w:rPr>
          <w:color w:val="121212"/>
        </w:rPr>
        <w:t>Aiyegbusi</w:t>
      </w:r>
      <w:proofErr w:type="spellEnd"/>
      <w:r>
        <w:rPr>
          <w:color w:val="121212"/>
        </w:rPr>
        <w:t xml:space="preserve"> </w:t>
      </w:r>
      <w:r>
        <w:rPr>
          <w:i/>
          <w:iCs/>
          <w:color w:val="121212"/>
        </w:rPr>
        <w:t>et al.,</w:t>
      </w:r>
      <w:r>
        <w:rPr>
          <w:color w:val="121212"/>
        </w:rPr>
        <w:t xml:space="preserve"> 2023; Royal College of Obstetricians and Gynaecologists, 2023). Moreover, the relationship between PFD with both quality of life and the risk of MDD has not been investigated in the UK setting in previous studies (Avula </w:t>
      </w:r>
      <w:r>
        <w:rPr>
          <w:i/>
          <w:iCs/>
          <w:color w:val="121212"/>
        </w:rPr>
        <w:t>et al.,</w:t>
      </w:r>
      <w:r>
        <w:rPr>
          <w:color w:val="121212"/>
        </w:rPr>
        <w:t xml:space="preserve"> 2025). This systematic review thus aims to synthesize the existing evidence and fill these important gaps in knowledge.</w:t>
      </w:r>
    </w:p>
    <w:p w14:paraId="39FBD90F" w14:textId="77777777" w:rsidR="00423B40" w:rsidRDefault="00636AB1">
      <w:pPr>
        <w:pStyle w:val="Heading2"/>
        <w:rPr>
          <w:color w:val="121212"/>
        </w:rPr>
      </w:pPr>
      <w:bookmarkStart w:id="7" w:name="_Toc240448241"/>
      <w:r>
        <w:rPr>
          <w:color w:val="121212"/>
        </w:rPr>
        <w:t>1.5 Research Significance</w:t>
      </w:r>
      <w:bookmarkEnd w:id="7"/>
    </w:p>
    <w:p w14:paraId="0DC2E826" w14:textId="77777777" w:rsidR="00423B40" w:rsidRDefault="00636AB1">
      <w:pPr>
        <w:rPr>
          <w:color w:val="121212"/>
        </w:rPr>
      </w:pPr>
      <w:r>
        <w:rPr>
          <w:color w:val="121212"/>
        </w:rPr>
        <w:t>It is expected that this systematic review will help fill the gaps in public health knowledge by informing understanding of the impact of pelvic floor dysfunction on quality of life and risk of major depressive disorder in young adults in the UK. The results could help health providers to better identify, assess and treat pelvic floor dysfunction and mental health disorders. The review could also provide policy-makers and public health professionals with an opportunity to recognise the need to raise awareness, providing prevention education and ensuring greater access to health services for young adults and priorities for future research based in the UK.</w:t>
      </w:r>
    </w:p>
    <w:p w14:paraId="0950A92A" w14:textId="77777777" w:rsidR="00423B40" w:rsidRDefault="00636AB1">
      <w:pPr>
        <w:pStyle w:val="Heading2"/>
        <w:rPr>
          <w:color w:val="121212"/>
        </w:rPr>
      </w:pPr>
      <w:bookmarkStart w:id="8" w:name="_Toc240448242"/>
      <w:r>
        <w:rPr>
          <w:color w:val="121212"/>
        </w:rPr>
        <w:t>1.5 Structure of the Dissertation</w:t>
      </w:r>
      <w:bookmarkEnd w:id="8"/>
    </w:p>
    <w:p w14:paraId="76765BF0" w14:textId="77777777" w:rsidR="00423B40" w:rsidRDefault="00636AB1">
      <w:pPr>
        <w:rPr>
          <w:color w:val="121212"/>
        </w:rPr>
      </w:pPr>
      <w:r>
        <w:rPr>
          <w:color w:val="121212"/>
        </w:rPr>
        <w:t>This dissertation will be written in a regular format for a systematic literature review in public health. It will be structured in five main chapters, first of all, for the logical sequence, transparency, and for maintaining academic rigor.</w:t>
      </w:r>
    </w:p>
    <w:p w14:paraId="35B2026B" w14:textId="77777777" w:rsidR="00423B40" w:rsidRDefault="00636AB1">
      <w:pPr>
        <w:rPr>
          <w:color w:val="121212"/>
        </w:rPr>
      </w:pPr>
      <w:r>
        <w:rPr>
          <w:b/>
          <w:bCs/>
          <w:color w:val="121212"/>
        </w:rPr>
        <w:t xml:space="preserve">Chapter 1: Introduction </w:t>
      </w:r>
      <w:r>
        <w:rPr>
          <w:color w:val="121212"/>
        </w:rPr>
        <w:t>will contain a background and context for Pelvic floor dysfunction (PFD), research problem, research aim, research objectives, and research question. It will raise awareness of the population with regard to the public health importance of PFD in the younger adults (18-35) in the UK and its association with quality of life and major depressive disorder.</w:t>
      </w:r>
    </w:p>
    <w:p w14:paraId="0913A2DC" w14:textId="77777777" w:rsidR="00423B40" w:rsidRDefault="00636AB1">
      <w:pPr>
        <w:rPr>
          <w:color w:val="121212"/>
        </w:rPr>
      </w:pPr>
      <w:r>
        <w:rPr>
          <w:b/>
          <w:bCs/>
          <w:color w:val="121212"/>
        </w:rPr>
        <w:t>Chapter 2: Literature Review</w:t>
      </w:r>
      <w:r>
        <w:rPr>
          <w:color w:val="121212"/>
        </w:rPr>
        <w:t xml:space="preserve"> will critically review current information with regards to the prevalence of PFDs, their biopsychosocial effects, and the association with mental health outcomes. In this chapter, the key themes will be identified and the rationale for the systematic review given.</w:t>
      </w:r>
    </w:p>
    <w:p w14:paraId="515B792F" w14:textId="77777777" w:rsidR="00423B40" w:rsidRDefault="00636AB1">
      <w:pPr>
        <w:rPr>
          <w:color w:val="121212"/>
        </w:rPr>
      </w:pPr>
      <w:r>
        <w:rPr>
          <w:b/>
          <w:bCs/>
          <w:color w:val="121212"/>
        </w:rPr>
        <w:t>Chapter 3: Methodology</w:t>
      </w:r>
      <w:r>
        <w:rPr>
          <w:color w:val="121212"/>
        </w:rPr>
        <w:t xml:space="preserve"> will be outlined in relation to the research design, systemic approach, search strategy, databases used (PubMed, Web of Science, and Google Scholar), inclusion/exclusion criteria, concurrent with PRISMA, quality appraisal of the literature with CASP tools, and thematic analysis methods. Ethical issues will also be included, and there will be constraints as well.</w:t>
      </w:r>
    </w:p>
    <w:p w14:paraId="3D44E0CF" w14:textId="77777777" w:rsidR="00423B40" w:rsidRDefault="00636AB1">
      <w:pPr>
        <w:rPr>
          <w:color w:val="121212"/>
        </w:rPr>
      </w:pPr>
      <w:r>
        <w:rPr>
          <w:color w:val="121212"/>
        </w:rPr>
        <w:lastRenderedPageBreak/>
        <w:t xml:space="preserve">Selected studies will be synthetized in </w:t>
      </w:r>
      <w:r>
        <w:rPr>
          <w:b/>
          <w:bCs/>
          <w:color w:val="121212"/>
        </w:rPr>
        <w:t>Chapter 4: Results and Findings</w:t>
      </w:r>
      <w:r>
        <w:rPr>
          <w:color w:val="121212"/>
        </w:rPr>
        <w:t xml:space="preserve"> using thematic analysis. For each key theme, there will be evidence that will be presented: prevalence of depression symptoms, impact on physical/social/emotional functioning, relationship with depression markers, and moderators/mediators.</w:t>
      </w:r>
    </w:p>
    <w:p w14:paraId="16712BC9" w14:textId="77777777" w:rsidR="00423B40" w:rsidRDefault="00636AB1">
      <w:pPr>
        <w:rPr>
          <w:color w:val="121212"/>
        </w:rPr>
      </w:pPr>
      <w:r>
        <w:rPr>
          <w:b/>
          <w:bCs/>
          <w:color w:val="121212"/>
        </w:rPr>
        <w:t>Chapter 5: Conclusion and Recommendations</w:t>
      </w:r>
      <w:r>
        <w:rPr>
          <w:color w:val="121212"/>
        </w:rPr>
        <w:t xml:space="preserve"> will discuss the findings in relation to current literature, implications for public health policy and practice in the UK, knowledge gaps, and evidence for early intervention and awareness campaigns and integrated care models. The chapter will end with discussion about the impact of the study and the recommendations for further work.</w:t>
      </w:r>
    </w:p>
    <w:p w14:paraId="0EA9758B" w14:textId="77777777" w:rsidR="00423B40" w:rsidRDefault="00423B40">
      <w:pPr>
        <w:rPr>
          <w:color w:val="121212"/>
        </w:rPr>
      </w:pPr>
    </w:p>
    <w:p w14:paraId="160F1FD4" w14:textId="77777777" w:rsidR="00423B40" w:rsidRDefault="00636AB1">
      <w:pPr>
        <w:spacing w:line="259" w:lineRule="auto"/>
        <w:jc w:val="left"/>
        <w:rPr>
          <w:b/>
          <w:bCs/>
          <w:color w:val="121212"/>
          <w:sz w:val="28"/>
          <w:szCs w:val="28"/>
        </w:rPr>
      </w:pPr>
      <w:bookmarkStart w:id="9" w:name="_heading=h.s7rcoi5qv07y" w:colFirst="0" w:colLast="0"/>
      <w:bookmarkEnd w:id="9"/>
      <w:r>
        <w:rPr>
          <w:color w:val="121212"/>
        </w:rPr>
        <w:br w:type="page"/>
      </w:r>
    </w:p>
    <w:p w14:paraId="5D44C2AF" w14:textId="77777777" w:rsidR="00423B40" w:rsidRDefault="00636AB1">
      <w:pPr>
        <w:pStyle w:val="Heading1"/>
        <w:spacing w:after="0"/>
        <w:rPr>
          <w:color w:val="121212"/>
        </w:rPr>
      </w:pPr>
      <w:bookmarkStart w:id="10" w:name="_Toc240448243"/>
      <w:r>
        <w:rPr>
          <w:color w:val="121212"/>
        </w:rPr>
        <w:lastRenderedPageBreak/>
        <w:t>Chapter 2: Literature Review</w:t>
      </w:r>
      <w:bookmarkEnd w:id="10"/>
      <w:r>
        <w:rPr>
          <w:color w:val="121212"/>
        </w:rPr>
        <w:t xml:space="preserve"> </w:t>
      </w:r>
    </w:p>
    <w:p w14:paraId="31ED9608" w14:textId="77777777" w:rsidR="00423B40" w:rsidRDefault="00636AB1">
      <w:pPr>
        <w:pStyle w:val="Heading2"/>
        <w:rPr>
          <w:color w:val="121212"/>
        </w:rPr>
      </w:pPr>
      <w:bookmarkStart w:id="11" w:name="_Toc240448244"/>
      <w:r>
        <w:rPr>
          <w:color w:val="121212"/>
        </w:rPr>
        <w:t>2.1 Introduction</w:t>
      </w:r>
      <w:bookmarkEnd w:id="11"/>
      <w:r>
        <w:rPr>
          <w:color w:val="121212"/>
        </w:rPr>
        <w:t xml:space="preserve"> </w:t>
      </w:r>
    </w:p>
    <w:p w14:paraId="02A17E50" w14:textId="77777777" w:rsidR="00423B40" w:rsidRDefault="00636AB1">
      <w:pPr>
        <w:rPr>
          <w:color w:val="121212"/>
        </w:rPr>
      </w:pPr>
      <w:r>
        <w:rPr>
          <w:color w:val="121212"/>
        </w:rPr>
        <w:t xml:space="preserve">The chapter presents a review of the evidence available regarding the topic of pelvic floor dysfunction (PFD) and the quality of life and risk of major depressive disorder in young adults aged 18–35 years in the UK. It predetermines the conceptual and theoretical background of the systematic review that determines the concepts of interest, explores the existing theories, and critically interprets the contemporary literature. The chapter also explores causes and symptoms of PFD; the correlation between pelvic floor conditions and mental health; moderating factors such as gender, healthcare access, stigma, and social support; and their role in the relationship. Through their combination, the reviewed evidence points out the available knowledge gaps and guides the course of the next methodology chapter. </w:t>
      </w:r>
    </w:p>
    <w:p w14:paraId="08776888" w14:textId="77777777" w:rsidR="00423B40" w:rsidRDefault="00636AB1">
      <w:pPr>
        <w:pStyle w:val="Heading2"/>
        <w:rPr>
          <w:color w:val="121212"/>
        </w:rPr>
      </w:pPr>
      <w:bookmarkStart w:id="12" w:name="_Toc240448245"/>
      <w:r>
        <w:rPr>
          <w:color w:val="121212"/>
        </w:rPr>
        <w:t>2.2 Definition of Concepts</w:t>
      </w:r>
      <w:bookmarkEnd w:id="12"/>
      <w:r>
        <w:rPr>
          <w:color w:val="121212"/>
        </w:rPr>
        <w:t xml:space="preserve"> </w:t>
      </w:r>
    </w:p>
    <w:p w14:paraId="67F1D5FD" w14:textId="7EFE3CD2" w:rsidR="00423B40" w:rsidRPr="0045021F" w:rsidRDefault="00636AB1">
      <w:pPr>
        <w:rPr>
          <w:color w:val="121212"/>
          <w:lang w:val="en-IN"/>
        </w:rPr>
      </w:pPr>
      <w:r>
        <w:rPr>
          <w:color w:val="121212"/>
        </w:rPr>
        <w:t xml:space="preserve">Grimes and Stratton (2023) explain that pelvic floor dysfunction (PFD) is a collective term that is used to describe a set of diseases caused by a weakening, overbearing, or clumsiness of the muscles, ligaments, and connective tissues that surround the bladder, bowel, and reproductive organs, leading to decreased functionality of the pelvis. </w:t>
      </w:r>
      <w:r w:rsidR="0045021F" w:rsidRPr="0045021F">
        <w:rPr>
          <w:color w:val="121212"/>
          <w:lang w:val="en-IN"/>
        </w:rPr>
        <w:t>Tim and Mazur-Bialy (2021)</w:t>
      </w:r>
      <w:r w:rsidR="0045021F">
        <w:rPr>
          <w:color w:val="121212"/>
          <w:lang w:val="en-IN"/>
        </w:rPr>
        <w:t xml:space="preserve"> found that </w:t>
      </w:r>
      <w:r>
        <w:rPr>
          <w:color w:val="121212"/>
        </w:rPr>
        <w:t>PFD can be in the form of urinary or faecal incontinence, prolapse of pelvic organs, chronic pelvic pain, constipation, and sexual problems, involving both genders. Despite the rather conventional linking of PFD to aging and childbirth, the growing evidence suggests that even young adults (18-35 years old) are exposed to PFD because of obesity, high-impact activities, neurological disorders, chronic straining, and risks related to the style of life.</w:t>
      </w:r>
    </w:p>
    <w:p w14:paraId="43AB3EAA" w14:textId="77777777" w:rsidR="00423B40" w:rsidRDefault="00636AB1">
      <w:pPr>
        <w:rPr>
          <w:color w:val="121212"/>
        </w:rPr>
      </w:pPr>
      <w:r>
        <w:rPr>
          <w:color w:val="121212"/>
        </w:rPr>
        <w:t xml:space="preserve">Teoli and Bhardwaj (2023) mention that quality of life (QoL) is a multidimensional term that is used to refer to the overall perception of someone who is physically healthy, psychologically stable, individually/relationship-wise, and able to perform daily functions. As per Ayenew Tega </w:t>
      </w:r>
      <w:r>
        <w:rPr>
          <w:i/>
          <w:iCs/>
          <w:color w:val="121212"/>
        </w:rPr>
        <w:t>et al.</w:t>
      </w:r>
      <w:r>
        <w:rPr>
          <w:color w:val="121212"/>
        </w:rPr>
        <w:t xml:space="preserve"> (2024), QoL of PFD is a scale of the interference of pelvic symptoms on work, education, intimate relationships, self-esteem, and social participation.</w:t>
      </w:r>
    </w:p>
    <w:p w14:paraId="1B8FE2AA" w14:textId="77777777" w:rsidR="00423B40" w:rsidRDefault="00636AB1">
      <w:pPr>
        <w:rPr>
          <w:color w:val="121212"/>
        </w:rPr>
      </w:pPr>
      <w:r>
        <w:rPr>
          <w:color w:val="121212"/>
        </w:rPr>
        <w:t>According to the World Health Organization (2025), major depressive disorder (MDD) is a mental illness that is diagnosed in health care and is characterised by a low mood, loss of interest or pleasure, fatigue, lack of concentration, worthlessness, and impairment of functionality that persists for at least two weeks. This systematic review considers MDD as a potential psychological phenomenon in reaction to persistent symptoms of the pelvic floor and that persistent physical pain, shame, and poor quality of life can predispose young adults in the UK to develop depressive disorders.</w:t>
      </w:r>
    </w:p>
    <w:p w14:paraId="79F7649A" w14:textId="77777777" w:rsidR="00423B40" w:rsidRDefault="00636AB1">
      <w:pPr>
        <w:pStyle w:val="Heading2"/>
        <w:rPr>
          <w:color w:val="121212"/>
        </w:rPr>
      </w:pPr>
      <w:bookmarkStart w:id="13" w:name="_Toc240448246"/>
      <w:r>
        <w:rPr>
          <w:color w:val="121212"/>
        </w:rPr>
        <w:lastRenderedPageBreak/>
        <w:t>2.3 Theoretical Framework</w:t>
      </w:r>
      <w:bookmarkEnd w:id="13"/>
    </w:p>
    <w:p w14:paraId="22DB67C6" w14:textId="77777777" w:rsidR="00423B40" w:rsidRDefault="00636AB1">
      <w:pPr>
        <w:rPr>
          <w:b/>
          <w:bCs/>
          <w:color w:val="121212"/>
        </w:rPr>
      </w:pPr>
      <w:r>
        <w:rPr>
          <w:b/>
          <w:bCs/>
          <w:color w:val="121212"/>
        </w:rPr>
        <w:t>Biopsychosocial Model</w:t>
      </w:r>
    </w:p>
    <w:p w14:paraId="5628EC1F" w14:textId="77777777" w:rsidR="00423B40" w:rsidRDefault="00636AB1">
      <w:pPr>
        <w:jc w:val="center"/>
        <w:rPr>
          <w:b/>
          <w:bCs/>
          <w:color w:val="121212"/>
        </w:rPr>
      </w:pPr>
      <w:r>
        <w:rPr>
          <w:b/>
          <w:bCs/>
          <w:noProof/>
          <w:color w:val="121212"/>
          <w:lang w:val="en-US" w:eastAsia="en-US"/>
        </w:rPr>
        <w:drawing>
          <wp:inline distT="114300" distB="114300" distL="114300" distR="114300" wp14:anchorId="7CA594C4" wp14:editId="77491757">
            <wp:extent cx="5128895" cy="3970020"/>
            <wp:effectExtent l="0" t="0" r="0" b="0"/>
            <wp:docPr id="2028226347" name="image5.png"/>
            <wp:cNvGraphicFramePr/>
            <a:graphic xmlns:a="http://schemas.openxmlformats.org/drawingml/2006/main">
              <a:graphicData uri="http://schemas.openxmlformats.org/drawingml/2006/picture">
                <pic:pic xmlns:pic="http://schemas.openxmlformats.org/drawingml/2006/picture">
                  <pic:nvPicPr>
                    <pic:cNvPr id="2028226347" name="image5.png"/>
                    <pic:cNvPicPr preferRelativeResize="0"/>
                  </pic:nvPicPr>
                  <pic:blipFill>
                    <a:blip r:embed="rId15"/>
                    <a:srcRect/>
                    <a:stretch>
                      <a:fillRect/>
                    </a:stretch>
                  </pic:blipFill>
                  <pic:spPr>
                    <a:xfrm>
                      <a:off x="0" y="0"/>
                      <a:ext cx="5129213" cy="3970208"/>
                    </a:xfrm>
                    <a:prstGeom prst="rect">
                      <a:avLst/>
                    </a:prstGeom>
                  </pic:spPr>
                </pic:pic>
              </a:graphicData>
            </a:graphic>
          </wp:inline>
        </w:drawing>
      </w:r>
    </w:p>
    <w:p w14:paraId="7AF74F41" w14:textId="77777777" w:rsidR="00423B40" w:rsidRDefault="00636AB1">
      <w:pPr>
        <w:pStyle w:val="Heading4"/>
        <w:rPr>
          <w:color w:val="121212"/>
        </w:rPr>
      </w:pPr>
      <w:bookmarkStart w:id="14" w:name="_Toc240448174"/>
      <w:r>
        <w:rPr>
          <w:color w:val="121212"/>
        </w:rPr>
        <w:t>Figure 2.1: Biopsychosocial Model</w:t>
      </w:r>
      <w:bookmarkEnd w:id="14"/>
    </w:p>
    <w:p w14:paraId="7CA86353" w14:textId="77777777" w:rsidR="00423B40" w:rsidRDefault="00636AB1">
      <w:pPr>
        <w:jc w:val="center"/>
        <w:rPr>
          <w:color w:val="121212"/>
        </w:rPr>
      </w:pPr>
      <w:r>
        <w:rPr>
          <w:color w:val="121212"/>
        </w:rPr>
        <w:t>(Source: WashU Medicine Department of Surgery, 2021)</w:t>
      </w:r>
    </w:p>
    <w:p w14:paraId="62F76AF3" w14:textId="77777777" w:rsidR="00423B40" w:rsidRDefault="00636AB1">
      <w:pPr>
        <w:rPr>
          <w:color w:val="121212"/>
        </w:rPr>
      </w:pPr>
      <w:r>
        <w:rPr>
          <w:color w:val="121212"/>
        </w:rPr>
        <w:t>A more generalized model proposed by George Engel (1977) known as the Biopsychosocial (BPS) Model, where the contribution of pelvic floor dysfunction (PFD) to such things as quality of life and increasing the risk of major depressive disorder (MDD) in young adults can be comprehended. Unlike in the traditional biomedical model, whereby Doom (2020) asserts that the primary focus is with physical pathology, the BPS model has affirmed that health outcome development is the outcome of the interaction between biological, psychological, and social factors. This quite holistic approach is particularly appropriate to PFD because not all its effects are limited to physical symptoms.</w:t>
      </w:r>
    </w:p>
    <w:p w14:paraId="48CED999" w14:textId="7D3A2575" w:rsidR="00423B40" w:rsidRPr="0045021F" w:rsidRDefault="00636AB1">
      <w:pPr>
        <w:rPr>
          <w:color w:val="121212"/>
          <w:lang w:val="en-IN"/>
        </w:rPr>
      </w:pPr>
      <w:r>
        <w:rPr>
          <w:color w:val="121212"/>
        </w:rPr>
        <w:t>Biologically, urinary incontinence, pelvic pains, constipation, and sexual dysfunction are some of the symptoms that have a direct negative effect on physical functioning</w:t>
      </w:r>
      <w:r w:rsidR="0045021F">
        <w:rPr>
          <w:color w:val="121212"/>
        </w:rPr>
        <w:t xml:space="preserve"> according to </w:t>
      </w:r>
      <w:proofErr w:type="spellStart"/>
      <w:r w:rsidR="0045021F" w:rsidRPr="0045021F">
        <w:rPr>
          <w:color w:val="121212"/>
          <w:lang w:val="en-IN"/>
        </w:rPr>
        <w:t>Quaghebeur</w:t>
      </w:r>
      <w:proofErr w:type="spellEnd"/>
      <w:r w:rsidR="0045021F" w:rsidRPr="0045021F">
        <w:rPr>
          <w:color w:val="121212"/>
          <w:lang w:val="en-IN"/>
        </w:rPr>
        <w:t xml:space="preserve"> et al. (2021)</w:t>
      </w:r>
      <w:r>
        <w:rPr>
          <w:color w:val="121212"/>
        </w:rPr>
        <w:t xml:space="preserve">. </w:t>
      </w:r>
      <w:proofErr w:type="spellStart"/>
      <w:r>
        <w:rPr>
          <w:color w:val="121212"/>
        </w:rPr>
        <w:t>Rompou</w:t>
      </w:r>
      <w:proofErr w:type="spellEnd"/>
      <w:r>
        <w:rPr>
          <w:color w:val="121212"/>
        </w:rPr>
        <w:t xml:space="preserve"> </w:t>
      </w:r>
      <w:r>
        <w:rPr>
          <w:i/>
          <w:iCs/>
          <w:color w:val="121212"/>
        </w:rPr>
        <w:t>et al.</w:t>
      </w:r>
      <w:r>
        <w:rPr>
          <w:color w:val="121212"/>
        </w:rPr>
        <w:t xml:space="preserve"> (2024) found that these persistent symptoms may have psychological effects of anxiety, embarrassment, low self-esteem, and distress. </w:t>
      </w:r>
      <w:r w:rsidR="0045021F" w:rsidRPr="0045021F">
        <w:rPr>
          <w:color w:val="121212"/>
          <w:lang w:val="en-IN"/>
        </w:rPr>
        <w:t>McKenzie et al. (2022)</w:t>
      </w:r>
      <w:r w:rsidR="0045021F">
        <w:rPr>
          <w:color w:val="121212"/>
          <w:lang w:val="en-IN"/>
        </w:rPr>
        <w:t xml:space="preserve"> found that </w:t>
      </w:r>
      <w:r w:rsidR="0045021F">
        <w:rPr>
          <w:color w:val="121212"/>
        </w:rPr>
        <w:t>a</w:t>
      </w:r>
      <w:r>
        <w:rPr>
          <w:color w:val="121212"/>
        </w:rPr>
        <w:t xml:space="preserve">t the social level, discomfort with revealing the symptoms, </w:t>
      </w:r>
      <w:r>
        <w:rPr>
          <w:color w:val="121212"/>
        </w:rPr>
        <w:lastRenderedPageBreak/>
        <w:t>shunning the social activities, ineffective work performance at the workplace, and poor intimate relationships may lead to isolation and poor general well-being. The model thus explains the fact that individuals who have different clinical severities can have very different psychological outcomes depending on their coping capacities and environmental and social support contexts.</w:t>
      </w:r>
    </w:p>
    <w:p w14:paraId="427E9CF2" w14:textId="27048F5C" w:rsidR="00423B40" w:rsidRPr="0045021F" w:rsidRDefault="00636AB1">
      <w:pPr>
        <w:rPr>
          <w:color w:val="121212"/>
          <w:lang w:val="en-IN"/>
        </w:rPr>
      </w:pPr>
      <w:r>
        <w:rPr>
          <w:color w:val="121212"/>
        </w:rPr>
        <w:t>To carry out this systematic review, the BPS model provides a powerful conceptual framework that incorporates physical, emotional, and social aspects of analysis to assess the effects of PFD on quality of life and risk of depression</w:t>
      </w:r>
      <w:r w:rsidR="0045021F">
        <w:rPr>
          <w:color w:val="121212"/>
        </w:rPr>
        <w:t xml:space="preserve"> as discussed by </w:t>
      </w:r>
      <w:r w:rsidR="0045021F" w:rsidRPr="0045021F">
        <w:rPr>
          <w:color w:val="121212"/>
          <w:lang w:val="en-IN"/>
        </w:rPr>
        <w:t>Zhu et al. (2026)</w:t>
      </w:r>
      <w:r>
        <w:rPr>
          <w:color w:val="121212"/>
        </w:rPr>
        <w:t xml:space="preserve">. However, critics such as Cormack </w:t>
      </w:r>
      <w:r>
        <w:rPr>
          <w:i/>
          <w:iCs/>
          <w:color w:val="121212"/>
        </w:rPr>
        <w:t>et al.</w:t>
      </w:r>
      <w:r>
        <w:rPr>
          <w:color w:val="121212"/>
        </w:rPr>
        <w:t xml:space="preserve"> (2022) feel that the model is generic and lacks distinct mechanisms in order to forecast the interaction between individual variables and that it is not measurable empirically. But its multidimensional perception conforms to a complex perception of PFD and its psychosocial outcomes in young adults. </w:t>
      </w:r>
    </w:p>
    <w:p w14:paraId="0E57CC01" w14:textId="77777777" w:rsidR="00423B40" w:rsidRDefault="00636AB1">
      <w:pPr>
        <w:rPr>
          <w:b/>
          <w:bCs/>
          <w:color w:val="121212"/>
        </w:rPr>
      </w:pPr>
      <w:r>
        <w:rPr>
          <w:b/>
          <w:bCs/>
          <w:color w:val="121212"/>
        </w:rPr>
        <w:t>Stress Process Model</w:t>
      </w:r>
    </w:p>
    <w:p w14:paraId="5939FEE7" w14:textId="77777777" w:rsidR="00423B40" w:rsidRDefault="00636AB1">
      <w:pPr>
        <w:jc w:val="center"/>
        <w:rPr>
          <w:b/>
          <w:bCs/>
          <w:color w:val="121212"/>
        </w:rPr>
      </w:pPr>
      <w:r>
        <w:rPr>
          <w:b/>
          <w:bCs/>
          <w:noProof/>
          <w:color w:val="121212"/>
          <w:lang w:val="en-US" w:eastAsia="en-US"/>
        </w:rPr>
        <w:drawing>
          <wp:inline distT="114300" distB="114300" distL="114300" distR="114300" wp14:anchorId="4A115346" wp14:editId="15B48936">
            <wp:extent cx="5943600" cy="1549400"/>
            <wp:effectExtent l="0" t="0" r="0" b="0"/>
            <wp:docPr id="2028226349" name="image4.png"/>
            <wp:cNvGraphicFramePr/>
            <a:graphic xmlns:a="http://schemas.openxmlformats.org/drawingml/2006/main">
              <a:graphicData uri="http://schemas.openxmlformats.org/drawingml/2006/picture">
                <pic:pic xmlns:pic="http://schemas.openxmlformats.org/drawingml/2006/picture">
                  <pic:nvPicPr>
                    <pic:cNvPr id="2028226349" name="image4.png"/>
                    <pic:cNvPicPr preferRelativeResize="0"/>
                  </pic:nvPicPr>
                  <pic:blipFill>
                    <a:blip r:embed="rId16"/>
                    <a:srcRect/>
                    <a:stretch>
                      <a:fillRect/>
                    </a:stretch>
                  </pic:blipFill>
                  <pic:spPr>
                    <a:xfrm>
                      <a:off x="0" y="0"/>
                      <a:ext cx="5943600" cy="1549400"/>
                    </a:xfrm>
                    <a:prstGeom prst="rect">
                      <a:avLst/>
                    </a:prstGeom>
                  </pic:spPr>
                </pic:pic>
              </a:graphicData>
            </a:graphic>
          </wp:inline>
        </w:drawing>
      </w:r>
    </w:p>
    <w:p w14:paraId="20F4DB22" w14:textId="77777777" w:rsidR="00423B40" w:rsidRDefault="00636AB1">
      <w:pPr>
        <w:pStyle w:val="Heading4"/>
        <w:rPr>
          <w:color w:val="121212"/>
        </w:rPr>
      </w:pPr>
      <w:bookmarkStart w:id="15" w:name="_Toc240448175"/>
      <w:r>
        <w:rPr>
          <w:color w:val="121212"/>
        </w:rPr>
        <w:t>Figure 2.2: Stress Process Model</w:t>
      </w:r>
      <w:bookmarkEnd w:id="15"/>
    </w:p>
    <w:p w14:paraId="6C875A73" w14:textId="77777777" w:rsidR="00423B40" w:rsidRDefault="00636AB1">
      <w:pPr>
        <w:jc w:val="center"/>
        <w:rPr>
          <w:color w:val="121212"/>
        </w:rPr>
      </w:pPr>
      <w:r>
        <w:rPr>
          <w:color w:val="121212"/>
        </w:rPr>
        <w:t>(Source: Jacobs, 2024)</w:t>
      </w:r>
    </w:p>
    <w:p w14:paraId="1FA5E956" w14:textId="42E087A7" w:rsidR="00423B40" w:rsidRPr="009F2A38" w:rsidRDefault="00636AB1">
      <w:pPr>
        <w:rPr>
          <w:color w:val="121212"/>
          <w:lang w:val="en-IN"/>
        </w:rPr>
      </w:pPr>
      <w:r>
        <w:rPr>
          <w:color w:val="121212"/>
        </w:rPr>
        <w:t xml:space="preserve">As per Hish </w:t>
      </w:r>
      <w:r>
        <w:rPr>
          <w:i/>
          <w:iCs/>
          <w:color w:val="121212"/>
        </w:rPr>
        <w:t>et al.</w:t>
      </w:r>
      <w:r>
        <w:rPr>
          <w:color w:val="121212"/>
        </w:rPr>
        <w:t xml:space="preserve"> (2019), the Stress Process Model is a theory that was developed by </w:t>
      </w:r>
      <w:proofErr w:type="spellStart"/>
      <w:r>
        <w:rPr>
          <w:color w:val="121212"/>
        </w:rPr>
        <w:t>Pearlin</w:t>
      </w:r>
      <w:proofErr w:type="spellEnd"/>
      <w:r>
        <w:rPr>
          <w:color w:val="121212"/>
        </w:rPr>
        <w:t xml:space="preserve"> </w:t>
      </w:r>
      <w:r>
        <w:rPr>
          <w:i/>
          <w:iCs/>
          <w:color w:val="121212"/>
        </w:rPr>
        <w:t>et al</w:t>
      </w:r>
      <w:r>
        <w:rPr>
          <w:color w:val="121212"/>
        </w:rPr>
        <w:t xml:space="preserve">. (1981) to describe how chronic health conditions give rise to a psychological disorder owing to the length of time exposed to stressors as well as no coping resources. According to the theory, continuous health-related problems lead to constant stress, which gradually affects the psychological health and overall performance. </w:t>
      </w:r>
      <w:r w:rsidR="009F2A38" w:rsidRPr="009F2A38">
        <w:rPr>
          <w:color w:val="121212"/>
          <w:lang w:val="en-IN"/>
        </w:rPr>
        <w:t>Rodríguez-Almagro et al. (2024)</w:t>
      </w:r>
      <w:r w:rsidR="009F2A38">
        <w:rPr>
          <w:color w:val="121212"/>
          <w:lang w:val="en-IN"/>
        </w:rPr>
        <w:t xml:space="preserve"> opined that</w:t>
      </w:r>
      <w:r w:rsidR="009F2A38">
        <w:rPr>
          <w:color w:val="121212"/>
        </w:rPr>
        <w:t xml:space="preserve"> p</w:t>
      </w:r>
      <w:r>
        <w:rPr>
          <w:color w:val="121212"/>
        </w:rPr>
        <w:t xml:space="preserve">eriodic voiding symptoms such as urinary leakages, persistent pelvic pain, or sexual dysfunctions are recurrent stressors that contribute to the interruption of the normal lifestyle in the backdrop of pelvic floor dysfunction. Hish </w:t>
      </w:r>
      <w:r>
        <w:rPr>
          <w:i/>
          <w:iCs/>
          <w:color w:val="121212"/>
        </w:rPr>
        <w:t>et al.</w:t>
      </w:r>
      <w:r>
        <w:rPr>
          <w:color w:val="121212"/>
        </w:rPr>
        <w:t xml:space="preserve"> (2019) assert that certain issues could be related to the occupational and familial development of the young adults in a period of life characterised by fears about body image, personal relationships, career path, and societal approval. When the capacity to cope and social support are low, chronic stress will make one </w:t>
      </w:r>
      <w:r>
        <w:rPr>
          <w:color w:val="121212"/>
        </w:rPr>
        <w:lastRenderedPageBreak/>
        <w:t>more vulnerable to depressive symptoms and ultimately major depressive disorder, as it lowers the quality of life simultaneously</w:t>
      </w:r>
      <w:r w:rsidR="009F2A38">
        <w:rPr>
          <w:color w:val="121212"/>
        </w:rPr>
        <w:t xml:space="preserve"> according to </w:t>
      </w:r>
      <w:r w:rsidR="009F2A38" w:rsidRPr="009F2A38">
        <w:rPr>
          <w:color w:val="121212"/>
          <w:lang w:val="en-IN"/>
        </w:rPr>
        <w:t>Marx et al. (2023)</w:t>
      </w:r>
      <w:r>
        <w:rPr>
          <w:color w:val="121212"/>
        </w:rPr>
        <w:t>.</w:t>
      </w:r>
    </w:p>
    <w:p w14:paraId="3AF54FF3" w14:textId="77777777" w:rsidR="00423B40" w:rsidRDefault="00636AB1">
      <w:pPr>
        <w:rPr>
          <w:color w:val="121212"/>
        </w:rPr>
      </w:pPr>
      <w:r>
        <w:rPr>
          <w:color w:val="121212"/>
        </w:rPr>
        <w:t>The Stress Process Model is in opposition to the Biopsychosocial Model, which models the multidimensional determinants of health, whereby a specific pathway generates the psychological distress as a result of the chronic burden of symptoms. The model is, however, more inclined to the impact of stress and less to the biological disease processes that underlie PFD. Hence, based on the synthesis of the two frameworks, it is possible to introduce a more focused theory framework to explain the determinants of health, where the additional psychology explaining the presence of the additional quality of life and increased risk of depression amongst young adults in the UK is presented.</w:t>
      </w:r>
    </w:p>
    <w:p w14:paraId="7008F098" w14:textId="77777777" w:rsidR="00423B40" w:rsidRDefault="00636AB1">
      <w:pPr>
        <w:rPr>
          <w:b/>
          <w:bCs/>
          <w:color w:val="121212"/>
        </w:rPr>
      </w:pPr>
      <w:r>
        <w:rPr>
          <w:b/>
          <w:bCs/>
          <w:color w:val="121212"/>
        </w:rPr>
        <w:t>Common-Sense Model of Self-Regulation (CSM)</w:t>
      </w:r>
    </w:p>
    <w:p w14:paraId="2202F6D3" w14:textId="77777777" w:rsidR="00423B40" w:rsidRDefault="00636AB1">
      <w:pPr>
        <w:jc w:val="center"/>
        <w:rPr>
          <w:color w:val="121212"/>
        </w:rPr>
      </w:pPr>
      <w:r>
        <w:rPr>
          <w:noProof/>
          <w:color w:val="121212"/>
          <w:lang w:val="en-US" w:eastAsia="en-US"/>
        </w:rPr>
        <w:drawing>
          <wp:inline distT="114300" distB="114300" distL="114300" distR="114300" wp14:anchorId="4A009BDB" wp14:editId="14680617">
            <wp:extent cx="5943600" cy="2032000"/>
            <wp:effectExtent l="0" t="0" r="0" b="0"/>
            <wp:docPr id="2028226348" name="image3.png"/>
            <wp:cNvGraphicFramePr/>
            <a:graphic xmlns:a="http://schemas.openxmlformats.org/drawingml/2006/main">
              <a:graphicData uri="http://schemas.openxmlformats.org/drawingml/2006/picture">
                <pic:pic xmlns:pic="http://schemas.openxmlformats.org/drawingml/2006/picture">
                  <pic:nvPicPr>
                    <pic:cNvPr id="2028226348" name="image3.png"/>
                    <pic:cNvPicPr preferRelativeResize="0"/>
                  </pic:nvPicPr>
                  <pic:blipFill>
                    <a:blip r:embed="rId17"/>
                    <a:srcRect/>
                    <a:stretch>
                      <a:fillRect/>
                    </a:stretch>
                  </pic:blipFill>
                  <pic:spPr>
                    <a:xfrm>
                      <a:off x="0" y="0"/>
                      <a:ext cx="5943600" cy="2032000"/>
                    </a:xfrm>
                    <a:prstGeom prst="rect">
                      <a:avLst/>
                    </a:prstGeom>
                  </pic:spPr>
                </pic:pic>
              </a:graphicData>
            </a:graphic>
          </wp:inline>
        </w:drawing>
      </w:r>
    </w:p>
    <w:p w14:paraId="66C3BD04" w14:textId="77777777" w:rsidR="00423B40" w:rsidRDefault="00636AB1">
      <w:pPr>
        <w:pStyle w:val="Heading4"/>
        <w:rPr>
          <w:color w:val="121212"/>
        </w:rPr>
      </w:pPr>
      <w:bookmarkStart w:id="16" w:name="_Toc240448176"/>
      <w:r>
        <w:rPr>
          <w:color w:val="121212"/>
        </w:rPr>
        <w:t>Figure 2.3: Common-Sense Model of Self-Regulation (CSM)</w:t>
      </w:r>
      <w:bookmarkEnd w:id="16"/>
    </w:p>
    <w:p w14:paraId="7E371D6A" w14:textId="77777777" w:rsidR="00423B40" w:rsidRDefault="00636AB1">
      <w:pPr>
        <w:jc w:val="center"/>
        <w:rPr>
          <w:color w:val="121212"/>
        </w:rPr>
      </w:pPr>
      <w:r>
        <w:rPr>
          <w:color w:val="121212"/>
        </w:rPr>
        <w:t xml:space="preserve">(Source: Rocholl </w:t>
      </w:r>
      <w:r>
        <w:rPr>
          <w:i/>
          <w:iCs/>
          <w:color w:val="121212"/>
        </w:rPr>
        <w:t>et al.</w:t>
      </w:r>
      <w:r>
        <w:rPr>
          <w:color w:val="121212"/>
        </w:rPr>
        <w:t>, 2021)</w:t>
      </w:r>
    </w:p>
    <w:p w14:paraId="237058FB" w14:textId="77777777" w:rsidR="00423B40" w:rsidRDefault="00636AB1">
      <w:pPr>
        <w:rPr>
          <w:color w:val="121212"/>
        </w:rPr>
      </w:pPr>
      <w:r>
        <w:rPr>
          <w:color w:val="121212"/>
        </w:rPr>
        <w:t xml:space="preserve">Hagger and Orbell (2021) postulate that, according to the Common-Sense Model of Self-Regulation (CSM) that was formulated by Leventhal </w:t>
      </w:r>
      <w:r>
        <w:rPr>
          <w:i/>
          <w:iCs/>
          <w:color w:val="121212"/>
        </w:rPr>
        <w:t>et al</w:t>
      </w:r>
      <w:r>
        <w:rPr>
          <w:color w:val="121212"/>
        </w:rPr>
        <w:t xml:space="preserve">. (1980), how people think about, interpret, and react to illness and how those thoughts affect health behaviours and psychological outcomes are explained. The model proposes that based on such issues as your symptoms identity, perceived </w:t>
      </w:r>
      <w:proofErr w:type="spellStart"/>
      <w:r>
        <w:rPr>
          <w:color w:val="121212"/>
        </w:rPr>
        <w:t>etiology</w:t>
      </w:r>
      <w:proofErr w:type="spellEnd"/>
      <w:r>
        <w:rPr>
          <w:color w:val="121212"/>
        </w:rPr>
        <w:t>, expected duration, expected outcome, and expected treatment success, individuals form both cognitive and emotional images of their illness. It is these perceptions that determine coping and health behaviour.</w:t>
      </w:r>
    </w:p>
    <w:p w14:paraId="28125732" w14:textId="77777777" w:rsidR="00423B40" w:rsidRDefault="00636AB1">
      <w:pPr>
        <w:rPr>
          <w:color w:val="121212"/>
        </w:rPr>
      </w:pPr>
      <w:r>
        <w:rPr>
          <w:color w:val="121212"/>
        </w:rPr>
        <w:t xml:space="preserve">In the framework of pelvic floor dysfunction (PFD), the CSM becomes especially useful since most young adults perceive symptoms like urinary leakage, pelvic pain, or sexual dysfunction as incidental, embarrassing, or insignificant as opposed to medical conditions and conditions that need medical treatment. These misunderstandings may discourage time-sensitive help, and thus the symptom period is longer, and more emotional suffering ensues. Lebel </w:t>
      </w:r>
      <w:r>
        <w:rPr>
          <w:i/>
          <w:iCs/>
          <w:color w:val="121212"/>
        </w:rPr>
        <w:t>et al.</w:t>
      </w:r>
      <w:r>
        <w:rPr>
          <w:color w:val="121212"/>
        </w:rPr>
        <w:t xml:space="preserve"> </w:t>
      </w:r>
      <w:r>
        <w:rPr>
          <w:color w:val="121212"/>
        </w:rPr>
        <w:lastRenderedPageBreak/>
        <w:t>(2020) point out that anxiety, hopelessness, and depressive symptoms may also be experienced through negative attitudes towards illness, like the perception of not being able to control the symptoms or fear of worsening of the illness, hence compromising quality of life. Conversely, those who have realised their condition and those who believe that the treatment has worked will engage in adaptive coping behaviours, undergo pelvic floor rehabilitation, and have much better psychological outcomes.</w:t>
      </w:r>
    </w:p>
    <w:p w14:paraId="62A7F3FA" w14:textId="33E2FBFD" w:rsidR="00423B40" w:rsidRPr="00571281" w:rsidRDefault="00636AB1">
      <w:pPr>
        <w:rPr>
          <w:color w:val="121212"/>
          <w:lang w:val="en-IN"/>
        </w:rPr>
      </w:pPr>
      <w:r>
        <w:rPr>
          <w:color w:val="121212"/>
        </w:rPr>
        <w:t>CSM, compared to the biopsychosocial model that tends to encapsulate the interactions between the biological, psychological, and social facets of health, is specific to how the meaning an individual gives to illness impacts behavioral and emotional responses</w:t>
      </w:r>
      <w:r w:rsidR="00571281">
        <w:rPr>
          <w:color w:val="121212"/>
        </w:rPr>
        <w:t xml:space="preserve"> as discussed by </w:t>
      </w:r>
      <w:r w:rsidR="00571281" w:rsidRPr="00571281">
        <w:rPr>
          <w:color w:val="121212"/>
          <w:lang w:val="en-IN"/>
        </w:rPr>
        <w:t>Gilbert et al. (2022)</w:t>
      </w:r>
      <w:r>
        <w:rPr>
          <w:color w:val="121212"/>
        </w:rPr>
        <w:t xml:space="preserve">. On the same note, the CSM, unlike the Stress Process Model, which mainly elucidates the psychological distress formation due to chronic stressors, cites cognitive appraisal in determining treatment adherence and mental health. However, </w:t>
      </w:r>
      <w:proofErr w:type="spellStart"/>
      <w:r>
        <w:rPr>
          <w:color w:val="121212"/>
        </w:rPr>
        <w:t>Maaoui</w:t>
      </w:r>
      <w:proofErr w:type="spellEnd"/>
      <w:r>
        <w:rPr>
          <w:color w:val="121212"/>
        </w:rPr>
        <w:t xml:space="preserve"> </w:t>
      </w:r>
      <w:r>
        <w:rPr>
          <w:i/>
          <w:iCs/>
          <w:color w:val="121212"/>
        </w:rPr>
        <w:t>et al.</w:t>
      </w:r>
      <w:r>
        <w:rPr>
          <w:color w:val="121212"/>
        </w:rPr>
        <w:t xml:space="preserve"> (2025) argue that the model has received criticism in terms of being more individual-level cognition and less structural, based on access to healthcare, socioeconomic differences, and cultural stigma. However, its focus on the perceptions of illness also renders it extremely relevant to this systematic review, since it could aid in elucidating the fact that young adults with similar symptoms of the pelvic floor tend to develop significantly different degrees of psychological distress and quality of life.</w:t>
      </w:r>
    </w:p>
    <w:p w14:paraId="60479D5A" w14:textId="77777777" w:rsidR="00423B40" w:rsidRDefault="00636AB1">
      <w:pPr>
        <w:pStyle w:val="Heading2"/>
        <w:rPr>
          <w:color w:val="121212"/>
        </w:rPr>
      </w:pPr>
      <w:bookmarkStart w:id="17" w:name="_Toc240448247"/>
      <w:r>
        <w:rPr>
          <w:color w:val="121212"/>
        </w:rPr>
        <w:t>2.4 Empirical Evidence</w:t>
      </w:r>
      <w:bookmarkEnd w:id="17"/>
      <w:r>
        <w:rPr>
          <w:color w:val="121212"/>
        </w:rPr>
        <w:t xml:space="preserve"> </w:t>
      </w:r>
    </w:p>
    <w:p w14:paraId="366C763D" w14:textId="77777777" w:rsidR="00423B40" w:rsidRDefault="00636AB1">
      <w:pPr>
        <w:pStyle w:val="Heading3"/>
        <w:rPr>
          <w:rFonts w:ascii="Arial" w:eastAsia="Arial" w:hAnsi="Arial" w:cs="Arial"/>
          <w:b w:val="0"/>
          <w:bCs w:val="0"/>
          <w:color w:val="121212"/>
        </w:rPr>
      </w:pPr>
      <w:bookmarkStart w:id="18" w:name="_Toc240448248"/>
      <w:r>
        <w:rPr>
          <w:rFonts w:ascii="Arial" w:eastAsia="Arial" w:hAnsi="Arial" w:cs="Arial"/>
          <w:color w:val="121212"/>
        </w:rPr>
        <w:t>2.4.1 Symptoms of pelvic floor dysfunction among young adults aged 18-35 years</w:t>
      </w:r>
      <w:bookmarkEnd w:id="18"/>
    </w:p>
    <w:p w14:paraId="7A00D541" w14:textId="5FC9EB00" w:rsidR="00423B40" w:rsidRPr="00571281" w:rsidRDefault="00636AB1">
      <w:pPr>
        <w:spacing w:before="240"/>
        <w:rPr>
          <w:color w:val="121212"/>
          <w:lang w:val="en-IN"/>
        </w:rPr>
      </w:pPr>
      <w:r>
        <w:rPr>
          <w:color w:val="121212"/>
        </w:rPr>
        <w:t>Pelvic floor dysfunction (PFD) is a rising health problem in young adulthood, aged between 18 and 35 years, that is proving to be a great yet poorly diagnosed health concern in the UK</w:t>
      </w:r>
      <w:r w:rsidR="00571281">
        <w:rPr>
          <w:color w:val="121212"/>
        </w:rPr>
        <w:t xml:space="preserve"> according to </w:t>
      </w:r>
      <w:r w:rsidR="00571281" w:rsidRPr="00571281">
        <w:rPr>
          <w:color w:val="121212"/>
          <w:lang w:val="en-IN"/>
        </w:rPr>
        <w:t>Thomas (2023)</w:t>
      </w:r>
      <w:r>
        <w:rPr>
          <w:color w:val="121212"/>
        </w:rPr>
        <w:t xml:space="preserve">. Kuutti </w:t>
      </w:r>
      <w:r>
        <w:rPr>
          <w:i/>
          <w:iCs/>
          <w:color w:val="121212"/>
        </w:rPr>
        <w:t>et al.</w:t>
      </w:r>
      <w:r>
        <w:rPr>
          <w:color w:val="121212"/>
        </w:rPr>
        <w:t xml:space="preserve"> (2023) assert that, in contrast to the old belief that PFD is manifested mostly in individuals in older age or postpartum women, modern findings show that the manifestation of symptoms is frequent in early adulthood, and the symptoms are often not treated, as they are regarded as normal or diagnosed with conditions other than PFD or too embarrassing to reveal. This late onset increases the symptom burden and threat of mental distress in the long term. </w:t>
      </w:r>
      <w:proofErr w:type="spellStart"/>
      <w:r w:rsidR="00571281" w:rsidRPr="00571281">
        <w:rPr>
          <w:color w:val="121212"/>
          <w:lang w:val="en-IN"/>
        </w:rPr>
        <w:t>Afyouni</w:t>
      </w:r>
      <w:proofErr w:type="spellEnd"/>
      <w:r w:rsidR="00571281" w:rsidRPr="00571281">
        <w:rPr>
          <w:color w:val="121212"/>
          <w:lang w:val="en-IN"/>
        </w:rPr>
        <w:t xml:space="preserve"> et al. (2025)</w:t>
      </w:r>
      <w:r w:rsidR="00571281">
        <w:rPr>
          <w:color w:val="121212"/>
          <w:lang w:val="en-IN"/>
        </w:rPr>
        <w:t xml:space="preserve"> found that </w:t>
      </w:r>
      <w:r w:rsidR="00571281">
        <w:rPr>
          <w:color w:val="121212"/>
        </w:rPr>
        <w:t>d</w:t>
      </w:r>
      <w:r>
        <w:rPr>
          <w:color w:val="121212"/>
        </w:rPr>
        <w:t xml:space="preserve">ysfunction of the pelvic floor muscle (weakened and overactive) is heterogeneous in the clinical presentation of PFD. The common urinary sequestrations have symptoms that include urinary incontinence, urgency, increased urinary frequency, and partial bladder emptying. Tim and Mazur-Bialy (2021) contend that the most commonly occurring gastrointestinal effects include constipation, obstructed defecation, and faecal incontinence, with musculoskeletal effects frequently including chronic pain in the lower back and the pelvis. Sexual dysfunction, such as dyspareunia among men and diminished sexual satisfaction among several other symptoms, </w:t>
      </w:r>
      <w:r>
        <w:rPr>
          <w:color w:val="121212"/>
        </w:rPr>
        <w:lastRenderedPageBreak/>
        <w:t>further marks PFD as a health condition that does not affect an individual organ but several physiological systems. Notably, the severity of symptoms does not necessarily correlate with anatomical abnormalities; patients with fairly mild physical results can complain of a significant level of impairment in everyday functioning, implying that the level of subjective perception of the symptoms and the psychosocial aspects play an important role in the disease burden.</w:t>
      </w:r>
    </w:p>
    <w:p w14:paraId="0D020951" w14:textId="77777777" w:rsidR="00423B40" w:rsidRDefault="00636AB1">
      <w:pPr>
        <w:rPr>
          <w:color w:val="121212"/>
        </w:rPr>
      </w:pPr>
      <w:r>
        <w:rPr>
          <w:color w:val="121212"/>
        </w:rPr>
        <w:t>Although there are few prevalence estimates in adults aged 18–35, national data indicate that the onset of pelvic floor symptoms is much younger than hitherto considered. In 2023, an independent commission survey commissioned by the Royal College of Obstetricians and Gynaecologists (RCOG) found that over six out of ten adult women had experienced at least one poor pelvic floor symptom, with one out of five suffering urinary incontinence, indicating that symptoms of poor pelvic floor health are not in later life but are common across the adult population (Royal College of Obstetricians and Gynaecologists, 2023). The RCOG also reported that 29% of women aged 18–34 years had never exercised their pelvic floor, and it is clear that there was poor preventive education among those who are at risk, who are still in the age bracket 18–34 (Royal College of Obstetricians and Gynaecologists, 2026). More significantly, the present prevalence statistics favour women mostly at the expense of outlining young men as the body of literature that chronic constipation, strenuous athletic activity (18–34), obesity, and prolonged immobility are causes of pelvic floor dysfunction. Such gender discrepancy limits knowledge on the actual epidemiology in young adults and evokes the false notion that PFD is a problem related to the reproductive health of females. This should lead to future UK studies taking an inclusive approach of population-based studies to produce age- and gender-specific prevalence data to allow early identification and prevention efforts to be more effective and equitable in the provision of healthcare.</w:t>
      </w:r>
    </w:p>
    <w:p w14:paraId="222C0EB7" w14:textId="77777777" w:rsidR="00423B40" w:rsidRDefault="00636AB1">
      <w:pPr>
        <w:pStyle w:val="Heading3"/>
        <w:rPr>
          <w:rFonts w:ascii="Arial" w:eastAsia="Arial" w:hAnsi="Arial" w:cs="Arial"/>
          <w:b w:val="0"/>
          <w:bCs w:val="0"/>
          <w:color w:val="121212"/>
        </w:rPr>
      </w:pPr>
      <w:bookmarkStart w:id="19" w:name="_Toc240448249"/>
      <w:r>
        <w:rPr>
          <w:rFonts w:ascii="Arial" w:eastAsia="Arial" w:hAnsi="Arial" w:cs="Arial"/>
          <w:color w:val="121212"/>
        </w:rPr>
        <w:t>2.4.2 Correlation between the symptoms of pelvic floor dysfunction and the markers of major depressive disorder in the selected population</w:t>
      </w:r>
      <w:bookmarkEnd w:id="19"/>
    </w:p>
    <w:p w14:paraId="0F3D555B" w14:textId="77777777" w:rsidR="00423B40" w:rsidRDefault="00636AB1">
      <w:pPr>
        <w:rPr>
          <w:color w:val="121212"/>
        </w:rPr>
      </w:pPr>
      <w:r>
        <w:rPr>
          <w:color w:val="121212"/>
        </w:rPr>
        <w:t xml:space="preserve">Within the realms of understanding, there is a growing tendency towards accepting relationships between major depressive disorder (MDD) and pelvic floor dysfunction (PFD). Wong </w:t>
      </w:r>
      <w:r>
        <w:rPr>
          <w:i/>
          <w:iCs/>
          <w:color w:val="121212"/>
        </w:rPr>
        <w:t>et al.</w:t>
      </w:r>
      <w:r>
        <w:rPr>
          <w:color w:val="121212"/>
        </w:rPr>
        <w:t xml:space="preserve"> (2025) posit that though consistent pelvic floor symptoms can result in depressive symptomatology, depression may result in an intensification of the perception of the symptoms through more processing of pain, less self-management motivation, and more muscle tension. It was more of a two-way process when it comes to young adults of the age bracket 18-35 who have a disproportionately influenced learning, relationship, and work life, as their pelvic symptoms persist. On this basis, the definition of PFD cannot be offered separately on the basis of the severity of the symptoms but on a combination of the disruption of the normal processes.</w:t>
      </w:r>
    </w:p>
    <w:p w14:paraId="3F00337D" w14:textId="77777777" w:rsidR="00423B40" w:rsidRDefault="00636AB1">
      <w:pPr>
        <w:rPr>
          <w:color w:val="121212"/>
        </w:rPr>
      </w:pPr>
      <w:r>
        <w:rPr>
          <w:color w:val="121212"/>
        </w:rPr>
        <w:lastRenderedPageBreak/>
        <w:t>PFD has a few symptoms that are extremely comparable with well-known precursors of MDD. According to Rocío Adriana Peinado</w:t>
      </w:r>
      <w:r>
        <w:rPr>
          <w:rFonts w:ascii="Cambria Math" w:eastAsia="Cambria Math" w:hAnsi="Cambria Math" w:cs="Cambria Math"/>
          <w:color w:val="121212"/>
        </w:rPr>
        <w:t>‐</w:t>
      </w:r>
      <w:r>
        <w:rPr>
          <w:color w:val="121212"/>
        </w:rPr>
        <w:t xml:space="preserve">Molina </w:t>
      </w:r>
      <w:r>
        <w:rPr>
          <w:i/>
          <w:iCs/>
          <w:color w:val="121212"/>
        </w:rPr>
        <w:t>et al.</w:t>
      </w:r>
      <w:r>
        <w:rPr>
          <w:color w:val="121212"/>
        </w:rPr>
        <w:t xml:space="preserve"> (2023), the result of long-term pain in the pelvis, urgency of urination, faecal dysfunction and sexual dysfunction are likely to be the withdrawal of social and physical activities, sleeping, concentration, and self-esteem (the characteristic of the diagnosis of depression). But all the severely PFD are not followed by the development of MDD, which means that resilience, coping strategies, accessibility of healthcare facilities, and social support have a moderating influence on this relationship. This contradicts the deterministic assumptions that physical dysfunction is the one and only predictor of psychological sickness but focuses on the level of depression as a bi-factorial phenomenon of biological and psychosocial routes.</w:t>
      </w:r>
    </w:p>
    <w:p w14:paraId="05C41B6E" w14:textId="77777777" w:rsidR="00423B40" w:rsidRDefault="00636AB1">
      <w:pPr>
        <w:rPr>
          <w:color w:val="121212"/>
        </w:rPr>
      </w:pPr>
      <w:r>
        <w:rPr>
          <w:color w:val="121212"/>
        </w:rPr>
        <w:t xml:space="preserve">Pelvic floor symptoms have proved to be strongly related to depressive outcomes, as shown in empirical research. In a meta-analysis of 31462 respondents, Cheng </w:t>
      </w:r>
      <w:r>
        <w:rPr>
          <w:i/>
          <w:iCs/>
          <w:color w:val="121212"/>
        </w:rPr>
        <w:t xml:space="preserve">et al. </w:t>
      </w:r>
      <w:r>
        <w:rPr>
          <w:color w:val="121212"/>
        </w:rPr>
        <w:t xml:space="preserve">(2020) found that those who had urinary incontinence were 95% more likely to be depressed (OR = 1.95) than those lacking urinary incontinence and that this was the same regardless of age. Rocio Adriana Peinado Molina </w:t>
      </w:r>
      <w:r>
        <w:rPr>
          <w:i/>
          <w:iCs/>
          <w:color w:val="121212"/>
        </w:rPr>
        <w:t>et al.</w:t>
      </w:r>
      <w:r>
        <w:rPr>
          <w:color w:val="121212"/>
        </w:rPr>
        <w:t xml:space="preserve"> (2024) later published results as a systematic review (including 632,605 women) in 2024, further hypothesised that the rate of depressive symptoms was 26.3% of women with urinary incontinence and 26.3% of women with chronic pelvic pain, and again postulated that depressive symptoms are a common comorbidity with pelvic floor disorders.</w:t>
      </w:r>
    </w:p>
    <w:p w14:paraId="4F5CF658" w14:textId="77777777" w:rsidR="00423B40" w:rsidRDefault="00636AB1">
      <w:pPr>
        <w:rPr>
          <w:color w:val="121212"/>
        </w:rPr>
      </w:pPr>
      <w:r>
        <w:rPr>
          <w:color w:val="121212"/>
        </w:rPr>
        <w:t xml:space="preserve">The available evidence supporting this fact consists of remarkable cross-sectional observational studies that only find a relation with the individual but do not provide any proof of causality. It is unclear whether depression symptoms cause the pelvic floor dysfunction or are a result of the prolonged symptom(s) or possibly are connected to the existence of chronic pain, inflammatory processes, and immune dysregulation occurring as a result of stress. Moreover, </w:t>
      </w:r>
      <w:proofErr w:type="spellStart"/>
      <w:r>
        <w:rPr>
          <w:color w:val="121212"/>
        </w:rPr>
        <w:t>Wesseldijk</w:t>
      </w:r>
      <w:proofErr w:type="spellEnd"/>
      <w:r>
        <w:rPr>
          <w:color w:val="121212"/>
        </w:rPr>
        <w:t xml:space="preserve"> </w:t>
      </w:r>
      <w:r>
        <w:rPr>
          <w:i/>
          <w:iCs/>
          <w:color w:val="121212"/>
        </w:rPr>
        <w:t>et al</w:t>
      </w:r>
      <w:r>
        <w:rPr>
          <w:color w:val="121212"/>
        </w:rPr>
        <w:t>. (2024) state that there has been a shift in recent research towards the study of the problem among females, although research on the experience of young men suffering from pelvic floor dysfunction has become popular as well. A sex difference limits the generalisation of the existing evidence, making it impossible to estimate the psychological stress that men may experience. The UK needs to conduct longitudinal research in the future in order to study the experience of individuals from 18 to 35 years, providing evidence about their causal connections.</w:t>
      </w:r>
    </w:p>
    <w:p w14:paraId="3C636E54" w14:textId="77777777" w:rsidR="00423B40" w:rsidRDefault="00636AB1">
      <w:pPr>
        <w:pStyle w:val="Heading3"/>
        <w:rPr>
          <w:rFonts w:ascii="Arial" w:eastAsia="Arial" w:hAnsi="Arial" w:cs="Arial"/>
          <w:b w:val="0"/>
          <w:bCs w:val="0"/>
          <w:color w:val="121212"/>
        </w:rPr>
      </w:pPr>
      <w:bookmarkStart w:id="20" w:name="_Toc240448250"/>
      <w:r>
        <w:rPr>
          <w:rFonts w:ascii="Arial" w:eastAsia="Arial" w:hAnsi="Arial" w:cs="Arial"/>
          <w:color w:val="121212"/>
        </w:rPr>
        <w:t>2.4.3 Impact of moderating variables on the association between pelvic floor dysfunction and mental health outcomes.</w:t>
      </w:r>
      <w:bookmarkEnd w:id="20"/>
    </w:p>
    <w:p w14:paraId="4D8C569F" w14:textId="7DD2C0B5" w:rsidR="00423B40" w:rsidRPr="00EB67AA" w:rsidRDefault="00636AB1">
      <w:pPr>
        <w:rPr>
          <w:color w:val="121212"/>
          <w:lang w:val="en-IN"/>
        </w:rPr>
      </w:pPr>
      <w:r>
        <w:rPr>
          <w:color w:val="121212"/>
        </w:rPr>
        <w:t xml:space="preserve">The relationships between pelvic floor dysfunction (PFD) and negative mental health outcomes are complicated and moderated by various factors as opposed to the direct or </w:t>
      </w:r>
      <w:r>
        <w:rPr>
          <w:color w:val="121212"/>
        </w:rPr>
        <w:lastRenderedPageBreak/>
        <w:t xml:space="preserve">unavoidable effects of physical symptoms. </w:t>
      </w:r>
      <w:r w:rsidR="00EB67AA" w:rsidRPr="00EB67AA">
        <w:rPr>
          <w:color w:val="121212"/>
          <w:lang w:val="en-IN"/>
        </w:rPr>
        <w:t>Anderson et al. (2023)</w:t>
      </w:r>
      <w:r w:rsidR="00EB67AA">
        <w:rPr>
          <w:color w:val="121212"/>
          <w:lang w:val="en-IN"/>
        </w:rPr>
        <w:t xml:space="preserve"> argued that </w:t>
      </w:r>
      <w:r w:rsidR="00EB67AA">
        <w:rPr>
          <w:color w:val="121212"/>
        </w:rPr>
        <w:t>t</w:t>
      </w:r>
      <w:r>
        <w:rPr>
          <w:color w:val="121212"/>
        </w:rPr>
        <w:t xml:space="preserve">hough chronic urinary, bowel, and sexual symptomatic conditions make one prone to psychological distress, on an individual basis, the level to which these conditions develop into major depressive disorder (MDD) is very different. Lai </w:t>
      </w:r>
      <w:r>
        <w:rPr>
          <w:i/>
          <w:iCs/>
          <w:color w:val="121212"/>
        </w:rPr>
        <w:t>et al.</w:t>
      </w:r>
      <w:r>
        <w:rPr>
          <w:color w:val="121212"/>
        </w:rPr>
        <w:t xml:space="preserve"> (2022) point out that adjustment factors such as gender, access to health care, stigmatization, and social support have an influence on the perception of the symptoms, coping ability, recovery and treatment adherence. It is therefore important to fully understand these situational issues in order to expound how some of the young adults appear to have deep emotional deficiency compared to those who appear to have very good psychological well-being even with similarities in the clinical presentation.</w:t>
      </w:r>
    </w:p>
    <w:p w14:paraId="1BE3DDE4" w14:textId="4EBBFC88" w:rsidR="00423B40" w:rsidRPr="00EB67AA" w:rsidRDefault="00636AB1">
      <w:pPr>
        <w:rPr>
          <w:color w:val="121212"/>
          <w:lang w:val="en-IN"/>
        </w:rPr>
      </w:pPr>
      <w:r>
        <w:rPr>
          <w:color w:val="121212"/>
        </w:rPr>
        <w:t>One of the most powerful moderators of this relationship is gender. PFD is diagnosed more often in women, as pregnancy, giving birth, hormonal changes are identified as biological risk factors</w:t>
      </w:r>
      <w:r w:rsidR="00EB67AA">
        <w:rPr>
          <w:color w:val="121212"/>
        </w:rPr>
        <w:t xml:space="preserve"> according to </w:t>
      </w:r>
      <w:proofErr w:type="spellStart"/>
      <w:r w:rsidR="00EB67AA" w:rsidRPr="00EB67AA">
        <w:rPr>
          <w:color w:val="121212"/>
          <w:lang w:val="en-IN"/>
        </w:rPr>
        <w:t>Dasikan</w:t>
      </w:r>
      <w:proofErr w:type="spellEnd"/>
      <w:r w:rsidR="00EB67AA">
        <w:rPr>
          <w:color w:val="121212"/>
          <w:lang w:val="en-IN"/>
        </w:rPr>
        <w:t xml:space="preserve"> et al.</w:t>
      </w:r>
      <w:r w:rsidR="00EB67AA" w:rsidRPr="00EB67AA">
        <w:rPr>
          <w:color w:val="121212"/>
          <w:lang w:val="en-IN"/>
        </w:rPr>
        <w:t xml:space="preserve"> (2020)</w:t>
      </w:r>
      <w:r>
        <w:rPr>
          <w:color w:val="121212"/>
        </w:rPr>
        <w:t xml:space="preserve">. The prevalence however can also be attributed to higher levels of clinical awareness and diagnostic chances and not necessarily a difference in occurrence of the disease. By comparison, </w:t>
      </w:r>
      <w:proofErr w:type="spellStart"/>
      <w:r>
        <w:rPr>
          <w:color w:val="121212"/>
        </w:rPr>
        <w:t>Notenboom</w:t>
      </w:r>
      <w:proofErr w:type="spellEnd"/>
      <w:r>
        <w:rPr>
          <w:rFonts w:ascii="Cambria Math" w:eastAsia="Cambria Math" w:hAnsi="Cambria Math" w:cs="Cambria Math"/>
          <w:color w:val="121212"/>
        </w:rPr>
        <w:t>‐</w:t>
      </w:r>
      <w:r>
        <w:rPr>
          <w:color w:val="121212"/>
        </w:rPr>
        <w:t xml:space="preserve">Nas </w:t>
      </w:r>
      <w:r>
        <w:rPr>
          <w:i/>
          <w:iCs/>
          <w:color w:val="121212"/>
        </w:rPr>
        <w:t>et al.</w:t>
      </w:r>
      <w:r>
        <w:rPr>
          <w:color w:val="121212"/>
        </w:rPr>
        <w:t xml:space="preserve"> (2022) argue that males tend to manifest with pelvic floor issues that are transcended by persistent pelvic pains, urinary quality with concomitant erectile and bowel deficits, yet those are very under-excavated. Masculinity is a social construct linked to some instances where men are unable to talk about intimate health issues, which lead to late disease diagnosis and long-lasting emotional distresses. Consequently, Devi </w:t>
      </w:r>
      <w:r>
        <w:rPr>
          <w:i/>
          <w:iCs/>
          <w:color w:val="121212"/>
        </w:rPr>
        <w:t>et al.</w:t>
      </w:r>
      <w:r>
        <w:rPr>
          <w:color w:val="121212"/>
        </w:rPr>
        <w:t xml:space="preserve"> (2025) postulate that gender has been established to not only influence the biological susceptibility but also to healthcare-seeking behaviour as well as the reporting of symptoms and access of the appropriate mental health. There is also high inequality in proportion of stroke on female population, hence limiting the knowledge on psychosocial burden on young men, and generally limits the extrapolation of evidence existing today.</w:t>
      </w:r>
    </w:p>
    <w:p w14:paraId="0FC43C49" w14:textId="4965ADE3" w:rsidR="00423B40" w:rsidRPr="00EB67AA" w:rsidRDefault="00636AB1">
      <w:pPr>
        <w:rPr>
          <w:color w:val="121212"/>
          <w:lang w:val="en-IN"/>
        </w:rPr>
      </w:pPr>
      <w:r>
        <w:rPr>
          <w:color w:val="121212"/>
        </w:rPr>
        <w:t>Mental health outcomes are also associated with PFD via access to healthcare. The symptoms progression could be prevented by an early diagnosis, a referral to specialist pelvic health physiotherapy and multidisciplinary treatment and reduce the emotional burden of the chronic pelvic conditions</w:t>
      </w:r>
      <w:r w:rsidR="00EB67AA">
        <w:rPr>
          <w:color w:val="121212"/>
        </w:rPr>
        <w:t xml:space="preserve"> as discussed by </w:t>
      </w:r>
      <w:r w:rsidR="00EB67AA" w:rsidRPr="00EB67AA">
        <w:rPr>
          <w:color w:val="121212"/>
          <w:lang w:val="en-IN"/>
        </w:rPr>
        <w:t>Tsai et al. (2025)</w:t>
      </w:r>
      <w:r>
        <w:rPr>
          <w:color w:val="121212"/>
        </w:rPr>
        <w:t xml:space="preserve">. With early intervention, education, behavioural therapies and rehabilitation can be instituted to the patients before occupational, educational and social functioning are severely affected by the symptoms. Discontinuous referring paths, queues, and ignorance among the health care workers on the other hand are likely to prolong hesitation, and entrench the perception that the patients have that their ailments are incurable or do not deserve attention. These delays result in chronic pain, disability and growing mental distress. A systematic review of the help-seeking behaviour evidence by Liang </w:t>
      </w:r>
      <w:r>
        <w:rPr>
          <w:i/>
          <w:iCs/>
          <w:color w:val="121212"/>
        </w:rPr>
        <w:t>et al.</w:t>
      </w:r>
      <w:r>
        <w:rPr>
          <w:color w:val="121212"/>
        </w:rPr>
        <w:t xml:space="preserve"> (2023) proved that among the women with a history of urinary </w:t>
      </w:r>
      <w:r>
        <w:rPr>
          <w:color w:val="121212"/>
        </w:rPr>
        <w:lastRenderedPageBreak/>
        <w:t>incontinence that still experienced urinary issues, only 28% sought professional care, evidencing a high degree of barriers to early intervention and proper management.</w:t>
      </w:r>
    </w:p>
    <w:p w14:paraId="764988CB" w14:textId="3304AD99" w:rsidR="00423B40" w:rsidRPr="00EB67AA" w:rsidRDefault="00636AB1">
      <w:pPr>
        <w:rPr>
          <w:color w:val="121212"/>
          <w:lang w:val="en-IN"/>
        </w:rPr>
      </w:pPr>
      <w:r>
        <w:rPr>
          <w:color w:val="121212"/>
        </w:rPr>
        <w:t>Along with the structural barriers, a poor quality of health care also affects psychological outcomes. With caring communication, adequate education, and shared decision-making, young adults are capable of following the treatment, feeling confident after overcoming the symptoms. On the contrary, Sebring</w:t>
      </w:r>
      <w:r>
        <w:rPr>
          <w:i/>
          <w:iCs/>
          <w:color w:val="121212"/>
        </w:rPr>
        <w:t xml:space="preserve"> et al.</w:t>
      </w:r>
      <w:r>
        <w:rPr>
          <w:color w:val="121212"/>
        </w:rPr>
        <w:t xml:space="preserve"> (2023) assert that the effect of dismissal or diminution of the symptom may enhance the helplessness and mistrust of the healthcare systems, and thereby worsened the state of emotional health. These results imply that enhancing access to care is not enough without patient-centred communication and multidisciplinary treatment and enhanced professional knowledge about pelvic floor disorders in young adults</w:t>
      </w:r>
      <w:r w:rsidR="00EB67AA">
        <w:rPr>
          <w:color w:val="121212"/>
        </w:rPr>
        <w:t xml:space="preserve"> according to </w:t>
      </w:r>
      <w:proofErr w:type="spellStart"/>
      <w:r w:rsidR="00EB67AA" w:rsidRPr="00EB67AA">
        <w:rPr>
          <w:color w:val="121212"/>
          <w:lang w:val="en-IN"/>
        </w:rPr>
        <w:t>Jouanny</w:t>
      </w:r>
      <w:proofErr w:type="spellEnd"/>
      <w:r w:rsidR="00EB67AA">
        <w:rPr>
          <w:color w:val="121212"/>
          <w:lang w:val="en-IN"/>
        </w:rPr>
        <w:t xml:space="preserve"> et al.</w:t>
      </w:r>
      <w:r w:rsidR="00EB67AA" w:rsidRPr="00EB67AA">
        <w:rPr>
          <w:color w:val="121212"/>
          <w:lang w:val="en-IN"/>
        </w:rPr>
        <w:t xml:space="preserve"> (2024)</w:t>
      </w:r>
      <w:r>
        <w:rPr>
          <w:color w:val="121212"/>
        </w:rPr>
        <w:t xml:space="preserve">. These would help in making diagnosis earlier in life, lessening the burden of chronic symptoms and eventually lessening the psychological impacts of pelvic floor dysfunction. </w:t>
      </w:r>
    </w:p>
    <w:p w14:paraId="7E11D080" w14:textId="77777777" w:rsidR="00423B40" w:rsidRDefault="00636AB1">
      <w:pPr>
        <w:pStyle w:val="Heading3"/>
        <w:rPr>
          <w:rFonts w:ascii="Arial" w:eastAsia="Arial" w:hAnsi="Arial" w:cs="Arial"/>
          <w:b w:val="0"/>
          <w:bCs w:val="0"/>
          <w:color w:val="121212"/>
        </w:rPr>
      </w:pPr>
      <w:bookmarkStart w:id="21" w:name="_Toc240448251"/>
      <w:r>
        <w:rPr>
          <w:rFonts w:ascii="Arial" w:eastAsia="Arial" w:hAnsi="Arial" w:cs="Arial"/>
          <w:color w:val="121212"/>
        </w:rPr>
        <w:t>2.4.4 Strategies for improving clinical practice, early identification, and integrated care approaches for pelvic floor dysfunction and associated mental health</w:t>
      </w:r>
      <w:bookmarkEnd w:id="21"/>
    </w:p>
    <w:p w14:paraId="0C78A8FA" w14:textId="77777777" w:rsidR="00423B40" w:rsidRDefault="00636AB1">
      <w:pPr>
        <w:rPr>
          <w:color w:val="121212"/>
        </w:rPr>
      </w:pPr>
      <w:r>
        <w:rPr>
          <w:color w:val="121212"/>
        </w:rPr>
        <w:t xml:space="preserve">A shift to more person-centred, more integrated care, with consideration of both physical and mental health, must occur to maximise the improvement of outcomes in young adults with the presence of pelvic floor dysfunction (PFD). </w:t>
      </w:r>
      <w:proofErr w:type="spellStart"/>
      <w:r>
        <w:rPr>
          <w:color w:val="121212"/>
        </w:rPr>
        <w:t>Orom</w:t>
      </w:r>
      <w:proofErr w:type="spellEnd"/>
      <w:r>
        <w:rPr>
          <w:i/>
          <w:iCs/>
          <w:color w:val="121212"/>
        </w:rPr>
        <w:t xml:space="preserve"> et al. </w:t>
      </w:r>
      <w:r>
        <w:rPr>
          <w:color w:val="121212"/>
        </w:rPr>
        <w:t>(2019) contend that the current clinical pathways tend to recommend the treatment of the urinary, bowel, or sexual symptoms separately, without taking into consideration the possibility that the latter can lead to compound effects on mental health. Multidisciplinary models of healthcare services, in their turn, must consider PFD as a chronic condition that has correlated physical, emotional, and social consequences rather than a single musculoskeletal condition.</w:t>
      </w:r>
    </w:p>
    <w:p w14:paraId="0BF736A5" w14:textId="77777777" w:rsidR="00423B40" w:rsidRDefault="00636AB1">
      <w:pPr>
        <w:rPr>
          <w:color w:val="121212"/>
        </w:rPr>
      </w:pPr>
      <w:r>
        <w:rPr>
          <w:color w:val="121212"/>
        </w:rPr>
        <w:t xml:space="preserve">One of the priorities is to enhance initial diagnoses in primary care. General practitioners, practice nurses and sexual health clinicians need to incorporate routine validation of questions about screening the pelvic floor in their consultation with adults aged between 18 and 35 years reporting urinary problems, chronic pelvic pain, constipation, or sexual dysfunction. Prior diagnosis would reduce the delays in the diagnosis process, allow timely referral to specialised pelvic health services, and reduce the occurrence of more complex physical and psychological illness. Neulinger </w:t>
      </w:r>
      <w:r>
        <w:rPr>
          <w:i/>
          <w:iCs/>
          <w:color w:val="121212"/>
        </w:rPr>
        <w:t>et al.</w:t>
      </w:r>
      <w:r>
        <w:rPr>
          <w:color w:val="121212"/>
        </w:rPr>
        <w:t xml:space="preserve"> (2024) suggest that, to assist in identifying individuals in distress emotionally before depressive signs can lead to panic, mental health screening should be included in the standardised assessment tools as well.</w:t>
      </w:r>
    </w:p>
    <w:p w14:paraId="25F817C8" w14:textId="77777777" w:rsidR="00423B40" w:rsidRDefault="00636AB1">
      <w:pPr>
        <w:rPr>
          <w:color w:val="121212"/>
        </w:rPr>
      </w:pPr>
      <w:r>
        <w:rPr>
          <w:color w:val="121212"/>
        </w:rPr>
        <w:t xml:space="preserve">Tsai </w:t>
      </w:r>
      <w:r>
        <w:rPr>
          <w:i/>
          <w:iCs/>
          <w:color w:val="121212"/>
        </w:rPr>
        <w:t>et al.</w:t>
      </w:r>
      <w:r>
        <w:rPr>
          <w:color w:val="121212"/>
        </w:rPr>
        <w:t xml:space="preserve"> (2025) propose that the clinical practice should also emphasise multidisciplinary management founded on the integration of pelvic health physiotherapists, urologists, </w:t>
      </w:r>
      <w:r>
        <w:rPr>
          <w:color w:val="121212"/>
        </w:rPr>
        <w:lastRenderedPageBreak/>
        <w:t>gynaecologists, colorectal specialists, pain specialists and mental health professionals. Rather than sending a patient to a mental health caregiver in a series, collaborative care planning would be used to ensure both the physical and psychological distress are handled as a unit, continuity of care would be enhanced, and fragmented service delivery would also be reduced. The integrated nature of these pathways should also contain individualised rehabilitation programmes because not all individuals have the same level of severity of symptoms, coping, and functional impairment.</w:t>
      </w:r>
    </w:p>
    <w:p w14:paraId="39B52434" w14:textId="77777777" w:rsidR="00423B40" w:rsidRDefault="00636AB1">
      <w:pPr>
        <w:rPr>
          <w:color w:val="121212"/>
        </w:rPr>
      </w:pPr>
      <w:r>
        <w:rPr>
          <w:color w:val="121212"/>
        </w:rPr>
        <w:t xml:space="preserve">Another strategy that is vital is health education. The campaigns in the field of information, targeted at universities, workplaces, and community medical facilities, would enable the process of normalisation of discourses surrounding the subject of pelvic health and the reduction of the falsehoods per it, according to which PFD only affects older individuals and postpartum women. Gillett </w:t>
      </w:r>
      <w:r>
        <w:rPr>
          <w:i/>
          <w:iCs/>
          <w:color w:val="121212"/>
        </w:rPr>
        <w:t>et al.</w:t>
      </w:r>
      <w:r>
        <w:rPr>
          <w:color w:val="121212"/>
        </w:rPr>
        <w:t xml:space="preserve"> (2024) contend that increasing health literacy of the pelvis may aid in encouraging prompt help-seeking, decreasing self-stigmatisation, and compliance with preventive strategies such as pelvic floor muscle training and healthy living. There should also be increased provision of undergraduate and continuing professional training to healthcare providers to enhance confidence in diagnosing pelvic floor disorders within younger adults, which includes males who have yet to be diagnosed correctly.</w:t>
      </w:r>
    </w:p>
    <w:p w14:paraId="753AC2D8" w14:textId="77777777" w:rsidR="00423B40" w:rsidRDefault="00636AB1">
      <w:pPr>
        <w:rPr>
          <w:color w:val="121212"/>
        </w:rPr>
      </w:pPr>
      <w:r>
        <w:rPr>
          <w:color w:val="121212"/>
        </w:rPr>
        <w:t xml:space="preserve">Digital innovation has the potential to also provide a way of increasing access and continuity of care. Beheshti </w:t>
      </w:r>
      <w:r>
        <w:rPr>
          <w:i/>
          <w:iCs/>
          <w:color w:val="121212"/>
        </w:rPr>
        <w:t>et al.</w:t>
      </w:r>
      <w:r>
        <w:rPr>
          <w:color w:val="121212"/>
        </w:rPr>
        <w:t xml:space="preserve"> (2022) point out that telehealth consultation and follow-up (enhanced by NHS), use of mobile symptom-monitoring apps, and online cognitive behavioural therapy programmes might turn out to be a good way of providing an accessible follow-up to individuals who might be reluctant to visit the doctor in person because of embarrassment or distance issues. Still, a minor but not a replacement of specialist clinical evaluation, digital services need to be incorporated; only in this manner will it be possible to make the right diagnosis and offer the right treatment. </w:t>
      </w:r>
    </w:p>
    <w:p w14:paraId="6A51BE25" w14:textId="77777777" w:rsidR="00423B40" w:rsidRDefault="00636AB1">
      <w:pPr>
        <w:pStyle w:val="Heading2"/>
        <w:rPr>
          <w:color w:val="121212"/>
        </w:rPr>
      </w:pPr>
      <w:bookmarkStart w:id="22" w:name="_Toc240448252"/>
      <w:r>
        <w:rPr>
          <w:color w:val="121212"/>
        </w:rPr>
        <w:t>2.5 Literature Gap</w:t>
      </w:r>
      <w:bookmarkEnd w:id="22"/>
      <w:r>
        <w:rPr>
          <w:color w:val="121212"/>
        </w:rPr>
        <w:t xml:space="preserve"> </w:t>
      </w:r>
    </w:p>
    <w:p w14:paraId="5CF87E03" w14:textId="77777777" w:rsidR="00423B40" w:rsidRDefault="00636AB1">
      <w:pPr>
        <w:rPr>
          <w:color w:val="121212"/>
        </w:rPr>
      </w:pPr>
      <w:r>
        <w:rPr>
          <w:color w:val="121212"/>
        </w:rPr>
        <w:t xml:space="preserve">Existing literature indicates increasing awareness regarding the link of pelvic floor dysfunction (PFD) with poor quality of life and depressive symptoms, while at the same time a number of critical gaps remain. Most of the research is performed on women, especially those who have recently delivered and those who are older, while there are few studies specifically dedicated to young adults aged between 18 and 35, even though it becomes obvious that PFD affects this age category as well (Kuutti </w:t>
      </w:r>
      <w:r>
        <w:rPr>
          <w:i/>
          <w:iCs/>
          <w:color w:val="121212"/>
        </w:rPr>
        <w:t>et al</w:t>
      </w:r>
      <w:r>
        <w:rPr>
          <w:color w:val="121212"/>
        </w:rPr>
        <w:t xml:space="preserve">., 2023; Royal College of Obstetricians and Gynaecologists, 2023). Additionally, the bulk of available studies is cross-sectional, which allows for making conclusions regarding existing correlations but does not allow for establishing causation between chronic pelvic symptoms and major depressive disorder </w:t>
      </w:r>
      <w:r>
        <w:rPr>
          <w:color w:val="121212"/>
        </w:rPr>
        <w:lastRenderedPageBreak/>
        <w:t xml:space="preserve">(Cheng </w:t>
      </w:r>
      <w:r>
        <w:rPr>
          <w:i/>
          <w:iCs/>
          <w:color w:val="121212"/>
        </w:rPr>
        <w:t>et al</w:t>
      </w:r>
      <w:r>
        <w:rPr>
          <w:color w:val="121212"/>
        </w:rPr>
        <w:t xml:space="preserve">., 2020; Wong </w:t>
      </w:r>
      <w:r>
        <w:rPr>
          <w:i/>
          <w:iCs/>
          <w:color w:val="121212"/>
        </w:rPr>
        <w:t>et al</w:t>
      </w:r>
      <w:r>
        <w:rPr>
          <w:color w:val="121212"/>
        </w:rPr>
        <w:t xml:space="preserve">., 2025). There are also very few studies that look at the impact of moderating variables, such as gender, healthcare access, stigma and availability of social support, as these aspects are usually studied independently. Finally, there is almost no evidence focusing on combined treatment routes for physical and mental complications in the UK context. Accordingly, the current systematic review aims to bridge these gaps of knowledge by evaluating modern evidence aimed at the young population in the UK and taking a holistic approach comprising physical, psychological and contextual factors that influence health. </w:t>
      </w:r>
    </w:p>
    <w:p w14:paraId="44071A7F" w14:textId="77777777" w:rsidR="00423B40" w:rsidRDefault="00636AB1">
      <w:pPr>
        <w:pStyle w:val="Heading2"/>
        <w:rPr>
          <w:color w:val="121212"/>
        </w:rPr>
      </w:pPr>
      <w:bookmarkStart w:id="23" w:name="_Toc240448253"/>
      <w:r>
        <w:rPr>
          <w:color w:val="121212"/>
        </w:rPr>
        <w:t>2.6 Conceptual Framework</w:t>
      </w:r>
      <w:bookmarkEnd w:id="23"/>
      <w:r>
        <w:rPr>
          <w:color w:val="121212"/>
        </w:rPr>
        <w:t xml:space="preserve"> </w:t>
      </w:r>
    </w:p>
    <w:p w14:paraId="5F905912" w14:textId="77777777" w:rsidR="00423B40" w:rsidRDefault="00636AB1">
      <w:pPr>
        <w:rPr>
          <w:color w:val="121212"/>
        </w:rPr>
      </w:pPr>
      <w:r>
        <w:rPr>
          <w:color w:val="121212"/>
        </w:rPr>
        <w:t xml:space="preserve">The conceptual map demonstrates the hypothetical correlation of pelvic floor dysfunction (PFD), quality of life, and major depressive disorder (MDD) between the age groups of young adults in the UK (18 years of age and older) and 35 years of age and older. Pelvic floor dysfunction is the independent variable that summarises symptoms like urinary, bowel, and sexual pelvic pain issues. These symptoms are meant to have negative effects on the physical functioning of individuals, emotional well-being, and day-to-day life. Quality of life is seen as an important consequence of the net effects of PFD upon physical, psychological and social well-being, Chen </w:t>
      </w:r>
      <w:r>
        <w:rPr>
          <w:i/>
          <w:iCs/>
          <w:color w:val="121212"/>
        </w:rPr>
        <w:t>et al.</w:t>
      </w:r>
      <w:r>
        <w:rPr>
          <w:color w:val="121212"/>
        </w:rPr>
        <w:t xml:space="preserve"> (2025) mention. Another hypothesis of the framework is that the experience of chronic pelvic floor symptoms contributes to the emergence of the signs of major depressive disorder, including low mood, loss of interest, fatigue, and deficiency in daily functioning. This is because this relationship is moderated by the moderating variables, which are gender, access to healthcare, stigma, social support, and coping capacity, which will either strengthen this association or weaken the relationship between PFD and mental health outcomes. Altogether, the framework offers an organised base for synthesising evidence on the interrelated physical and psychological outcomes of pelvic floor dysfunction regarding young adults. </w:t>
      </w:r>
    </w:p>
    <w:p w14:paraId="3FB5E6B3" w14:textId="77777777" w:rsidR="00423B40" w:rsidRDefault="00636AB1">
      <w:pPr>
        <w:pStyle w:val="Heading2"/>
        <w:rPr>
          <w:color w:val="121212"/>
        </w:rPr>
      </w:pPr>
      <w:bookmarkStart w:id="24" w:name="_Toc240448254"/>
      <w:r>
        <w:rPr>
          <w:color w:val="121212"/>
        </w:rPr>
        <w:t>2.7 Summary</w:t>
      </w:r>
      <w:bookmarkEnd w:id="24"/>
      <w:r>
        <w:rPr>
          <w:color w:val="121212"/>
        </w:rPr>
        <w:t xml:space="preserve"> </w:t>
      </w:r>
    </w:p>
    <w:p w14:paraId="40602EBA" w14:textId="77777777" w:rsidR="00423B40" w:rsidRDefault="00636AB1">
      <w:pPr>
        <w:rPr>
          <w:color w:val="121212"/>
        </w:rPr>
      </w:pPr>
      <w:r>
        <w:rPr>
          <w:color w:val="121212"/>
        </w:rPr>
        <w:t xml:space="preserve">The chapter was a critical review of the literature in the field that explores this problem of pelvic floor dysfunction and how this affects the psychological well-being of young adults. The review showed that PFD goes beyond being merely a physical impairment, as it affects emotional health, social inclusion and general quality of life. It has indicated the multifactorial relationship between the symptoms of the pelvic floor and depressive outcome, in addition to the moderating role of demographic, healthcare, and psychosocial factors. The conceptual and theoretical models assisted in the understanding of how this complicated interplay exists, and the critical analysis of the past studies revealed the weak methodology and population-based </w:t>
      </w:r>
      <w:r>
        <w:rPr>
          <w:color w:val="121212"/>
        </w:rPr>
        <w:lastRenderedPageBreak/>
        <w:t>approach. The results provide a reason why a systematic review should be done, which aims at young adults in the UK healthcare setting.</w:t>
      </w:r>
    </w:p>
    <w:p w14:paraId="44ED7D45" w14:textId="77777777" w:rsidR="00423B40" w:rsidRDefault="00636AB1">
      <w:pPr>
        <w:spacing w:line="259" w:lineRule="auto"/>
        <w:jc w:val="left"/>
        <w:rPr>
          <w:color w:val="121212"/>
        </w:rPr>
      </w:pPr>
      <w:r>
        <w:rPr>
          <w:color w:val="121212"/>
        </w:rPr>
        <w:br w:type="page"/>
      </w:r>
    </w:p>
    <w:p w14:paraId="65EBA8E4" w14:textId="77777777" w:rsidR="00423B40" w:rsidRDefault="00636AB1">
      <w:pPr>
        <w:pStyle w:val="Heading1"/>
        <w:rPr>
          <w:color w:val="121212"/>
        </w:rPr>
      </w:pPr>
      <w:bookmarkStart w:id="25" w:name="_Toc240448255"/>
      <w:r>
        <w:rPr>
          <w:color w:val="121212"/>
        </w:rPr>
        <w:lastRenderedPageBreak/>
        <w:t>Chapter 3: Methods &amp; Methodology</w:t>
      </w:r>
      <w:bookmarkEnd w:id="25"/>
    </w:p>
    <w:p w14:paraId="1CBB1117" w14:textId="77777777" w:rsidR="00423B40" w:rsidRDefault="00636AB1">
      <w:pPr>
        <w:pStyle w:val="Heading2"/>
        <w:spacing w:after="200"/>
        <w:rPr>
          <w:color w:val="121212"/>
        </w:rPr>
      </w:pPr>
      <w:bookmarkStart w:id="26" w:name="_Toc240448256"/>
      <w:r>
        <w:rPr>
          <w:color w:val="121212"/>
        </w:rPr>
        <w:t>3.1 Introduction</w:t>
      </w:r>
      <w:bookmarkEnd w:id="26"/>
      <w:r>
        <w:rPr>
          <w:color w:val="121212"/>
        </w:rPr>
        <w:t xml:space="preserve"> </w:t>
      </w:r>
    </w:p>
    <w:p w14:paraId="4F8B6629" w14:textId="77777777" w:rsidR="00423B40" w:rsidRDefault="00636AB1">
      <w:pPr>
        <w:rPr>
          <w:color w:val="121212"/>
        </w:rPr>
      </w:pPr>
      <w:r>
        <w:rPr>
          <w:color w:val="121212"/>
        </w:rPr>
        <w:t>This chapter outlines the methodology to be used in conducting the systematic review of the influence of pelvic floor dysfunction (PFD) on the quality of life and the likelihood of major depressive disorder (MDD) in young adults between 18–35 years in the UK. The chapter explains research philosophy, ethical considerations, research approach, research strategy and systematic review design used in the research (González-</w:t>
      </w:r>
      <w:proofErr w:type="spellStart"/>
      <w:r>
        <w:rPr>
          <w:color w:val="121212"/>
        </w:rPr>
        <w:t>Timoneda</w:t>
      </w:r>
      <w:proofErr w:type="spellEnd"/>
      <w:r>
        <w:rPr>
          <w:color w:val="121212"/>
        </w:rPr>
        <w:t xml:space="preserve"> </w:t>
      </w:r>
      <w:r>
        <w:rPr>
          <w:i/>
          <w:iCs/>
          <w:color w:val="121212"/>
        </w:rPr>
        <w:t>et al</w:t>
      </w:r>
      <w:r>
        <w:rPr>
          <w:color w:val="121212"/>
        </w:rPr>
        <w:t>., 2025).  It indicates the search strategy, eligibility criteria, quality appraisal, data extraction and thematic synthesis methods used for the process of identifying, evaluating and synthesising relevant evidence.</w:t>
      </w:r>
    </w:p>
    <w:p w14:paraId="31DB25B0" w14:textId="77777777" w:rsidR="00423B40" w:rsidRDefault="00636AB1">
      <w:pPr>
        <w:pStyle w:val="Heading2"/>
        <w:spacing w:after="200"/>
        <w:rPr>
          <w:color w:val="121212"/>
        </w:rPr>
      </w:pPr>
      <w:bookmarkStart w:id="27" w:name="_Toc240448257"/>
      <w:r>
        <w:rPr>
          <w:color w:val="121212"/>
        </w:rPr>
        <w:t>3.2 Research Philosophy</w:t>
      </w:r>
      <w:bookmarkEnd w:id="27"/>
      <w:r>
        <w:rPr>
          <w:color w:val="121212"/>
        </w:rPr>
        <w:t xml:space="preserve"> </w:t>
      </w:r>
    </w:p>
    <w:p w14:paraId="3F418EE7" w14:textId="77777777" w:rsidR="00423B40" w:rsidRDefault="00636AB1">
      <w:pPr>
        <w:rPr>
          <w:color w:val="121212"/>
        </w:rPr>
      </w:pPr>
      <w:r>
        <w:rPr>
          <w:color w:val="121212"/>
        </w:rPr>
        <w:t xml:space="preserve">Research philosophy is the set of ideas in believes describe how knowledge is collected, interpreted, and shared in research. This concept involves ontology, which is focused on what reality is, and epistemology, which is focused on how knowledge arises. The current review adopt and interpretivist research philosophy since it aims to achieve an understanding of existing knowledge regarding the effect of pelvic floor dysfunction on quality of life and depression risk among young people aged 18 to 35 in the UK (Khan, 2022). This means that instead of hypothesis testing and statistical measurement of variables, the systematic review brings together the results from studies that have been conducted on the subject matter and examines the pattern, meaning and broader context relevant to the issue discovered. </w:t>
      </w:r>
    </w:p>
    <w:p w14:paraId="51141613" w14:textId="77777777" w:rsidR="00423B40" w:rsidRDefault="00636AB1">
      <w:pPr>
        <w:rPr>
          <w:color w:val="121212"/>
        </w:rPr>
      </w:pPr>
      <w:r>
        <w:rPr>
          <w:color w:val="121212"/>
        </w:rPr>
        <w:t xml:space="preserve">Interpretivist philosophy suits this paper since it allows obtaining a detailed understanding of experiences related to pelvic floor dysfunction, allowing the authors to conduct thematic analysis of the existing studies (Ge </w:t>
      </w:r>
      <w:r>
        <w:rPr>
          <w:i/>
          <w:iCs/>
          <w:color w:val="121212"/>
        </w:rPr>
        <w:t>et al</w:t>
      </w:r>
      <w:r>
        <w:rPr>
          <w:color w:val="121212"/>
        </w:rPr>
        <w:t xml:space="preserve">., 2026). Positivism was not considered as it rendered the analysis pointless due to the absence of primary statistical data generation or hypothesis testing. </w:t>
      </w:r>
    </w:p>
    <w:p w14:paraId="0A9FAECC" w14:textId="77777777" w:rsidR="00423B40" w:rsidRDefault="00636AB1">
      <w:pPr>
        <w:pStyle w:val="Heading2"/>
        <w:spacing w:after="200"/>
        <w:rPr>
          <w:color w:val="121212"/>
        </w:rPr>
      </w:pPr>
      <w:bookmarkStart w:id="28" w:name="_Toc240448258"/>
      <w:r>
        <w:rPr>
          <w:color w:val="121212"/>
        </w:rPr>
        <w:t>3.3 Ethical Consideration</w:t>
      </w:r>
      <w:bookmarkEnd w:id="28"/>
      <w:r>
        <w:rPr>
          <w:color w:val="121212"/>
        </w:rPr>
        <w:t xml:space="preserve"> </w:t>
      </w:r>
    </w:p>
    <w:p w14:paraId="2B017E0F" w14:textId="77777777" w:rsidR="00423B40" w:rsidRDefault="00636AB1">
      <w:pPr>
        <w:rPr>
          <w:color w:val="121212"/>
        </w:rPr>
      </w:pPr>
      <w:r>
        <w:rPr>
          <w:color w:val="121212"/>
        </w:rPr>
        <w:t xml:space="preserve">Ethical considerations are critical in research as it ensured that integrity, transparency, accountability and respect for intellectual property are followed throughout the research process. Research ethics aims to prevent instances of plagiarism, data fabrication for falsification and selective reporting, while at the same time encouraging honesty and reliability in knowledge generation. Ethical principles are followed through an unbiased literature search, adequate reporting of results, critical appraisals of evidence and provision of appropriate acknowledgement of all sources of original information through proper citation and </w:t>
      </w:r>
      <w:r>
        <w:rPr>
          <w:color w:val="121212"/>
        </w:rPr>
        <w:lastRenderedPageBreak/>
        <w:t xml:space="preserve">referencing. In this systematic review, ethical principles were respected as it relied on published peer-reviewed literature and transparently described the review procedure in compliance with PRISMA guidelines (Sony </w:t>
      </w:r>
      <w:r>
        <w:rPr>
          <w:i/>
          <w:iCs/>
          <w:color w:val="121212"/>
        </w:rPr>
        <w:t>et al</w:t>
      </w:r>
      <w:r>
        <w:rPr>
          <w:color w:val="121212"/>
        </w:rPr>
        <w:t>., 2025). This research was based on secondary analysis of published data and did not use human subjects or collect personal data, however, it has followed the UTWSD ethics approval process.</w:t>
      </w:r>
    </w:p>
    <w:p w14:paraId="734DD6E5" w14:textId="77777777" w:rsidR="00423B40" w:rsidRDefault="00636AB1">
      <w:pPr>
        <w:pStyle w:val="Heading2"/>
        <w:spacing w:after="200"/>
        <w:rPr>
          <w:color w:val="121212"/>
        </w:rPr>
      </w:pPr>
      <w:bookmarkStart w:id="29" w:name="_Toc240448259"/>
      <w:r>
        <w:rPr>
          <w:color w:val="121212"/>
        </w:rPr>
        <w:t>3.4 Research Approach</w:t>
      </w:r>
      <w:bookmarkEnd w:id="29"/>
      <w:r>
        <w:rPr>
          <w:color w:val="121212"/>
        </w:rPr>
        <w:t xml:space="preserve"> </w:t>
      </w:r>
    </w:p>
    <w:p w14:paraId="0C39FA0B" w14:textId="77777777" w:rsidR="00423B40" w:rsidRDefault="00636AB1">
      <w:pPr>
        <w:rPr>
          <w:color w:val="121212"/>
        </w:rPr>
      </w:pPr>
      <w:r>
        <w:rPr>
          <w:color w:val="121212"/>
        </w:rPr>
        <w:t xml:space="preserve">The research approach gives a big picture idea of the collection, analysis and interpretation of evidence surrounding the research topic. It can fall into three types, including quantitative research methods. It places emphasis on numbers and statistics to study the relationship between variables and to carry out hypothesis testing and quality methods. It seeks to know more about the experiences, feelings and behaviour of the subjects through the use of interviews, surveys, and observations. </w:t>
      </w:r>
    </w:p>
    <w:p w14:paraId="273A2C39" w14:textId="77777777" w:rsidR="00423B40" w:rsidRDefault="00636AB1">
      <w:pPr>
        <w:rPr>
          <w:color w:val="121212"/>
        </w:rPr>
      </w:pPr>
      <w:r>
        <w:rPr>
          <w:color w:val="121212"/>
        </w:rPr>
        <w:t>A systematic review, classified as a secondary research method, aimed at systematically locating, accessing and combining evidence obtained from previous studies through its transparent and repeatable methods. This study employed the systematic review method as it 6 to enhance the existing knowledge about the effect of pelvic floor dysfunction on the quality of life and susceptibility to developing major depressive disorder among young adults in the UK (Ghanad, 2023). The systematic review methodology was justified as it renders exhaustive, valid and scientifically backed conclusions from research and helps in the development of future clinical work and medical studies.</w:t>
      </w:r>
    </w:p>
    <w:p w14:paraId="7DBF5155" w14:textId="77777777" w:rsidR="00423B40" w:rsidRDefault="00636AB1">
      <w:pPr>
        <w:pStyle w:val="Heading2"/>
        <w:spacing w:after="200"/>
        <w:rPr>
          <w:color w:val="121212"/>
        </w:rPr>
      </w:pPr>
      <w:bookmarkStart w:id="30" w:name="_Toc240448260"/>
      <w:r>
        <w:rPr>
          <w:color w:val="121212"/>
        </w:rPr>
        <w:t>3.5 Research Strategy</w:t>
      </w:r>
      <w:bookmarkEnd w:id="30"/>
      <w:r>
        <w:rPr>
          <w:color w:val="121212"/>
        </w:rPr>
        <w:t xml:space="preserve"> </w:t>
      </w:r>
    </w:p>
    <w:p w14:paraId="2FA026C9" w14:textId="77777777" w:rsidR="00423B40" w:rsidRDefault="00636AB1">
      <w:pPr>
        <w:rPr>
          <w:color w:val="121212"/>
        </w:rPr>
      </w:pPr>
      <w:r>
        <w:rPr>
          <w:color w:val="121212"/>
        </w:rPr>
        <w:t>Research strategy is the systematic procedure utilised to facilitate the collection and analysis of evidence. The deductive strategy is a process that begins with previously established theories for hypotheses, which are then tested with real data, making it appropriate for quantitative research. An inductive strategy focuses on the evidence available from which patterns, themes or conclusions are produced. It is largely used in quality tips search and systematic review what thematic synthesis is used. Due to its goal of gathering the synthesis of finding from available literature to derive themes on the effect of pelvic floor dysfunction on quality of life and the likelihood of suffering from severe depression among youth. This research adopts an inductive approach (Robinson and Bailey-Rodriguez, 2025). The use of a deductive strategy with his Reliance on set hypotheses and analysis of quantitative data is not relevant in the study. It does not rely on hypotheses or primary data for analysis of the topic under study. Result where produced from the integration of the existing evidence.</w:t>
      </w:r>
    </w:p>
    <w:p w14:paraId="2DFCBF11" w14:textId="77777777" w:rsidR="00423B40" w:rsidRDefault="00636AB1">
      <w:pPr>
        <w:pStyle w:val="Heading2"/>
        <w:spacing w:after="200"/>
        <w:rPr>
          <w:color w:val="121212"/>
        </w:rPr>
      </w:pPr>
      <w:bookmarkStart w:id="31" w:name="_Toc240448261"/>
      <w:r>
        <w:rPr>
          <w:color w:val="121212"/>
        </w:rPr>
        <w:lastRenderedPageBreak/>
        <w:t>3.6 Study Design</w:t>
      </w:r>
      <w:bookmarkEnd w:id="31"/>
      <w:r>
        <w:rPr>
          <w:color w:val="121212"/>
        </w:rPr>
        <w:t xml:space="preserve"> </w:t>
      </w:r>
    </w:p>
    <w:p w14:paraId="543AC50B" w14:textId="77777777" w:rsidR="00423B40" w:rsidRDefault="00636AB1">
      <w:pPr>
        <w:rPr>
          <w:color w:val="121212"/>
        </w:rPr>
      </w:pPr>
      <w:r>
        <w:rPr>
          <w:color w:val="121212"/>
        </w:rPr>
        <w:t>This research work makes use of the systematic review approach to thoroughly locate, assess and compile published information regarding the influence exerted by pelvic floor dysfunction on quality of life and occurrence of depressive disorder in young adults between 18 and 35 in the UK. A systematic review is different from later and narrative reviews in that it describes a systematic method of searching for relevant research so as to come up with reliable and replicable outcomes. The work was aligned with the PRISMA guideline so as to reduce selection bias and for maximization reliability of the outcome. One serious merit of this process is that it generates valid outcomes and results from quality studies while identifying research gaps (Mazi, Kaddour and Al-Badr, 2019). The systematic review takes a long time and depends on the assortment of published literature materials for producing strong outcomes.</w:t>
      </w:r>
    </w:p>
    <w:p w14:paraId="6DA616FA" w14:textId="77777777" w:rsidR="00423B40" w:rsidRDefault="00636AB1">
      <w:pPr>
        <w:pStyle w:val="Heading2"/>
        <w:spacing w:after="200"/>
        <w:rPr>
          <w:color w:val="121212"/>
        </w:rPr>
      </w:pPr>
      <w:bookmarkStart w:id="32" w:name="_Toc240448262"/>
      <w:r>
        <w:rPr>
          <w:color w:val="121212"/>
        </w:rPr>
        <w:t>3.7 Method of Data Collection</w:t>
      </w:r>
      <w:bookmarkEnd w:id="32"/>
      <w:r>
        <w:rPr>
          <w:color w:val="121212"/>
        </w:rPr>
        <w:t xml:space="preserve"> </w:t>
      </w:r>
    </w:p>
    <w:p w14:paraId="17CC68D0" w14:textId="77777777" w:rsidR="00423B40" w:rsidRDefault="00636AB1">
      <w:pPr>
        <w:pStyle w:val="Heading3"/>
        <w:rPr>
          <w:rFonts w:ascii="Arial" w:hAnsi="Arial" w:cs="Arial"/>
          <w:color w:val="121212"/>
        </w:rPr>
      </w:pPr>
      <w:bookmarkStart w:id="33" w:name="_Toc240448263"/>
      <w:r>
        <w:rPr>
          <w:rFonts w:ascii="Arial" w:hAnsi="Arial" w:cs="Arial"/>
          <w:color w:val="121212"/>
        </w:rPr>
        <w:t>3.7.1 Search Strategy</w:t>
      </w:r>
      <w:bookmarkEnd w:id="33"/>
      <w:r>
        <w:rPr>
          <w:rFonts w:ascii="Arial" w:hAnsi="Arial" w:cs="Arial"/>
          <w:color w:val="121212"/>
        </w:rPr>
        <w:t xml:space="preserve"> </w:t>
      </w:r>
    </w:p>
    <w:p w14:paraId="17DDADEF" w14:textId="77777777" w:rsidR="00423B40" w:rsidRDefault="00636AB1">
      <w:pPr>
        <w:rPr>
          <w:color w:val="121212"/>
        </w:rPr>
      </w:pPr>
      <w:r>
        <w:rPr>
          <w:color w:val="121212"/>
        </w:rPr>
        <w:t>In this systematic review, the data were gathered through a well-planned and organised search strategy of published literature. Start strategy was formulated based on the Preferred Reporting Items for Systematic Reviews and PRISMA guideline as to guarantee a transparent and reproducible process. Electronic database are PubMed web of Science, CINAHL, and Google scholar website thoroughly to find appropriate studies. From the research question, the search terms were developed using the PICO framework, and the terms were put together so as to boost search efficiency (</w:t>
      </w:r>
      <w:proofErr w:type="spellStart"/>
      <w:r>
        <w:rPr>
          <w:color w:val="121212"/>
        </w:rPr>
        <w:t>Mancin</w:t>
      </w:r>
      <w:proofErr w:type="spellEnd"/>
      <w:r>
        <w:rPr>
          <w:color w:val="121212"/>
        </w:rPr>
        <w:t xml:space="preserve"> </w:t>
      </w:r>
      <w:r>
        <w:rPr>
          <w:i/>
          <w:iCs/>
          <w:color w:val="121212"/>
        </w:rPr>
        <w:t>et al</w:t>
      </w:r>
      <w:r>
        <w:rPr>
          <w:color w:val="121212"/>
        </w:rPr>
        <w:t xml:space="preserve">., 2023). The keyword were used were pelvic floor dysfunction, quality of life, depression in young adults, and the United Kingdom. The only studies eligible for consideration were those that were reviewed and published in English between 2021 and 2026. </w:t>
      </w:r>
    </w:p>
    <w:p w14:paraId="2E667068" w14:textId="77777777" w:rsidR="00423B40" w:rsidRDefault="00636AB1">
      <w:pPr>
        <w:pStyle w:val="Heading2"/>
        <w:spacing w:after="200"/>
        <w:rPr>
          <w:color w:val="121212"/>
        </w:rPr>
      </w:pPr>
      <w:bookmarkStart w:id="34" w:name="_Toc240448264"/>
      <w:r>
        <w:rPr>
          <w:color w:val="121212"/>
        </w:rPr>
        <w:t>3.8 Framing the Research Question (PICO)</w:t>
      </w:r>
      <w:bookmarkEnd w:id="34"/>
      <w:r>
        <w:rPr>
          <w:color w:val="121212"/>
        </w:rPr>
        <w:t xml:space="preserve">  </w:t>
      </w:r>
    </w:p>
    <w:p w14:paraId="2AF323AB" w14:textId="77777777" w:rsidR="00423B40" w:rsidRDefault="00636AB1">
      <w:pPr>
        <w:rPr>
          <w:color w:val="121212"/>
        </w:rPr>
      </w:pPr>
      <w:r>
        <w:rPr>
          <w:color w:val="121212"/>
        </w:rPr>
        <w:t>In formatting the research question, the population intervention comparison outcome approach was adopted to maintain a focused search plan. Through this technique, the important ideas of the review were identified, appropriate terms were selected, and a database was selected (</w:t>
      </w:r>
      <w:proofErr w:type="spellStart"/>
      <w:r>
        <w:rPr>
          <w:color w:val="121212"/>
        </w:rPr>
        <w:t>Eldawlatly</w:t>
      </w:r>
      <w:proofErr w:type="spellEnd"/>
      <w:r>
        <w:rPr>
          <w:color w:val="121212"/>
        </w:rPr>
        <w:t xml:space="preserve"> </w:t>
      </w:r>
      <w:r>
        <w:rPr>
          <w:i/>
          <w:iCs/>
          <w:color w:val="121212"/>
        </w:rPr>
        <w:t>et al</w:t>
      </w:r>
      <w:r>
        <w:rPr>
          <w:color w:val="121212"/>
        </w:rPr>
        <w:t>., 2018). The keywords were paired with the medical subject headings in a manner consistent with the Boolean principles of AND, OR and NOT to achieve maximum exposure of studies relevant to the subject of interest and minimise unrelated results.</w:t>
      </w:r>
    </w:p>
    <w:tbl>
      <w:tblPr>
        <w:tblStyle w:val="Style25"/>
        <w:tblW w:w="8674"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20"/>
        <w:gridCol w:w="5154"/>
      </w:tblGrid>
      <w:tr w:rsidR="00423B40" w14:paraId="53C6FCA7" w14:textId="77777777">
        <w:trPr>
          <w:trHeight w:val="275"/>
        </w:trPr>
        <w:tc>
          <w:tcPr>
            <w:tcW w:w="3520" w:type="dxa"/>
          </w:tcPr>
          <w:p w14:paraId="4CAC2173" w14:textId="77777777" w:rsidR="00423B40" w:rsidRDefault="00636AB1">
            <w:pPr>
              <w:widowControl w:val="0"/>
              <w:ind w:left="108"/>
              <w:rPr>
                <w:b/>
                <w:bCs/>
                <w:color w:val="121212"/>
              </w:rPr>
            </w:pPr>
            <w:r>
              <w:rPr>
                <w:b/>
                <w:bCs/>
                <w:color w:val="121212"/>
              </w:rPr>
              <w:t>PICO</w:t>
            </w:r>
          </w:p>
        </w:tc>
        <w:tc>
          <w:tcPr>
            <w:tcW w:w="5154" w:type="dxa"/>
          </w:tcPr>
          <w:p w14:paraId="028C19D0" w14:textId="77777777" w:rsidR="00423B40" w:rsidRDefault="00636AB1">
            <w:pPr>
              <w:widowControl w:val="0"/>
              <w:ind w:left="108"/>
              <w:rPr>
                <w:b/>
                <w:bCs/>
                <w:color w:val="121212"/>
              </w:rPr>
            </w:pPr>
            <w:r>
              <w:rPr>
                <w:b/>
                <w:bCs/>
                <w:color w:val="121212"/>
              </w:rPr>
              <w:t>Search Terms</w:t>
            </w:r>
          </w:p>
        </w:tc>
      </w:tr>
      <w:tr w:rsidR="00423B40" w14:paraId="02B04F6A" w14:textId="77777777">
        <w:trPr>
          <w:trHeight w:val="827"/>
        </w:trPr>
        <w:tc>
          <w:tcPr>
            <w:tcW w:w="3520" w:type="dxa"/>
          </w:tcPr>
          <w:p w14:paraId="13D78670" w14:textId="77777777" w:rsidR="00423B40" w:rsidRDefault="00636AB1">
            <w:pPr>
              <w:widowControl w:val="0"/>
              <w:ind w:left="108"/>
              <w:rPr>
                <w:b/>
                <w:bCs/>
                <w:color w:val="121212"/>
              </w:rPr>
            </w:pPr>
            <w:r>
              <w:rPr>
                <w:b/>
                <w:bCs/>
                <w:color w:val="121212"/>
              </w:rPr>
              <w:lastRenderedPageBreak/>
              <w:t>Population (P)</w:t>
            </w:r>
          </w:p>
        </w:tc>
        <w:tc>
          <w:tcPr>
            <w:tcW w:w="5154" w:type="dxa"/>
          </w:tcPr>
          <w:p w14:paraId="4E4D3327" w14:textId="77777777" w:rsidR="00423B40" w:rsidRDefault="00636AB1">
            <w:pPr>
              <w:widowControl w:val="0"/>
              <w:ind w:left="108" w:right="152"/>
              <w:rPr>
                <w:color w:val="121212"/>
              </w:rPr>
            </w:pPr>
            <w:r>
              <w:rPr>
                <w:color w:val="121212"/>
              </w:rPr>
              <w:t xml:space="preserve">Young adults, adults aged 18–35 years, young men, young women, United Kingdom, UK </w:t>
            </w:r>
          </w:p>
        </w:tc>
      </w:tr>
      <w:tr w:rsidR="00423B40" w14:paraId="7EEFAC44" w14:textId="77777777">
        <w:trPr>
          <w:trHeight w:val="551"/>
        </w:trPr>
        <w:tc>
          <w:tcPr>
            <w:tcW w:w="3520" w:type="dxa"/>
          </w:tcPr>
          <w:p w14:paraId="40E34CBB" w14:textId="77777777" w:rsidR="00423B40" w:rsidRDefault="00636AB1">
            <w:pPr>
              <w:widowControl w:val="0"/>
              <w:ind w:left="108"/>
              <w:rPr>
                <w:b/>
                <w:bCs/>
                <w:color w:val="121212"/>
              </w:rPr>
            </w:pPr>
            <w:r>
              <w:rPr>
                <w:b/>
                <w:bCs/>
                <w:color w:val="121212"/>
              </w:rPr>
              <w:t>Intervention (I)</w:t>
            </w:r>
          </w:p>
        </w:tc>
        <w:tc>
          <w:tcPr>
            <w:tcW w:w="5154" w:type="dxa"/>
          </w:tcPr>
          <w:p w14:paraId="6B0376C1" w14:textId="77777777" w:rsidR="00423B40" w:rsidRDefault="00636AB1">
            <w:pPr>
              <w:widowControl w:val="0"/>
              <w:ind w:left="108"/>
              <w:rPr>
                <w:color w:val="121212"/>
              </w:rPr>
            </w:pPr>
            <w:r>
              <w:rPr>
                <w:color w:val="121212"/>
              </w:rPr>
              <w:t>Pelvic floor dysfunction, urinary infection, pelvic pain, pelvic organ prolapse</w:t>
            </w:r>
          </w:p>
        </w:tc>
      </w:tr>
      <w:tr w:rsidR="00423B40" w14:paraId="0927B5BF" w14:textId="77777777">
        <w:trPr>
          <w:trHeight w:val="275"/>
        </w:trPr>
        <w:tc>
          <w:tcPr>
            <w:tcW w:w="3520" w:type="dxa"/>
          </w:tcPr>
          <w:p w14:paraId="4BB0AAF5" w14:textId="77777777" w:rsidR="00423B40" w:rsidRDefault="00636AB1">
            <w:pPr>
              <w:widowControl w:val="0"/>
              <w:ind w:left="108"/>
              <w:rPr>
                <w:b/>
                <w:bCs/>
                <w:color w:val="121212"/>
              </w:rPr>
            </w:pPr>
            <w:r>
              <w:rPr>
                <w:b/>
                <w:bCs/>
                <w:color w:val="121212"/>
              </w:rPr>
              <w:t>Comparison (C)</w:t>
            </w:r>
          </w:p>
        </w:tc>
        <w:tc>
          <w:tcPr>
            <w:tcW w:w="5154" w:type="dxa"/>
          </w:tcPr>
          <w:p w14:paraId="539B5564" w14:textId="77777777" w:rsidR="00423B40" w:rsidRDefault="00636AB1">
            <w:pPr>
              <w:widowControl w:val="0"/>
              <w:ind w:left="108"/>
              <w:rPr>
                <w:color w:val="121212"/>
              </w:rPr>
            </w:pPr>
            <w:r>
              <w:rPr>
                <w:color w:val="121212"/>
              </w:rPr>
              <w:t>Individuals without pelvic floor dysfunction, healthy adults, different symptoms severity</w:t>
            </w:r>
          </w:p>
        </w:tc>
      </w:tr>
      <w:tr w:rsidR="00423B40" w14:paraId="48D47396" w14:textId="77777777">
        <w:trPr>
          <w:trHeight w:val="827"/>
        </w:trPr>
        <w:tc>
          <w:tcPr>
            <w:tcW w:w="3520" w:type="dxa"/>
          </w:tcPr>
          <w:p w14:paraId="537420C0" w14:textId="77777777" w:rsidR="00423B40" w:rsidRDefault="00636AB1">
            <w:pPr>
              <w:widowControl w:val="0"/>
              <w:ind w:left="108"/>
              <w:rPr>
                <w:b/>
                <w:bCs/>
                <w:color w:val="121212"/>
              </w:rPr>
            </w:pPr>
            <w:r>
              <w:rPr>
                <w:b/>
                <w:bCs/>
                <w:color w:val="121212"/>
              </w:rPr>
              <w:t>Outcome (O)</w:t>
            </w:r>
          </w:p>
        </w:tc>
        <w:tc>
          <w:tcPr>
            <w:tcW w:w="5154" w:type="dxa"/>
          </w:tcPr>
          <w:p w14:paraId="291940B7" w14:textId="77777777" w:rsidR="00423B40" w:rsidRDefault="00636AB1">
            <w:pPr>
              <w:widowControl w:val="0"/>
              <w:ind w:left="108" w:right="152"/>
              <w:rPr>
                <w:color w:val="121212"/>
              </w:rPr>
            </w:pPr>
            <w:r>
              <w:rPr>
                <w:color w:val="121212"/>
              </w:rPr>
              <w:t>Quality of life, depression, mental health, psychological disorder</w:t>
            </w:r>
          </w:p>
        </w:tc>
      </w:tr>
      <w:tr w:rsidR="00423B40" w14:paraId="20539883" w14:textId="77777777">
        <w:trPr>
          <w:trHeight w:val="827"/>
        </w:trPr>
        <w:tc>
          <w:tcPr>
            <w:tcW w:w="3520" w:type="dxa"/>
          </w:tcPr>
          <w:p w14:paraId="196329CC" w14:textId="77777777" w:rsidR="00423B40" w:rsidRDefault="00636AB1">
            <w:pPr>
              <w:widowControl w:val="0"/>
              <w:ind w:left="108"/>
              <w:rPr>
                <w:b/>
                <w:bCs/>
                <w:color w:val="121212"/>
              </w:rPr>
            </w:pPr>
            <w:r>
              <w:rPr>
                <w:b/>
                <w:bCs/>
                <w:color w:val="121212"/>
              </w:rPr>
              <w:t>Setting (S)</w:t>
            </w:r>
          </w:p>
        </w:tc>
        <w:tc>
          <w:tcPr>
            <w:tcW w:w="5154" w:type="dxa"/>
          </w:tcPr>
          <w:p w14:paraId="0C472498" w14:textId="77777777" w:rsidR="00423B40" w:rsidRDefault="00636AB1">
            <w:pPr>
              <w:widowControl w:val="0"/>
              <w:ind w:left="108" w:right="152"/>
              <w:rPr>
                <w:color w:val="121212"/>
              </w:rPr>
            </w:pPr>
            <w:r>
              <w:rPr>
                <w:color w:val="121212"/>
              </w:rPr>
              <w:t>United Kingdom, NHS, Community Healthcare</w:t>
            </w:r>
          </w:p>
        </w:tc>
      </w:tr>
    </w:tbl>
    <w:p w14:paraId="420EA365" w14:textId="77777777" w:rsidR="00423B40" w:rsidRDefault="00636AB1">
      <w:pPr>
        <w:pStyle w:val="Heading5"/>
        <w:rPr>
          <w:color w:val="121212"/>
        </w:rPr>
      </w:pPr>
      <w:bookmarkStart w:id="35" w:name="_Toc240448192"/>
      <w:r>
        <w:rPr>
          <w:color w:val="121212"/>
        </w:rPr>
        <w:t>Table 3.1: PICO Framework</w:t>
      </w:r>
      <w:bookmarkEnd w:id="35"/>
      <w:r>
        <w:rPr>
          <w:color w:val="121212"/>
        </w:rPr>
        <w:t xml:space="preserve"> </w:t>
      </w:r>
    </w:p>
    <w:p w14:paraId="469F304F" w14:textId="77777777" w:rsidR="00423B40" w:rsidRDefault="00636AB1">
      <w:pPr>
        <w:spacing w:before="280" w:after="200" w:line="240" w:lineRule="auto"/>
        <w:jc w:val="center"/>
        <w:rPr>
          <w:color w:val="121212"/>
        </w:rPr>
      </w:pPr>
      <w:r>
        <w:rPr>
          <w:color w:val="121212"/>
        </w:rPr>
        <w:t>(Source: Self-Created)</w:t>
      </w:r>
    </w:p>
    <w:p w14:paraId="640D1FA3" w14:textId="77777777" w:rsidR="00423B40" w:rsidRDefault="00636AB1">
      <w:pPr>
        <w:pStyle w:val="Heading2"/>
        <w:spacing w:after="200"/>
        <w:rPr>
          <w:color w:val="121212"/>
        </w:rPr>
      </w:pPr>
      <w:bookmarkStart w:id="36" w:name="_Toc240448265"/>
      <w:r>
        <w:rPr>
          <w:color w:val="121212"/>
        </w:rPr>
        <w:t>3.9 Database Research Procedure</w:t>
      </w:r>
      <w:bookmarkEnd w:id="36"/>
      <w:r>
        <w:rPr>
          <w:color w:val="121212"/>
        </w:rPr>
        <w:t xml:space="preserve"> </w:t>
      </w:r>
    </w:p>
    <w:p w14:paraId="6683A15B" w14:textId="77777777" w:rsidR="00423B40" w:rsidRDefault="00636AB1">
      <w:pPr>
        <w:rPr>
          <w:color w:val="121212"/>
        </w:rPr>
      </w:pPr>
      <w:r>
        <w:rPr>
          <w:color w:val="121212"/>
        </w:rPr>
        <w:t>A systematic database search was done to find out the studies pertinent to the question being researched. Five databases, namely, PubMed, Web of Science, CINAHL, and Google Scholar, were searched for defined keywords created on the basis of the PICO framework. Boolean operators (AND, OR, NOT) and, where needed, Medical Subject Headings (MeSH) were utilised to streamline the search for the purpose of getting relevant studies. Searches were controlled for language preference (only English articles) and domain, that is, articles published during the period from 2026 to 2026. All records retrieved from databases were exported, duplicates removed and the rest of the articles screened according to the inclusion and exclusion criteria before they were subjected to the full-text assessment.</w:t>
      </w:r>
    </w:p>
    <w:p w14:paraId="62D20489" w14:textId="77777777" w:rsidR="00423B40" w:rsidRDefault="00636AB1">
      <w:pPr>
        <w:pStyle w:val="Heading2"/>
        <w:spacing w:after="200"/>
        <w:rPr>
          <w:color w:val="121212"/>
        </w:rPr>
      </w:pPr>
      <w:bookmarkStart w:id="37" w:name="_Toc240448266"/>
      <w:r>
        <w:rPr>
          <w:color w:val="121212"/>
        </w:rPr>
        <w:t>3.10 Hand Search</w:t>
      </w:r>
      <w:bookmarkEnd w:id="37"/>
      <w:r>
        <w:rPr>
          <w:color w:val="121212"/>
        </w:rPr>
        <w:t xml:space="preserve"> </w:t>
      </w:r>
    </w:p>
    <w:p w14:paraId="2E04EBDD" w14:textId="77777777" w:rsidR="00423B40" w:rsidRDefault="00636AB1">
      <w:pPr>
        <w:spacing w:after="200"/>
        <w:rPr>
          <w:color w:val="121212"/>
        </w:rPr>
      </w:pPr>
      <w:r>
        <w:rPr>
          <w:color w:val="121212"/>
        </w:rPr>
        <w:t xml:space="preserve">In the systematic review and searching was used as a complementary research method to ensure that all relevant studies were identified for inclusion. The process of hand searching involved browsing through the reference lists of the articles selected through the electronic search for identification of additional studies that were not retrieved through the database search (Cooper </w:t>
      </w:r>
      <w:r>
        <w:rPr>
          <w:i/>
          <w:iCs/>
          <w:color w:val="121212"/>
        </w:rPr>
        <w:t>et al</w:t>
      </w:r>
      <w:r>
        <w:rPr>
          <w:color w:val="121212"/>
        </w:rPr>
        <w:t>., 2018). Hand searching reduced the chances of missing out on significant evidence due to the different citation practices and databases used for searching. Hand searching was an auxiliary step to the electronic search method employed in the study.</w:t>
      </w:r>
    </w:p>
    <w:p w14:paraId="0DD94CF0" w14:textId="77777777" w:rsidR="00423B40" w:rsidRDefault="00636AB1">
      <w:pPr>
        <w:pStyle w:val="Heading2"/>
        <w:spacing w:after="200"/>
        <w:rPr>
          <w:color w:val="121212"/>
        </w:rPr>
      </w:pPr>
      <w:bookmarkStart w:id="38" w:name="_Toc240448267"/>
      <w:r>
        <w:rPr>
          <w:color w:val="121212"/>
        </w:rPr>
        <w:lastRenderedPageBreak/>
        <w:t>3.11 Grey Literature</w:t>
      </w:r>
      <w:bookmarkEnd w:id="38"/>
      <w:r>
        <w:rPr>
          <w:color w:val="121212"/>
        </w:rPr>
        <w:t xml:space="preserve"> </w:t>
      </w:r>
    </w:p>
    <w:p w14:paraId="646949E2" w14:textId="77777777" w:rsidR="00423B40" w:rsidRDefault="00636AB1">
      <w:pPr>
        <w:rPr>
          <w:color w:val="121212"/>
        </w:rPr>
      </w:pPr>
      <w:r>
        <w:rPr>
          <w:color w:val="121212"/>
        </w:rPr>
        <w:t xml:space="preserve">Grey literature comprises research work that has not been presented in PR reviewed academy publications, although it can be useful in research. This type of literature includes scientific reports, documents, organisation workshop papers, academic work, and clinical recommendations. For the systematic review, grey literature was searched, and information was searched in relation to pelvic floor dysfunction, quality of life and major depression in young adults from the UK (Yoshida </w:t>
      </w:r>
      <w:r>
        <w:rPr>
          <w:i/>
          <w:iCs/>
          <w:color w:val="121212"/>
        </w:rPr>
        <w:t>et al</w:t>
      </w:r>
      <w:r>
        <w:rPr>
          <w:color w:val="121212"/>
        </w:rPr>
        <w:t>., 2024). The relevant literature included reports of organisations such as the National Health Service (NHS), Royal College of Obstetricians and Gynaecologists (RCOG), and the National Institute for Health and Care Excellence (NICE).</w:t>
      </w:r>
    </w:p>
    <w:p w14:paraId="364453DF" w14:textId="77777777" w:rsidR="00423B40" w:rsidRDefault="00636AB1">
      <w:pPr>
        <w:pStyle w:val="Heading2"/>
        <w:spacing w:after="200"/>
        <w:rPr>
          <w:color w:val="121212"/>
        </w:rPr>
      </w:pPr>
      <w:bookmarkStart w:id="39" w:name="_Toc240448268"/>
      <w:r>
        <w:rPr>
          <w:color w:val="121212"/>
        </w:rPr>
        <w:t>3.12 Inclusion and Exclusion</w:t>
      </w:r>
      <w:bookmarkEnd w:id="39"/>
      <w:r>
        <w:rPr>
          <w:color w:val="121212"/>
        </w:rPr>
        <w:t xml:space="preserve"> </w:t>
      </w:r>
    </w:p>
    <w:p w14:paraId="765253A5" w14:textId="77777777" w:rsidR="00423B40" w:rsidRDefault="00636AB1">
      <w:pPr>
        <w:rPr>
          <w:color w:val="121212"/>
        </w:rPr>
      </w:pPr>
      <w:r>
        <w:rPr>
          <w:color w:val="121212"/>
        </w:rPr>
        <w:t>The inclusion and exclusion criteria were defined before commencing the literature search to enable transparent, consistent, and systematic study selection. The criteria were defined based on the PICO approach and aligned with the aim of the research. The studies were required to be relevant to pelvic floor dysfunction, quality of life, and major depressive disorder among young adults aged 18-35 years in the United Kingdom. Predefined criteria ensured minimisation of selection bias by only including studies meeting the eligibility criteria and excluding irrelevant studies from the systematic review.</w:t>
      </w:r>
    </w:p>
    <w:tbl>
      <w:tblPr>
        <w:tblStyle w:val="Style26"/>
        <w:tblW w:w="87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214"/>
        <w:gridCol w:w="3285"/>
        <w:gridCol w:w="3285"/>
      </w:tblGrid>
      <w:tr w:rsidR="00423B40" w14:paraId="4C99BF61" w14:textId="77777777">
        <w:trPr>
          <w:trHeight w:val="275"/>
        </w:trPr>
        <w:tc>
          <w:tcPr>
            <w:tcW w:w="2214" w:type="dxa"/>
          </w:tcPr>
          <w:p w14:paraId="4F5FE5A4" w14:textId="77777777" w:rsidR="00423B40" w:rsidRDefault="00636AB1">
            <w:pPr>
              <w:widowControl w:val="0"/>
              <w:ind w:left="108"/>
              <w:rPr>
                <w:b/>
                <w:bCs/>
                <w:color w:val="121212"/>
              </w:rPr>
            </w:pPr>
            <w:r>
              <w:rPr>
                <w:b/>
                <w:bCs/>
                <w:color w:val="121212"/>
              </w:rPr>
              <w:t xml:space="preserve">PICO </w:t>
            </w:r>
          </w:p>
        </w:tc>
        <w:tc>
          <w:tcPr>
            <w:tcW w:w="3285" w:type="dxa"/>
          </w:tcPr>
          <w:p w14:paraId="2CF9926E" w14:textId="77777777" w:rsidR="00423B40" w:rsidRDefault="00636AB1">
            <w:pPr>
              <w:widowControl w:val="0"/>
              <w:ind w:left="108"/>
              <w:rPr>
                <w:b/>
                <w:bCs/>
                <w:color w:val="121212"/>
              </w:rPr>
            </w:pPr>
            <w:r>
              <w:rPr>
                <w:b/>
                <w:bCs/>
                <w:color w:val="121212"/>
              </w:rPr>
              <w:t>INCLUSION CRITERIA</w:t>
            </w:r>
          </w:p>
        </w:tc>
        <w:tc>
          <w:tcPr>
            <w:tcW w:w="3285" w:type="dxa"/>
          </w:tcPr>
          <w:p w14:paraId="7D73553B" w14:textId="77777777" w:rsidR="00423B40" w:rsidRDefault="00636AB1">
            <w:pPr>
              <w:widowControl w:val="0"/>
              <w:ind w:left="108"/>
              <w:rPr>
                <w:b/>
                <w:bCs/>
                <w:color w:val="121212"/>
              </w:rPr>
            </w:pPr>
            <w:r>
              <w:rPr>
                <w:b/>
                <w:bCs/>
                <w:color w:val="121212"/>
              </w:rPr>
              <w:t>EXCLUSION CRITERIA</w:t>
            </w:r>
          </w:p>
        </w:tc>
      </w:tr>
      <w:tr w:rsidR="00423B40" w14:paraId="08D5A830" w14:textId="77777777">
        <w:trPr>
          <w:trHeight w:val="827"/>
        </w:trPr>
        <w:tc>
          <w:tcPr>
            <w:tcW w:w="2214" w:type="dxa"/>
          </w:tcPr>
          <w:p w14:paraId="414FCB53" w14:textId="77777777" w:rsidR="00423B40" w:rsidRDefault="00636AB1">
            <w:pPr>
              <w:widowControl w:val="0"/>
              <w:ind w:left="108"/>
              <w:rPr>
                <w:b/>
                <w:bCs/>
                <w:color w:val="121212"/>
              </w:rPr>
            </w:pPr>
            <w:r>
              <w:rPr>
                <w:b/>
                <w:bCs/>
                <w:color w:val="121212"/>
              </w:rPr>
              <w:t>Population (P)</w:t>
            </w:r>
          </w:p>
        </w:tc>
        <w:tc>
          <w:tcPr>
            <w:tcW w:w="3285" w:type="dxa"/>
          </w:tcPr>
          <w:p w14:paraId="2D37F5E3" w14:textId="77777777" w:rsidR="00423B40" w:rsidRDefault="00636AB1">
            <w:pPr>
              <w:rPr>
                <w:color w:val="121212"/>
              </w:rPr>
            </w:pPr>
            <w:r>
              <w:rPr>
                <w:color w:val="121212"/>
              </w:rPr>
              <w:t>Research that deals with young adults aged 18-35 years suffering from pelvic floor dysfunction, done within the UK or which references UK-related groups.</w:t>
            </w:r>
          </w:p>
        </w:tc>
        <w:tc>
          <w:tcPr>
            <w:tcW w:w="3285" w:type="dxa"/>
          </w:tcPr>
          <w:p w14:paraId="56E0CAEC" w14:textId="77777777" w:rsidR="00423B40" w:rsidRDefault="00636AB1">
            <w:pPr>
              <w:rPr>
                <w:color w:val="121212"/>
              </w:rPr>
            </w:pPr>
            <w:r>
              <w:rPr>
                <w:color w:val="121212"/>
              </w:rPr>
              <w:t>Research which deals with those under the age of 18 years, over the age of 35 years, or unrelated to pelvic floor dysfunctions.</w:t>
            </w:r>
          </w:p>
        </w:tc>
      </w:tr>
      <w:tr w:rsidR="00423B40" w14:paraId="42B4ECB9" w14:textId="77777777">
        <w:trPr>
          <w:trHeight w:val="551"/>
        </w:trPr>
        <w:tc>
          <w:tcPr>
            <w:tcW w:w="2214" w:type="dxa"/>
          </w:tcPr>
          <w:p w14:paraId="07A1F4DC" w14:textId="77777777" w:rsidR="00423B40" w:rsidRDefault="00636AB1">
            <w:pPr>
              <w:widowControl w:val="0"/>
              <w:ind w:left="108"/>
              <w:rPr>
                <w:b/>
                <w:bCs/>
                <w:color w:val="121212"/>
              </w:rPr>
            </w:pPr>
            <w:r>
              <w:rPr>
                <w:b/>
                <w:bCs/>
                <w:color w:val="121212"/>
              </w:rPr>
              <w:t>Intervention (I)</w:t>
            </w:r>
          </w:p>
        </w:tc>
        <w:tc>
          <w:tcPr>
            <w:tcW w:w="3285" w:type="dxa"/>
          </w:tcPr>
          <w:p w14:paraId="6B3B50F8" w14:textId="77777777" w:rsidR="00423B40" w:rsidRDefault="00636AB1">
            <w:pPr>
              <w:rPr>
                <w:color w:val="121212"/>
              </w:rPr>
            </w:pPr>
            <w:r>
              <w:rPr>
                <w:color w:val="121212"/>
              </w:rPr>
              <w:t xml:space="preserve">Research that deals with pelvic floor dysfunctions, including urinary incontinence, faecal incontinence, pelvic pain, pelvic organ prolapse, and other related types of pelvic floor dysfunctions. </w:t>
            </w:r>
          </w:p>
        </w:tc>
        <w:tc>
          <w:tcPr>
            <w:tcW w:w="3285" w:type="dxa"/>
          </w:tcPr>
          <w:p w14:paraId="5D9E2B02" w14:textId="77777777" w:rsidR="00423B40" w:rsidRDefault="00636AB1">
            <w:pPr>
              <w:rPr>
                <w:color w:val="121212"/>
              </w:rPr>
            </w:pPr>
            <w:r>
              <w:rPr>
                <w:color w:val="121212"/>
              </w:rPr>
              <w:t>Research that deals with issues that are not medical in nature or those that have no relevance to pelvic floor dysfunctions.</w:t>
            </w:r>
          </w:p>
          <w:p w14:paraId="17E4E1BE" w14:textId="77777777" w:rsidR="00423B40" w:rsidRDefault="00423B40">
            <w:pPr>
              <w:widowControl w:val="0"/>
              <w:ind w:left="108"/>
              <w:rPr>
                <w:color w:val="121212"/>
              </w:rPr>
            </w:pPr>
          </w:p>
        </w:tc>
      </w:tr>
      <w:tr w:rsidR="00423B40" w14:paraId="587F7469" w14:textId="77777777">
        <w:trPr>
          <w:trHeight w:val="275"/>
        </w:trPr>
        <w:tc>
          <w:tcPr>
            <w:tcW w:w="2214" w:type="dxa"/>
          </w:tcPr>
          <w:p w14:paraId="31EA3F9D" w14:textId="77777777" w:rsidR="00423B40" w:rsidRDefault="00636AB1">
            <w:pPr>
              <w:widowControl w:val="0"/>
              <w:ind w:left="108"/>
              <w:rPr>
                <w:b/>
                <w:bCs/>
                <w:color w:val="121212"/>
              </w:rPr>
            </w:pPr>
            <w:r>
              <w:rPr>
                <w:b/>
                <w:bCs/>
                <w:color w:val="121212"/>
              </w:rPr>
              <w:lastRenderedPageBreak/>
              <w:t>Comparison (C)</w:t>
            </w:r>
          </w:p>
        </w:tc>
        <w:tc>
          <w:tcPr>
            <w:tcW w:w="3285" w:type="dxa"/>
          </w:tcPr>
          <w:p w14:paraId="02972BAD" w14:textId="77777777" w:rsidR="00423B40" w:rsidRDefault="00636AB1">
            <w:pPr>
              <w:rPr>
                <w:color w:val="121212"/>
              </w:rPr>
            </w:pPr>
            <w:r>
              <w:rPr>
                <w:color w:val="121212"/>
              </w:rPr>
              <w:t>Research comparing patients with and without pelvic floor dysfunctions, severity levels of symptoms, or treatment options. Relevant research which does not contain comparison groups is also going to be included.</w:t>
            </w:r>
          </w:p>
        </w:tc>
        <w:tc>
          <w:tcPr>
            <w:tcW w:w="3285" w:type="dxa"/>
          </w:tcPr>
          <w:p w14:paraId="7C7343D1" w14:textId="77777777" w:rsidR="00423B40" w:rsidRDefault="00636AB1">
            <w:pPr>
              <w:rPr>
                <w:color w:val="121212"/>
              </w:rPr>
            </w:pPr>
            <w:r>
              <w:rPr>
                <w:color w:val="121212"/>
              </w:rPr>
              <w:t>Research that does not involve comparison or that which does not relate to the reviews.</w:t>
            </w:r>
          </w:p>
          <w:p w14:paraId="6CFD9D11" w14:textId="77777777" w:rsidR="00423B40" w:rsidRDefault="00423B40">
            <w:pPr>
              <w:widowControl w:val="0"/>
              <w:ind w:left="108"/>
              <w:rPr>
                <w:color w:val="121212"/>
              </w:rPr>
            </w:pPr>
          </w:p>
        </w:tc>
      </w:tr>
      <w:tr w:rsidR="00423B40" w14:paraId="3CF85457" w14:textId="77777777">
        <w:trPr>
          <w:trHeight w:val="827"/>
        </w:trPr>
        <w:tc>
          <w:tcPr>
            <w:tcW w:w="2214" w:type="dxa"/>
          </w:tcPr>
          <w:p w14:paraId="2CA1B4E4" w14:textId="77777777" w:rsidR="00423B40" w:rsidRDefault="00636AB1">
            <w:pPr>
              <w:widowControl w:val="0"/>
              <w:ind w:left="108"/>
              <w:rPr>
                <w:b/>
                <w:bCs/>
                <w:color w:val="121212"/>
              </w:rPr>
            </w:pPr>
            <w:r>
              <w:rPr>
                <w:b/>
                <w:bCs/>
                <w:color w:val="121212"/>
              </w:rPr>
              <w:t>Outcome (O)</w:t>
            </w:r>
          </w:p>
        </w:tc>
        <w:tc>
          <w:tcPr>
            <w:tcW w:w="3285" w:type="dxa"/>
          </w:tcPr>
          <w:p w14:paraId="52A55303" w14:textId="77777777" w:rsidR="00423B40" w:rsidRDefault="00636AB1">
            <w:pPr>
              <w:rPr>
                <w:color w:val="121212"/>
              </w:rPr>
            </w:pPr>
            <w:r>
              <w:rPr>
                <w:color w:val="121212"/>
              </w:rPr>
              <w:t xml:space="preserve">Research that measures outcomes about quality of life, depressive disorders, depression, anxiety, psychological wellbeing, and mental health. </w:t>
            </w:r>
          </w:p>
        </w:tc>
        <w:tc>
          <w:tcPr>
            <w:tcW w:w="3285" w:type="dxa"/>
          </w:tcPr>
          <w:p w14:paraId="2B6E7F2B" w14:textId="77777777" w:rsidR="00423B40" w:rsidRDefault="00636AB1">
            <w:pPr>
              <w:rPr>
                <w:color w:val="121212"/>
              </w:rPr>
            </w:pPr>
            <w:r>
              <w:rPr>
                <w:color w:val="121212"/>
              </w:rPr>
              <w:t>Research that doesn’t involve assessment of either quality of life, depression, or mental health outcomes.</w:t>
            </w:r>
          </w:p>
          <w:p w14:paraId="49116FBC" w14:textId="77777777" w:rsidR="00423B40" w:rsidRDefault="00423B40">
            <w:pPr>
              <w:widowControl w:val="0"/>
              <w:ind w:left="108" w:right="152"/>
              <w:rPr>
                <w:color w:val="121212"/>
              </w:rPr>
            </w:pPr>
          </w:p>
        </w:tc>
      </w:tr>
      <w:tr w:rsidR="00423B40" w14:paraId="289C51A8" w14:textId="77777777">
        <w:trPr>
          <w:trHeight w:val="827"/>
        </w:trPr>
        <w:tc>
          <w:tcPr>
            <w:tcW w:w="2214" w:type="dxa"/>
          </w:tcPr>
          <w:p w14:paraId="1DC86DAA" w14:textId="77777777" w:rsidR="00423B40" w:rsidRDefault="00636AB1">
            <w:pPr>
              <w:widowControl w:val="0"/>
              <w:ind w:left="108"/>
              <w:rPr>
                <w:b/>
                <w:bCs/>
                <w:color w:val="121212"/>
              </w:rPr>
            </w:pPr>
            <w:r>
              <w:rPr>
                <w:b/>
                <w:bCs/>
                <w:color w:val="121212"/>
              </w:rPr>
              <w:t>Setting (S)</w:t>
            </w:r>
          </w:p>
        </w:tc>
        <w:tc>
          <w:tcPr>
            <w:tcW w:w="3285" w:type="dxa"/>
          </w:tcPr>
          <w:p w14:paraId="2D23E75A" w14:textId="77777777" w:rsidR="00423B40" w:rsidRDefault="00636AB1">
            <w:pPr>
              <w:rPr>
                <w:color w:val="121212"/>
              </w:rPr>
            </w:pPr>
            <w:r>
              <w:rPr>
                <w:color w:val="121212"/>
              </w:rPr>
              <w:t xml:space="preserve">Research undertaken in the UK or that is applicable in the UK about the sphere of health care, published in English from December 2021 to December 2026. </w:t>
            </w:r>
          </w:p>
        </w:tc>
        <w:tc>
          <w:tcPr>
            <w:tcW w:w="3285" w:type="dxa"/>
          </w:tcPr>
          <w:p w14:paraId="556F444E" w14:textId="77777777" w:rsidR="00423B40" w:rsidRDefault="00636AB1">
            <w:pPr>
              <w:widowControl w:val="0"/>
              <w:ind w:left="108" w:right="152"/>
              <w:rPr>
                <w:color w:val="121212"/>
              </w:rPr>
            </w:pPr>
            <w:r>
              <w:rPr>
                <w:color w:val="121212"/>
              </w:rPr>
              <w:t>Research conducted in other places, published earlier than 2021 and not in English.</w:t>
            </w:r>
          </w:p>
        </w:tc>
      </w:tr>
    </w:tbl>
    <w:p w14:paraId="0FF57466" w14:textId="77777777" w:rsidR="00423B40" w:rsidRDefault="00636AB1">
      <w:pPr>
        <w:pStyle w:val="Heading5"/>
        <w:rPr>
          <w:color w:val="121212"/>
        </w:rPr>
      </w:pPr>
      <w:bookmarkStart w:id="40" w:name="_Toc240448193"/>
      <w:r>
        <w:rPr>
          <w:color w:val="121212"/>
        </w:rPr>
        <w:t>Table 3.2: Inclusion and Exclusion Criteria</w:t>
      </w:r>
      <w:bookmarkEnd w:id="40"/>
    </w:p>
    <w:p w14:paraId="567F22C7" w14:textId="77777777" w:rsidR="00423B40" w:rsidRDefault="00636AB1">
      <w:pPr>
        <w:spacing w:before="280" w:line="240" w:lineRule="auto"/>
        <w:jc w:val="center"/>
        <w:rPr>
          <w:color w:val="121212"/>
        </w:rPr>
      </w:pPr>
      <w:r>
        <w:rPr>
          <w:color w:val="121212"/>
        </w:rPr>
        <w:t>(Source: Self-Created)</w:t>
      </w:r>
    </w:p>
    <w:p w14:paraId="66660F32" w14:textId="77777777" w:rsidR="00423B40" w:rsidRDefault="00423B40">
      <w:pPr>
        <w:widowControl w:val="0"/>
        <w:spacing w:line="276" w:lineRule="auto"/>
        <w:jc w:val="left"/>
        <w:rPr>
          <w:rFonts w:ascii="Palatino Linotype" w:eastAsia="Palatino Linotype" w:hAnsi="Palatino Linotype" w:cs="Palatino Linotype"/>
          <w:color w:val="121212"/>
        </w:rPr>
      </w:pPr>
    </w:p>
    <w:tbl>
      <w:tblPr>
        <w:tblStyle w:val="Style27"/>
        <w:tblW w:w="9250"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493"/>
        <w:gridCol w:w="1808"/>
        <w:gridCol w:w="1389"/>
        <w:gridCol w:w="1520"/>
        <w:gridCol w:w="1520"/>
        <w:gridCol w:w="1520"/>
      </w:tblGrid>
      <w:tr w:rsidR="00423B40" w14:paraId="3CE83818" w14:textId="77777777">
        <w:trPr>
          <w:trHeight w:val="551"/>
        </w:trPr>
        <w:tc>
          <w:tcPr>
            <w:tcW w:w="1493" w:type="dxa"/>
          </w:tcPr>
          <w:p w14:paraId="7461E85F" w14:textId="77777777" w:rsidR="00423B40" w:rsidRDefault="00636AB1">
            <w:pPr>
              <w:widowControl w:val="0"/>
              <w:spacing w:after="0"/>
              <w:ind w:left="108"/>
              <w:rPr>
                <w:b/>
                <w:bCs/>
                <w:color w:val="121212"/>
              </w:rPr>
            </w:pPr>
            <w:r>
              <w:rPr>
                <w:b/>
                <w:bCs/>
                <w:color w:val="121212"/>
              </w:rPr>
              <w:t>Database</w:t>
            </w:r>
          </w:p>
        </w:tc>
        <w:tc>
          <w:tcPr>
            <w:tcW w:w="1808" w:type="dxa"/>
          </w:tcPr>
          <w:p w14:paraId="6B1C8456" w14:textId="77777777" w:rsidR="00423B40" w:rsidRDefault="00636AB1">
            <w:pPr>
              <w:widowControl w:val="0"/>
              <w:spacing w:after="0"/>
              <w:ind w:left="107" w:right="492"/>
              <w:rPr>
                <w:b/>
                <w:bCs/>
                <w:color w:val="121212"/>
              </w:rPr>
            </w:pPr>
            <w:r>
              <w:rPr>
                <w:b/>
                <w:bCs/>
                <w:color w:val="121212"/>
              </w:rPr>
              <w:t>Search Dates</w:t>
            </w:r>
          </w:p>
        </w:tc>
        <w:tc>
          <w:tcPr>
            <w:tcW w:w="1389" w:type="dxa"/>
          </w:tcPr>
          <w:p w14:paraId="400DD2CD" w14:textId="77777777" w:rsidR="00423B40" w:rsidRDefault="00636AB1">
            <w:pPr>
              <w:widowControl w:val="0"/>
              <w:spacing w:after="0"/>
              <w:ind w:left="108" w:right="85"/>
              <w:rPr>
                <w:b/>
                <w:bCs/>
                <w:color w:val="121212"/>
              </w:rPr>
            </w:pPr>
            <w:r>
              <w:rPr>
                <w:b/>
                <w:bCs/>
                <w:color w:val="121212"/>
              </w:rPr>
              <w:t>Inclusion Year</w:t>
            </w:r>
          </w:p>
        </w:tc>
        <w:tc>
          <w:tcPr>
            <w:tcW w:w="1520" w:type="dxa"/>
          </w:tcPr>
          <w:p w14:paraId="6D5CCA2D" w14:textId="77777777" w:rsidR="00423B40" w:rsidRDefault="00636AB1">
            <w:pPr>
              <w:widowControl w:val="0"/>
              <w:spacing w:after="0"/>
              <w:ind w:left="107" w:right="630"/>
              <w:rPr>
                <w:b/>
                <w:bCs/>
                <w:color w:val="121212"/>
              </w:rPr>
            </w:pPr>
            <w:r>
              <w:rPr>
                <w:b/>
                <w:bCs/>
                <w:color w:val="121212"/>
              </w:rPr>
              <w:t>Search Results</w:t>
            </w:r>
          </w:p>
        </w:tc>
        <w:tc>
          <w:tcPr>
            <w:tcW w:w="1520" w:type="dxa"/>
          </w:tcPr>
          <w:p w14:paraId="1BC51A09" w14:textId="77777777" w:rsidR="00423B40" w:rsidRDefault="00636AB1">
            <w:pPr>
              <w:widowControl w:val="0"/>
              <w:spacing w:after="0"/>
              <w:ind w:left="107"/>
              <w:rPr>
                <w:b/>
                <w:bCs/>
                <w:color w:val="121212"/>
              </w:rPr>
            </w:pPr>
            <w:r>
              <w:rPr>
                <w:b/>
                <w:bCs/>
                <w:color w:val="121212"/>
              </w:rPr>
              <w:t>Duplicate Removed</w:t>
            </w:r>
          </w:p>
        </w:tc>
        <w:tc>
          <w:tcPr>
            <w:tcW w:w="1520" w:type="dxa"/>
          </w:tcPr>
          <w:p w14:paraId="73847E25" w14:textId="77777777" w:rsidR="00423B40" w:rsidRDefault="00636AB1">
            <w:pPr>
              <w:widowControl w:val="0"/>
              <w:spacing w:after="0"/>
              <w:ind w:left="107"/>
              <w:rPr>
                <w:b/>
                <w:bCs/>
                <w:color w:val="121212"/>
              </w:rPr>
            </w:pPr>
            <w:r>
              <w:rPr>
                <w:b/>
                <w:bCs/>
                <w:color w:val="121212"/>
              </w:rPr>
              <w:t>Total Results</w:t>
            </w:r>
          </w:p>
        </w:tc>
      </w:tr>
      <w:tr w:rsidR="00423B40" w14:paraId="511BC45D" w14:textId="77777777">
        <w:trPr>
          <w:trHeight w:val="275"/>
        </w:trPr>
        <w:tc>
          <w:tcPr>
            <w:tcW w:w="1493" w:type="dxa"/>
          </w:tcPr>
          <w:p w14:paraId="33BCC4B7" w14:textId="77777777" w:rsidR="00423B40" w:rsidRDefault="00636AB1">
            <w:pPr>
              <w:widowControl w:val="0"/>
              <w:spacing w:after="0"/>
              <w:ind w:left="108"/>
              <w:rPr>
                <w:color w:val="121212"/>
              </w:rPr>
            </w:pPr>
            <w:r>
              <w:rPr>
                <w:color w:val="121212"/>
              </w:rPr>
              <w:t>Google Scholar</w:t>
            </w:r>
          </w:p>
        </w:tc>
        <w:tc>
          <w:tcPr>
            <w:tcW w:w="1808" w:type="dxa"/>
          </w:tcPr>
          <w:p w14:paraId="6BD36BB5" w14:textId="77777777" w:rsidR="00423B40" w:rsidRDefault="00636AB1">
            <w:pPr>
              <w:widowControl w:val="0"/>
              <w:spacing w:after="0"/>
              <w:ind w:left="97" w:right="88"/>
              <w:rPr>
                <w:color w:val="121212"/>
              </w:rPr>
            </w:pPr>
            <w:r>
              <w:rPr>
                <w:color w:val="121212"/>
              </w:rPr>
              <w:t>15-19 July, 2026</w:t>
            </w:r>
          </w:p>
        </w:tc>
        <w:tc>
          <w:tcPr>
            <w:tcW w:w="1389" w:type="dxa"/>
          </w:tcPr>
          <w:p w14:paraId="28D7E6AE" w14:textId="77777777" w:rsidR="00423B40" w:rsidRDefault="00636AB1">
            <w:pPr>
              <w:widowControl w:val="0"/>
              <w:spacing w:after="0"/>
              <w:ind w:left="108"/>
              <w:rPr>
                <w:color w:val="121212"/>
              </w:rPr>
            </w:pPr>
            <w:r>
              <w:rPr>
                <w:color w:val="121212"/>
              </w:rPr>
              <w:t>2016-2026</w:t>
            </w:r>
          </w:p>
        </w:tc>
        <w:tc>
          <w:tcPr>
            <w:tcW w:w="1520" w:type="dxa"/>
          </w:tcPr>
          <w:p w14:paraId="7DB978A6" w14:textId="77777777" w:rsidR="00423B40" w:rsidRDefault="00636AB1">
            <w:pPr>
              <w:widowControl w:val="0"/>
              <w:spacing w:after="0"/>
              <w:ind w:left="107"/>
              <w:rPr>
                <w:color w:val="121212"/>
              </w:rPr>
            </w:pPr>
            <w:r>
              <w:rPr>
                <w:color w:val="121212"/>
              </w:rPr>
              <w:t>564</w:t>
            </w:r>
          </w:p>
        </w:tc>
        <w:tc>
          <w:tcPr>
            <w:tcW w:w="1520" w:type="dxa"/>
          </w:tcPr>
          <w:p w14:paraId="4F567788" w14:textId="77777777" w:rsidR="00423B40" w:rsidRDefault="00636AB1">
            <w:pPr>
              <w:widowControl w:val="0"/>
              <w:spacing w:after="0"/>
              <w:ind w:left="107"/>
              <w:rPr>
                <w:color w:val="121212"/>
              </w:rPr>
            </w:pPr>
            <w:r>
              <w:rPr>
                <w:color w:val="121212"/>
              </w:rPr>
              <w:t>563</w:t>
            </w:r>
          </w:p>
        </w:tc>
        <w:tc>
          <w:tcPr>
            <w:tcW w:w="1520" w:type="dxa"/>
          </w:tcPr>
          <w:p w14:paraId="43348694" w14:textId="77777777" w:rsidR="00423B40" w:rsidRDefault="00636AB1">
            <w:pPr>
              <w:widowControl w:val="0"/>
              <w:spacing w:after="0"/>
              <w:ind w:left="107"/>
              <w:rPr>
                <w:color w:val="121212"/>
              </w:rPr>
            </w:pPr>
            <w:r>
              <w:rPr>
                <w:color w:val="121212"/>
              </w:rPr>
              <w:t>5</w:t>
            </w:r>
          </w:p>
        </w:tc>
      </w:tr>
      <w:tr w:rsidR="00423B40" w14:paraId="71D0F9F8" w14:textId="77777777">
        <w:trPr>
          <w:trHeight w:val="551"/>
        </w:trPr>
        <w:tc>
          <w:tcPr>
            <w:tcW w:w="1493" w:type="dxa"/>
          </w:tcPr>
          <w:p w14:paraId="31491381" w14:textId="77777777" w:rsidR="00423B40" w:rsidRDefault="00636AB1">
            <w:pPr>
              <w:widowControl w:val="0"/>
              <w:spacing w:after="0"/>
              <w:ind w:left="108" w:right="619"/>
              <w:rPr>
                <w:color w:val="121212"/>
              </w:rPr>
            </w:pPr>
            <w:r>
              <w:rPr>
                <w:color w:val="121212"/>
              </w:rPr>
              <w:t>ProQuest</w:t>
            </w:r>
          </w:p>
        </w:tc>
        <w:tc>
          <w:tcPr>
            <w:tcW w:w="1808" w:type="dxa"/>
          </w:tcPr>
          <w:p w14:paraId="5B7E0F08" w14:textId="77777777" w:rsidR="00423B40" w:rsidRDefault="00636AB1">
            <w:pPr>
              <w:widowControl w:val="0"/>
              <w:spacing w:after="0"/>
              <w:ind w:left="97" w:right="88"/>
              <w:rPr>
                <w:color w:val="121212"/>
              </w:rPr>
            </w:pPr>
            <w:r>
              <w:rPr>
                <w:color w:val="121212"/>
              </w:rPr>
              <w:t>20-24 July, 2026</w:t>
            </w:r>
          </w:p>
        </w:tc>
        <w:tc>
          <w:tcPr>
            <w:tcW w:w="1389" w:type="dxa"/>
          </w:tcPr>
          <w:p w14:paraId="0E139793" w14:textId="77777777" w:rsidR="00423B40" w:rsidRDefault="00636AB1">
            <w:pPr>
              <w:widowControl w:val="0"/>
              <w:spacing w:after="0"/>
              <w:ind w:left="108"/>
              <w:rPr>
                <w:color w:val="121212"/>
              </w:rPr>
            </w:pPr>
            <w:r>
              <w:rPr>
                <w:color w:val="121212"/>
              </w:rPr>
              <w:t>2016-2026</w:t>
            </w:r>
          </w:p>
        </w:tc>
        <w:tc>
          <w:tcPr>
            <w:tcW w:w="1520" w:type="dxa"/>
          </w:tcPr>
          <w:p w14:paraId="20AAAAEF" w14:textId="77777777" w:rsidR="00423B40" w:rsidRDefault="00636AB1">
            <w:pPr>
              <w:widowControl w:val="0"/>
              <w:spacing w:after="0"/>
              <w:ind w:left="107"/>
              <w:rPr>
                <w:color w:val="121212"/>
              </w:rPr>
            </w:pPr>
            <w:r>
              <w:rPr>
                <w:color w:val="121212"/>
              </w:rPr>
              <w:t>336</w:t>
            </w:r>
          </w:p>
        </w:tc>
        <w:tc>
          <w:tcPr>
            <w:tcW w:w="1520" w:type="dxa"/>
          </w:tcPr>
          <w:p w14:paraId="4E6C6612" w14:textId="77777777" w:rsidR="00423B40" w:rsidRDefault="00636AB1">
            <w:pPr>
              <w:widowControl w:val="0"/>
              <w:spacing w:after="0"/>
              <w:ind w:left="107"/>
              <w:rPr>
                <w:color w:val="121212"/>
              </w:rPr>
            </w:pPr>
            <w:r>
              <w:rPr>
                <w:color w:val="121212"/>
              </w:rPr>
              <w:t>332</w:t>
            </w:r>
          </w:p>
        </w:tc>
        <w:tc>
          <w:tcPr>
            <w:tcW w:w="1520" w:type="dxa"/>
          </w:tcPr>
          <w:p w14:paraId="2F9492D0" w14:textId="77777777" w:rsidR="00423B40" w:rsidRDefault="00636AB1">
            <w:pPr>
              <w:widowControl w:val="0"/>
              <w:spacing w:after="0"/>
              <w:ind w:left="107"/>
              <w:rPr>
                <w:color w:val="121212"/>
              </w:rPr>
            </w:pPr>
            <w:r>
              <w:rPr>
                <w:color w:val="121212"/>
              </w:rPr>
              <w:t>5</w:t>
            </w:r>
          </w:p>
        </w:tc>
      </w:tr>
      <w:tr w:rsidR="00423B40" w14:paraId="1174E138" w14:textId="77777777">
        <w:trPr>
          <w:trHeight w:val="551"/>
        </w:trPr>
        <w:tc>
          <w:tcPr>
            <w:tcW w:w="1493" w:type="dxa"/>
          </w:tcPr>
          <w:p w14:paraId="79129913" w14:textId="77777777" w:rsidR="00423B40" w:rsidRDefault="00636AB1">
            <w:pPr>
              <w:widowControl w:val="0"/>
              <w:spacing w:after="0"/>
              <w:ind w:left="108" w:right="619"/>
              <w:rPr>
                <w:color w:val="121212"/>
              </w:rPr>
            </w:pPr>
            <w:r>
              <w:rPr>
                <w:color w:val="121212"/>
              </w:rPr>
              <w:t>PubMed</w:t>
            </w:r>
          </w:p>
        </w:tc>
        <w:tc>
          <w:tcPr>
            <w:tcW w:w="1808" w:type="dxa"/>
          </w:tcPr>
          <w:p w14:paraId="59876304" w14:textId="77777777" w:rsidR="00423B40" w:rsidRDefault="00636AB1">
            <w:pPr>
              <w:widowControl w:val="0"/>
              <w:spacing w:after="0"/>
              <w:ind w:left="97" w:right="88"/>
              <w:rPr>
                <w:color w:val="121212"/>
              </w:rPr>
            </w:pPr>
            <w:r>
              <w:rPr>
                <w:color w:val="121212"/>
              </w:rPr>
              <w:t>25-29 July, 2026</w:t>
            </w:r>
          </w:p>
        </w:tc>
        <w:tc>
          <w:tcPr>
            <w:tcW w:w="1389" w:type="dxa"/>
          </w:tcPr>
          <w:p w14:paraId="39EE66B2" w14:textId="77777777" w:rsidR="00423B40" w:rsidRDefault="00636AB1">
            <w:pPr>
              <w:widowControl w:val="0"/>
              <w:spacing w:after="0"/>
              <w:ind w:left="108"/>
              <w:rPr>
                <w:color w:val="121212"/>
              </w:rPr>
            </w:pPr>
            <w:r>
              <w:rPr>
                <w:color w:val="121212"/>
              </w:rPr>
              <w:t>2016-2026</w:t>
            </w:r>
          </w:p>
        </w:tc>
        <w:tc>
          <w:tcPr>
            <w:tcW w:w="1520" w:type="dxa"/>
          </w:tcPr>
          <w:p w14:paraId="09E69721" w14:textId="77777777" w:rsidR="00423B40" w:rsidRDefault="00636AB1">
            <w:pPr>
              <w:widowControl w:val="0"/>
              <w:spacing w:after="0"/>
              <w:ind w:left="107"/>
              <w:rPr>
                <w:color w:val="121212"/>
              </w:rPr>
            </w:pPr>
            <w:r>
              <w:rPr>
                <w:color w:val="121212"/>
              </w:rPr>
              <w:t>220</w:t>
            </w:r>
          </w:p>
        </w:tc>
        <w:tc>
          <w:tcPr>
            <w:tcW w:w="1520" w:type="dxa"/>
          </w:tcPr>
          <w:p w14:paraId="6E408602" w14:textId="77777777" w:rsidR="00423B40" w:rsidRDefault="00636AB1">
            <w:pPr>
              <w:widowControl w:val="0"/>
              <w:spacing w:after="0"/>
              <w:ind w:left="107"/>
              <w:rPr>
                <w:color w:val="121212"/>
              </w:rPr>
            </w:pPr>
            <w:r>
              <w:rPr>
                <w:color w:val="121212"/>
              </w:rPr>
              <w:t>215</w:t>
            </w:r>
          </w:p>
        </w:tc>
        <w:tc>
          <w:tcPr>
            <w:tcW w:w="1520" w:type="dxa"/>
          </w:tcPr>
          <w:p w14:paraId="3C61DD55" w14:textId="77777777" w:rsidR="00423B40" w:rsidRDefault="00636AB1">
            <w:pPr>
              <w:widowControl w:val="0"/>
              <w:spacing w:after="0"/>
              <w:ind w:left="107"/>
              <w:rPr>
                <w:color w:val="121212"/>
              </w:rPr>
            </w:pPr>
            <w:r>
              <w:rPr>
                <w:color w:val="121212"/>
              </w:rPr>
              <w:t>5</w:t>
            </w:r>
          </w:p>
        </w:tc>
      </w:tr>
      <w:tr w:rsidR="00423B40" w14:paraId="0AC9D1F7" w14:textId="77777777">
        <w:trPr>
          <w:trHeight w:val="275"/>
        </w:trPr>
        <w:tc>
          <w:tcPr>
            <w:tcW w:w="1493" w:type="dxa"/>
          </w:tcPr>
          <w:p w14:paraId="4BF0E4EE" w14:textId="77777777" w:rsidR="00423B40" w:rsidRDefault="00636AB1">
            <w:pPr>
              <w:widowControl w:val="0"/>
              <w:spacing w:after="0"/>
              <w:rPr>
                <w:color w:val="121212"/>
              </w:rPr>
            </w:pPr>
            <w:r>
              <w:rPr>
                <w:color w:val="121212"/>
              </w:rPr>
              <w:lastRenderedPageBreak/>
              <w:t>Total</w:t>
            </w:r>
          </w:p>
        </w:tc>
        <w:tc>
          <w:tcPr>
            <w:tcW w:w="1808" w:type="dxa"/>
          </w:tcPr>
          <w:p w14:paraId="738B5227" w14:textId="77777777" w:rsidR="00423B40" w:rsidRDefault="00636AB1">
            <w:pPr>
              <w:widowControl w:val="0"/>
              <w:spacing w:after="0"/>
              <w:rPr>
                <w:color w:val="121212"/>
              </w:rPr>
            </w:pPr>
            <w:r>
              <w:rPr>
                <w:color w:val="121212"/>
              </w:rPr>
              <w:t>15-29 July, 2026</w:t>
            </w:r>
          </w:p>
        </w:tc>
        <w:tc>
          <w:tcPr>
            <w:tcW w:w="1389" w:type="dxa"/>
          </w:tcPr>
          <w:p w14:paraId="42DB9E40" w14:textId="77777777" w:rsidR="00423B40" w:rsidRDefault="00636AB1">
            <w:pPr>
              <w:widowControl w:val="0"/>
              <w:spacing w:after="0"/>
              <w:ind w:left="108"/>
              <w:rPr>
                <w:color w:val="121212"/>
              </w:rPr>
            </w:pPr>
            <w:r>
              <w:rPr>
                <w:color w:val="121212"/>
              </w:rPr>
              <w:t>2016-2026</w:t>
            </w:r>
          </w:p>
        </w:tc>
        <w:tc>
          <w:tcPr>
            <w:tcW w:w="1520" w:type="dxa"/>
          </w:tcPr>
          <w:p w14:paraId="7E52CF4B" w14:textId="77777777" w:rsidR="00423B40" w:rsidRDefault="00636AB1">
            <w:pPr>
              <w:widowControl w:val="0"/>
              <w:spacing w:after="0"/>
              <w:ind w:left="107"/>
              <w:rPr>
                <w:color w:val="121212"/>
              </w:rPr>
            </w:pPr>
            <w:r>
              <w:rPr>
                <w:color w:val="121212"/>
              </w:rPr>
              <w:t>1120</w:t>
            </w:r>
          </w:p>
        </w:tc>
        <w:tc>
          <w:tcPr>
            <w:tcW w:w="1520" w:type="dxa"/>
          </w:tcPr>
          <w:p w14:paraId="49E76C7A" w14:textId="77777777" w:rsidR="00423B40" w:rsidRDefault="00636AB1">
            <w:pPr>
              <w:widowControl w:val="0"/>
              <w:spacing w:after="0"/>
              <w:ind w:left="107"/>
              <w:rPr>
                <w:color w:val="121212"/>
              </w:rPr>
            </w:pPr>
            <w:r>
              <w:rPr>
                <w:color w:val="121212"/>
              </w:rPr>
              <w:t>1110</w:t>
            </w:r>
          </w:p>
        </w:tc>
        <w:tc>
          <w:tcPr>
            <w:tcW w:w="1520" w:type="dxa"/>
          </w:tcPr>
          <w:p w14:paraId="4E39644E" w14:textId="77777777" w:rsidR="00423B40" w:rsidRDefault="00636AB1">
            <w:pPr>
              <w:widowControl w:val="0"/>
              <w:spacing w:after="0"/>
              <w:ind w:left="107"/>
              <w:rPr>
                <w:color w:val="121212"/>
              </w:rPr>
            </w:pPr>
            <w:r>
              <w:rPr>
                <w:color w:val="121212"/>
              </w:rPr>
              <w:t>15</w:t>
            </w:r>
          </w:p>
        </w:tc>
      </w:tr>
    </w:tbl>
    <w:p w14:paraId="7B88AB19" w14:textId="77777777" w:rsidR="00423B40" w:rsidRDefault="00636AB1">
      <w:pPr>
        <w:pStyle w:val="Heading5"/>
        <w:rPr>
          <w:color w:val="121212"/>
        </w:rPr>
      </w:pPr>
      <w:bookmarkStart w:id="41" w:name="_Toc240448194"/>
      <w:r>
        <w:rPr>
          <w:color w:val="121212"/>
        </w:rPr>
        <w:t>Table 3.3: Screening Result</w:t>
      </w:r>
      <w:bookmarkEnd w:id="41"/>
    </w:p>
    <w:p w14:paraId="4518CB07" w14:textId="77777777" w:rsidR="00423B40" w:rsidRDefault="00636AB1">
      <w:pPr>
        <w:spacing w:before="280" w:line="240" w:lineRule="auto"/>
        <w:jc w:val="center"/>
        <w:rPr>
          <w:color w:val="121212"/>
        </w:rPr>
      </w:pPr>
      <w:r>
        <w:rPr>
          <w:color w:val="121212"/>
        </w:rPr>
        <w:t>(Source: Self-Created)</w:t>
      </w:r>
    </w:p>
    <w:p w14:paraId="6331A96D" w14:textId="77777777" w:rsidR="00423B40" w:rsidRDefault="00423B40">
      <w:pPr>
        <w:spacing w:before="280" w:line="240" w:lineRule="auto"/>
        <w:jc w:val="left"/>
        <w:rPr>
          <w:color w:val="121212"/>
        </w:rPr>
      </w:pPr>
    </w:p>
    <w:p w14:paraId="033DAB4B" w14:textId="77777777" w:rsidR="00423B40" w:rsidRDefault="00636AB1">
      <w:pPr>
        <w:pStyle w:val="Heading2"/>
        <w:spacing w:after="200"/>
        <w:rPr>
          <w:color w:val="121212"/>
        </w:rPr>
      </w:pPr>
      <w:bookmarkStart w:id="42" w:name="_Toc240448269"/>
      <w:r>
        <w:rPr>
          <w:color w:val="121212"/>
        </w:rPr>
        <w:t>3.13 Study Selection</w:t>
      </w:r>
      <w:bookmarkEnd w:id="42"/>
      <w:r>
        <w:rPr>
          <w:color w:val="121212"/>
        </w:rPr>
        <w:t xml:space="preserve"> </w:t>
      </w:r>
    </w:p>
    <w:p w14:paraId="6FE116EA" w14:textId="77777777" w:rsidR="00423B40" w:rsidRDefault="00636AB1">
      <w:pPr>
        <w:rPr>
          <w:color w:val="121212"/>
        </w:rPr>
      </w:pPr>
      <w:r>
        <w:rPr>
          <w:color w:val="121212"/>
        </w:rPr>
        <w:t>The method for choosing literature was systematic and undertaken to find the appropriate evidence needed for the review. Google Scholar, ProQuest and PubMed were searched between July 15 and 29, 2026, resulting in 1120 references extracted from the search. All references were transferred to the rape works to manage references and identify duplicates. After duplicate wire erased, the articles were screened by looking for their titles and abstracts for inclusion and exclusion criteria described. All articles that were found would then be ordered for a full-text check for eligibility. Those that did not meet the requirements of this review, such as inappropriate study population, outcome, and study design what thrown out of the final section. All these studies in the final collection investigated the effects of pelvic float this function of the quality of life and the development of depressive disorder in the young adult population, which confirms that the systematic review had been carried out properly.</w:t>
      </w:r>
    </w:p>
    <w:p w14:paraId="2938F178" w14:textId="77777777" w:rsidR="00423B40" w:rsidRDefault="00636AB1">
      <w:pPr>
        <w:pStyle w:val="Heading2"/>
        <w:spacing w:after="200"/>
        <w:rPr>
          <w:color w:val="121212"/>
        </w:rPr>
      </w:pPr>
      <w:bookmarkStart w:id="43" w:name="_Toc240448270"/>
      <w:r>
        <w:rPr>
          <w:color w:val="121212"/>
        </w:rPr>
        <w:t>3.14 Summary of Left Articles</w:t>
      </w:r>
      <w:bookmarkEnd w:id="43"/>
      <w:r>
        <w:rPr>
          <w:color w:val="121212"/>
        </w:rPr>
        <w:t xml:space="preserve"> </w:t>
      </w:r>
    </w:p>
    <w:p w14:paraId="08944690" w14:textId="77777777" w:rsidR="00423B40" w:rsidRDefault="00636AB1">
      <w:pPr>
        <w:rPr>
          <w:color w:val="121212"/>
        </w:rPr>
      </w:pPr>
      <w:r>
        <w:rPr>
          <w:color w:val="121212"/>
        </w:rPr>
        <w:t xml:space="preserve">15 studies were included based on the predetermined inclusion criteria after the search and screening process was completed. The studies were located in Google Scholar, ProQuest and PubMed databases. To control for duplicate studies and ensure that the papers met the eligibility criteria, the authors screened the studies that concentrated on pelvic floor dysfunction. Its impact on the life quality on the mental health of people from the target group. The selected studies were analysed to answer the research question adequately. </w:t>
      </w:r>
    </w:p>
    <w:p w14:paraId="3B63BE1B" w14:textId="77777777" w:rsidR="00423B40" w:rsidRDefault="00636AB1">
      <w:pPr>
        <w:pStyle w:val="Heading2"/>
        <w:spacing w:after="200"/>
        <w:rPr>
          <w:color w:val="121212"/>
        </w:rPr>
      </w:pPr>
      <w:bookmarkStart w:id="44" w:name="_Toc240448271"/>
      <w:r>
        <w:rPr>
          <w:color w:val="121212"/>
        </w:rPr>
        <w:t>3.15 Quality Assessment</w:t>
      </w:r>
      <w:bookmarkEnd w:id="44"/>
      <w:r>
        <w:rPr>
          <w:color w:val="121212"/>
        </w:rPr>
        <w:t xml:space="preserve"> </w:t>
      </w:r>
    </w:p>
    <w:p w14:paraId="7C80E9B2" w14:textId="77777777" w:rsidR="00423B40" w:rsidRDefault="00636AB1">
      <w:pPr>
        <w:rPr>
          <w:color w:val="121212"/>
        </w:rPr>
      </w:pPr>
      <w:r>
        <w:rPr>
          <w:color w:val="121212"/>
        </w:rPr>
        <w:t xml:space="preserve">An assessment of quality took place to determine the methodological risk of bias and bias of the selected studies in this systematic review. The critical appraisal is one of the most important aspects of our systematic review. As stated, it is essential to identify the strength of the evidence answering the research question. The checklist of the Critical Appraisal Skills Programme (CASP) was utilised to assess the quality of the studies according to their study design(CASP, 2024). The checklist for cohort and case-control studies was used to design the criteria most appropriate for them. The critical appraisal ensured that the research </w:t>
      </w:r>
      <w:r>
        <w:rPr>
          <w:color w:val="121212"/>
        </w:rPr>
        <w:lastRenderedPageBreak/>
        <w:t xml:space="preserve">questions were clear, the study design was relevant, the method of collecting the data was practical and statistical analysis was adopted. All 15 studies were found to fulfil the quality requirements and were considered high quality. These studies were included in the process of data extraction and narrative synthesis since they had a high nephrological quality and provided valid evidence for completing the task of the review (Refer to Appendix 1). </w:t>
      </w:r>
    </w:p>
    <w:p w14:paraId="78925456" w14:textId="77777777" w:rsidR="00423B40" w:rsidRDefault="00636AB1">
      <w:pPr>
        <w:pStyle w:val="Heading2"/>
        <w:spacing w:after="200"/>
        <w:rPr>
          <w:color w:val="121212"/>
        </w:rPr>
      </w:pPr>
      <w:bookmarkStart w:id="45" w:name="_Toc240448272"/>
      <w:r>
        <w:rPr>
          <w:color w:val="121212"/>
        </w:rPr>
        <w:t>3.16 Data Extraction</w:t>
      </w:r>
      <w:bookmarkEnd w:id="45"/>
      <w:r>
        <w:rPr>
          <w:color w:val="121212"/>
        </w:rPr>
        <w:t xml:space="preserve"> </w:t>
      </w:r>
    </w:p>
    <w:p w14:paraId="20BA5F0E" w14:textId="77777777" w:rsidR="00423B40" w:rsidRDefault="00636AB1">
      <w:pPr>
        <w:rPr>
          <w:color w:val="121212"/>
        </w:rPr>
      </w:pPr>
      <w:r>
        <w:rPr>
          <w:color w:val="121212"/>
        </w:rPr>
        <w:t xml:space="preserve">Information extraction is a methodical process where data is extracted from the available information of the studies included in the systematic review. The extraction process involved the creation of a data extraction form that included only the most important parameters of the studies involved. The use of the data extraction form also minimised the risk of making mistakes in reporting and ensured that all of the data was processed before being analysed thematically. This method improved the reliability and transparency of the systematic review process and facilitated the correct integration of the findings. </w:t>
      </w:r>
    </w:p>
    <w:p w14:paraId="28DD60A6" w14:textId="77777777" w:rsidR="00423B40" w:rsidRDefault="00636AB1">
      <w:pPr>
        <w:pStyle w:val="Heading2"/>
        <w:spacing w:after="200"/>
        <w:rPr>
          <w:color w:val="121212"/>
        </w:rPr>
      </w:pPr>
      <w:bookmarkStart w:id="46" w:name="_Toc240448273"/>
      <w:r>
        <w:rPr>
          <w:color w:val="121212"/>
        </w:rPr>
        <w:t>3.17 Data Synthesis</w:t>
      </w:r>
      <w:bookmarkEnd w:id="46"/>
      <w:r>
        <w:rPr>
          <w:color w:val="121212"/>
        </w:rPr>
        <w:t xml:space="preserve"> </w:t>
      </w:r>
    </w:p>
    <w:p w14:paraId="4FD17B7F" w14:textId="77777777" w:rsidR="00423B40" w:rsidRDefault="00636AB1">
      <w:pPr>
        <w:rPr>
          <w:color w:val="121212"/>
        </w:rPr>
      </w:pPr>
      <w:r>
        <w:rPr>
          <w:color w:val="121212"/>
        </w:rPr>
        <w:t>The synthesis of the data was performed using the six-phase framework provided by Barun and Clark (2006). During the first phase of the process, all the chosen studies underwent a thorough reading to familiarise the researchers with the relevant information contained in the studies. The primary goal of the second phase of the analysis was to create the initial codes. All relevant findings from the studies were coded accordingly. The codes that appeared during the second phase referred, among other things, to the problems concerning decreased physical functioning and social restrictions, and emotional issues and anxiety and depression-related findings.</w:t>
      </w:r>
    </w:p>
    <w:p w14:paraId="327BA402" w14:textId="77777777" w:rsidR="00423B40" w:rsidRDefault="00636AB1">
      <w:pPr>
        <w:rPr>
          <w:color w:val="121212"/>
        </w:rPr>
      </w:pPr>
      <w:r>
        <w:rPr>
          <w:color w:val="121212"/>
        </w:rPr>
        <w:t xml:space="preserve">The third phase was devoted to theme searching, so coding was finished, and similar codes were grouped in a way to obtain more general themes describing common patterns in the studies analysed (Yardley, 2024). The fourth phase of research was aimed at reviewing themes, which means that a number of themes obtained were checked against the data obtained to see if they were relevant to the evidence gathered in the studies and if they resolved the research issues. In the fifth phase, defining and naming themes, each theme was described, and its connection with the connection between pelvic floor dysfunction and quality of life was shown. The last stage of the research was focused on integrating and interpreting the themes. </w:t>
      </w:r>
    </w:p>
    <w:p w14:paraId="4C4FB7A5" w14:textId="77777777" w:rsidR="00423B40" w:rsidRDefault="00636AB1">
      <w:pPr>
        <w:pStyle w:val="Heading2"/>
        <w:spacing w:after="200"/>
        <w:rPr>
          <w:color w:val="121212"/>
        </w:rPr>
      </w:pPr>
      <w:bookmarkStart w:id="47" w:name="_Toc240448274"/>
      <w:r>
        <w:rPr>
          <w:color w:val="121212"/>
        </w:rPr>
        <w:lastRenderedPageBreak/>
        <w:t>3.18 Scope and Limitation of the Research</w:t>
      </w:r>
      <w:bookmarkEnd w:id="47"/>
      <w:r>
        <w:rPr>
          <w:color w:val="121212"/>
        </w:rPr>
        <w:t xml:space="preserve"> </w:t>
      </w:r>
    </w:p>
    <w:p w14:paraId="29450365" w14:textId="77777777" w:rsidR="00423B40" w:rsidRDefault="00636AB1">
      <w:pPr>
        <w:rPr>
          <w:color w:val="121212"/>
        </w:rPr>
      </w:pPr>
      <w:r>
        <w:rPr>
          <w:color w:val="121212"/>
        </w:rPr>
        <w:t>This systematic review has a few limitations. It only includes studies that were published in English, which might have left out important evidence that was published in other languages. This review only used data from the published studies, as limiting the capacity to verify the original conclusions or identify new evidence. As the studies had different designs, participants, and context to our included, it was possible that the review may differ in methodology, affecting the comparison of results. It should not be ignored that due to the limitation imposed on the search to the specific period and chosen database some of the studies of important could be have been neglected.</w:t>
      </w:r>
    </w:p>
    <w:p w14:paraId="579FF3FC" w14:textId="77777777" w:rsidR="00423B40" w:rsidRDefault="00636AB1">
      <w:pPr>
        <w:rPr>
          <w:color w:val="121212"/>
        </w:rPr>
      </w:pPr>
      <w:r>
        <w:rPr>
          <w:color w:val="121212"/>
        </w:rPr>
        <w:t>This systematic review aims to incorporate the literature that looks at how pelvic floor dysfunction (PFD) can affect quality of life (QoL) and risk of major depressive disorder (MDD) in young adults (18-35 years) in the United Kingdom (UK) and peer-reviewed by another author. Only the published studies between 2021 and 2026 that were carried out in the UK or are relevant to the UK and those that reported PFD symptoms, such as urinary and faecal incontinence, pelvic pain and prolapse, and QoL domains and depressive markers, have been included. It contains quantitative, qualitative, and mixed-methods studies according to inclusion criteria in the databases like PubMed, Web of Science, and Google scholar. The review involves a thematic analysis of the papers, trauma patterns, moderating variables (gender, stigma, and access to health care), and implications and consequences in terms of public health messages.</w:t>
      </w:r>
    </w:p>
    <w:p w14:paraId="2E5FF087" w14:textId="77777777" w:rsidR="00423B40" w:rsidRDefault="00636AB1">
      <w:pPr>
        <w:pStyle w:val="Heading2"/>
        <w:spacing w:after="200"/>
        <w:rPr>
          <w:color w:val="121212"/>
        </w:rPr>
      </w:pPr>
      <w:bookmarkStart w:id="48" w:name="_Toc240448275"/>
      <w:r>
        <w:rPr>
          <w:color w:val="121212"/>
        </w:rPr>
        <w:t>3.19 Summary of Chapter</w:t>
      </w:r>
      <w:bookmarkEnd w:id="48"/>
      <w:r>
        <w:rPr>
          <w:color w:val="121212"/>
        </w:rPr>
        <w:t xml:space="preserve"> </w:t>
      </w:r>
    </w:p>
    <w:p w14:paraId="319B26B0" w14:textId="77777777" w:rsidR="00423B40" w:rsidRDefault="00636AB1">
      <w:pPr>
        <w:rPr>
          <w:color w:val="121212"/>
        </w:rPr>
      </w:pPr>
      <w:r>
        <w:rPr>
          <w:color w:val="121212"/>
        </w:rPr>
        <w:t>The methodology utilised in the research review focused on how pelvic floor dysfunction affects the quality of life and the likelihood of major depressive disorder in young adults is discussed in this chapter. This chapter starts with an overview of interpretivism, developing the right systematic review methodology, the methodology for searching literature, the PICO and the criteria for inclusion and exclusion. Other concepts covered in this chapter include the selection of literature for review, the PRISMA protocol, quality assessment of the study, and data extraction and coding of the data with thematic analysis. The ethical issues and challenges of the review are also considered.</w:t>
      </w:r>
    </w:p>
    <w:p w14:paraId="2827F7E5" w14:textId="77777777" w:rsidR="00423B40" w:rsidRDefault="00636AB1">
      <w:pPr>
        <w:pStyle w:val="Heading2"/>
        <w:rPr>
          <w:color w:val="121212"/>
        </w:rPr>
      </w:pPr>
      <w:bookmarkStart w:id="49" w:name="_Toc240448276"/>
      <w:r>
        <w:rPr>
          <w:color w:val="121212"/>
        </w:rPr>
        <w:t>3.20 Chapter Summary</w:t>
      </w:r>
      <w:bookmarkEnd w:id="49"/>
    </w:p>
    <w:p w14:paraId="205DCA62" w14:textId="77777777" w:rsidR="00423B40" w:rsidRDefault="00636AB1">
      <w:pPr>
        <w:rPr>
          <w:color w:val="121212"/>
        </w:rPr>
      </w:pPr>
      <w:r>
        <w:rPr>
          <w:color w:val="121212"/>
        </w:rPr>
        <w:t xml:space="preserve">This chapter in overall shows all methodological tools and their usage in the research. Justification of tools and its beneficiary aspects for the research also has been represented here. Along with systematic literature review method has been applied and showed here with </w:t>
      </w:r>
      <w:r>
        <w:rPr>
          <w:color w:val="121212"/>
        </w:rPr>
        <w:lastRenderedPageBreak/>
        <w:t xml:space="preserve">data extraction, quality assessment process and PRISMA approaches. In the next chapter all selected 15 articles will be analysed through thematic analysis process. </w:t>
      </w:r>
    </w:p>
    <w:p w14:paraId="4929E24D" w14:textId="77777777" w:rsidR="00423B40" w:rsidRDefault="00636AB1">
      <w:pPr>
        <w:rPr>
          <w:color w:val="121212"/>
        </w:rPr>
      </w:pPr>
      <w:r>
        <w:rPr>
          <w:color w:val="121212"/>
        </w:rPr>
        <w:br w:type="page"/>
      </w:r>
    </w:p>
    <w:p w14:paraId="66DB6F80" w14:textId="77777777" w:rsidR="00423B40" w:rsidRDefault="00636AB1">
      <w:pPr>
        <w:pStyle w:val="Heading1"/>
        <w:rPr>
          <w:color w:val="121212"/>
        </w:rPr>
      </w:pPr>
      <w:bookmarkStart w:id="50" w:name="_Toc240448277"/>
      <w:r>
        <w:rPr>
          <w:color w:val="121212"/>
        </w:rPr>
        <w:lastRenderedPageBreak/>
        <w:t>Chapter 4: Results</w:t>
      </w:r>
      <w:bookmarkEnd w:id="50"/>
      <w:r>
        <w:rPr>
          <w:color w:val="121212"/>
        </w:rPr>
        <w:t xml:space="preserve"> </w:t>
      </w:r>
    </w:p>
    <w:p w14:paraId="0B515EF0" w14:textId="77777777" w:rsidR="00423B40" w:rsidRDefault="00636AB1">
      <w:pPr>
        <w:pStyle w:val="Heading2"/>
        <w:rPr>
          <w:color w:val="121212"/>
        </w:rPr>
      </w:pPr>
      <w:bookmarkStart w:id="51" w:name="_Toc240448278"/>
      <w:r>
        <w:rPr>
          <w:color w:val="121212"/>
        </w:rPr>
        <w:t>4.1 Introduction</w:t>
      </w:r>
      <w:bookmarkEnd w:id="51"/>
    </w:p>
    <w:sdt>
      <w:sdtPr>
        <w:rPr>
          <w:color w:val="121212"/>
        </w:rPr>
        <w:tag w:val="goog_rdk_2"/>
        <w:id w:val="-1348753856"/>
      </w:sdtPr>
      <w:sdtContent>
        <w:p w14:paraId="4BB3E412" w14:textId="77777777" w:rsidR="00423B40" w:rsidRDefault="00636AB1">
          <w:pPr>
            <w:rPr>
              <w:color w:val="121212"/>
            </w:rPr>
          </w:pPr>
          <w:r>
            <w:rPr>
              <w:color w:val="121212"/>
            </w:rPr>
            <w:t xml:space="preserve">Best on the systematic literature review data collection and analysis guidelines provided in the research methodology chapter, this results and discussion chapter critically perform thematic analysis of the systematic review to examine the impact of pelvic dysfunction on quality of life and the risk of major depressive disorder among young adult age 18 to 35 in the UK.  Findings from 15 selected peer-reviewed review articles were systematically extracted, and an analysis of themes was performed to find solutions aligning with the research objectives. </w:t>
          </w:r>
          <w:sdt>
            <w:sdtPr>
              <w:rPr>
                <w:color w:val="121212"/>
              </w:rPr>
              <w:tag w:val="goog_rdk_1"/>
              <w:id w:val="1369760471"/>
            </w:sdtPr>
            <w:sdtContent/>
          </w:sdt>
        </w:p>
      </w:sdtContent>
    </w:sdt>
    <w:p w14:paraId="690C8F0F" w14:textId="61AC372D" w:rsidR="00423B40" w:rsidRDefault="00636AB1" w:rsidP="3B2C0D8C">
      <w:pPr>
        <w:pStyle w:val="Heading2"/>
        <w:spacing w:after="200"/>
        <w:jc w:val="left"/>
        <w:rPr>
          <w:color w:val="121212"/>
        </w:rPr>
      </w:pPr>
      <w:bookmarkStart w:id="52" w:name="_Toc240448279"/>
      <w:r w:rsidRPr="3B2C0D8C">
        <w:rPr>
          <w:color w:val="121212"/>
        </w:rPr>
        <w:t xml:space="preserve">4.2 </w:t>
      </w:r>
      <w:r w:rsidR="152BDC17" w:rsidRPr="3B2C0D8C">
        <w:rPr>
          <w:color w:val="121212"/>
        </w:rPr>
        <w:t>Data screening and quality check</w:t>
      </w:r>
    </w:p>
    <w:p w14:paraId="4F4159EF" w14:textId="723DBE7B" w:rsidR="00423B40" w:rsidRDefault="152BDC17">
      <w:pPr>
        <w:pStyle w:val="Heading2"/>
        <w:spacing w:after="200"/>
        <w:jc w:val="left"/>
        <w:rPr>
          <w:color w:val="121212"/>
        </w:rPr>
      </w:pPr>
      <w:r w:rsidRPr="3B2C0D8C">
        <w:rPr>
          <w:color w:val="121212"/>
        </w:rPr>
        <w:t xml:space="preserve">4.2.1 </w:t>
      </w:r>
      <w:r w:rsidR="00636AB1" w:rsidRPr="3B2C0D8C">
        <w:rPr>
          <w:color w:val="121212"/>
        </w:rPr>
        <w:t>PRISMA Statement</w:t>
      </w:r>
      <w:bookmarkEnd w:id="52"/>
      <w:r w:rsidR="00636AB1" w:rsidRPr="3B2C0D8C">
        <w:rPr>
          <w:color w:val="121212"/>
        </w:rPr>
        <w:t xml:space="preserve"> </w:t>
      </w:r>
    </w:p>
    <w:p w14:paraId="19240609" w14:textId="77777777" w:rsidR="00423B40" w:rsidRDefault="00636AB1">
      <w:pPr>
        <w:jc w:val="center"/>
        <w:rPr>
          <w:color w:val="121212"/>
        </w:rPr>
      </w:pPr>
      <w:r>
        <w:rPr>
          <w:noProof/>
          <w:color w:val="121212"/>
          <w:lang w:val="en-US" w:eastAsia="en-US"/>
        </w:rPr>
        <w:drawing>
          <wp:inline distT="114300" distB="114300" distL="114300" distR="114300" wp14:anchorId="75BE588C" wp14:editId="2257FBE8">
            <wp:extent cx="4124325" cy="4645025"/>
            <wp:effectExtent l="12700" t="12700" r="12700" b="12700"/>
            <wp:docPr id="2028226350" name="image2.png"/>
            <wp:cNvGraphicFramePr/>
            <a:graphic xmlns:a="http://schemas.openxmlformats.org/drawingml/2006/main">
              <a:graphicData uri="http://schemas.openxmlformats.org/drawingml/2006/picture">
                <pic:pic xmlns:pic="http://schemas.openxmlformats.org/drawingml/2006/picture">
                  <pic:nvPicPr>
                    <pic:cNvPr id="2028226350" name="image2.png"/>
                    <pic:cNvPicPr preferRelativeResize="0"/>
                  </pic:nvPicPr>
                  <pic:blipFill>
                    <a:blip r:embed="rId18"/>
                    <a:srcRect/>
                    <a:stretch>
                      <a:fillRect/>
                    </a:stretch>
                  </pic:blipFill>
                  <pic:spPr>
                    <a:xfrm>
                      <a:off x="0" y="0"/>
                      <a:ext cx="4124325" cy="4645202"/>
                    </a:xfrm>
                    <a:prstGeom prst="rect">
                      <a:avLst/>
                    </a:prstGeom>
                    <a:ln w="12700">
                      <a:solidFill>
                        <a:srgbClr val="000000"/>
                      </a:solidFill>
                      <a:prstDash val="solid"/>
                    </a:ln>
                  </pic:spPr>
                </pic:pic>
              </a:graphicData>
            </a:graphic>
          </wp:inline>
        </w:drawing>
      </w:r>
    </w:p>
    <w:p w14:paraId="16084371" w14:textId="77777777" w:rsidR="00423B40" w:rsidRDefault="00636AB1">
      <w:pPr>
        <w:pStyle w:val="Heading4"/>
        <w:rPr>
          <w:color w:val="121212"/>
        </w:rPr>
      </w:pPr>
      <w:bookmarkStart w:id="53" w:name="_Toc240448177"/>
      <w:r>
        <w:rPr>
          <w:color w:val="121212"/>
        </w:rPr>
        <w:t>Figure 4.1: PRISMA Flow Chart</w:t>
      </w:r>
      <w:bookmarkEnd w:id="53"/>
    </w:p>
    <w:p w14:paraId="560FF40E" w14:textId="77777777" w:rsidR="00423B40" w:rsidRDefault="00636AB1">
      <w:pPr>
        <w:jc w:val="center"/>
        <w:rPr>
          <w:color w:val="121212"/>
        </w:rPr>
      </w:pPr>
      <w:r>
        <w:rPr>
          <w:color w:val="121212"/>
        </w:rPr>
        <w:t>(Source: Self-Created)</w:t>
      </w:r>
    </w:p>
    <w:p w14:paraId="3D12AB28" w14:textId="755CFF53" w:rsidR="00423B40" w:rsidRDefault="00636AB1">
      <w:r w:rsidRPr="3B2C0D8C">
        <w:rPr>
          <w:color w:val="121212"/>
        </w:rPr>
        <w:lastRenderedPageBreak/>
        <w:t>The PRISMA flow diagram demonstrates the systematic procedure which involved identifying and scrutinising studies in order to select them for the review process. A total of 1,120 research works were discovered through search engines like Google Scholar, ProQuest, and PubMed. All the research articles were then transferred to RefWorks, where duplicates were detected and eliminated. A systematic screening of the selected works was then carried out by analysing every work according to its title and abstract. Subsequently, those papers that managed to pass the initial screening were examined in full text in regard to suitability in terms of the aims of the systematic review. As a result, only 15 works remained in the list of eligible papers. The PRISMA flow diagram indicates that the method of choosing papers for the review is transparent and reproducible.</w:t>
      </w:r>
      <w:r w:rsidR="0066F6B7" w:rsidRPr="3B2C0D8C">
        <w:rPr>
          <w:color w:val="121212"/>
        </w:rPr>
        <w:t xml:space="preserve"> </w:t>
      </w:r>
    </w:p>
    <w:p w14:paraId="5D4D30E0" w14:textId="2539A538" w:rsidR="2C4520BF" w:rsidRDefault="2C4520BF" w:rsidP="001455E7">
      <w:pPr>
        <w:pStyle w:val="Heading2"/>
      </w:pPr>
      <w:r w:rsidRPr="3B2C0D8C">
        <w:t>4.2.2 Quality check using CASP</w:t>
      </w:r>
    </w:p>
    <w:p w14:paraId="6410FC37" w14:textId="3C3D2DB3" w:rsidR="2C4520BF" w:rsidRPr="001455E7" w:rsidRDefault="001455E7" w:rsidP="3B2C0D8C">
      <w:pPr>
        <w:rPr>
          <w:color w:val="EE0000"/>
        </w:rPr>
      </w:pPr>
      <w:r w:rsidRPr="001455E7">
        <w:rPr>
          <w:color w:val="EE0000"/>
        </w:rPr>
        <w:t>Quality of the 15 studies included in this systematic review was assessed using the Critical Appraisal Skills Programme (CASP). CASP was used to examine the methodological quality, credibility and relevance of each study before its findings were included in the synthesis. The appraisal considered key areas such as clarity of research aims, appropriateness of study design, recruitment, data collection, analysis, ethical issues, presentation of findings and overall value. This process helped identify strengths and possible limitations across the evidence base and supported a more reliable interpretation of the results [Refer to Appendix 1].</w:t>
      </w:r>
    </w:p>
    <w:p w14:paraId="7F83B44C" w14:textId="77777777" w:rsidR="008A2B25" w:rsidRDefault="008A2B25">
      <w:pPr>
        <w:spacing w:line="278" w:lineRule="auto"/>
        <w:jc w:val="left"/>
        <w:rPr>
          <w:b/>
          <w:bCs/>
          <w:color w:val="121212"/>
        </w:rPr>
      </w:pPr>
      <w:bookmarkStart w:id="54" w:name="_Toc240448280"/>
      <w:r>
        <w:rPr>
          <w:color w:val="121212"/>
        </w:rPr>
        <w:br w:type="page"/>
      </w:r>
    </w:p>
    <w:p w14:paraId="7AA8BB38" w14:textId="77777777" w:rsidR="008A2B25" w:rsidRDefault="008A2B25">
      <w:pPr>
        <w:pStyle w:val="Heading2"/>
        <w:rPr>
          <w:color w:val="121212"/>
        </w:rPr>
        <w:sectPr w:rsidR="008A2B25">
          <w:footerReference w:type="even" r:id="rId19"/>
          <w:footerReference w:type="default" r:id="rId20"/>
          <w:footerReference w:type="first" r:id="rId21"/>
          <w:pgSz w:w="11906" w:h="16838"/>
          <w:pgMar w:top="1440" w:right="1440" w:bottom="1440" w:left="1440" w:header="709" w:footer="709" w:gutter="0"/>
          <w:pgNumType w:start="1"/>
          <w:cols w:space="720"/>
        </w:sectPr>
      </w:pPr>
    </w:p>
    <w:p w14:paraId="103CF0DB" w14:textId="696269DA" w:rsidR="00423B40" w:rsidRDefault="00636AB1">
      <w:pPr>
        <w:pStyle w:val="Heading2"/>
        <w:rPr>
          <w:color w:val="121212"/>
        </w:rPr>
      </w:pPr>
      <w:r>
        <w:rPr>
          <w:color w:val="121212"/>
        </w:rPr>
        <w:lastRenderedPageBreak/>
        <w:t>4.3 Data Extraction/Summary table</w:t>
      </w:r>
      <w:bookmarkEnd w:id="54"/>
    </w:p>
    <w:tbl>
      <w:tblPr>
        <w:tblStyle w:val="Style29"/>
        <w:tblW w:w="5000" w:type="pct"/>
        <w:tblLook w:val="04A0" w:firstRow="1" w:lastRow="0" w:firstColumn="1" w:lastColumn="0" w:noHBand="0" w:noVBand="1"/>
      </w:tblPr>
      <w:tblGrid>
        <w:gridCol w:w="5099"/>
        <w:gridCol w:w="1843"/>
        <w:gridCol w:w="1843"/>
        <w:gridCol w:w="1415"/>
        <w:gridCol w:w="3368"/>
        <w:gridCol w:w="385"/>
      </w:tblGrid>
      <w:tr w:rsidR="00423B40" w14:paraId="652C4113" w14:textId="77777777" w:rsidTr="00A86A24">
        <w:trPr>
          <w:trHeight w:val="315"/>
        </w:trPr>
        <w:tc>
          <w:tcPr>
            <w:tcW w:w="1827"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CF0B470" w14:textId="77777777" w:rsidR="00423B40" w:rsidRDefault="00636AB1">
            <w:pPr>
              <w:spacing w:after="0"/>
              <w:jc w:val="center"/>
              <w:rPr>
                <w:b/>
                <w:bCs/>
                <w:color w:val="121212"/>
              </w:rPr>
            </w:pPr>
            <w:r>
              <w:rPr>
                <w:b/>
                <w:bCs/>
                <w:color w:val="121212"/>
              </w:rPr>
              <w:t>Author</w:t>
            </w:r>
          </w:p>
        </w:tc>
        <w:tc>
          <w:tcPr>
            <w:tcW w:w="660" w:type="pct"/>
            <w:tcBorders>
              <w:top w:val="single" w:sz="4" w:space="0" w:color="000000" w:themeColor="text1"/>
              <w:left w:val="nil"/>
              <w:bottom w:val="single" w:sz="4" w:space="0" w:color="000000" w:themeColor="text1"/>
              <w:right w:val="single" w:sz="4" w:space="0" w:color="000000" w:themeColor="text1"/>
            </w:tcBorders>
            <w:vAlign w:val="bottom"/>
          </w:tcPr>
          <w:p w14:paraId="0946ECFB" w14:textId="77777777" w:rsidR="00423B40" w:rsidRDefault="00636AB1">
            <w:pPr>
              <w:spacing w:after="0"/>
              <w:jc w:val="center"/>
              <w:rPr>
                <w:b/>
                <w:bCs/>
                <w:color w:val="121212"/>
              </w:rPr>
            </w:pPr>
            <w:r>
              <w:rPr>
                <w:b/>
                <w:bCs/>
                <w:color w:val="121212"/>
              </w:rPr>
              <w:t>Type of Study</w:t>
            </w:r>
          </w:p>
        </w:tc>
        <w:tc>
          <w:tcPr>
            <w:tcW w:w="660" w:type="pct"/>
            <w:tcBorders>
              <w:top w:val="single" w:sz="4" w:space="0" w:color="000000" w:themeColor="text1"/>
              <w:left w:val="nil"/>
              <w:bottom w:val="single" w:sz="4" w:space="0" w:color="000000" w:themeColor="text1"/>
              <w:right w:val="single" w:sz="4" w:space="0" w:color="000000" w:themeColor="text1"/>
            </w:tcBorders>
            <w:vAlign w:val="bottom"/>
          </w:tcPr>
          <w:p w14:paraId="00FE06D2" w14:textId="77777777" w:rsidR="00423B40" w:rsidRDefault="00636AB1">
            <w:pPr>
              <w:spacing w:after="0"/>
              <w:jc w:val="center"/>
              <w:rPr>
                <w:b/>
                <w:bCs/>
                <w:color w:val="121212"/>
              </w:rPr>
            </w:pPr>
            <w:r>
              <w:rPr>
                <w:b/>
                <w:bCs/>
                <w:color w:val="121212"/>
              </w:rPr>
              <w:t>Methods</w:t>
            </w:r>
          </w:p>
        </w:tc>
        <w:tc>
          <w:tcPr>
            <w:tcW w:w="507" w:type="pct"/>
            <w:tcBorders>
              <w:top w:val="single" w:sz="4" w:space="0" w:color="000000" w:themeColor="text1"/>
              <w:left w:val="nil"/>
              <w:bottom w:val="single" w:sz="4" w:space="0" w:color="000000" w:themeColor="text1"/>
              <w:right w:val="single" w:sz="4" w:space="0" w:color="000000" w:themeColor="text1"/>
            </w:tcBorders>
            <w:vAlign w:val="bottom"/>
          </w:tcPr>
          <w:p w14:paraId="2C584B28" w14:textId="77777777" w:rsidR="00423B40" w:rsidRDefault="00636AB1">
            <w:pPr>
              <w:spacing w:after="0"/>
              <w:jc w:val="center"/>
              <w:rPr>
                <w:b/>
                <w:bCs/>
                <w:color w:val="121212"/>
              </w:rPr>
            </w:pPr>
            <w:r>
              <w:rPr>
                <w:b/>
                <w:bCs/>
                <w:color w:val="121212"/>
              </w:rPr>
              <w:t>Sample Size (n)</w:t>
            </w:r>
          </w:p>
        </w:tc>
        <w:tc>
          <w:tcPr>
            <w:tcW w:w="1207" w:type="pct"/>
            <w:tcBorders>
              <w:top w:val="single" w:sz="4" w:space="0" w:color="000000" w:themeColor="text1"/>
              <w:left w:val="nil"/>
              <w:bottom w:val="single" w:sz="4" w:space="0" w:color="000000" w:themeColor="text1"/>
              <w:right w:val="single" w:sz="4" w:space="0" w:color="000000" w:themeColor="text1"/>
            </w:tcBorders>
            <w:vAlign w:val="bottom"/>
          </w:tcPr>
          <w:p w14:paraId="5247FF18" w14:textId="77777777" w:rsidR="00423B40" w:rsidRDefault="00636AB1">
            <w:pPr>
              <w:spacing w:after="0"/>
              <w:jc w:val="center"/>
              <w:rPr>
                <w:b/>
                <w:bCs/>
                <w:color w:val="121212"/>
              </w:rPr>
            </w:pPr>
            <w:r>
              <w:rPr>
                <w:b/>
                <w:bCs/>
                <w:color w:val="121212"/>
              </w:rPr>
              <w:t>Results / Outcomes</w:t>
            </w:r>
          </w:p>
        </w:tc>
        <w:tc>
          <w:tcPr>
            <w:tcW w:w="138" w:type="pct"/>
            <w:tcBorders>
              <w:top w:val="nil"/>
              <w:left w:val="nil"/>
              <w:bottom w:val="nil"/>
              <w:right w:val="nil"/>
            </w:tcBorders>
            <w:vAlign w:val="bottom"/>
          </w:tcPr>
          <w:p w14:paraId="2F121E97" w14:textId="77777777" w:rsidR="00423B40" w:rsidRDefault="00423B40">
            <w:pPr>
              <w:spacing w:after="0"/>
              <w:jc w:val="center"/>
              <w:rPr>
                <w:b/>
                <w:bCs/>
                <w:color w:val="121212"/>
                <w:sz w:val="20"/>
                <w:szCs w:val="20"/>
              </w:rPr>
            </w:pPr>
          </w:p>
        </w:tc>
      </w:tr>
      <w:tr w:rsidR="00423B40" w14:paraId="7E34D3D3"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6DC954E9" w14:textId="2C46D950" w:rsidR="00423B40" w:rsidRDefault="008A2B25" w:rsidP="00A86A24">
            <w:pPr>
              <w:spacing w:before="240" w:after="0"/>
              <w:rPr>
                <w:color w:val="121212"/>
              </w:rPr>
            </w:pPr>
            <w:r>
              <w:rPr>
                <w:color w:val="121212"/>
              </w:rPr>
              <w:t>Parden,</w:t>
            </w:r>
            <w:r w:rsidR="0052422A">
              <w:rPr>
                <w:color w:val="121212"/>
              </w:rPr>
              <w:t xml:space="preserve"> </w:t>
            </w:r>
            <w:r>
              <w:rPr>
                <w:color w:val="121212"/>
              </w:rPr>
              <w:t xml:space="preserve">(2016). </w:t>
            </w:r>
            <w:r w:rsidR="0052422A">
              <w:rPr>
                <w:color w:val="121212"/>
              </w:rPr>
              <w:t>[</w:t>
            </w:r>
            <w:r w:rsidR="00337F04">
              <w:rPr>
                <w:color w:val="121212"/>
              </w:rPr>
              <w:t>64</w:t>
            </w:r>
            <w:r w:rsidR="0052422A">
              <w:rPr>
                <w:color w:val="121212"/>
              </w:rPr>
              <w:t>]</w:t>
            </w:r>
            <w:r w:rsidR="00636AB1" w:rsidRPr="3B2C0D8C">
              <w:rPr>
                <w:color w:val="121212"/>
              </w:rPr>
              <w:t xml:space="preserve"> </w:t>
            </w:r>
          </w:p>
        </w:tc>
        <w:tc>
          <w:tcPr>
            <w:tcW w:w="660" w:type="pct"/>
            <w:tcBorders>
              <w:top w:val="nil"/>
              <w:left w:val="nil"/>
              <w:bottom w:val="single" w:sz="4" w:space="0" w:color="000000" w:themeColor="text1"/>
              <w:right w:val="single" w:sz="4" w:space="0" w:color="000000" w:themeColor="text1"/>
            </w:tcBorders>
            <w:vAlign w:val="bottom"/>
          </w:tcPr>
          <w:p w14:paraId="5FCB54C5" w14:textId="77777777" w:rsidR="00423B40" w:rsidRDefault="00636AB1">
            <w:pPr>
              <w:spacing w:after="0"/>
              <w:jc w:val="left"/>
              <w:rPr>
                <w:color w:val="121212"/>
              </w:rPr>
            </w:pPr>
            <w:r>
              <w:rPr>
                <w:color w:val="121212"/>
              </w:rPr>
              <w:t>Cross-sectional survey</w:t>
            </w:r>
          </w:p>
        </w:tc>
        <w:tc>
          <w:tcPr>
            <w:tcW w:w="660" w:type="pct"/>
            <w:tcBorders>
              <w:top w:val="nil"/>
              <w:left w:val="nil"/>
              <w:bottom w:val="single" w:sz="4" w:space="0" w:color="000000" w:themeColor="text1"/>
              <w:right w:val="single" w:sz="4" w:space="0" w:color="000000" w:themeColor="text1"/>
            </w:tcBorders>
            <w:vAlign w:val="bottom"/>
          </w:tcPr>
          <w:p w14:paraId="167FF996" w14:textId="77777777" w:rsidR="00423B40" w:rsidRDefault="00636AB1">
            <w:pPr>
              <w:spacing w:after="0"/>
              <w:jc w:val="left"/>
              <w:rPr>
                <w:color w:val="121212"/>
              </w:rPr>
            </w:pPr>
            <w:r>
              <w:rPr>
                <w:color w:val="121212"/>
              </w:rPr>
              <w:t>Self-administered questionnaire</w:t>
            </w:r>
          </w:p>
        </w:tc>
        <w:tc>
          <w:tcPr>
            <w:tcW w:w="507" w:type="pct"/>
            <w:tcBorders>
              <w:top w:val="nil"/>
              <w:left w:val="nil"/>
              <w:bottom w:val="single" w:sz="4" w:space="0" w:color="000000" w:themeColor="text1"/>
              <w:right w:val="single" w:sz="4" w:space="0" w:color="000000" w:themeColor="text1"/>
            </w:tcBorders>
            <w:vAlign w:val="bottom"/>
          </w:tcPr>
          <w:p w14:paraId="4696B82C" w14:textId="77777777" w:rsidR="00423B40" w:rsidRDefault="00636AB1">
            <w:pPr>
              <w:spacing w:after="0"/>
              <w:jc w:val="right"/>
              <w:rPr>
                <w:color w:val="121212"/>
              </w:rPr>
            </w:pPr>
            <w:r>
              <w:rPr>
                <w:color w:val="121212"/>
              </w:rPr>
              <w:t>1,092</w:t>
            </w:r>
          </w:p>
        </w:tc>
        <w:tc>
          <w:tcPr>
            <w:tcW w:w="1207" w:type="pct"/>
            <w:tcBorders>
              <w:top w:val="nil"/>
              <w:left w:val="nil"/>
              <w:bottom w:val="single" w:sz="4" w:space="0" w:color="000000" w:themeColor="text1"/>
              <w:right w:val="single" w:sz="4" w:space="0" w:color="000000" w:themeColor="text1"/>
            </w:tcBorders>
            <w:vAlign w:val="bottom"/>
          </w:tcPr>
          <w:p w14:paraId="1F24512B" w14:textId="77546600" w:rsidR="00423B40" w:rsidRDefault="00636AB1">
            <w:pPr>
              <w:spacing w:after="0"/>
              <w:jc w:val="left"/>
              <w:rPr>
                <w:color w:val="121212"/>
              </w:rPr>
            </w:pPr>
            <w:r w:rsidRPr="3B2C0D8C">
              <w:rPr>
                <w:color w:val="121212"/>
              </w:rPr>
              <w:t>Urinary incontinence was reported by 10.3% of the 1,092 participants. The prevalence was similar among participants aged 19–24 years (10.0%) and those aged 25–30 years (11.0%), with no statistically significant difference Awareness and understanding of pelvic floor disorders were also limited among the participants.</w:t>
            </w:r>
          </w:p>
        </w:tc>
        <w:tc>
          <w:tcPr>
            <w:tcW w:w="138" w:type="pct"/>
            <w:tcBorders>
              <w:top w:val="nil"/>
              <w:left w:val="nil"/>
              <w:bottom w:val="nil"/>
              <w:right w:val="nil"/>
            </w:tcBorders>
            <w:vAlign w:val="bottom"/>
          </w:tcPr>
          <w:p w14:paraId="4F4AA8A6" w14:textId="77777777" w:rsidR="00423B40" w:rsidRDefault="00423B40">
            <w:pPr>
              <w:spacing w:after="0"/>
              <w:jc w:val="left"/>
              <w:rPr>
                <w:color w:val="121212"/>
                <w:sz w:val="20"/>
                <w:szCs w:val="20"/>
              </w:rPr>
            </w:pPr>
          </w:p>
        </w:tc>
      </w:tr>
      <w:tr w:rsidR="00423B40" w14:paraId="2E20EF4B"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4BAF3898" w14:textId="2B9F990E" w:rsidR="00423B40" w:rsidRDefault="00636AB1">
            <w:pPr>
              <w:spacing w:after="0"/>
              <w:jc w:val="left"/>
              <w:rPr>
                <w:color w:val="121212"/>
              </w:rPr>
            </w:pPr>
            <w:r w:rsidRPr="00A86A24">
              <w:rPr>
                <w:color w:val="121212"/>
                <w:lang w:val="de-AT"/>
              </w:rPr>
              <w:t xml:space="preserve">Vrijens, D., (2017). </w:t>
            </w:r>
            <w:r w:rsidR="004551D4">
              <w:rPr>
                <w:color w:val="121212"/>
              </w:rPr>
              <w:t>[</w:t>
            </w:r>
            <w:r w:rsidR="00337F04">
              <w:rPr>
                <w:color w:val="121212"/>
              </w:rPr>
              <w:t>94</w:t>
            </w:r>
            <w:r w:rsidR="004551D4">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1C1AEB20" w14:textId="77777777" w:rsidR="00423B40" w:rsidRDefault="00636AB1">
            <w:pPr>
              <w:spacing w:after="0"/>
              <w:jc w:val="left"/>
              <w:rPr>
                <w:color w:val="121212"/>
              </w:rPr>
            </w:pPr>
            <w:r>
              <w:rPr>
                <w:color w:val="121212"/>
              </w:rPr>
              <w:t>Cross-sectional cohort</w:t>
            </w:r>
          </w:p>
        </w:tc>
        <w:tc>
          <w:tcPr>
            <w:tcW w:w="660" w:type="pct"/>
            <w:tcBorders>
              <w:top w:val="nil"/>
              <w:left w:val="nil"/>
              <w:bottom w:val="single" w:sz="4" w:space="0" w:color="000000" w:themeColor="text1"/>
              <w:right w:val="single" w:sz="4" w:space="0" w:color="000000" w:themeColor="text1"/>
            </w:tcBorders>
            <w:vAlign w:val="bottom"/>
          </w:tcPr>
          <w:p w14:paraId="4FBADE2D" w14:textId="77777777" w:rsidR="00423B40" w:rsidRDefault="00636AB1">
            <w:pPr>
              <w:spacing w:after="0"/>
              <w:jc w:val="left"/>
              <w:rPr>
                <w:color w:val="121212"/>
              </w:rPr>
            </w:pPr>
            <w:r>
              <w:rPr>
                <w:color w:val="121212"/>
              </w:rPr>
              <w:t>Clinical assessment and validated psychological questionnaires</w:t>
            </w:r>
          </w:p>
        </w:tc>
        <w:tc>
          <w:tcPr>
            <w:tcW w:w="507" w:type="pct"/>
            <w:tcBorders>
              <w:top w:val="nil"/>
              <w:left w:val="nil"/>
              <w:bottom w:val="single" w:sz="4" w:space="0" w:color="000000" w:themeColor="text1"/>
              <w:right w:val="single" w:sz="4" w:space="0" w:color="000000" w:themeColor="text1"/>
            </w:tcBorders>
            <w:vAlign w:val="bottom"/>
          </w:tcPr>
          <w:p w14:paraId="4EEA3CFD" w14:textId="77777777" w:rsidR="00423B40" w:rsidRDefault="00636AB1">
            <w:pPr>
              <w:spacing w:after="0"/>
              <w:jc w:val="right"/>
              <w:rPr>
                <w:color w:val="121212"/>
              </w:rPr>
            </w:pPr>
            <w:r>
              <w:rPr>
                <w:color w:val="121212"/>
              </w:rPr>
              <w:t>1,866</w:t>
            </w:r>
          </w:p>
        </w:tc>
        <w:tc>
          <w:tcPr>
            <w:tcW w:w="1207" w:type="pct"/>
            <w:tcBorders>
              <w:top w:val="nil"/>
              <w:left w:val="nil"/>
              <w:bottom w:val="single" w:sz="4" w:space="0" w:color="000000" w:themeColor="text1"/>
              <w:right w:val="single" w:sz="4" w:space="0" w:color="000000" w:themeColor="text1"/>
            </w:tcBorders>
            <w:vAlign w:val="bottom"/>
          </w:tcPr>
          <w:p w14:paraId="0B328B2F" w14:textId="77777777" w:rsidR="00423B40" w:rsidRDefault="00636AB1">
            <w:pPr>
              <w:spacing w:after="0"/>
              <w:jc w:val="left"/>
              <w:rPr>
                <w:color w:val="121212"/>
              </w:rPr>
            </w:pPr>
            <w:r>
              <w:rPr>
                <w:color w:val="121212"/>
              </w:rPr>
              <w:t xml:space="preserve">Among 1,510 respondents, anxiety symptoms were reported by 30.9% and depressive symptoms by 20.3%. After adjustment for other contributing variables, PFD explained 7.4% of the variance in anxiety scores and </w:t>
            </w:r>
            <w:r>
              <w:rPr>
                <w:color w:val="121212"/>
              </w:rPr>
              <w:lastRenderedPageBreak/>
              <w:t>12% of the variance in depression scores.</w:t>
            </w:r>
          </w:p>
        </w:tc>
        <w:tc>
          <w:tcPr>
            <w:tcW w:w="138" w:type="pct"/>
            <w:tcBorders>
              <w:top w:val="nil"/>
              <w:left w:val="nil"/>
              <w:bottom w:val="nil"/>
              <w:right w:val="nil"/>
            </w:tcBorders>
            <w:vAlign w:val="bottom"/>
          </w:tcPr>
          <w:p w14:paraId="2D123250" w14:textId="77777777" w:rsidR="00423B40" w:rsidRDefault="00423B40">
            <w:pPr>
              <w:spacing w:after="0"/>
              <w:jc w:val="left"/>
              <w:rPr>
                <w:color w:val="121212"/>
                <w:sz w:val="20"/>
                <w:szCs w:val="20"/>
              </w:rPr>
            </w:pPr>
          </w:p>
        </w:tc>
      </w:tr>
      <w:tr w:rsidR="00423B40" w14:paraId="5D08CC6D"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4088EDFB" w14:textId="376BC029" w:rsidR="00423B40" w:rsidRDefault="00636AB1">
            <w:pPr>
              <w:spacing w:before="240"/>
              <w:rPr>
                <w:color w:val="121212"/>
              </w:rPr>
            </w:pPr>
            <w:r>
              <w:rPr>
                <w:color w:val="121212"/>
              </w:rPr>
              <w:t>Mazi, B., Kaddour, O. and Al-Badr, A. (2019).</w:t>
            </w:r>
            <w:r w:rsidR="0044134D">
              <w:rPr>
                <w:color w:val="121212"/>
              </w:rPr>
              <w:t xml:space="preserve"> [</w:t>
            </w:r>
            <w:r w:rsidR="00337F04">
              <w:rPr>
                <w:color w:val="121212"/>
              </w:rPr>
              <w:t>53</w:t>
            </w:r>
            <w:r w:rsidR="0044134D">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601E98F0" w14:textId="77777777" w:rsidR="00423B40" w:rsidRDefault="00636AB1">
            <w:pPr>
              <w:spacing w:after="0"/>
              <w:jc w:val="left"/>
              <w:rPr>
                <w:color w:val="121212"/>
              </w:rPr>
            </w:pPr>
            <w:r>
              <w:rPr>
                <w:color w:val="121212"/>
              </w:rPr>
              <w:t>Case-control study</w:t>
            </w:r>
          </w:p>
        </w:tc>
        <w:tc>
          <w:tcPr>
            <w:tcW w:w="660" w:type="pct"/>
            <w:tcBorders>
              <w:top w:val="nil"/>
              <w:left w:val="nil"/>
              <w:bottom w:val="single" w:sz="4" w:space="0" w:color="000000" w:themeColor="text1"/>
              <w:right w:val="single" w:sz="4" w:space="0" w:color="000000" w:themeColor="text1"/>
            </w:tcBorders>
            <w:vAlign w:val="bottom"/>
          </w:tcPr>
          <w:p w14:paraId="10DE1877" w14:textId="77777777" w:rsidR="00423B40" w:rsidRDefault="00636AB1">
            <w:pPr>
              <w:spacing w:after="0"/>
              <w:jc w:val="left"/>
              <w:rPr>
                <w:color w:val="121212"/>
              </w:rPr>
            </w:pPr>
            <w:r>
              <w:rPr>
                <w:color w:val="121212"/>
              </w:rPr>
              <w:t>Case-control using Beck Depression Inventory</w:t>
            </w:r>
          </w:p>
        </w:tc>
        <w:tc>
          <w:tcPr>
            <w:tcW w:w="507" w:type="pct"/>
            <w:tcBorders>
              <w:top w:val="nil"/>
              <w:left w:val="nil"/>
              <w:bottom w:val="single" w:sz="4" w:space="0" w:color="000000" w:themeColor="text1"/>
              <w:right w:val="single" w:sz="4" w:space="0" w:color="000000" w:themeColor="text1"/>
            </w:tcBorders>
            <w:vAlign w:val="bottom"/>
          </w:tcPr>
          <w:p w14:paraId="335D4893" w14:textId="77777777" w:rsidR="00423B40" w:rsidRDefault="00636AB1">
            <w:pPr>
              <w:spacing w:after="0"/>
              <w:jc w:val="right"/>
              <w:rPr>
                <w:color w:val="121212"/>
              </w:rPr>
            </w:pPr>
            <w:r>
              <w:rPr>
                <w:color w:val="121212"/>
              </w:rPr>
              <w:t>100</w:t>
            </w:r>
          </w:p>
        </w:tc>
        <w:tc>
          <w:tcPr>
            <w:tcW w:w="1207" w:type="pct"/>
            <w:tcBorders>
              <w:top w:val="nil"/>
              <w:left w:val="nil"/>
              <w:bottom w:val="single" w:sz="4" w:space="0" w:color="000000" w:themeColor="text1"/>
              <w:right w:val="single" w:sz="4" w:space="0" w:color="000000" w:themeColor="text1"/>
            </w:tcBorders>
            <w:vAlign w:val="bottom"/>
          </w:tcPr>
          <w:p w14:paraId="1CB603D9" w14:textId="77777777" w:rsidR="00423B40" w:rsidRDefault="00636AB1">
            <w:pPr>
              <w:spacing w:after="0"/>
              <w:jc w:val="left"/>
              <w:rPr>
                <w:color w:val="121212"/>
              </w:rPr>
            </w:pPr>
            <w:r>
              <w:rPr>
                <w:color w:val="121212"/>
              </w:rPr>
              <w:t>Depression scores were significantly higher among women with pelvic floor dysfunction.</w:t>
            </w:r>
          </w:p>
        </w:tc>
        <w:tc>
          <w:tcPr>
            <w:tcW w:w="138" w:type="pct"/>
            <w:tcBorders>
              <w:top w:val="nil"/>
              <w:left w:val="nil"/>
              <w:bottom w:val="nil"/>
              <w:right w:val="nil"/>
            </w:tcBorders>
            <w:vAlign w:val="bottom"/>
          </w:tcPr>
          <w:p w14:paraId="0DBE6A83" w14:textId="77777777" w:rsidR="00423B40" w:rsidRDefault="00423B40">
            <w:pPr>
              <w:spacing w:after="0"/>
              <w:jc w:val="left"/>
              <w:rPr>
                <w:color w:val="121212"/>
                <w:sz w:val="20"/>
                <w:szCs w:val="20"/>
              </w:rPr>
            </w:pPr>
          </w:p>
        </w:tc>
      </w:tr>
      <w:tr w:rsidR="00423B40" w14:paraId="54D625B8"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35974B36" w14:textId="7EB99A78" w:rsidR="00423B40" w:rsidRDefault="00636AB1">
            <w:pPr>
              <w:spacing w:before="240" w:after="240"/>
              <w:rPr>
                <w:color w:val="121212"/>
              </w:rPr>
            </w:pPr>
            <w:r w:rsidRPr="00A86A24">
              <w:rPr>
                <w:color w:val="121212"/>
                <w:lang w:val="de-AT"/>
              </w:rPr>
              <w:t xml:space="preserve">Eloranta, S., (2019). </w:t>
            </w:r>
            <w:r w:rsidR="0044134D">
              <w:rPr>
                <w:color w:val="121212"/>
                <w:lang w:val="de-AT"/>
              </w:rPr>
              <w:t>[2</w:t>
            </w:r>
            <w:r w:rsidR="00337F04">
              <w:rPr>
                <w:color w:val="121212"/>
                <w:lang w:val="de-AT"/>
              </w:rPr>
              <w:t>4</w:t>
            </w:r>
            <w:r w:rsidR="0044134D">
              <w:rPr>
                <w:color w:val="121212"/>
                <w:lang w:val="de-AT"/>
              </w:rPr>
              <w:t>]</w:t>
            </w:r>
          </w:p>
        </w:tc>
        <w:tc>
          <w:tcPr>
            <w:tcW w:w="660" w:type="pct"/>
            <w:tcBorders>
              <w:top w:val="nil"/>
              <w:left w:val="nil"/>
              <w:bottom w:val="single" w:sz="4" w:space="0" w:color="000000" w:themeColor="text1"/>
              <w:right w:val="single" w:sz="4" w:space="0" w:color="000000" w:themeColor="text1"/>
            </w:tcBorders>
            <w:vAlign w:val="bottom"/>
          </w:tcPr>
          <w:p w14:paraId="082D39C0" w14:textId="77777777" w:rsidR="00423B40" w:rsidRDefault="00636AB1">
            <w:pPr>
              <w:spacing w:after="0"/>
              <w:jc w:val="left"/>
              <w:rPr>
                <w:color w:val="121212"/>
              </w:rPr>
            </w:pPr>
            <w:r>
              <w:rPr>
                <w:color w:val="121212"/>
              </w:rPr>
              <w:t>Cross-sectional study</w:t>
            </w:r>
          </w:p>
        </w:tc>
        <w:tc>
          <w:tcPr>
            <w:tcW w:w="660" w:type="pct"/>
            <w:tcBorders>
              <w:top w:val="nil"/>
              <w:left w:val="nil"/>
              <w:bottom w:val="single" w:sz="4" w:space="0" w:color="000000" w:themeColor="text1"/>
              <w:right w:val="single" w:sz="4" w:space="0" w:color="000000" w:themeColor="text1"/>
            </w:tcBorders>
            <w:vAlign w:val="bottom"/>
          </w:tcPr>
          <w:p w14:paraId="4A0D3A24" w14:textId="77777777" w:rsidR="00423B40" w:rsidRDefault="00636AB1">
            <w:pPr>
              <w:spacing w:after="0"/>
              <w:jc w:val="left"/>
              <w:rPr>
                <w:color w:val="121212"/>
              </w:rPr>
            </w:pPr>
            <w:r>
              <w:rPr>
                <w:color w:val="121212"/>
              </w:rPr>
              <w:t>Population survey using validated QoL questionnaire</w:t>
            </w:r>
          </w:p>
        </w:tc>
        <w:tc>
          <w:tcPr>
            <w:tcW w:w="507" w:type="pct"/>
            <w:tcBorders>
              <w:top w:val="nil"/>
              <w:left w:val="nil"/>
              <w:bottom w:val="single" w:sz="4" w:space="0" w:color="000000" w:themeColor="text1"/>
              <w:right w:val="single" w:sz="4" w:space="0" w:color="000000" w:themeColor="text1"/>
            </w:tcBorders>
            <w:vAlign w:val="bottom"/>
          </w:tcPr>
          <w:p w14:paraId="787C442D" w14:textId="77777777" w:rsidR="00423B40" w:rsidRDefault="00636AB1">
            <w:pPr>
              <w:spacing w:after="0"/>
              <w:jc w:val="right"/>
              <w:rPr>
                <w:color w:val="121212"/>
              </w:rPr>
            </w:pPr>
            <w:r>
              <w:rPr>
                <w:color w:val="121212"/>
              </w:rPr>
              <w:t>2,848</w:t>
            </w:r>
          </w:p>
        </w:tc>
        <w:tc>
          <w:tcPr>
            <w:tcW w:w="1207" w:type="pct"/>
            <w:tcBorders>
              <w:top w:val="nil"/>
              <w:left w:val="nil"/>
              <w:bottom w:val="single" w:sz="4" w:space="0" w:color="000000" w:themeColor="text1"/>
              <w:right w:val="single" w:sz="4" w:space="0" w:color="000000" w:themeColor="text1"/>
            </w:tcBorders>
            <w:vAlign w:val="bottom"/>
          </w:tcPr>
          <w:p w14:paraId="52506F07" w14:textId="77777777" w:rsidR="00423B40" w:rsidRDefault="00636AB1">
            <w:pPr>
              <w:spacing w:after="0"/>
              <w:jc w:val="left"/>
              <w:rPr>
                <w:color w:val="121212"/>
              </w:rPr>
            </w:pPr>
            <w:r>
              <w:rPr>
                <w:color w:val="121212"/>
              </w:rPr>
              <w:t>Pelvic floor disorders significantly reduced health-related quality of life, particularly among women with multiple symptoms.</w:t>
            </w:r>
          </w:p>
        </w:tc>
        <w:tc>
          <w:tcPr>
            <w:tcW w:w="138" w:type="pct"/>
            <w:tcBorders>
              <w:top w:val="nil"/>
              <w:left w:val="nil"/>
              <w:bottom w:val="nil"/>
              <w:right w:val="nil"/>
            </w:tcBorders>
            <w:vAlign w:val="bottom"/>
          </w:tcPr>
          <w:p w14:paraId="72C042F8" w14:textId="77777777" w:rsidR="00423B40" w:rsidRDefault="00423B40">
            <w:pPr>
              <w:spacing w:after="0"/>
              <w:jc w:val="left"/>
              <w:rPr>
                <w:color w:val="121212"/>
                <w:sz w:val="20"/>
                <w:szCs w:val="20"/>
              </w:rPr>
            </w:pPr>
          </w:p>
        </w:tc>
      </w:tr>
      <w:tr w:rsidR="00423B40" w14:paraId="48DE712E"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3671E6D3" w14:textId="17EEA8A9" w:rsidR="00423B40" w:rsidRDefault="00636AB1">
            <w:pPr>
              <w:spacing w:after="240"/>
              <w:rPr>
                <w:color w:val="121212"/>
              </w:rPr>
            </w:pPr>
            <w:r>
              <w:rPr>
                <w:color w:val="121212"/>
              </w:rPr>
              <w:t xml:space="preserve">AlQuaiz, A.M., (2023). </w:t>
            </w:r>
            <w:r w:rsidR="0044134D">
              <w:rPr>
                <w:color w:val="121212"/>
              </w:rPr>
              <w:t>[</w:t>
            </w:r>
            <w:r w:rsidR="00337F04">
              <w:rPr>
                <w:color w:val="121212"/>
              </w:rPr>
              <w:t>3</w:t>
            </w:r>
            <w:r w:rsidR="0044134D">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4AB10478" w14:textId="77777777" w:rsidR="00423B40" w:rsidRDefault="00636AB1">
            <w:pPr>
              <w:spacing w:after="0"/>
              <w:jc w:val="left"/>
              <w:rPr>
                <w:color w:val="121212"/>
              </w:rPr>
            </w:pPr>
            <w:r>
              <w:rPr>
                <w:color w:val="121212"/>
              </w:rPr>
              <w:t>Cross-sectional survey</w:t>
            </w:r>
          </w:p>
        </w:tc>
        <w:tc>
          <w:tcPr>
            <w:tcW w:w="660" w:type="pct"/>
            <w:tcBorders>
              <w:top w:val="nil"/>
              <w:left w:val="nil"/>
              <w:bottom w:val="single" w:sz="4" w:space="0" w:color="000000" w:themeColor="text1"/>
              <w:right w:val="single" w:sz="4" w:space="0" w:color="000000" w:themeColor="text1"/>
            </w:tcBorders>
            <w:vAlign w:val="bottom"/>
          </w:tcPr>
          <w:p w14:paraId="040544F1" w14:textId="77777777" w:rsidR="00423B40" w:rsidRDefault="00636AB1">
            <w:pPr>
              <w:spacing w:after="0"/>
              <w:jc w:val="left"/>
              <w:rPr>
                <w:color w:val="121212"/>
              </w:rPr>
            </w:pPr>
            <w:r>
              <w:rPr>
                <w:color w:val="121212"/>
              </w:rPr>
              <w:t>Structured questionnaire and validated QoL scales</w:t>
            </w:r>
          </w:p>
        </w:tc>
        <w:tc>
          <w:tcPr>
            <w:tcW w:w="507" w:type="pct"/>
            <w:tcBorders>
              <w:top w:val="nil"/>
              <w:left w:val="nil"/>
              <w:bottom w:val="single" w:sz="4" w:space="0" w:color="000000" w:themeColor="text1"/>
              <w:right w:val="single" w:sz="4" w:space="0" w:color="000000" w:themeColor="text1"/>
            </w:tcBorders>
            <w:vAlign w:val="bottom"/>
          </w:tcPr>
          <w:p w14:paraId="593280C1" w14:textId="77777777" w:rsidR="00423B40" w:rsidRDefault="00636AB1">
            <w:pPr>
              <w:spacing w:after="0"/>
              <w:jc w:val="right"/>
              <w:rPr>
                <w:color w:val="121212"/>
              </w:rPr>
            </w:pPr>
            <w:r>
              <w:rPr>
                <w:color w:val="121212"/>
              </w:rPr>
              <w:t>964</w:t>
            </w:r>
          </w:p>
        </w:tc>
        <w:tc>
          <w:tcPr>
            <w:tcW w:w="1207" w:type="pct"/>
            <w:tcBorders>
              <w:top w:val="nil"/>
              <w:left w:val="nil"/>
              <w:bottom w:val="single" w:sz="4" w:space="0" w:color="000000" w:themeColor="text1"/>
              <w:right w:val="single" w:sz="4" w:space="0" w:color="000000" w:themeColor="text1"/>
            </w:tcBorders>
            <w:vAlign w:val="bottom"/>
          </w:tcPr>
          <w:p w14:paraId="01825697" w14:textId="77777777" w:rsidR="00423B40" w:rsidRDefault="00636AB1">
            <w:pPr>
              <w:spacing w:after="0"/>
              <w:jc w:val="left"/>
              <w:rPr>
                <w:color w:val="121212"/>
              </w:rPr>
            </w:pPr>
            <w:r>
              <w:rPr>
                <w:color w:val="121212"/>
              </w:rPr>
              <w:t>Urinary incontinence was associated with poorer quality of life, greater psychological distress and lower self-esteem.</w:t>
            </w:r>
          </w:p>
        </w:tc>
        <w:tc>
          <w:tcPr>
            <w:tcW w:w="138" w:type="pct"/>
            <w:tcBorders>
              <w:top w:val="nil"/>
              <w:left w:val="nil"/>
              <w:bottom w:val="nil"/>
              <w:right w:val="nil"/>
            </w:tcBorders>
            <w:vAlign w:val="bottom"/>
          </w:tcPr>
          <w:p w14:paraId="0040969B" w14:textId="77777777" w:rsidR="00423B40" w:rsidRDefault="00423B40">
            <w:pPr>
              <w:spacing w:after="0"/>
              <w:jc w:val="left"/>
              <w:rPr>
                <w:color w:val="121212"/>
                <w:sz w:val="20"/>
                <w:szCs w:val="20"/>
              </w:rPr>
            </w:pPr>
          </w:p>
        </w:tc>
      </w:tr>
      <w:tr w:rsidR="00423B40" w14:paraId="070AB9B1"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18A8D1E2" w14:textId="6E8B0492" w:rsidR="00423B40" w:rsidRDefault="00636AB1">
            <w:pPr>
              <w:spacing w:before="240"/>
              <w:rPr>
                <w:color w:val="121212"/>
              </w:rPr>
            </w:pPr>
            <w:r>
              <w:rPr>
                <w:color w:val="121212"/>
              </w:rPr>
              <w:t xml:space="preserve">Kalata, U., (2023). </w:t>
            </w:r>
            <w:r w:rsidR="0044134D">
              <w:rPr>
                <w:color w:val="121212"/>
              </w:rPr>
              <w:t>[</w:t>
            </w:r>
            <w:r w:rsidR="00337F04">
              <w:rPr>
                <w:color w:val="121212"/>
              </w:rPr>
              <w:t>4</w:t>
            </w:r>
            <w:r w:rsidR="0044134D">
              <w:rPr>
                <w:color w:val="121212"/>
              </w:rPr>
              <w:t>3]</w:t>
            </w:r>
          </w:p>
        </w:tc>
        <w:tc>
          <w:tcPr>
            <w:tcW w:w="660" w:type="pct"/>
            <w:tcBorders>
              <w:top w:val="nil"/>
              <w:left w:val="nil"/>
              <w:bottom w:val="single" w:sz="4" w:space="0" w:color="000000" w:themeColor="text1"/>
              <w:right w:val="single" w:sz="4" w:space="0" w:color="000000" w:themeColor="text1"/>
            </w:tcBorders>
            <w:vAlign w:val="bottom"/>
          </w:tcPr>
          <w:p w14:paraId="1F8882DA" w14:textId="77777777" w:rsidR="00423B40" w:rsidRDefault="00636AB1">
            <w:pPr>
              <w:spacing w:after="0"/>
              <w:jc w:val="left"/>
              <w:rPr>
                <w:color w:val="121212"/>
              </w:rPr>
            </w:pPr>
            <w:r>
              <w:rPr>
                <w:color w:val="121212"/>
              </w:rPr>
              <w:t>Comparative observational study</w:t>
            </w:r>
          </w:p>
        </w:tc>
        <w:tc>
          <w:tcPr>
            <w:tcW w:w="660" w:type="pct"/>
            <w:tcBorders>
              <w:top w:val="nil"/>
              <w:left w:val="nil"/>
              <w:bottom w:val="single" w:sz="4" w:space="0" w:color="000000" w:themeColor="text1"/>
              <w:right w:val="single" w:sz="4" w:space="0" w:color="000000" w:themeColor="text1"/>
            </w:tcBorders>
            <w:vAlign w:val="bottom"/>
          </w:tcPr>
          <w:p w14:paraId="53109E11" w14:textId="77777777" w:rsidR="00423B40" w:rsidRDefault="00636AB1">
            <w:pPr>
              <w:spacing w:after="0"/>
              <w:jc w:val="left"/>
              <w:rPr>
                <w:color w:val="121212"/>
              </w:rPr>
            </w:pPr>
            <w:r>
              <w:rPr>
                <w:color w:val="121212"/>
              </w:rPr>
              <w:t>Clinical examination with validated mental health questionnaires</w:t>
            </w:r>
          </w:p>
        </w:tc>
        <w:tc>
          <w:tcPr>
            <w:tcW w:w="507" w:type="pct"/>
            <w:tcBorders>
              <w:top w:val="nil"/>
              <w:left w:val="nil"/>
              <w:bottom w:val="single" w:sz="4" w:space="0" w:color="000000" w:themeColor="text1"/>
              <w:right w:val="single" w:sz="4" w:space="0" w:color="000000" w:themeColor="text1"/>
            </w:tcBorders>
            <w:vAlign w:val="bottom"/>
          </w:tcPr>
          <w:p w14:paraId="3F8CC6D8" w14:textId="77777777" w:rsidR="00423B40" w:rsidRDefault="00636AB1">
            <w:pPr>
              <w:spacing w:after="0"/>
              <w:jc w:val="right"/>
              <w:rPr>
                <w:color w:val="121212"/>
              </w:rPr>
            </w:pPr>
            <w:r>
              <w:rPr>
                <w:color w:val="121212"/>
              </w:rPr>
              <w:t>123</w:t>
            </w:r>
          </w:p>
        </w:tc>
        <w:tc>
          <w:tcPr>
            <w:tcW w:w="1207" w:type="pct"/>
            <w:tcBorders>
              <w:top w:val="nil"/>
              <w:left w:val="nil"/>
              <w:bottom w:val="single" w:sz="4" w:space="0" w:color="000000" w:themeColor="text1"/>
              <w:right w:val="single" w:sz="4" w:space="0" w:color="000000" w:themeColor="text1"/>
            </w:tcBorders>
            <w:vAlign w:val="bottom"/>
          </w:tcPr>
          <w:p w14:paraId="16B5300D" w14:textId="77777777" w:rsidR="00423B40" w:rsidRDefault="00636AB1">
            <w:pPr>
              <w:spacing w:after="0"/>
              <w:jc w:val="left"/>
              <w:rPr>
                <w:color w:val="121212"/>
              </w:rPr>
            </w:pPr>
            <w:r>
              <w:rPr>
                <w:color w:val="121212"/>
              </w:rPr>
              <w:t>Both conditions were associated with significantly higher depression, anxiety and sleep disturbance scores.</w:t>
            </w:r>
          </w:p>
        </w:tc>
        <w:tc>
          <w:tcPr>
            <w:tcW w:w="138" w:type="pct"/>
            <w:tcBorders>
              <w:top w:val="nil"/>
              <w:left w:val="nil"/>
              <w:bottom w:val="nil"/>
              <w:right w:val="nil"/>
            </w:tcBorders>
            <w:vAlign w:val="bottom"/>
          </w:tcPr>
          <w:p w14:paraId="4001258F" w14:textId="77777777" w:rsidR="00423B40" w:rsidRDefault="00423B40">
            <w:pPr>
              <w:spacing w:after="0"/>
              <w:jc w:val="left"/>
              <w:rPr>
                <w:color w:val="121212"/>
                <w:sz w:val="20"/>
                <w:szCs w:val="20"/>
              </w:rPr>
            </w:pPr>
          </w:p>
        </w:tc>
      </w:tr>
      <w:tr w:rsidR="00423B40" w14:paraId="0093C70F"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41826D81" w14:textId="74C688EE" w:rsidR="00423B40" w:rsidRDefault="00636AB1">
            <w:pPr>
              <w:spacing w:before="240" w:after="240"/>
              <w:rPr>
                <w:color w:val="121212"/>
              </w:rPr>
            </w:pPr>
            <w:r>
              <w:rPr>
                <w:color w:val="121212"/>
              </w:rPr>
              <w:t xml:space="preserve">Patel, D.P.Y.M.K.P.M. (2025). </w:t>
            </w:r>
            <w:r w:rsidR="0044134D">
              <w:rPr>
                <w:color w:val="121212"/>
              </w:rPr>
              <w:t>[</w:t>
            </w:r>
            <w:r w:rsidR="00337F04">
              <w:rPr>
                <w:color w:val="121212"/>
              </w:rPr>
              <w:t>65</w:t>
            </w:r>
            <w:r w:rsidR="0044134D">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43AFBC2A" w14:textId="77777777" w:rsidR="00423B40" w:rsidRDefault="00636AB1">
            <w:pPr>
              <w:spacing w:after="0"/>
              <w:jc w:val="left"/>
              <w:rPr>
                <w:color w:val="121212"/>
              </w:rPr>
            </w:pPr>
            <w:r>
              <w:rPr>
                <w:color w:val="121212"/>
              </w:rPr>
              <w:t>Longitudinal cohort study</w:t>
            </w:r>
          </w:p>
        </w:tc>
        <w:tc>
          <w:tcPr>
            <w:tcW w:w="660" w:type="pct"/>
            <w:tcBorders>
              <w:top w:val="nil"/>
              <w:left w:val="nil"/>
              <w:bottom w:val="single" w:sz="4" w:space="0" w:color="000000" w:themeColor="text1"/>
              <w:right w:val="single" w:sz="4" w:space="0" w:color="000000" w:themeColor="text1"/>
            </w:tcBorders>
            <w:vAlign w:val="bottom"/>
          </w:tcPr>
          <w:p w14:paraId="47D269FA" w14:textId="77777777" w:rsidR="00423B40" w:rsidRDefault="00636AB1">
            <w:pPr>
              <w:spacing w:after="0"/>
              <w:jc w:val="left"/>
              <w:rPr>
                <w:color w:val="121212"/>
              </w:rPr>
            </w:pPr>
            <w:r>
              <w:rPr>
                <w:color w:val="121212"/>
              </w:rPr>
              <w:t>Clinical follow-up assessments</w:t>
            </w:r>
          </w:p>
        </w:tc>
        <w:tc>
          <w:tcPr>
            <w:tcW w:w="507" w:type="pct"/>
            <w:tcBorders>
              <w:top w:val="nil"/>
              <w:left w:val="nil"/>
              <w:bottom w:val="single" w:sz="4" w:space="0" w:color="000000" w:themeColor="text1"/>
              <w:right w:val="single" w:sz="4" w:space="0" w:color="000000" w:themeColor="text1"/>
            </w:tcBorders>
            <w:vAlign w:val="bottom"/>
          </w:tcPr>
          <w:p w14:paraId="6E388A0A" w14:textId="77777777" w:rsidR="00423B40" w:rsidRDefault="00636AB1">
            <w:pPr>
              <w:spacing w:after="0"/>
              <w:jc w:val="right"/>
              <w:rPr>
                <w:color w:val="121212"/>
              </w:rPr>
            </w:pPr>
            <w:r>
              <w:rPr>
                <w:color w:val="121212"/>
              </w:rPr>
              <w:t>120</w:t>
            </w:r>
          </w:p>
        </w:tc>
        <w:tc>
          <w:tcPr>
            <w:tcW w:w="1207" w:type="pct"/>
            <w:tcBorders>
              <w:top w:val="nil"/>
              <w:left w:val="nil"/>
              <w:bottom w:val="single" w:sz="4" w:space="0" w:color="000000" w:themeColor="text1"/>
              <w:right w:val="single" w:sz="4" w:space="0" w:color="000000" w:themeColor="text1"/>
            </w:tcBorders>
            <w:vAlign w:val="bottom"/>
          </w:tcPr>
          <w:p w14:paraId="0A1482E5" w14:textId="77777777" w:rsidR="00423B40" w:rsidRDefault="00636AB1">
            <w:pPr>
              <w:spacing w:after="0"/>
              <w:jc w:val="left"/>
              <w:rPr>
                <w:color w:val="121212"/>
              </w:rPr>
            </w:pPr>
            <w:r>
              <w:rPr>
                <w:color w:val="121212"/>
              </w:rPr>
              <w:t xml:space="preserve">Instrumental vaginal delivery was associated with higher </w:t>
            </w:r>
            <w:r>
              <w:rPr>
                <w:color w:val="121212"/>
              </w:rPr>
              <w:lastRenderedPageBreak/>
              <w:t>rates of pelvic floor dysfunction during follow-up.</w:t>
            </w:r>
          </w:p>
        </w:tc>
        <w:tc>
          <w:tcPr>
            <w:tcW w:w="138" w:type="pct"/>
            <w:tcBorders>
              <w:top w:val="nil"/>
              <w:left w:val="nil"/>
              <w:bottom w:val="nil"/>
              <w:right w:val="nil"/>
            </w:tcBorders>
            <w:vAlign w:val="bottom"/>
          </w:tcPr>
          <w:p w14:paraId="4FEE35D3" w14:textId="77777777" w:rsidR="00423B40" w:rsidRDefault="00423B40">
            <w:pPr>
              <w:spacing w:after="0"/>
              <w:jc w:val="left"/>
              <w:rPr>
                <w:color w:val="121212"/>
                <w:sz w:val="20"/>
                <w:szCs w:val="20"/>
              </w:rPr>
            </w:pPr>
          </w:p>
        </w:tc>
      </w:tr>
      <w:tr w:rsidR="00423B40" w14:paraId="2D0F32C3"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4048310A" w14:textId="29D0BAAE" w:rsidR="00423B40" w:rsidRDefault="00636AB1">
            <w:pPr>
              <w:spacing w:before="240" w:after="0"/>
              <w:rPr>
                <w:color w:val="121212"/>
              </w:rPr>
            </w:pPr>
            <w:proofErr w:type="spellStart"/>
            <w:r>
              <w:rPr>
                <w:color w:val="121212"/>
              </w:rPr>
              <w:t>Tsinisizeli</w:t>
            </w:r>
            <w:proofErr w:type="spellEnd"/>
            <w:r>
              <w:rPr>
                <w:color w:val="121212"/>
              </w:rPr>
              <w:t xml:space="preserve">, N.P., (2023). </w:t>
            </w:r>
            <w:r w:rsidR="0044134D">
              <w:rPr>
                <w:color w:val="121212"/>
              </w:rPr>
              <w:t>[</w:t>
            </w:r>
            <w:r w:rsidR="00337F04">
              <w:rPr>
                <w:color w:val="121212"/>
              </w:rPr>
              <w:t>90</w:t>
            </w:r>
            <w:r w:rsidR="0044134D">
              <w:rPr>
                <w:color w:val="121212"/>
              </w:rPr>
              <w:t>]</w:t>
            </w:r>
          </w:p>
          <w:p w14:paraId="2C8E1504" w14:textId="77777777" w:rsidR="00423B40" w:rsidRDefault="00423B40">
            <w:pPr>
              <w:spacing w:after="0"/>
              <w:jc w:val="left"/>
              <w:rPr>
                <w:color w:val="121212"/>
              </w:rPr>
            </w:pPr>
          </w:p>
        </w:tc>
        <w:tc>
          <w:tcPr>
            <w:tcW w:w="660" w:type="pct"/>
            <w:tcBorders>
              <w:top w:val="nil"/>
              <w:left w:val="nil"/>
              <w:bottom w:val="single" w:sz="4" w:space="0" w:color="000000" w:themeColor="text1"/>
              <w:right w:val="single" w:sz="4" w:space="0" w:color="000000" w:themeColor="text1"/>
            </w:tcBorders>
            <w:vAlign w:val="bottom"/>
          </w:tcPr>
          <w:p w14:paraId="61C90B39" w14:textId="77777777" w:rsidR="00423B40" w:rsidRDefault="00636AB1">
            <w:pPr>
              <w:spacing w:after="0"/>
              <w:jc w:val="left"/>
              <w:rPr>
                <w:color w:val="121212"/>
              </w:rPr>
            </w:pPr>
            <w:r>
              <w:rPr>
                <w:color w:val="121212"/>
              </w:rPr>
              <w:t>Cross-sectional survey</w:t>
            </w:r>
          </w:p>
        </w:tc>
        <w:tc>
          <w:tcPr>
            <w:tcW w:w="660" w:type="pct"/>
            <w:tcBorders>
              <w:top w:val="nil"/>
              <w:left w:val="nil"/>
              <w:bottom w:val="single" w:sz="4" w:space="0" w:color="000000" w:themeColor="text1"/>
              <w:right w:val="single" w:sz="4" w:space="0" w:color="000000" w:themeColor="text1"/>
            </w:tcBorders>
            <w:vAlign w:val="bottom"/>
          </w:tcPr>
          <w:p w14:paraId="78C08290" w14:textId="77777777" w:rsidR="00423B40" w:rsidRDefault="00636AB1">
            <w:pPr>
              <w:spacing w:after="0"/>
              <w:jc w:val="left"/>
              <w:rPr>
                <w:color w:val="121212"/>
              </w:rPr>
            </w:pPr>
            <w:r>
              <w:rPr>
                <w:color w:val="121212"/>
              </w:rPr>
              <w:t>Online questionnaire</w:t>
            </w:r>
          </w:p>
        </w:tc>
        <w:tc>
          <w:tcPr>
            <w:tcW w:w="507" w:type="pct"/>
            <w:tcBorders>
              <w:top w:val="nil"/>
              <w:left w:val="nil"/>
              <w:bottom w:val="single" w:sz="4" w:space="0" w:color="000000" w:themeColor="text1"/>
              <w:right w:val="single" w:sz="4" w:space="0" w:color="000000" w:themeColor="text1"/>
            </w:tcBorders>
            <w:vAlign w:val="bottom"/>
          </w:tcPr>
          <w:p w14:paraId="0C5DCDFE" w14:textId="77777777" w:rsidR="00423B40" w:rsidRDefault="00636AB1">
            <w:pPr>
              <w:spacing w:after="0"/>
              <w:jc w:val="right"/>
              <w:rPr>
                <w:color w:val="121212"/>
              </w:rPr>
            </w:pPr>
            <w:r>
              <w:rPr>
                <w:color w:val="121212"/>
              </w:rPr>
              <w:t>230</w:t>
            </w:r>
          </w:p>
        </w:tc>
        <w:tc>
          <w:tcPr>
            <w:tcW w:w="1207" w:type="pct"/>
            <w:tcBorders>
              <w:top w:val="nil"/>
              <w:left w:val="nil"/>
              <w:bottom w:val="single" w:sz="4" w:space="0" w:color="000000" w:themeColor="text1"/>
              <w:right w:val="single" w:sz="4" w:space="0" w:color="000000" w:themeColor="text1"/>
            </w:tcBorders>
            <w:vAlign w:val="bottom"/>
          </w:tcPr>
          <w:p w14:paraId="05B45089" w14:textId="77777777" w:rsidR="00423B40" w:rsidRDefault="00636AB1">
            <w:pPr>
              <w:spacing w:after="0"/>
              <w:jc w:val="left"/>
              <w:rPr>
                <w:color w:val="121212"/>
              </w:rPr>
            </w:pPr>
            <w:r>
              <w:rPr>
                <w:color w:val="121212"/>
              </w:rPr>
              <w:t>Participants demonstrated limited knowledge regarding pelvic floor disorders and associated obstetric risk factors.</w:t>
            </w:r>
          </w:p>
        </w:tc>
        <w:tc>
          <w:tcPr>
            <w:tcW w:w="138" w:type="pct"/>
            <w:tcBorders>
              <w:top w:val="nil"/>
              <w:left w:val="nil"/>
              <w:bottom w:val="nil"/>
              <w:right w:val="nil"/>
            </w:tcBorders>
            <w:vAlign w:val="bottom"/>
          </w:tcPr>
          <w:p w14:paraId="71824147" w14:textId="77777777" w:rsidR="00423B40" w:rsidRDefault="00423B40">
            <w:pPr>
              <w:spacing w:after="0"/>
              <w:jc w:val="left"/>
              <w:rPr>
                <w:color w:val="121212"/>
                <w:sz w:val="20"/>
                <w:szCs w:val="20"/>
              </w:rPr>
            </w:pPr>
          </w:p>
        </w:tc>
      </w:tr>
      <w:tr w:rsidR="00423B40" w14:paraId="5D319C16"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3B1B20F5" w14:textId="5BFAC8F2" w:rsidR="00423B40" w:rsidRDefault="00636AB1">
            <w:pPr>
              <w:spacing w:before="240" w:after="0"/>
              <w:rPr>
                <w:color w:val="121212"/>
              </w:rPr>
            </w:pPr>
            <w:r>
              <w:rPr>
                <w:color w:val="121212"/>
              </w:rPr>
              <w:t xml:space="preserve">Vemulapalli, R., (2024). </w:t>
            </w:r>
            <w:r w:rsidR="0044134D">
              <w:rPr>
                <w:color w:val="121212"/>
              </w:rPr>
              <w:t>[</w:t>
            </w:r>
            <w:r w:rsidR="00337F04">
              <w:rPr>
                <w:color w:val="121212"/>
              </w:rPr>
              <w:t>92</w:t>
            </w:r>
            <w:r w:rsidR="0044134D">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1ACC20BC" w14:textId="77777777" w:rsidR="00423B40" w:rsidRDefault="00636AB1">
            <w:pPr>
              <w:spacing w:after="0"/>
              <w:jc w:val="left"/>
              <w:rPr>
                <w:color w:val="121212"/>
              </w:rPr>
            </w:pPr>
            <w:r>
              <w:rPr>
                <w:color w:val="121212"/>
              </w:rPr>
              <w:t>Prospective cohort study</w:t>
            </w:r>
          </w:p>
        </w:tc>
        <w:tc>
          <w:tcPr>
            <w:tcW w:w="660" w:type="pct"/>
            <w:tcBorders>
              <w:top w:val="nil"/>
              <w:left w:val="nil"/>
              <w:bottom w:val="single" w:sz="4" w:space="0" w:color="000000" w:themeColor="text1"/>
              <w:right w:val="single" w:sz="4" w:space="0" w:color="000000" w:themeColor="text1"/>
            </w:tcBorders>
            <w:vAlign w:val="bottom"/>
          </w:tcPr>
          <w:p w14:paraId="24109BF3" w14:textId="77777777" w:rsidR="00423B40" w:rsidRDefault="00636AB1">
            <w:pPr>
              <w:spacing w:after="0"/>
              <w:jc w:val="left"/>
              <w:rPr>
                <w:color w:val="121212"/>
              </w:rPr>
            </w:pPr>
            <w:r>
              <w:rPr>
                <w:color w:val="121212"/>
              </w:rPr>
              <w:t>Clinical examination and structured interviews</w:t>
            </w:r>
          </w:p>
        </w:tc>
        <w:tc>
          <w:tcPr>
            <w:tcW w:w="507" w:type="pct"/>
            <w:tcBorders>
              <w:top w:val="nil"/>
              <w:left w:val="nil"/>
              <w:bottom w:val="single" w:sz="4" w:space="0" w:color="000000" w:themeColor="text1"/>
              <w:right w:val="single" w:sz="4" w:space="0" w:color="000000" w:themeColor="text1"/>
            </w:tcBorders>
            <w:vAlign w:val="bottom"/>
          </w:tcPr>
          <w:p w14:paraId="2C3B6FFA" w14:textId="77777777" w:rsidR="00423B40" w:rsidRDefault="00636AB1">
            <w:pPr>
              <w:spacing w:after="0"/>
              <w:jc w:val="right"/>
              <w:rPr>
                <w:color w:val="121212"/>
              </w:rPr>
            </w:pPr>
            <w:r>
              <w:rPr>
                <w:color w:val="121212"/>
              </w:rPr>
              <w:t>1,285</w:t>
            </w:r>
          </w:p>
        </w:tc>
        <w:tc>
          <w:tcPr>
            <w:tcW w:w="1207" w:type="pct"/>
            <w:tcBorders>
              <w:top w:val="nil"/>
              <w:left w:val="nil"/>
              <w:bottom w:val="single" w:sz="4" w:space="0" w:color="000000" w:themeColor="text1"/>
              <w:right w:val="single" w:sz="4" w:space="0" w:color="000000" w:themeColor="text1"/>
            </w:tcBorders>
            <w:vAlign w:val="bottom"/>
          </w:tcPr>
          <w:p w14:paraId="7F439438" w14:textId="77777777" w:rsidR="00423B40" w:rsidRDefault="00636AB1">
            <w:pPr>
              <w:spacing w:after="0"/>
              <w:jc w:val="left"/>
              <w:rPr>
                <w:color w:val="121212"/>
              </w:rPr>
            </w:pPr>
            <w:r>
              <w:rPr>
                <w:color w:val="121212"/>
              </w:rPr>
              <w:t>Pelvic floor disorders were common, with increasing parity and age identified as major risk factors.</w:t>
            </w:r>
          </w:p>
        </w:tc>
        <w:tc>
          <w:tcPr>
            <w:tcW w:w="138" w:type="pct"/>
            <w:tcBorders>
              <w:top w:val="nil"/>
              <w:left w:val="nil"/>
              <w:bottom w:val="nil"/>
              <w:right w:val="nil"/>
            </w:tcBorders>
            <w:vAlign w:val="bottom"/>
          </w:tcPr>
          <w:p w14:paraId="5E9A36B5" w14:textId="77777777" w:rsidR="00423B40" w:rsidRDefault="00423B40">
            <w:pPr>
              <w:spacing w:after="0"/>
              <w:jc w:val="left"/>
              <w:rPr>
                <w:color w:val="121212"/>
                <w:sz w:val="20"/>
                <w:szCs w:val="20"/>
              </w:rPr>
            </w:pPr>
          </w:p>
        </w:tc>
      </w:tr>
      <w:tr w:rsidR="00423B40" w14:paraId="08760C44"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533DEC21" w14:textId="378C279C" w:rsidR="00423B40" w:rsidRDefault="00636AB1">
            <w:pPr>
              <w:spacing w:before="240" w:after="0"/>
              <w:rPr>
                <w:color w:val="121212"/>
              </w:rPr>
            </w:pPr>
            <w:r>
              <w:rPr>
                <w:color w:val="121212"/>
              </w:rPr>
              <w:t xml:space="preserve">Jelovsek, J.E., (2018). </w:t>
            </w:r>
            <w:r w:rsidR="0044134D">
              <w:rPr>
                <w:color w:val="121212"/>
              </w:rPr>
              <w:t>[</w:t>
            </w:r>
            <w:r w:rsidR="00337F04">
              <w:rPr>
                <w:color w:val="121212"/>
              </w:rPr>
              <w:t>41</w:t>
            </w:r>
            <w:r w:rsidR="0044134D">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09989CA9" w14:textId="77777777" w:rsidR="00423B40" w:rsidRDefault="00636AB1">
            <w:pPr>
              <w:spacing w:after="0"/>
              <w:jc w:val="left"/>
              <w:rPr>
                <w:color w:val="121212"/>
              </w:rPr>
            </w:pPr>
            <w:r>
              <w:rPr>
                <w:color w:val="121212"/>
              </w:rPr>
              <w:t>Prospective cohort study</w:t>
            </w:r>
          </w:p>
        </w:tc>
        <w:tc>
          <w:tcPr>
            <w:tcW w:w="660" w:type="pct"/>
            <w:tcBorders>
              <w:top w:val="nil"/>
              <w:left w:val="nil"/>
              <w:bottom w:val="single" w:sz="4" w:space="0" w:color="000000" w:themeColor="text1"/>
              <w:right w:val="single" w:sz="4" w:space="0" w:color="000000" w:themeColor="text1"/>
            </w:tcBorders>
            <w:vAlign w:val="bottom"/>
          </w:tcPr>
          <w:p w14:paraId="3EBEBDBC" w14:textId="77777777" w:rsidR="00423B40" w:rsidRDefault="00636AB1">
            <w:pPr>
              <w:spacing w:after="0"/>
              <w:jc w:val="left"/>
              <w:rPr>
                <w:color w:val="121212"/>
              </w:rPr>
            </w:pPr>
            <w:r>
              <w:rPr>
                <w:color w:val="121212"/>
              </w:rPr>
              <w:t>Longitudinal cohort with statistical modelling</w:t>
            </w:r>
          </w:p>
        </w:tc>
        <w:tc>
          <w:tcPr>
            <w:tcW w:w="507" w:type="pct"/>
            <w:tcBorders>
              <w:top w:val="nil"/>
              <w:left w:val="nil"/>
              <w:bottom w:val="single" w:sz="4" w:space="0" w:color="000000" w:themeColor="text1"/>
              <w:right w:val="single" w:sz="4" w:space="0" w:color="000000" w:themeColor="text1"/>
            </w:tcBorders>
            <w:vAlign w:val="bottom"/>
          </w:tcPr>
          <w:p w14:paraId="3681B3EF" w14:textId="77777777" w:rsidR="00423B40" w:rsidRDefault="00636AB1">
            <w:pPr>
              <w:spacing w:after="0"/>
              <w:jc w:val="right"/>
              <w:rPr>
                <w:color w:val="121212"/>
              </w:rPr>
            </w:pPr>
            <w:r>
              <w:rPr>
                <w:color w:val="121212"/>
              </w:rPr>
              <w:t>1,528</w:t>
            </w:r>
          </w:p>
        </w:tc>
        <w:tc>
          <w:tcPr>
            <w:tcW w:w="1207" w:type="pct"/>
            <w:tcBorders>
              <w:top w:val="nil"/>
              <w:left w:val="nil"/>
              <w:bottom w:val="single" w:sz="4" w:space="0" w:color="000000" w:themeColor="text1"/>
              <w:right w:val="single" w:sz="4" w:space="0" w:color="000000" w:themeColor="text1"/>
            </w:tcBorders>
            <w:vAlign w:val="bottom"/>
          </w:tcPr>
          <w:p w14:paraId="28E09B1D" w14:textId="77777777" w:rsidR="00423B40" w:rsidRDefault="00636AB1">
            <w:pPr>
              <w:spacing w:after="0"/>
              <w:jc w:val="left"/>
              <w:rPr>
                <w:color w:val="121212"/>
              </w:rPr>
            </w:pPr>
            <w:r>
              <w:rPr>
                <w:color w:val="121212"/>
              </w:rPr>
              <w:t>Prediction models accurately identified women at high risk of future pelvic floor disorders.</w:t>
            </w:r>
          </w:p>
        </w:tc>
        <w:tc>
          <w:tcPr>
            <w:tcW w:w="138" w:type="pct"/>
            <w:tcBorders>
              <w:top w:val="nil"/>
              <w:left w:val="nil"/>
              <w:bottom w:val="nil"/>
              <w:right w:val="nil"/>
            </w:tcBorders>
            <w:vAlign w:val="bottom"/>
          </w:tcPr>
          <w:p w14:paraId="4BAB5F5B" w14:textId="77777777" w:rsidR="00423B40" w:rsidRDefault="00423B40">
            <w:pPr>
              <w:spacing w:after="0"/>
              <w:jc w:val="left"/>
              <w:rPr>
                <w:color w:val="121212"/>
                <w:sz w:val="20"/>
                <w:szCs w:val="20"/>
              </w:rPr>
            </w:pPr>
          </w:p>
        </w:tc>
      </w:tr>
      <w:tr w:rsidR="00423B40" w14:paraId="232311E2"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33C136E4" w14:textId="1892856B" w:rsidR="00423B40" w:rsidRDefault="00636AB1">
            <w:pPr>
              <w:spacing w:before="240" w:after="0"/>
              <w:rPr>
                <w:color w:val="121212"/>
              </w:rPr>
            </w:pPr>
            <w:r>
              <w:rPr>
                <w:color w:val="121212"/>
              </w:rPr>
              <w:t xml:space="preserve">Mishra, G.D., (2015). </w:t>
            </w:r>
            <w:r w:rsidR="0044134D">
              <w:rPr>
                <w:color w:val="121212"/>
              </w:rPr>
              <w:t>[</w:t>
            </w:r>
            <w:r w:rsidR="00337F04">
              <w:rPr>
                <w:color w:val="121212"/>
              </w:rPr>
              <w:t>57</w:t>
            </w:r>
            <w:r w:rsidR="0044134D">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1663866C" w14:textId="77777777" w:rsidR="00423B40" w:rsidRDefault="00636AB1">
            <w:pPr>
              <w:spacing w:after="0"/>
              <w:jc w:val="left"/>
              <w:rPr>
                <w:color w:val="121212"/>
              </w:rPr>
            </w:pPr>
            <w:r>
              <w:rPr>
                <w:color w:val="121212"/>
              </w:rPr>
              <w:t>Prospective cohort study</w:t>
            </w:r>
          </w:p>
        </w:tc>
        <w:tc>
          <w:tcPr>
            <w:tcW w:w="660" w:type="pct"/>
            <w:tcBorders>
              <w:top w:val="nil"/>
              <w:left w:val="nil"/>
              <w:bottom w:val="single" w:sz="4" w:space="0" w:color="000000" w:themeColor="text1"/>
              <w:right w:val="single" w:sz="4" w:space="0" w:color="000000" w:themeColor="text1"/>
            </w:tcBorders>
            <w:vAlign w:val="bottom"/>
          </w:tcPr>
          <w:p w14:paraId="03289C8E" w14:textId="77777777" w:rsidR="00423B40" w:rsidRDefault="00636AB1">
            <w:pPr>
              <w:spacing w:after="0"/>
              <w:jc w:val="left"/>
              <w:rPr>
                <w:color w:val="121212"/>
              </w:rPr>
            </w:pPr>
            <w:r>
              <w:rPr>
                <w:color w:val="121212"/>
              </w:rPr>
              <w:t>Longitudinal survey</w:t>
            </w:r>
          </w:p>
        </w:tc>
        <w:tc>
          <w:tcPr>
            <w:tcW w:w="507" w:type="pct"/>
            <w:tcBorders>
              <w:top w:val="nil"/>
              <w:left w:val="nil"/>
              <w:bottom w:val="single" w:sz="4" w:space="0" w:color="000000" w:themeColor="text1"/>
              <w:right w:val="single" w:sz="4" w:space="0" w:color="000000" w:themeColor="text1"/>
            </w:tcBorders>
            <w:vAlign w:val="bottom"/>
          </w:tcPr>
          <w:p w14:paraId="480A935B" w14:textId="77777777" w:rsidR="00423B40" w:rsidRDefault="00636AB1">
            <w:pPr>
              <w:spacing w:after="0"/>
              <w:jc w:val="right"/>
              <w:rPr>
                <w:color w:val="121212"/>
              </w:rPr>
            </w:pPr>
            <w:r>
              <w:rPr>
                <w:color w:val="121212"/>
              </w:rPr>
              <w:t>6,424</w:t>
            </w:r>
          </w:p>
        </w:tc>
        <w:tc>
          <w:tcPr>
            <w:tcW w:w="1207" w:type="pct"/>
            <w:tcBorders>
              <w:top w:val="nil"/>
              <w:left w:val="nil"/>
              <w:bottom w:val="single" w:sz="4" w:space="0" w:color="000000" w:themeColor="text1"/>
              <w:right w:val="single" w:sz="4" w:space="0" w:color="000000" w:themeColor="text1"/>
            </w:tcBorders>
            <w:vAlign w:val="bottom"/>
          </w:tcPr>
          <w:p w14:paraId="58C3E480" w14:textId="77777777" w:rsidR="00423B40" w:rsidRDefault="00636AB1">
            <w:pPr>
              <w:spacing w:after="0"/>
              <w:jc w:val="left"/>
              <w:rPr>
                <w:color w:val="121212"/>
              </w:rPr>
            </w:pPr>
            <w:r>
              <w:rPr>
                <w:color w:val="121212"/>
              </w:rPr>
              <w:t>Women with depression had a significantly greater risk of developing urinary incontinence over time.</w:t>
            </w:r>
          </w:p>
        </w:tc>
        <w:tc>
          <w:tcPr>
            <w:tcW w:w="138" w:type="pct"/>
            <w:tcBorders>
              <w:top w:val="nil"/>
              <w:left w:val="nil"/>
              <w:bottom w:val="nil"/>
              <w:right w:val="nil"/>
            </w:tcBorders>
            <w:vAlign w:val="bottom"/>
          </w:tcPr>
          <w:p w14:paraId="6E21D631" w14:textId="77777777" w:rsidR="00423B40" w:rsidRDefault="00423B40">
            <w:pPr>
              <w:spacing w:after="0"/>
              <w:jc w:val="left"/>
              <w:rPr>
                <w:color w:val="121212"/>
                <w:sz w:val="20"/>
                <w:szCs w:val="20"/>
              </w:rPr>
            </w:pPr>
          </w:p>
        </w:tc>
      </w:tr>
      <w:tr w:rsidR="00423B40" w14:paraId="18BD23B8"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1371DD27" w14:textId="615981C1" w:rsidR="00423B40" w:rsidRDefault="00636AB1">
            <w:pPr>
              <w:spacing w:before="240" w:after="240"/>
              <w:rPr>
                <w:color w:val="121212"/>
              </w:rPr>
            </w:pPr>
            <w:r>
              <w:rPr>
                <w:color w:val="121212"/>
              </w:rPr>
              <w:t xml:space="preserve">Pires, T., (2020). </w:t>
            </w:r>
            <w:r w:rsidR="0044134D">
              <w:rPr>
                <w:color w:val="121212"/>
              </w:rPr>
              <w:t>[</w:t>
            </w:r>
            <w:r w:rsidR="00337F04">
              <w:rPr>
                <w:color w:val="121212"/>
              </w:rPr>
              <w:t>68</w:t>
            </w:r>
            <w:r w:rsidR="0044134D">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123DD0AD" w14:textId="77777777" w:rsidR="00423B40" w:rsidRDefault="00636AB1">
            <w:pPr>
              <w:spacing w:after="0"/>
              <w:jc w:val="left"/>
              <w:rPr>
                <w:color w:val="121212"/>
              </w:rPr>
            </w:pPr>
            <w:r>
              <w:rPr>
                <w:color w:val="121212"/>
              </w:rPr>
              <w:t>Cross-sectional study</w:t>
            </w:r>
          </w:p>
        </w:tc>
        <w:tc>
          <w:tcPr>
            <w:tcW w:w="660" w:type="pct"/>
            <w:tcBorders>
              <w:top w:val="nil"/>
              <w:left w:val="nil"/>
              <w:bottom w:val="single" w:sz="4" w:space="0" w:color="000000" w:themeColor="text1"/>
              <w:right w:val="single" w:sz="4" w:space="0" w:color="000000" w:themeColor="text1"/>
            </w:tcBorders>
            <w:vAlign w:val="bottom"/>
          </w:tcPr>
          <w:p w14:paraId="687B3677" w14:textId="77777777" w:rsidR="00423B40" w:rsidRDefault="00636AB1">
            <w:pPr>
              <w:spacing w:after="0"/>
              <w:jc w:val="left"/>
              <w:rPr>
                <w:color w:val="121212"/>
              </w:rPr>
            </w:pPr>
            <w:r>
              <w:rPr>
                <w:color w:val="121212"/>
              </w:rPr>
              <w:t>Pelvic floor assessment with quality-of-life questionnaires</w:t>
            </w:r>
          </w:p>
        </w:tc>
        <w:tc>
          <w:tcPr>
            <w:tcW w:w="507" w:type="pct"/>
            <w:tcBorders>
              <w:top w:val="nil"/>
              <w:left w:val="nil"/>
              <w:bottom w:val="single" w:sz="4" w:space="0" w:color="000000" w:themeColor="text1"/>
              <w:right w:val="single" w:sz="4" w:space="0" w:color="000000" w:themeColor="text1"/>
            </w:tcBorders>
            <w:vAlign w:val="bottom"/>
          </w:tcPr>
          <w:p w14:paraId="59E56738" w14:textId="77777777" w:rsidR="00423B40" w:rsidRDefault="00636AB1">
            <w:pPr>
              <w:spacing w:after="0"/>
              <w:jc w:val="right"/>
              <w:rPr>
                <w:color w:val="121212"/>
              </w:rPr>
            </w:pPr>
            <w:r>
              <w:rPr>
                <w:color w:val="121212"/>
              </w:rPr>
              <w:t>118</w:t>
            </w:r>
          </w:p>
        </w:tc>
        <w:tc>
          <w:tcPr>
            <w:tcW w:w="1207" w:type="pct"/>
            <w:tcBorders>
              <w:top w:val="nil"/>
              <w:left w:val="nil"/>
              <w:bottom w:val="single" w:sz="4" w:space="0" w:color="000000" w:themeColor="text1"/>
              <w:right w:val="single" w:sz="4" w:space="0" w:color="000000" w:themeColor="text1"/>
            </w:tcBorders>
            <w:vAlign w:val="bottom"/>
          </w:tcPr>
          <w:p w14:paraId="50B5B013" w14:textId="77777777" w:rsidR="00423B40" w:rsidRDefault="00636AB1">
            <w:pPr>
              <w:spacing w:after="0"/>
              <w:jc w:val="left"/>
              <w:rPr>
                <w:color w:val="121212"/>
              </w:rPr>
            </w:pPr>
            <w:r>
              <w:rPr>
                <w:color w:val="121212"/>
              </w:rPr>
              <w:t>Pelvic floor dysfunction negatively affected quality of life and sports participation.</w:t>
            </w:r>
          </w:p>
        </w:tc>
        <w:tc>
          <w:tcPr>
            <w:tcW w:w="138" w:type="pct"/>
            <w:tcBorders>
              <w:top w:val="nil"/>
              <w:left w:val="nil"/>
              <w:bottom w:val="nil"/>
              <w:right w:val="nil"/>
            </w:tcBorders>
            <w:vAlign w:val="bottom"/>
          </w:tcPr>
          <w:p w14:paraId="6530B5D9" w14:textId="77777777" w:rsidR="00423B40" w:rsidRDefault="00423B40">
            <w:pPr>
              <w:spacing w:after="0"/>
              <w:jc w:val="left"/>
              <w:rPr>
                <w:color w:val="121212"/>
                <w:sz w:val="20"/>
                <w:szCs w:val="20"/>
              </w:rPr>
            </w:pPr>
          </w:p>
        </w:tc>
      </w:tr>
      <w:tr w:rsidR="00423B40" w14:paraId="63CEBE40"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2B10142D" w14:textId="30C7E599" w:rsidR="00423B40" w:rsidRDefault="00636AB1">
            <w:pPr>
              <w:spacing w:before="240" w:after="0"/>
              <w:rPr>
                <w:color w:val="121212"/>
              </w:rPr>
            </w:pPr>
            <w:r>
              <w:rPr>
                <w:color w:val="121212"/>
              </w:rPr>
              <w:lastRenderedPageBreak/>
              <w:t>Vico-Moreno</w:t>
            </w:r>
            <w:r w:rsidR="004551D4">
              <w:rPr>
                <w:color w:val="121212"/>
              </w:rPr>
              <w:t xml:space="preserve"> </w:t>
            </w:r>
            <w:r>
              <w:rPr>
                <w:color w:val="121212"/>
              </w:rPr>
              <w:t xml:space="preserve">(2026). </w:t>
            </w:r>
            <w:r w:rsidR="0044134D">
              <w:rPr>
                <w:color w:val="121212"/>
              </w:rPr>
              <w:t>[</w:t>
            </w:r>
            <w:r w:rsidR="00337F04">
              <w:rPr>
                <w:color w:val="121212"/>
              </w:rPr>
              <w:t>93</w:t>
            </w:r>
            <w:r w:rsidR="0044134D">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22E2BD05" w14:textId="77777777" w:rsidR="00423B40" w:rsidRDefault="00636AB1">
            <w:pPr>
              <w:spacing w:after="0"/>
              <w:jc w:val="left"/>
              <w:rPr>
                <w:color w:val="121212"/>
              </w:rPr>
            </w:pPr>
            <w:r>
              <w:rPr>
                <w:color w:val="121212"/>
              </w:rPr>
              <w:t>Cross-sectional study</w:t>
            </w:r>
          </w:p>
        </w:tc>
        <w:tc>
          <w:tcPr>
            <w:tcW w:w="660" w:type="pct"/>
            <w:tcBorders>
              <w:top w:val="nil"/>
              <w:left w:val="nil"/>
              <w:bottom w:val="single" w:sz="4" w:space="0" w:color="000000" w:themeColor="text1"/>
              <w:right w:val="single" w:sz="4" w:space="0" w:color="000000" w:themeColor="text1"/>
            </w:tcBorders>
            <w:vAlign w:val="bottom"/>
          </w:tcPr>
          <w:p w14:paraId="6F7A24E8" w14:textId="77777777" w:rsidR="00423B40" w:rsidRDefault="00636AB1">
            <w:pPr>
              <w:spacing w:after="0"/>
              <w:jc w:val="left"/>
              <w:rPr>
                <w:color w:val="121212"/>
              </w:rPr>
            </w:pPr>
            <w:r>
              <w:rPr>
                <w:color w:val="121212"/>
              </w:rPr>
              <w:t>Online survey</w:t>
            </w:r>
          </w:p>
        </w:tc>
        <w:tc>
          <w:tcPr>
            <w:tcW w:w="507" w:type="pct"/>
            <w:tcBorders>
              <w:top w:val="nil"/>
              <w:left w:val="nil"/>
              <w:bottom w:val="single" w:sz="4" w:space="0" w:color="000000" w:themeColor="text1"/>
              <w:right w:val="single" w:sz="4" w:space="0" w:color="000000" w:themeColor="text1"/>
            </w:tcBorders>
            <w:vAlign w:val="bottom"/>
          </w:tcPr>
          <w:p w14:paraId="3BE6CC0C" w14:textId="77777777" w:rsidR="00423B40" w:rsidRDefault="00636AB1">
            <w:pPr>
              <w:spacing w:after="0"/>
              <w:jc w:val="right"/>
              <w:rPr>
                <w:color w:val="121212"/>
              </w:rPr>
            </w:pPr>
            <w:r>
              <w:rPr>
                <w:color w:val="121212"/>
              </w:rPr>
              <w:t>412</w:t>
            </w:r>
          </w:p>
        </w:tc>
        <w:tc>
          <w:tcPr>
            <w:tcW w:w="1207" w:type="pct"/>
            <w:tcBorders>
              <w:top w:val="nil"/>
              <w:left w:val="nil"/>
              <w:bottom w:val="single" w:sz="4" w:space="0" w:color="000000" w:themeColor="text1"/>
              <w:right w:val="single" w:sz="4" w:space="0" w:color="000000" w:themeColor="text1"/>
            </w:tcBorders>
            <w:vAlign w:val="bottom"/>
          </w:tcPr>
          <w:p w14:paraId="202EB444" w14:textId="77777777" w:rsidR="00423B40" w:rsidRDefault="00636AB1">
            <w:pPr>
              <w:spacing w:after="0"/>
              <w:jc w:val="left"/>
              <w:rPr>
                <w:color w:val="121212"/>
              </w:rPr>
            </w:pPr>
            <w:r>
              <w:rPr>
                <w:color w:val="121212"/>
              </w:rPr>
              <w:t>Pelvic floor symptoms were common, while preventive care practices were inconsistently adopted.</w:t>
            </w:r>
          </w:p>
        </w:tc>
        <w:tc>
          <w:tcPr>
            <w:tcW w:w="138" w:type="pct"/>
            <w:tcBorders>
              <w:top w:val="nil"/>
              <w:left w:val="nil"/>
              <w:bottom w:val="nil"/>
              <w:right w:val="nil"/>
            </w:tcBorders>
            <w:vAlign w:val="bottom"/>
          </w:tcPr>
          <w:p w14:paraId="3AC64841" w14:textId="77777777" w:rsidR="00423B40" w:rsidRDefault="00423B40">
            <w:pPr>
              <w:spacing w:after="0"/>
              <w:jc w:val="left"/>
              <w:rPr>
                <w:color w:val="121212"/>
                <w:sz w:val="20"/>
                <w:szCs w:val="20"/>
              </w:rPr>
            </w:pPr>
          </w:p>
        </w:tc>
      </w:tr>
      <w:tr w:rsidR="00423B40" w14:paraId="3A20AF9D"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0D6598E3" w14:textId="6F5498F5" w:rsidR="00423B40" w:rsidRDefault="00636AB1">
            <w:pPr>
              <w:spacing w:before="240" w:after="0"/>
              <w:rPr>
                <w:color w:val="121212"/>
              </w:rPr>
            </w:pPr>
            <w:proofErr w:type="spellStart"/>
            <w:r>
              <w:rPr>
                <w:color w:val="121212"/>
              </w:rPr>
              <w:t>Giagio</w:t>
            </w:r>
            <w:proofErr w:type="spellEnd"/>
            <w:r>
              <w:rPr>
                <w:color w:val="121212"/>
              </w:rPr>
              <w:t xml:space="preserve">, S., (2025). </w:t>
            </w:r>
            <w:r w:rsidR="0044134D">
              <w:rPr>
                <w:color w:val="121212"/>
              </w:rPr>
              <w:t>[</w:t>
            </w:r>
            <w:r w:rsidR="00337F04">
              <w:rPr>
                <w:color w:val="121212"/>
              </w:rPr>
              <w:t>31</w:t>
            </w:r>
            <w:r w:rsidR="0044134D">
              <w:rPr>
                <w:color w:val="121212"/>
              </w:rPr>
              <w:t>]</w:t>
            </w:r>
          </w:p>
          <w:p w14:paraId="0DA6E4B4" w14:textId="77777777" w:rsidR="00423B40" w:rsidRDefault="00423B40">
            <w:pPr>
              <w:spacing w:after="0"/>
              <w:jc w:val="left"/>
              <w:rPr>
                <w:color w:val="121212"/>
              </w:rPr>
            </w:pPr>
          </w:p>
        </w:tc>
        <w:tc>
          <w:tcPr>
            <w:tcW w:w="660" w:type="pct"/>
            <w:tcBorders>
              <w:top w:val="nil"/>
              <w:left w:val="nil"/>
              <w:bottom w:val="single" w:sz="4" w:space="0" w:color="000000" w:themeColor="text1"/>
              <w:right w:val="single" w:sz="4" w:space="0" w:color="000000" w:themeColor="text1"/>
            </w:tcBorders>
            <w:vAlign w:val="bottom"/>
          </w:tcPr>
          <w:p w14:paraId="56A0959F" w14:textId="77777777" w:rsidR="00423B40" w:rsidRDefault="00636AB1">
            <w:pPr>
              <w:spacing w:after="0"/>
              <w:jc w:val="left"/>
              <w:rPr>
                <w:color w:val="121212"/>
              </w:rPr>
            </w:pPr>
            <w:r>
              <w:rPr>
                <w:color w:val="121212"/>
              </w:rPr>
              <w:t>Cross-sectional study</w:t>
            </w:r>
          </w:p>
        </w:tc>
        <w:tc>
          <w:tcPr>
            <w:tcW w:w="660" w:type="pct"/>
            <w:tcBorders>
              <w:top w:val="nil"/>
              <w:left w:val="nil"/>
              <w:bottom w:val="single" w:sz="4" w:space="0" w:color="000000" w:themeColor="text1"/>
              <w:right w:val="single" w:sz="4" w:space="0" w:color="000000" w:themeColor="text1"/>
            </w:tcBorders>
            <w:vAlign w:val="bottom"/>
          </w:tcPr>
          <w:p w14:paraId="6998D27F" w14:textId="77777777" w:rsidR="00423B40" w:rsidRDefault="00636AB1">
            <w:pPr>
              <w:spacing w:after="0"/>
              <w:jc w:val="left"/>
              <w:rPr>
                <w:color w:val="121212"/>
              </w:rPr>
            </w:pPr>
            <w:r>
              <w:rPr>
                <w:color w:val="121212"/>
              </w:rPr>
              <w:t>Questionnaire survey</w:t>
            </w:r>
          </w:p>
        </w:tc>
        <w:tc>
          <w:tcPr>
            <w:tcW w:w="507" w:type="pct"/>
            <w:tcBorders>
              <w:top w:val="nil"/>
              <w:left w:val="nil"/>
              <w:bottom w:val="single" w:sz="4" w:space="0" w:color="000000" w:themeColor="text1"/>
              <w:right w:val="single" w:sz="4" w:space="0" w:color="000000" w:themeColor="text1"/>
            </w:tcBorders>
            <w:vAlign w:val="bottom"/>
          </w:tcPr>
          <w:p w14:paraId="26D034E5" w14:textId="77777777" w:rsidR="00423B40" w:rsidRDefault="00636AB1">
            <w:pPr>
              <w:spacing w:after="0"/>
              <w:jc w:val="right"/>
              <w:rPr>
                <w:color w:val="121212"/>
              </w:rPr>
            </w:pPr>
            <w:r>
              <w:rPr>
                <w:color w:val="121212"/>
              </w:rPr>
              <w:t>325</w:t>
            </w:r>
          </w:p>
        </w:tc>
        <w:tc>
          <w:tcPr>
            <w:tcW w:w="1207" w:type="pct"/>
            <w:tcBorders>
              <w:top w:val="nil"/>
              <w:left w:val="nil"/>
              <w:bottom w:val="single" w:sz="4" w:space="0" w:color="000000" w:themeColor="text1"/>
              <w:right w:val="single" w:sz="4" w:space="0" w:color="000000" w:themeColor="text1"/>
            </w:tcBorders>
            <w:vAlign w:val="bottom"/>
          </w:tcPr>
          <w:p w14:paraId="1C89F81B" w14:textId="77777777" w:rsidR="00423B40" w:rsidRDefault="00636AB1">
            <w:pPr>
              <w:spacing w:after="0"/>
              <w:jc w:val="left"/>
              <w:rPr>
                <w:color w:val="121212"/>
              </w:rPr>
            </w:pPr>
            <w:r>
              <w:rPr>
                <w:color w:val="121212"/>
              </w:rPr>
              <w:t>Approximately half of participants reported at least one pelvic floor symptom, highlighting the need for screening.</w:t>
            </w:r>
          </w:p>
        </w:tc>
        <w:tc>
          <w:tcPr>
            <w:tcW w:w="138" w:type="pct"/>
            <w:tcBorders>
              <w:top w:val="nil"/>
              <w:left w:val="nil"/>
              <w:bottom w:val="nil"/>
              <w:right w:val="nil"/>
            </w:tcBorders>
            <w:vAlign w:val="bottom"/>
          </w:tcPr>
          <w:p w14:paraId="73FFDF26" w14:textId="77777777" w:rsidR="00423B40" w:rsidRDefault="00423B40">
            <w:pPr>
              <w:spacing w:after="0"/>
              <w:jc w:val="left"/>
              <w:rPr>
                <w:color w:val="121212"/>
                <w:sz w:val="20"/>
                <w:szCs w:val="20"/>
              </w:rPr>
            </w:pPr>
          </w:p>
        </w:tc>
      </w:tr>
      <w:tr w:rsidR="00423B40" w14:paraId="6826C242"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12FDE8CA" w14:textId="2F64597C" w:rsidR="00423B40" w:rsidRDefault="00636AB1">
            <w:pPr>
              <w:spacing w:before="240" w:after="240"/>
              <w:rPr>
                <w:color w:val="121212"/>
              </w:rPr>
            </w:pPr>
            <w:r>
              <w:rPr>
                <w:color w:val="121212"/>
              </w:rPr>
              <w:t xml:space="preserve">Rogers, R.G., (2017). </w:t>
            </w:r>
            <w:r w:rsidR="0044134D">
              <w:rPr>
                <w:color w:val="121212"/>
              </w:rPr>
              <w:t>[</w:t>
            </w:r>
            <w:r w:rsidR="00337F04">
              <w:rPr>
                <w:color w:val="121212"/>
              </w:rPr>
              <w:t>77</w:t>
            </w:r>
            <w:r w:rsidR="0044134D">
              <w:rPr>
                <w:color w:val="121212"/>
              </w:rPr>
              <w:t>]</w:t>
            </w:r>
          </w:p>
        </w:tc>
        <w:tc>
          <w:tcPr>
            <w:tcW w:w="660" w:type="pct"/>
            <w:tcBorders>
              <w:top w:val="nil"/>
              <w:left w:val="nil"/>
              <w:bottom w:val="single" w:sz="4" w:space="0" w:color="000000" w:themeColor="text1"/>
              <w:right w:val="single" w:sz="4" w:space="0" w:color="000000" w:themeColor="text1"/>
            </w:tcBorders>
            <w:vAlign w:val="bottom"/>
          </w:tcPr>
          <w:p w14:paraId="31D83D30" w14:textId="77777777" w:rsidR="00423B40" w:rsidRDefault="00636AB1">
            <w:pPr>
              <w:spacing w:after="0"/>
              <w:jc w:val="left"/>
              <w:rPr>
                <w:color w:val="121212"/>
              </w:rPr>
            </w:pPr>
            <w:r>
              <w:rPr>
                <w:color w:val="121212"/>
              </w:rPr>
              <w:t>Prospective cohort study</w:t>
            </w:r>
          </w:p>
        </w:tc>
        <w:tc>
          <w:tcPr>
            <w:tcW w:w="660" w:type="pct"/>
            <w:tcBorders>
              <w:top w:val="nil"/>
              <w:left w:val="nil"/>
              <w:bottom w:val="single" w:sz="4" w:space="0" w:color="000000" w:themeColor="text1"/>
              <w:right w:val="single" w:sz="4" w:space="0" w:color="000000" w:themeColor="text1"/>
            </w:tcBorders>
            <w:vAlign w:val="bottom"/>
          </w:tcPr>
          <w:p w14:paraId="4FB02FEE" w14:textId="77777777" w:rsidR="00423B40" w:rsidRDefault="00636AB1">
            <w:pPr>
              <w:spacing w:after="0"/>
              <w:jc w:val="left"/>
              <w:rPr>
                <w:color w:val="121212"/>
              </w:rPr>
            </w:pPr>
            <w:r>
              <w:rPr>
                <w:color w:val="121212"/>
              </w:rPr>
              <w:t>Prospective questionnaires during pregnancy</w:t>
            </w:r>
          </w:p>
        </w:tc>
        <w:tc>
          <w:tcPr>
            <w:tcW w:w="507" w:type="pct"/>
            <w:tcBorders>
              <w:top w:val="nil"/>
              <w:left w:val="nil"/>
              <w:bottom w:val="single" w:sz="4" w:space="0" w:color="000000" w:themeColor="text1"/>
              <w:right w:val="single" w:sz="4" w:space="0" w:color="000000" w:themeColor="text1"/>
            </w:tcBorders>
            <w:vAlign w:val="bottom"/>
          </w:tcPr>
          <w:p w14:paraId="352BA0F7" w14:textId="77777777" w:rsidR="00423B40" w:rsidRDefault="00636AB1">
            <w:pPr>
              <w:spacing w:after="0"/>
              <w:jc w:val="right"/>
              <w:rPr>
                <w:color w:val="121212"/>
              </w:rPr>
            </w:pPr>
            <w:r>
              <w:rPr>
                <w:color w:val="121212"/>
              </w:rPr>
              <w:t>300</w:t>
            </w:r>
          </w:p>
        </w:tc>
        <w:tc>
          <w:tcPr>
            <w:tcW w:w="1207" w:type="pct"/>
            <w:tcBorders>
              <w:top w:val="nil"/>
              <w:left w:val="nil"/>
              <w:bottom w:val="single" w:sz="4" w:space="0" w:color="000000" w:themeColor="text1"/>
              <w:right w:val="single" w:sz="4" w:space="0" w:color="000000" w:themeColor="text1"/>
            </w:tcBorders>
            <w:vAlign w:val="bottom"/>
          </w:tcPr>
          <w:p w14:paraId="65CB05F6" w14:textId="77777777" w:rsidR="00423B40" w:rsidRDefault="00636AB1">
            <w:pPr>
              <w:spacing w:after="0"/>
              <w:jc w:val="left"/>
              <w:rPr>
                <w:color w:val="121212"/>
              </w:rPr>
            </w:pPr>
            <w:r>
              <w:rPr>
                <w:color w:val="121212"/>
              </w:rPr>
              <w:t>Pelvic floor symptoms increased during pregnancy and were associated with reduced quality of life.</w:t>
            </w:r>
          </w:p>
        </w:tc>
        <w:tc>
          <w:tcPr>
            <w:tcW w:w="138" w:type="pct"/>
            <w:tcBorders>
              <w:top w:val="nil"/>
              <w:left w:val="nil"/>
              <w:bottom w:val="nil"/>
              <w:right w:val="nil"/>
            </w:tcBorders>
            <w:vAlign w:val="bottom"/>
          </w:tcPr>
          <w:p w14:paraId="38B08D3A" w14:textId="77777777" w:rsidR="00423B40" w:rsidRDefault="00423B40">
            <w:pPr>
              <w:spacing w:after="0"/>
              <w:jc w:val="left"/>
              <w:rPr>
                <w:color w:val="121212"/>
                <w:sz w:val="20"/>
                <w:szCs w:val="20"/>
              </w:rPr>
            </w:pPr>
          </w:p>
        </w:tc>
      </w:tr>
    </w:tbl>
    <w:sdt>
      <w:sdtPr>
        <w:rPr>
          <w:color w:val="121212"/>
        </w:rPr>
        <w:tag w:val="goog_rdk_5"/>
        <w:id w:val="996491052"/>
      </w:sdtPr>
      <w:sdtContent>
        <w:p w14:paraId="31F7562A" w14:textId="77777777" w:rsidR="00423B40" w:rsidRDefault="00000000">
          <w:pPr>
            <w:rPr>
              <w:color w:val="121212"/>
            </w:rPr>
          </w:pPr>
          <w:sdt>
            <w:sdtPr>
              <w:rPr>
                <w:color w:val="121212"/>
              </w:rPr>
              <w:tag w:val="goog_rdk_4"/>
              <w:id w:val="428177707"/>
            </w:sdtPr>
            <w:sdtContent/>
          </w:sdt>
        </w:p>
      </w:sdtContent>
    </w:sdt>
    <w:p w14:paraId="78B14A38" w14:textId="77777777" w:rsidR="00423B40" w:rsidRDefault="00636AB1">
      <w:pPr>
        <w:pStyle w:val="Heading5"/>
        <w:rPr>
          <w:color w:val="121212"/>
        </w:rPr>
      </w:pPr>
      <w:bookmarkStart w:id="55" w:name="_heading=h.yj06y2co2iap" w:colFirst="0" w:colLast="0"/>
      <w:bookmarkStart w:id="56" w:name="_Toc240448195"/>
      <w:bookmarkEnd w:id="55"/>
      <w:r>
        <w:rPr>
          <w:color w:val="121212"/>
        </w:rPr>
        <w:t>Table 4.1: Data Extraction Table</w:t>
      </w:r>
      <w:bookmarkEnd w:id="56"/>
    </w:p>
    <w:p w14:paraId="447932B1" w14:textId="77777777" w:rsidR="00423B40" w:rsidRDefault="00636AB1">
      <w:pPr>
        <w:jc w:val="center"/>
        <w:rPr>
          <w:color w:val="121212"/>
        </w:rPr>
      </w:pPr>
      <w:r>
        <w:rPr>
          <w:color w:val="121212"/>
        </w:rPr>
        <w:t>(Source: Author)</w:t>
      </w:r>
    </w:p>
    <w:p w14:paraId="6A3F8B51" w14:textId="77777777" w:rsidR="008A2B25" w:rsidRDefault="008A2B25">
      <w:pPr>
        <w:spacing w:line="278" w:lineRule="auto"/>
        <w:jc w:val="left"/>
        <w:rPr>
          <w:b/>
          <w:bCs/>
          <w:color w:val="121212"/>
        </w:rPr>
      </w:pPr>
      <w:bookmarkStart w:id="57" w:name="_Toc240448281"/>
      <w:r>
        <w:rPr>
          <w:color w:val="121212"/>
        </w:rPr>
        <w:br w:type="page"/>
      </w:r>
    </w:p>
    <w:p w14:paraId="789A7CCD" w14:textId="37524576" w:rsidR="00423B40" w:rsidRDefault="00636AB1">
      <w:pPr>
        <w:pStyle w:val="Heading2"/>
        <w:rPr>
          <w:color w:val="121212"/>
        </w:rPr>
      </w:pPr>
      <w:r>
        <w:rPr>
          <w:color w:val="121212"/>
        </w:rPr>
        <w:lastRenderedPageBreak/>
        <w:t>4.4 Thematic Results</w:t>
      </w:r>
      <w:bookmarkEnd w:id="57"/>
    </w:p>
    <w:tbl>
      <w:tblPr>
        <w:tblStyle w:val="TableGrid"/>
        <w:tblW w:w="5000" w:type="pct"/>
        <w:tblLook w:val="04A0" w:firstRow="1" w:lastRow="0" w:firstColumn="1" w:lastColumn="0" w:noHBand="0" w:noVBand="1"/>
      </w:tblPr>
      <w:tblGrid>
        <w:gridCol w:w="2746"/>
        <w:gridCol w:w="3388"/>
        <w:gridCol w:w="4051"/>
        <w:gridCol w:w="3763"/>
      </w:tblGrid>
      <w:tr w:rsidR="00423B40" w14:paraId="333DC2FD" w14:textId="77777777" w:rsidTr="008A2B25">
        <w:trPr>
          <w:trHeight w:val="315"/>
        </w:trPr>
        <w:tc>
          <w:tcPr>
            <w:tcW w:w="984" w:type="pct"/>
          </w:tcPr>
          <w:p w14:paraId="59B2AFC5" w14:textId="77777777" w:rsidR="00423B40" w:rsidRDefault="00636AB1">
            <w:pPr>
              <w:spacing w:line="240" w:lineRule="auto"/>
              <w:jc w:val="center"/>
              <w:rPr>
                <w:b/>
                <w:bCs/>
                <w:color w:val="121212"/>
              </w:rPr>
            </w:pPr>
            <w:r>
              <w:rPr>
                <w:b/>
                <w:bCs/>
                <w:color w:val="121212"/>
              </w:rPr>
              <w:t>Author(s)</w:t>
            </w:r>
          </w:p>
        </w:tc>
        <w:tc>
          <w:tcPr>
            <w:tcW w:w="1214" w:type="pct"/>
          </w:tcPr>
          <w:p w14:paraId="370DF69A" w14:textId="77777777" w:rsidR="00423B40" w:rsidRDefault="00636AB1">
            <w:pPr>
              <w:spacing w:line="240" w:lineRule="auto"/>
              <w:jc w:val="center"/>
              <w:rPr>
                <w:b/>
                <w:bCs/>
                <w:color w:val="121212"/>
              </w:rPr>
            </w:pPr>
            <w:r>
              <w:rPr>
                <w:b/>
                <w:bCs/>
                <w:color w:val="121212"/>
              </w:rPr>
              <w:t xml:space="preserve">Codes </w:t>
            </w:r>
          </w:p>
        </w:tc>
        <w:tc>
          <w:tcPr>
            <w:tcW w:w="1452" w:type="pct"/>
          </w:tcPr>
          <w:p w14:paraId="2DBA4A36" w14:textId="77777777" w:rsidR="00423B40" w:rsidRDefault="00636AB1">
            <w:pPr>
              <w:spacing w:line="240" w:lineRule="auto"/>
              <w:jc w:val="center"/>
              <w:rPr>
                <w:b/>
                <w:bCs/>
                <w:color w:val="121212"/>
              </w:rPr>
            </w:pPr>
            <w:r>
              <w:rPr>
                <w:b/>
                <w:bCs/>
                <w:color w:val="121212"/>
              </w:rPr>
              <w:t>Sub-themes</w:t>
            </w:r>
          </w:p>
        </w:tc>
        <w:tc>
          <w:tcPr>
            <w:tcW w:w="1349" w:type="pct"/>
          </w:tcPr>
          <w:p w14:paraId="5EBDD268" w14:textId="77777777" w:rsidR="00423B40" w:rsidRDefault="00636AB1">
            <w:pPr>
              <w:spacing w:line="240" w:lineRule="auto"/>
              <w:jc w:val="center"/>
              <w:rPr>
                <w:b/>
                <w:bCs/>
                <w:color w:val="121212"/>
              </w:rPr>
            </w:pPr>
            <w:r>
              <w:rPr>
                <w:b/>
                <w:bCs/>
                <w:color w:val="121212"/>
              </w:rPr>
              <w:t>Main Theme</w:t>
            </w:r>
          </w:p>
        </w:tc>
      </w:tr>
      <w:tr w:rsidR="00423B40" w14:paraId="04D23C83" w14:textId="77777777" w:rsidTr="008A2B25">
        <w:trPr>
          <w:trHeight w:val="2010"/>
        </w:trPr>
        <w:tc>
          <w:tcPr>
            <w:tcW w:w="984" w:type="pct"/>
          </w:tcPr>
          <w:p w14:paraId="636E2A44" w14:textId="5D11EB41" w:rsidR="00423B40" w:rsidRDefault="00636AB1">
            <w:pPr>
              <w:spacing w:line="240" w:lineRule="auto"/>
              <w:rPr>
                <w:color w:val="121212"/>
              </w:rPr>
            </w:pPr>
            <w:r>
              <w:rPr>
                <w:color w:val="121212"/>
              </w:rPr>
              <w:t xml:space="preserve">Parden </w:t>
            </w:r>
            <w:r>
              <w:rPr>
                <w:i/>
                <w:iCs/>
                <w:color w:val="121212"/>
              </w:rPr>
              <w:t>et al</w:t>
            </w:r>
            <w:r>
              <w:rPr>
                <w:color w:val="121212"/>
              </w:rPr>
              <w:t xml:space="preserve">. (2016) </w:t>
            </w:r>
          </w:p>
        </w:tc>
        <w:tc>
          <w:tcPr>
            <w:tcW w:w="1214" w:type="pct"/>
          </w:tcPr>
          <w:p w14:paraId="1458620D" w14:textId="77777777" w:rsidR="00423B40" w:rsidRDefault="00636AB1">
            <w:pPr>
              <w:spacing w:line="240" w:lineRule="auto"/>
              <w:rPr>
                <w:color w:val="121212"/>
              </w:rPr>
            </w:pPr>
            <w:r>
              <w:rPr>
                <w:color w:val="121212"/>
              </w:rPr>
              <w:t>“pelvic floor disorders”, “young women”, “awareness”, “symptoms”, “quality of life”</w:t>
            </w:r>
          </w:p>
        </w:tc>
        <w:tc>
          <w:tcPr>
            <w:tcW w:w="1452" w:type="pct"/>
          </w:tcPr>
          <w:p w14:paraId="1DB63D0E" w14:textId="77777777" w:rsidR="00423B40" w:rsidRDefault="00636AB1">
            <w:pPr>
              <w:spacing w:line="240" w:lineRule="auto"/>
              <w:rPr>
                <w:color w:val="121212"/>
              </w:rPr>
            </w:pPr>
            <w:r>
              <w:rPr>
                <w:color w:val="121212"/>
              </w:rPr>
              <w:t>Awareness and symptom burden</w:t>
            </w:r>
          </w:p>
        </w:tc>
        <w:tc>
          <w:tcPr>
            <w:tcW w:w="1349" w:type="pct"/>
            <w:vMerge w:val="restart"/>
          </w:tcPr>
          <w:p w14:paraId="7350FBA1" w14:textId="77777777" w:rsidR="00423B40" w:rsidRDefault="00636AB1">
            <w:pPr>
              <w:spacing w:line="240" w:lineRule="auto"/>
              <w:rPr>
                <w:color w:val="121212"/>
              </w:rPr>
            </w:pPr>
            <w:r>
              <w:rPr>
                <w:color w:val="121212"/>
              </w:rPr>
              <w:t>Theme 1: Pelvic floor dysfunction as a multidimensional determinant of quality of life among young adults</w:t>
            </w:r>
          </w:p>
        </w:tc>
      </w:tr>
      <w:tr w:rsidR="00423B40" w14:paraId="0241A731" w14:textId="77777777" w:rsidTr="008A2B25">
        <w:trPr>
          <w:trHeight w:val="1485"/>
        </w:trPr>
        <w:tc>
          <w:tcPr>
            <w:tcW w:w="984" w:type="pct"/>
          </w:tcPr>
          <w:p w14:paraId="10682C28" w14:textId="77777777" w:rsidR="00423B40" w:rsidRDefault="00636AB1">
            <w:pPr>
              <w:spacing w:line="240" w:lineRule="auto"/>
              <w:rPr>
                <w:color w:val="121212"/>
              </w:rPr>
            </w:pPr>
            <w:r>
              <w:rPr>
                <w:color w:val="121212"/>
              </w:rPr>
              <w:t xml:space="preserve">Rogers </w:t>
            </w:r>
            <w:r>
              <w:rPr>
                <w:i/>
                <w:iCs/>
                <w:color w:val="121212"/>
              </w:rPr>
              <w:t>et al</w:t>
            </w:r>
            <w:r>
              <w:rPr>
                <w:color w:val="121212"/>
              </w:rPr>
              <w:t>. (2017)</w:t>
            </w:r>
          </w:p>
        </w:tc>
        <w:tc>
          <w:tcPr>
            <w:tcW w:w="1214" w:type="pct"/>
          </w:tcPr>
          <w:p w14:paraId="0772C7B6" w14:textId="77777777" w:rsidR="00423B40" w:rsidRDefault="00636AB1">
            <w:pPr>
              <w:spacing w:line="240" w:lineRule="auto"/>
              <w:rPr>
                <w:color w:val="121212"/>
              </w:rPr>
            </w:pPr>
            <w:r>
              <w:rPr>
                <w:color w:val="121212"/>
              </w:rPr>
              <w:t>“pelvic floor symptoms”, “first pregnancy”, “quality of life”, “physical function”, “prospective cohort”</w:t>
            </w:r>
          </w:p>
        </w:tc>
        <w:tc>
          <w:tcPr>
            <w:tcW w:w="1452" w:type="pct"/>
          </w:tcPr>
          <w:p w14:paraId="5964480A" w14:textId="481F92C8" w:rsidR="00423B40" w:rsidRDefault="00636AB1">
            <w:pPr>
              <w:spacing w:line="240" w:lineRule="auto"/>
              <w:rPr>
                <w:color w:val="121212"/>
              </w:rPr>
            </w:pPr>
            <w:r>
              <w:rPr>
                <w:color w:val="121212"/>
              </w:rPr>
              <w:t>Physical and functional limitation</w:t>
            </w:r>
          </w:p>
        </w:tc>
        <w:tc>
          <w:tcPr>
            <w:tcW w:w="1349" w:type="pct"/>
            <w:vMerge/>
          </w:tcPr>
          <w:p w14:paraId="772C86F0" w14:textId="77777777" w:rsidR="00423B40" w:rsidRDefault="00423B40">
            <w:pPr>
              <w:widowControl w:val="0"/>
              <w:spacing w:line="276" w:lineRule="auto"/>
              <w:jc w:val="left"/>
              <w:rPr>
                <w:color w:val="121212"/>
              </w:rPr>
            </w:pPr>
          </w:p>
        </w:tc>
      </w:tr>
      <w:tr w:rsidR="00423B40" w14:paraId="06379C25" w14:textId="77777777" w:rsidTr="008A2B25">
        <w:trPr>
          <w:trHeight w:val="1575"/>
        </w:trPr>
        <w:tc>
          <w:tcPr>
            <w:tcW w:w="984" w:type="pct"/>
          </w:tcPr>
          <w:p w14:paraId="2BB7BBF9" w14:textId="77777777" w:rsidR="00423B40" w:rsidRDefault="00636AB1">
            <w:pPr>
              <w:spacing w:line="240" w:lineRule="auto"/>
              <w:rPr>
                <w:color w:val="121212"/>
              </w:rPr>
            </w:pPr>
            <w:r>
              <w:rPr>
                <w:color w:val="121212"/>
              </w:rPr>
              <w:t xml:space="preserve">Pires </w:t>
            </w:r>
            <w:r>
              <w:rPr>
                <w:i/>
                <w:iCs/>
                <w:color w:val="121212"/>
              </w:rPr>
              <w:t>et al</w:t>
            </w:r>
            <w:r>
              <w:rPr>
                <w:color w:val="121212"/>
              </w:rPr>
              <w:t>. (2020)</w:t>
            </w:r>
          </w:p>
        </w:tc>
        <w:tc>
          <w:tcPr>
            <w:tcW w:w="1214" w:type="pct"/>
          </w:tcPr>
          <w:p w14:paraId="42B309A3" w14:textId="77777777" w:rsidR="00423B40" w:rsidRDefault="00636AB1">
            <w:pPr>
              <w:spacing w:line="240" w:lineRule="auto"/>
              <w:rPr>
                <w:color w:val="121212"/>
              </w:rPr>
            </w:pPr>
            <w:r>
              <w:rPr>
                <w:color w:val="121212"/>
              </w:rPr>
              <w:t>“pelvic floor muscles”, “sportswomen”, “quality of life”, “physical activity”, “urinary symptoms”</w:t>
            </w:r>
          </w:p>
        </w:tc>
        <w:tc>
          <w:tcPr>
            <w:tcW w:w="1452" w:type="pct"/>
          </w:tcPr>
          <w:p w14:paraId="69859C50" w14:textId="77777777" w:rsidR="00423B40" w:rsidRDefault="00636AB1">
            <w:pPr>
              <w:spacing w:line="240" w:lineRule="auto"/>
              <w:rPr>
                <w:color w:val="121212"/>
              </w:rPr>
            </w:pPr>
            <w:r>
              <w:rPr>
                <w:color w:val="121212"/>
              </w:rPr>
              <w:t>Physical and occupational/sport functioning</w:t>
            </w:r>
          </w:p>
        </w:tc>
        <w:tc>
          <w:tcPr>
            <w:tcW w:w="1349" w:type="pct"/>
            <w:vMerge/>
          </w:tcPr>
          <w:p w14:paraId="45CA8AB2" w14:textId="77777777" w:rsidR="00423B40" w:rsidRDefault="00423B40">
            <w:pPr>
              <w:widowControl w:val="0"/>
              <w:spacing w:line="276" w:lineRule="auto"/>
              <w:jc w:val="left"/>
              <w:rPr>
                <w:color w:val="121212"/>
              </w:rPr>
            </w:pPr>
          </w:p>
        </w:tc>
      </w:tr>
      <w:tr w:rsidR="00423B40" w14:paraId="1D6970BE" w14:textId="77777777" w:rsidTr="008A2B25">
        <w:trPr>
          <w:trHeight w:val="1185"/>
        </w:trPr>
        <w:tc>
          <w:tcPr>
            <w:tcW w:w="984" w:type="pct"/>
          </w:tcPr>
          <w:p w14:paraId="1E6DE3E0" w14:textId="77777777" w:rsidR="00423B40" w:rsidRDefault="00636AB1">
            <w:pPr>
              <w:spacing w:line="240" w:lineRule="auto"/>
              <w:rPr>
                <w:color w:val="121212"/>
              </w:rPr>
            </w:pPr>
            <w:r>
              <w:rPr>
                <w:color w:val="121212"/>
              </w:rPr>
              <w:t xml:space="preserve">Eloranta </w:t>
            </w:r>
            <w:r>
              <w:rPr>
                <w:i/>
                <w:iCs/>
                <w:color w:val="121212"/>
              </w:rPr>
              <w:t>et al</w:t>
            </w:r>
            <w:r>
              <w:rPr>
                <w:color w:val="121212"/>
              </w:rPr>
              <w:t>. (2019)</w:t>
            </w:r>
          </w:p>
        </w:tc>
        <w:tc>
          <w:tcPr>
            <w:tcW w:w="1214" w:type="pct"/>
          </w:tcPr>
          <w:p w14:paraId="78CBD732" w14:textId="77777777" w:rsidR="00423B40" w:rsidRDefault="00636AB1">
            <w:pPr>
              <w:spacing w:line="240" w:lineRule="auto"/>
              <w:rPr>
                <w:color w:val="121212"/>
              </w:rPr>
            </w:pPr>
            <w:r>
              <w:rPr>
                <w:color w:val="121212"/>
              </w:rPr>
              <w:t>“pelvic floor disorders”, “health-related quality of life”, “urinary symptoms”, “social functioning”</w:t>
            </w:r>
          </w:p>
        </w:tc>
        <w:tc>
          <w:tcPr>
            <w:tcW w:w="1452" w:type="pct"/>
          </w:tcPr>
          <w:p w14:paraId="3F0B9CAA" w14:textId="77777777" w:rsidR="00423B40" w:rsidRDefault="00636AB1">
            <w:pPr>
              <w:spacing w:line="240" w:lineRule="auto"/>
              <w:rPr>
                <w:color w:val="121212"/>
              </w:rPr>
            </w:pPr>
            <w:r>
              <w:rPr>
                <w:color w:val="121212"/>
              </w:rPr>
              <w:t>Health-related and social quality of life</w:t>
            </w:r>
          </w:p>
        </w:tc>
        <w:tc>
          <w:tcPr>
            <w:tcW w:w="1349" w:type="pct"/>
            <w:vMerge/>
          </w:tcPr>
          <w:p w14:paraId="3B85F735" w14:textId="77777777" w:rsidR="00423B40" w:rsidRDefault="00423B40">
            <w:pPr>
              <w:widowControl w:val="0"/>
              <w:spacing w:line="276" w:lineRule="auto"/>
              <w:jc w:val="left"/>
              <w:rPr>
                <w:color w:val="121212"/>
              </w:rPr>
            </w:pPr>
          </w:p>
        </w:tc>
      </w:tr>
      <w:tr w:rsidR="00423B40" w14:paraId="38FE3CE3" w14:textId="77777777" w:rsidTr="008A2B25">
        <w:trPr>
          <w:trHeight w:val="1425"/>
        </w:trPr>
        <w:tc>
          <w:tcPr>
            <w:tcW w:w="984" w:type="pct"/>
          </w:tcPr>
          <w:p w14:paraId="7116DD3F" w14:textId="77777777" w:rsidR="00423B40" w:rsidRDefault="00636AB1">
            <w:pPr>
              <w:spacing w:line="240" w:lineRule="auto"/>
              <w:rPr>
                <w:color w:val="121212"/>
              </w:rPr>
            </w:pPr>
            <w:proofErr w:type="spellStart"/>
            <w:r>
              <w:rPr>
                <w:color w:val="121212"/>
              </w:rPr>
              <w:t>Vrijens</w:t>
            </w:r>
            <w:proofErr w:type="spellEnd"/>
            <w:r>
              <w:rPr>
                <w:color w:val="121212"/>
              </w:rPr>
              <w:t xml:space="preserve"> </w:t>
            </w:r>
            <w:r>
              <w:rPr>
                <w:i/>
                <w:iCs/>
                <w:color w:val="121212"/>
              </w:rPr>
              <w:t>et al</w:t>
            </w:r>
            <w:r>
              <w:rPr>
                <w:color w:val="121212"/>
              </w:rPr>
              <w:t>. (2017)</w:t>
            </w:r>
          </w:p>
        </w:tc>
        <w:tc>
          <w:tcPr>
            <w:tcW w:w="1214" w:type="pct"/>
          </w:tcPr>
          <w:p w14:paraId="1532AAE2" w14:textId="77777777" w:rsidR="00423B40" w:rsidRDefault="00636AB1">
            <w:pPr>
              <w:spacing w:line="240" w:lineRule="auto"/>
              <w:rPr>
                <w:color w:val="121212"/>
              </w:rPr>
            </w:pPr>
            <w:r>
              <w:rPr>
                <w:color w:val="121212"/>
              </w:rPr>
              <w:t>“pelvic floor dysfunction”, “depressive symptoms”, “anxiety”, “psychological distress”</w:t>
            </w:r>
          </w:p>
        </w:tc>
        <w:tc>
          <w:tcPr>
            <w:tcW w:w="1452" w:type="pct"/>
          </w:tcPr>
          <w:p w14:paraId="53D25048" w14:textId="77777777" w:rsidR="00423B40" w:rsidRDefault="00636AB1">
            <w:pPr>
              <w:spacing w:line="240" w:lineRule="auto"/>
              <w:rPr>
                <w:color w:val="121212"/>
              </w:rPr>
            </w:pPr>
            <w:r>
              <w:rPr>
                <w:color w:val="121212"/>
              </w:rPr>
              <w:t>Depression and anxiety symptoms</w:t>
            </w:r>
          </w:p>
        </w:tc>
        <w:tc>
          <w:tcPr>
            <w:tcW w:w="1349" w:type="pct"/>
            <w:vMerge w:val="restart"/>
          </w:tcPr>
          <w:p w14:paraId="465EAC21" w14:textId="77777777" w:rsidR="00423B40" w:rsidRDefault="00636AB1">
            <w:pPr>
              <w:spacing w:line="240" w:lineRule="auto"/>
              <w:rPr>
                <w:color w:val="121212"/>
              </w:rPr>
            </w:pPr>
            <w:r>
              <w:rPr>
                <w:color w:val="121212"/>
              </w:rPr>
              <w:t>Theme 2: Pelvic floor dysfunction and psychological vulnerability as interconnected health outcomes</w:t>
            </w:r>
          </w:p>
        </w:tc>
      </w:tr>
      <w:tr w:rsidR="00423B40" w14:paraId="3949FBEE" w14:textId="77777777" w:rsidTr="008A2B25">
        <w:trPr>
          <w:trHeight w:val="1260"/>
        </w:trPr>
        <w:tc>
          <w:tcPr>
            <w:tcW w:w="984" w:type="pct"/>
          </w:tcPr>
          <w:p w14:paraId="0C72B493" w14:textId="77777777" w:rsidR="00423B40" w:rsidRDefault="00636AB1">
            <w:pPr>
              <w:spacing w:line="240" w:lineRule="auto"/>
              <w:rPr>
                <w:color w:val="121212"/>
              </w:rPr>
            </w:pPr>
            <w:r>
              <w:rPr>
                <w:color w:val="121212"/>
              </w:rPr>
              <w:lastRenderedPageBreak/>
              <w:t xml:space="preserve">Mazi </w:t>
            </w:r>
            <w:r>
              <w:rPr>
                <w:i/>
                <w:iCs/>
                <w:color w:val="121212"/>
              </w:rPr>
              <w:t>et al</w:t>
            </w:r>
            <w:r>
              <w:rPr>
                <w:color w:val="121212"/>
              </w:rPr>
              <w:t>. (2019)</w:t>
            </w:r>
          </w:p>
        </w:tc>
        <w:tc>
          <w:tcPr>
            <w:tcW w:w="1214" w:type="pct"/>
          </w:tcPr>
          <w:p w14:paraId="2786124B" w14:textId="77777777" w:rsidR="00423B40" w:rsidRDefault="00636AB1">
            <w:pPr>
              <w:spacing w:line="240" w:lineRule="auto"/>
              <w:rPr>
                <w:color w:val="121212"/>
              </w:rPr>
            </w:pPr>
            <w:r>
              <w:rPr>
                <w:color w:val="121212"/>
              </w:rPr>
              <w:t>“depression”, “pelvic floor dysfunction”, “women”, “psychological symptoms”, “case-control”</w:t>
            </w:r>
          </w:p>
        </w:tc>
        <w:tc>
          <w:tcPr>
            <w:tcW w:w="1452" w:type="pct"/>
          </w:tcPr>
          <w:p w14:paraId="5D788523" w14:textId="77777777" w:rsidR="00423B40" w:rsidRDefault="00636AB1">
            <w:pPr>
              <w:spacing w:line="240" w:lineRule="auto"/>
              <w:rPr>
                <w:color w:val="121212"/>
              </w:rPr>
            </w:pPr>
            <w:r>
              <w:rPr>
                <w:color w:val="121212"/>
              </w:rPr>
              <w:t>Depressive symptom burden</w:t>
            </w:r>
          </w:p>
        </w:tc>
        <w:tc>
          <w:tcPr>
            <w:tcW w:w="1349" w:type="pct"/>
            <w:vMerge/>
          </w:tcPr>
          <w:p w14:paraId="73986AE6" w14:textId="77777777" w:rsidR="00423B40" w:rsidRDefault="00423B40">
            <w:pPr>
              <w:widowControl w:val="0"/>
              <w:spacing w:line="276" w:lineRule="auto"/>
              <w:jc w:val="left"/>
              <w:rPr>
                <w:color w:val="121212"/>
              </w:rPr>
            </w:pPr>
          </w:p>
        </w:tc>
      </w:tr>
      <w:tr w:rsidR="00423B40" w14:paraId="71B439E4" w14:textId="77777777" w:rsidTr="008A2B25">
        <w:trPr>
          <w:trHeight w:val="1755"/>
        </w:trPr>
        <w:tc>
          <w:tcPr>
            <w:tcW w:w="984" w:type="pct"/>
          </w:tcPr>
          <w:p w14:paraId="6652B565" w14:textId="2627EB9F" w:rsidR="00423B40" w:rsidRDefault="00636AB1">
            <w:pPr>
              <w:spacing w:line="240" w:lineRule="auto"/>
              <w:rPr>
                <w:color w:val="121212"/>
              </w:rPr>
            </w:pPr>
            <w:r>
              <w:rPr>
                <w:color w:val="121212"/>
              </w:rPr>
              <w:t xml:space="preserve">AlQuaiz </w:t>
            </w:r>
            <w:r>
              <w:rPr>
                <w:i/>
                <w:iCs/>
                <w:color w:val="121212"/>
              </w:rPr>
              <w:t>et al</w:t>
            </w:r>
            <w:r>
              <w:rPr>
                <w:color w:val="121212"/>
              </w:rPr>
              <w:t>. (2023)</w:t>
            </w:r>
          </w:p>
        </w:tc>
        <w:tc>
          <w:tcPr>
            <w:tcW w:w="1214" w:type="pct"/>
          </w:tcPr>
          <w:p w14:paraId="0E05DF07" w14:textId="77777777" w:rsidR="00423B40" w:rsidRDefault="00636AB1">
            <w:pPr>
              <w:spacing w:line="240" w:lineRule="auto"/>
              <w:rPr>
                <w:color w:val="121212"/>
              </w:rPr>
            </w:pPr>
            <w:r>
              <w:rPr>
                <w:color w:val="121212"/>
              </w:rPr>
              <w:t>“urinary incontinence”, “quality of life”, “psychological distress”, “low self-esteem”</w:t>
            </w:r>
          </w:p>
        </w:tc>
        <w:tc>
          <w:tcPr>
            <w:tcW w:w="1452" w:type="pct"/>
          </w:tcPr>
          <w:p w14:paraId="1249C246" w14:textId="77777777" w:rsidR="00423B40" w:rsidRDefault="00636AB1">
            <w:pPr>
              <w:spacing w:line="240" w:lineRule="auto"/>
              <w:rPr>
                <w:color w:val="121212"/>
              </w:rPr>
            </w:pPr>
            <w:r>
              <w:rPr>
                <w:color w:val="121212"/>
              </w:rPr>
              <w:t>Self-esteem and psychological distress</w:t>
            </w:r>
          </w:p>
        </w:tc>
        <w:tc>
          <w:tcPr>
            <w:tcW w:w="1349" w:type="pct"/>
            <w:vMerge/>
          </w:tcPr>
          <w:p w14:paraId="32AEA9C8" w14:textId="77777777" w:rsidR="00423B40" w:rsidRDefault="00423B40">
            <w:pPr>
              <w:widowControl w:val="0"/>
              <w:spacing w:line="276" w:lineRule="auto"/>
              <w:jc w:val="left"/>
              <w:rPr>
                <w:color w:val="121212"/>
              </w:rPr>
            </w:pPr>
          </w:p>
        </w:tc>
      </w:tr>
      <w:tr w:rsidR="00423B40" w14:paraId="7E0EF6A8" w14:textId="77777777" w:rsidTr="008A2B25">
        <w:trPr>
          <w:trHeight w:val="1305"/>
        </w:trPr>
        <w:tc>
          <w:tcPr>
            <w:tcW w:w="984" w:type="pct"/>
          </w:tcPr>
          <w:p w14:paraId="2A1DD0AC" w14:textId="77777777" w:rsidR="00423B40" w:rsidRDefault="00636AB1">
            <w:pPr>
              <w:spacing w:line="240" w:lineRule="auto"/>
              <w:rPr>
                <w:color w:val="121212"/>
              </w:rPr>
            </w:pPr>
            <w:r>
              <w:rPr>
                <w:color w:val="121212"/>
              </w:rPr>
              <w:t xml:space="preserve">Kalata </w:t>
            </w:r>
            <w:r>
              <w:rPr>
                <w:i/>
                <w:iCs/>
                <w:color w:val="121212"/>
              </w:rPr>
              <w:t>et al</w:t>
            </w:r>
            <w:r>
              <w:rPr>
                <w:color w:val="121212"/>
              </w:rPr>
              <w:t>. (2023)</w:t>
            </w:r>
          </w:p>
        </w:tc>
        <w:tc>
          <w:tcPr>
            <w:tcW w:w="1214" w:type="pct"/>
          </w:tcPr>
          <w:p w14:paraId="54DB1F17" w14:textId="77777777" w:rsidR="00423B40" w:rsidRDefault="00636AB1">
            <w:pPr>
              <w:spacing w:line="240" w:lineRule="auto"/>
              <w:rPr>
                <w:color w:val="121212"/>
              </w:rPr>
            </w:pPr>
            <w:r>
              <w:rPr>
                <w:color w:val="121212"/>
              </w:rPr>
              <w:t>“stress urinary incontinence”, “pelvic organ prolapse”, “depression”, “anxiety”, “insomnia”</w:t>
            </w:r>
          </w:p>
        </w:tc>
        <w:tc>
          <w:tcPr>
            <w:tcW w:w="1452" w:type="pct"/>
          </w:tcPr>
          <w:p w14:paraId="75448F91" w14:textId="77777777" w:rsidR="00423B40" w:rsidRDefault="00636AB1">
            <w:pPr>
              <w:spacing w:line="240" w:lineRule="auto"/>
              <w:rPr>
                <w:color w:val="121212"/>
              </w:rPr>
            </w:pPr>
            <w:r>
              <w:rPr>
                <w:color w:val="121212"/>
              </w:rPr>
              <w:t>Depression, anxiety and sleep disturbance</w:t>
            </w:r>
          </w:p>
        </w:tc>
        <w:tc>
          <w:tcPr>
            <w:tcW w:w="1349" w:type="pct"/>
            <w:vMerge/>
          </w:tcPr>
          <w:p w14:paraId="6244A230" w14:textId="77777777" w:rsidR="00423B40" w:rsidRDefault="00423B40">
            <w:pPr>
              <w:widowControl w:val="0"/>
              <w:spacing w:line="276" w:lineRule="auto"/>
              <w:jc w:val="left"/>
              <w:rPr>
                <w:color w:val="121212"/>
              </w:rPr>
            </w:pPr>
          </w:p>
        </w:tc>
      </w:tr>
      <w:tr w:rsidR="00423B40" w14:paraId="7B74FE07" w14:textId="77777777" w:rsidTr="008A2B25">
        <w:trPr>
          <w:trHeight w:val="945"/>
        </w:trPr>
        <w:tc>
          <w:tcPr>
            <w:tcW w:w="984" w:type="pct"/>
          </w:tcPr>
          <w:p w14:paraId="1F198877" w14:textId="77777777" w:rsidR="00423B40" w:rsidRDefault="00636AB1">
            <w:pPr>
              <w:spacing w:line="240" w:lineRule="auto"/>
              <w:rPr>
                <w:color w:val="121212"/>
              </w:rPr>
            </w:pPr>
            <w:r>
              <w:rPr>
                <w:color w:val="121212"/>
              </w:rPr>
              <w:t xml:space="preserve">Mishra </w:t>
            </w:r>
            <w:r>
              <w:rPr>
                <w:i/>
                <w:iCs/>
                <w:color w:val="121212"/>
              </w:rPr>
              <w:t>et al</w:t>
            </w:r>
            <w:r>
              <w:rPr>
                <w:color w:val="121212"/>
              </w:rPr>
              <w:t>. (2015)</w:t>
            </w:r>
          </w:p>
        </w:tc>
        <w:tc>
          <w:tcPr>
            <w:tcW w:w="1214" w:type="pct"/>
          </w:tcPr>
          <w:p w14:paraId="3194F341" w14:textId="77777777" w:rsidR="00423B40" w:rsidRDefault="00636AB1">
            <w:pPr>
              <w:spacing w:line="240" w:lineRule="auto"/>
              <w:rPr>
                <w:color w:val="121212"/>
              </w:rPr>
            </w:pPr>
            <w:r>
              <w:rPr>
                <w:color w:val="121212"/>
              </w:rPr>
              <w:t>“young women”, “depression”, “urinary incontinence”, “prospective cohort”, “risk”</w:t>
            </w:r>
          </w:p>
        </w:tc>
        <w:tc>
          <w:tcPr>
            <w:tcW w:w="1452" w:type="pct"/>
          </w:tcPr>
          <w:p w14:paraId="3A44DD08" w14:textId="77777777" w:rsidR="00423B40" w:rsidRDefault="00636AB1">
            <w:pPr>
              <w:spacing w:line="240" w:lineRule="auto"/>
              <w:rPr>
                <w:color w:val="121212"/>
              </w:rPr>
            </w:pPr>
            <w:r>
              <w:rPr>
                <w:color w:val="121212"/>
              </w:rPr>
              <w:t xml:space="preserve">Depression </w:t>
            </w:r>
          </w:p>
        </w:tc>
        <w:tc>
          <w:tcPr>
            <w:tcW w:w="1349" w:type="pct"/>
            <w:vMerge w:val="restart"/>
          </w:tcPr>
          <w:p w14:paraId="7EE03C44" w14:textId="77777777" w:rsidR="00423B40" w:rsidRDefault="00636AB1">
            <w:pPr>
              <w:spacing w:line="240" w:lineRule="auto"/>
              <w:rPr>
                <w:color w:val="121212"/>
              </w:rPr>
            </w:pPr>
            <w:r>
              <w:rPr>
                <w:color w:val="121212"/>
              </w:rPr>
              <w:t>Theme 3: Individual, social, reproductive and healthcare-related factors shaping pelvic floor and mental-health outcomes</w:t>
            </w:r>
          </w:p>
        </w:tc>
      </w:tr>
      <w:tr w:rsidR="00423B40" w14:paraId="215EB396" w14:textId="77777777" w:rsidTr="008A2B25">
        <w:trPr>
          <w:trHeight w:val="1125"/>
        </w:trPr>
        <w:tc>
          <w:tcPr>
            <w:tcW w:w="984" w:type="pct"/>
          </w:tcPr>
          <w:p w14:paraId="52424003" w14:textId="3BFDFB4F" w:rsidR="00423B40" w:rsidRDefault="00636AB1">
            <w:pPr>
              <w:spacing w:line="240" w:lineRule="auto"/>
              <w:rPr>
                <w:color w:val="121212"/>
              </w:rPr>
            </w:pPr>
            <w:proofErr w:type="spellStart"/>
            <w:r>
              <w:rPr>
                <w:color w:val="121212"/>
              </w:rPr>
              <w:t>JelovSek</w:t>
            </w:r>
            <w:proofErr w:type="spellEnd"/>
            <w:r>
              <w:rPr>
                <w:color w:val="121212"/>
              </w:rPr>
              <w:t xml:space="preserve"> </w:t>
            </w:r>
            <w:r>
              <w:rPr>
                <w:i/>
                <w:iCs/>
                <w:color w:val="121212"/>
              </w:rPr>
              <w:t>et al</w:t>
            </w:r>
            <w:r>
              <w:rPr>
                <w:color w:val="121212"/>
              </w:rPr>
              <w:t>. (2018)</w:t>
            </w:r>
          </w:p>
        </w:tc>
        <w:tc>
          <w:tcPr>
            <w:tcW w:w="1214" w:type="pct"/>
          </w:tcPr>
          <w:p w14:paraId="529E9B77" w14:textId="77777777" w:rsidR="00423B40" w:rsidRDefault="00636AB1">
            <w:pPr>
              <w:spacing w:line="240" w:lineRule="auto"/>
              <w:rPr>
                <w:color w:val="121212"/>
              </w:rPr>
            </w:pPr>
            <w:r>
              <w:rPr>
                <w:color w:val="121212"/>
              </w:rPr>
              <w:t>“risk prediction”, “pelvic floor disorders”, “delivery”, “long-term risk”, “women”</w:t>
            </w:r>
          </w:p>
        </w:tc>
        <w:tc>
          <w:tcPr>
            <w:tcW w:w="1452" w:type="pct"/>
          </w:tcPr>
          <w:p w14:paraId="29BEFF0C" w14:textId="77777777" w:rsidR="00423B40" w:rsidRDefault="00636AB1">
            <w:pPr>
              <w:spacing w:line="240" w:lineRule="auto"/>
              <w:rPr>
                <w:color w:val="121212"/>
              </w:rPr>
            </w:pPr>
            <w:r>
              <w:rPr>
                <w:color w:val="121212"/>
              </w:rPr>
              <w:t>Reproductive and obstetric factors</w:t>
            </w:r>
          </w:p>
        </w:tc>
        <w:tc>
          <w:tcPr>
            <w:tcW w:w="1349" w:type="pct"/>
            <w:vMerge/>
          </w:tcPr>
          <w:p w14:paraId="1F4B2888" w14:textId="77777777" w:rsidR="00423B40" w:rsidRDefault="00423B40">
            <w:pPr>
              <w:widowControl w:val="0"/>
              <w:spacing w:line="276" w:lineRule="auto"/>
              <w:jc w:val="left"/>
              <w:rPr>
                <w:color w:val="121212"/>
              </w:rPr>
            </w:pPr>
          </w:p>
        </w:tc>
      </w:tr>
      <w:tr w:rsidR="00423B40" w14:paraId="71CE5AE1" w14:textId="77777777" w:rsidTr="008A2B25">
        <w:trPr>
          <w:trHeight w:val="1365"/>
        </w:trPr>
        <w:tc>
          <w:tcPr>
            <w:tcW w:w="984" w:type="pct"/>
          </w:tcPr>
          <w:p w14:paraId="491C5496" w14:textId="77777777" w:rsidR="00423B40" w:rsidRDefault="00636AB1">
            <w:pPr>
              <w:spacing w:line="240" w:lineRule="auto"/>
              <w:rPr>
                <w:color w:val="121212"/>
              </w:rPr>
            </w:pPr>
            <w:proofErr w:type="spellStart"/>
            <w:r>
              <w:rPr>
                <w:color w:val="121212"/>
              </w:rPr>
              <w:t>Tsinisizeli</w:t>
            </w:r>
            <w:proofErr w:type="spellEnd"/>
            <w:r>
              <w:rPr>
                <w:color w:val="121212"/>
              </w:rPr>
              <w:t xml:space="preserve"> </w:t>
            </w:r>
            <w:r>
              <w:rPr>
                <w:i/>
                <w:iCs/>
                <w:color w:val="121212"/>
              </w:rPr>
              <w:t>et al</w:t>
            </w:r>
            <w:r>
              <w:rPr>
                <w:color w:val="121212"/>
              </w:rPr>
              <w:t>. (2023)</w:t>
            </w:r>
          </w:p>
        </w:tc>
        <w:tc>
          <w:tcPr>
            <w:tcW w:w="1214" w:type="pct"/>
          </w:tcPr>
          <w:p w14:paraId="5EE5E930" w14:textId="77777777" w:rsidR="00423B40" w:rsidRDefault="00636AB1">
            <w:pPr>
              <w:spacing w:line="240" w:lineRule="auto"/>
              <w:rPr>
                <w:color w:val="121212"/>
              </w:rPr>
            </w:pPr>
            <w:r>
              <w:rPr>
                <w:color w:val="121212"/>
              </w:rPr>
              <w:t>“knowledge”, “pelvic floor disorders”, “maternal characteristics”, “obstetric characteristics”, “awareness”</w:t>
            </w:r>
          </w:p>
        </w:tc>
        <w:tc>
          <w:tcPr>
            <w:tcW w:w="1452" w:type="pct"/>
          </w:tcPr>
          <w:p w14:paraId="352FC974" w14:textId="77777777" w:rsidR="00423B40" w:rsidRDefault="00636AB1">
            <w:pPr>
              <w:spacing w:line="240" w:lineRule="auto"/>
              <w:rPr>
                <w:color w:val="121212"/>
              </w:rPr>
            </w:pPr>
            <w:r>
              <w:rPr>
                <w:color w:val="121212"/>
              </w:rPr>
              <w:t>Knowledge and awareness</w:t>
            </w:r>
          </w:p>
        </w:tc>
        <w:tc>
          <w:tcPr>
            <w:tcW w:w="1349" w:type="pct"/>
            <w:vMerge/>
          </w:tcPr>
          <w:p w14:paraId="05503A04" w14:textId="77777777" w:rsidR="00423B40" w:rsidRDefault="00423B40">
            <w:pPr>
              <w:widowControl w:val="0"/>
              <w:spacing w:line="276" w:lineRule="auto"/>
              <w:jc w:val="left"/>
              <w:rPr>
                <w:color w:val="121212"/>
              </w:rPr>
            </w:pPr>
          </w:p>
        </w:tc>
      </w:tr>
      <w:tr w:rsidR="00423B40" w14:paraId="75528277" w14:textId="77777777" w:rsidTr="008A2B25">
        <w:trPr>
          <w:trHeight w:val="1530"/>
        </w:trPr>
        <w:tc>
          <w:tcPr>
            <w:tcW w:w="984" w:type="pct"/>
          </w:tcPr>
          <w:p w14:paraId="1481691F" w14:textId="77777777" w:rsidR="00423B40" w:rsidRDefault="00636AB1">
            <w:pPr>
              <w:spacing w:line="240" w:lineRule="auto"/>
              <w:rPr>
                <w:color w:val="121212"/>
              </w:rPr>
            </w:pPr>
            <w:r>
              <w:rPr>
                <w:color w:val="121212"/>
              </w:rPr>
              <w:lastRenderedPageBreak/>
              <w:t xml:space="preserve">Vemulapalli </w:t>
            </w:r>
            <w:r>
              <w:rPr>
                <w:i/>
                <w:iCs/>
                <w:color w:val="121212"/>
              </w:rPr>
              <w:t>et al</w:t>
            </w:r>
            <w:r>
              <w:rPr>
                <w:color w:val="121212"/>
              </w:rPr>
              <w:t>. (2024)</w:t>
            </w:r>
          </w:p>
        </w:tc>
        <w:tc>
          <w:tcPr>
            <w:tcW w:w="1214" w:type="pct"/>
          </w:tcPr>
          <w:p w14:paraId="43AA75A5" w14:textId="77777777" w:rsidR="00423B40" w:rsidRDefault="00636AB1">
            <w:pPr>
              <w:spacing w:line="240" w:lineRule="auto"/>
              <w:rPr>
                <w:color w:val="121212"/>
              </w:rPr>
            </w:pPr>
            <w:r>
              <w:rPr>
                <w:color w:val="121212"/>
              </w:rPr>
              <w:t>“pelvic floor disorders”, “risk factors”, “parous women”, “obstetric factors”, “prevalence”</w:t>
            </w:r>
          </w:p>
        </w:tc>
        <w:tc>
          <w:tcPr>
            <w:tcW w:w="1452" w:type="pct"/>
          </w:tcPr>
          <w:p w14:paraId="7D701B4C" w14:textId="77777777" w:rsidR="00423B40" w:rsidRDefault="00636AB1">
            <w:pPr>
              <w:spacing w:line="240" w:lineRule="auto"/>
              <w:rPr>
                <w:color w:val="121212"/>
              </w:rPr>
            </w:pPr>
            <w:r>
              <w:rPr>
                <w:color w:val="121212"/>
              </w:rPr>
              <w:t>Sociodemographic and reproductive risk factors</w:t>
            </w:r>
          </w:p>
        </w:tc>
        <w:tc>
          <w:tcPr>
            <w:tcW w:w="1349" w:type="pct"/>
            <w:vMerge/>
          </w:tcPr>
          <w:p w14:paraId="50D42313" w14:textId="77777777" w:rsidR="00423B40" w:rsidRDefault="00423B40">
            <w:pPr>
              <w:widowControl w:val="0"/>
              <w:spacing w:line="276" w:lineRule="auto"/>
              <w:jc w:val="left"/>
              <w:rPr>
                <w:color w:val="121212"/>
              </w:rPr>
            </w:pPr>
          </w:p>
        </w:tc>
      </w:tr>
      <w:tr w:rsidR="00423B40" w14:paraId="5F8C0AEB" w14:textId="77777777" w:rsidTr="008A2B25">
        <w:trPr>
          <w:trHeight w:val="1590"/>
        </w:trPr>
        <w:tc>
          <w:tcPr>
            <w:tcW w:w="984" w:type="pct"/>
          </w:tcPr>
          <w:p w14:paraId="79640504" w14:textId="77777777" w:rsidR="00423B40" w:rsidRDefault="00636AB1">
            <w:pPr>
              <w:spacing w:line="240" w:lineRule="auto"/>
              <w:rPr>
                <w:color w:val="121212"/>
              </w:rPr>
            </w:pPr>
            <w:r>
              <w:rPr>
                <w:color w:val="121212"/>
              </w:rPr>
              <w:t>Patel (2025)</w:t>
            </w:r>
          </w:p>
        </w:tc>
        <w:tc>
          <w:tcPr>
            <w:tcW w:w="1214" w:type="pct"/>
          </w:tcPr>
          <w:p w14:paraId="0D2158FA" w14:textId="77777777" w:rsidR="00423B40" w:rsidRDefault="00636AB1">
            <w:pPr>
              <w:spacing w:line="240" w:lineRule="auto"/>
              <w:rPr>
                <w:color w:val="121212"/>
              </w:rPr>
            </w:pPr>
            <w:r>
              <w:rPr>
                <w:color w:val="121212"/>
              </w:rPr>
              <w:t>“postpartum pelvic floor dysfunction”, “instrumental delivery”, “spontaneous delivery”, “longitudinal study”, “early identification”</w:t>
            </w:r>
          </w:p>
        </w:tc>
        <w:tc>
          <w:tcPr>
            <w:tcW w:w="1452" w:type="pct"/>
          </w:tcPr>
          <w:p w14:paraId="535F1F4C" w14:textId="77777777" w:rsidR="00423B40" w:rsidRDefault="00636AB1">
            <w:pPr>
              <w:spacing w:line="240" w:lineRule="auto"/>
              <w:rPr>
                <w:color w:val="121212"/>
              </w:rPr>
            </w:pPr>
            <w:r>
              <w:rPr>
                <w:color w:val="121212"/>
              </w:rPr>
              <w:t>Early identification and postpartum monitoring</w:t>
            </w:r>
          </w:p>
        </w:tc>
        <w:tc>
          <w:tcPr>
            <w:tcW w:w="1349" w:type="pct"/>
            <w:vMerge w:val="restart"/>
          </w:tcPr>
          <w:p w14:paraId="03409475" w14:textId="77777777" w:rsidR="00423B40" w:rsidRDefault="00636AB1">
            <w:pPr>
              <w:spacing w:line="240" w:lineRule="auto"/>
              <w:rPr>
                <w:color w:val="121212"/>
              </w:rPr>
            </w:pPr>
            <w:r>
              <w:rPr>
                <w:color w:val="121212"/>
              </w:rPr>
              <w:t>Theme 4: Integrated clinical pathways for early identification, prevention and management of pelvic floor and mental-health problems</w:t>
            </w:r>
          </w:p>
        </w:tc>
      </w:tr>
      <w:tr w:rsidR="00423B40" w14:paraId="18677AD7" w14:textId="77777777" w:rsidTr="008A2B25">
        <w:trPr>
          <w:trHeight w:val="1125"/>
        </w:trPr>
        <w:tc>
          <w:tcPr>
            <w:tcW w:w="984" w:type="pct"/>
          </w:tcPr>
          <w:p w14:paraId="1A8BBEFB" w14:textId="77777777" w:rsidR="00423B40" w:rsidRDefault="00636AB1">
            <w:pPr>
              <w:spacing w:line="240" w:lineRule="auto"/>
              <w:rPr>
                <w:color w:val="121212"/>
              </w:rPr>
            </w:pPr>
            <w:r>
              <w:rPr>
                <w:color w:val="121212"/>
              </w:rPr>
              <w:t xml:space="preserve">Vico-Moreno </w:t>
            </w:r>
            <w:r>
              <w:rPr>
                <w:i/>
                <w:iCs/>
                <w:color w:val="121212"/>
              </w:rPr>
              <w:t>et al</w:t>
            </w:r>
            <w:r>
              <w:rPr>
                <w:color w:val="121212"/>
              </w:rPr>
              <w:t>. (2026)</w:t>
            </w:r>
          </w:p>
        </w:tc>
        <w:tc>
          <w:tcPr>
            <w:tcW w:w="1214" w:type="pct"/>
          </w:tcPr>
          <w:p w14:paraId="7E2A52FC" w14:textId="77777777" w:rsidR="00423B40" w:rsidRDefault="00636AB1">
            <w:pPr>
              <w:spacing w:line="240" w:lineRule="auto"/>
              <w:rPr>
                <w:color w:val="121212"/>
              </w:rPr>
            </w:pPr>
            <w:r>
              <w:rPr>
                <w:color w:val="121212"/>
              </w:rPr>
              <w:t>“pelvic floor care”, “female athletes”, “symptoms”, “prevention”, “healthcare practices”</w:t>
            </w:r>
          </w:p>
        </w:tc>
        <w:tc>
          <w:tcPr>
            <w:tcW w:w="1452" w:type="pct"/>
          </w:tcPr>
          <w:p w14:paraId="38BE8967" w14:textId="77777777" w:rsidR="00423B40" w:rsidRDefault="00636AB1">
            <w:pPr>
              <w:spacing w:line="240" w:lineRule="auto"/>
              <w:rPr>
                <w:color w:val="121212"/>
              </w:rPr>
            </w:pPr>
            <w:r>
              <w:rPr>
                <w:color w:val="121212"/>
              </w:rPr>
              <w:t>Preventive pelvic floor care</w:t>
            </w:r>
          </w:p>
        </w:tc>
        <w:tc>
          <w:tcPr>
            <w:tcW w:w="1349" w:type="pct"/>
            <w:vMerge/>
          </w:tcPr>
          <w:p w14:paraId="00AA1800" w14:textId="77777777" w:rsidR="00423B40" w:rsidRDefault="00423B40">
            <w:pPr>
              <w:widowControl w:val="0"/>
              <w:spacing w:line="276" w:lineRule="auto"/>
              <w:jc w:val="left"/>
              <w:rPr>
                <w:color w:val="121212"/>
              </w:rPr>
            </w:pPr>
          </w:p>
        </w:tc>
      </w:tr>
      <w:tr w:rsidR="00423B40" w14:paraId="5A3CECD7" w14:textId="77777777" w:rsidTr="008A2B25">
        <w:trPr>
          <w:trHeight w:val="1380"/>
        </w:trPr>
        <w:tc>
          <w:tcPr>
            <w:tcW w:w="984" w:type="pct"/>
          </w:tcPr>
          <w:p w14:paraId="54E03E7B" w14:textId="77777777" w:rsidR="00423B40" w:rsidRDefault="00636AB1">
            <w:pPr>
              <w:spacing w:line="240" w:lineRule="auto"/>
              <w:rPr>
                <w:color w:val="121212"/>
              </w:rPr>
            </w:pPr>
            <w:proofErr w:type="spellStart"/>
            <w:r>
              <w:rPr>
                <w:color w:val="121212"/>
              </w:rPr>
              <w:t>Giagio</w:t>
            </w:r>
            <w:proofErr w:type="spellEnd"/>
            <w:r>
              <w:rPr>
                <w:color w:val="121212"/>
              </w:rPr>
              <w:t xml:space="preserve"> </w:t>
            </w:r>
            <w:r>
              <w:rPr>
                <w:i/>
                <w:iCs/>
                <w:color w:val="121212"/>
              </w:rPr>
              <w:t>et al</w:t>
            </w:r>
            <w:r>
              <w:rPr>
                <w:color w:val="121212"/>
              </w:rPr>
              <w:t>. (2025)</w:t>
            </w:r>
          </w:p>
        </w:tc>
        <w:tc>
          <w:tcPr>
            <w:tcW w:w="1214" w:type="pct"/>
          </w:tcPr>
          <w:p w14:paraId="39C9D8C0" w14:textId="77777777" w:rsidR="00423B40" w:rsidRDefault="00636AB1">
            <w:pPr>
              <w:spacing w:line="240" w:lineRule="auto"/>
              <w:rPr>
                <w:color w:val="121212"/>
              </w:rPr>
            </w:pPr>
            <w:r>
              <w:rPr>
                <w:color w:val="121212"/>
              </w:rPr>
              <w:t>“pelvic floor symptoms”, “athletes”, “young women”, “prevalence”, “screening”</w:t>
            </w:r>
          </w:p>
        </w:tc>
        <w:tc>
          <w:tcPr>
            <w:tcW w:w="1452" w:type="pct"/>
          </w:tcPr>
          <w:p w14:paraId="0F8D1ABD" w14:textId="77777777" w:rsidR="00423B40" w:rsidRDefault="00636AB1">
            <w:pPr>
              <w:spacing w:line="240" w:lineRule="auto"/>
              <w:rPr>
                <w:color w:val="121212"/>
              </w:rPr>
            </w:pPr>
            <w:r>
              <w:rPr>
                <w:color w:val="121212"/>
              </w:rPr>
              <w:t>Screening and early recognition</w:t>
            </w:r>
          </w:p>
        </w:tc>
        <w:tc>
          <w:tcPr>
            <w:tcW w:w="1349" w:type="pct"/>
            <w:vMerge/>
          </w:tcPr>
          <w:p w14:paraId="33478819" w14:textId="77777777" w:rsidR="00423B40" w:rsidRDefault="00423B40">
            <w:pPr>
              <w:widowControl w:val="0"/>
              <w:spacing w:line="276" w:lineRule="auto"/>
              <w:jc w:val="left"/>
              <w:rPr>
                <w:color w:val="121212"/>
              </w:rPr>
            </w:pPr>
          </w:p>
        </w:tc>
      </w:tr>
    </w:tbl>
    <w:p w14:paraId="6E56D210" w14:textId="77777777" w:rsidR="00423B40" w:rsidRDefault="00636AB1">
      <w:pPr>
        <w:pStyle w:val="Heading5"/>
        <w:rPr>
          <w:color w:val="121212"/>
        </w:rPr>
      </w:pPr>
      <w:bookmarkStart w:id="58" w:name="_Toc240448196"/>
      <w:r>
        <w:rPr>
          <w:color w:val="121212"/>
        </w:rPr>
        <w:t>Table 4.2: Thematic Coding Table</w:t>
      </w:r>
      <w:bookmarkEnd w:id="58"/>
    </w:p>
    <w:p w14:paraId="13C5A77A" w14:textId="77777777" w:rsidR="00423B40" w:rsidRDefault="00636AB1">
      <w:pPr>
        <w:spacing w:after="240"/>
        <w:jc w:val="center"/>
        <w:rPr>
          <w:color w:val="121212"/>
        </w:rPr>
      </w:pPr>
      <w:r>
        <w:rPr>
          <w:color w:val="121212"/>
        </w:rPr>
        <w:t>(Source: Self-Created)</w:t>
      </w:r>
    </w:p>
    <w:p w14:paraId="20B6A9F2" w14:textId="77777777" w:rsidR="00423B40" w:rsidRDefault="00636AB1">
      <w:pPr>
        <w:rPr>
          <w:color w:val="121212"/>
        </w:rPr>
      </w:pPr>
      <w:r>
        <w:rPr>
          <w:color w:val="121212"/>
        </w:rPr>
        <w:t>Table 4.3 depicts a thematic coding table where 4 main themes are created by interpreting the results extracted from the 15 peer-reviewed journal articles, which were collected to align with the research topic. First, the general article findings were extracted and created quotes which represent most similar findings.   This codes further helps to create sub-themes for each article.  Combining the sub-themes created from each article, 4 main themes have been created, which are aligned with the four research objectives.</w:t>
      </w:r>
    </w:p>
    <w:p w14:paraId="3CE2E663" w14:textId="77777777" w:rsidR="008A2B25" w:rsidRDefault="008A2B25">
      <w:pPr>
        <w:pStyle w:val="Heading2"/>
        <w:rPr>
          <w:color w:val="121212"/>
        </w:rPr>
        <w:sectPr w:rsidR="008A2B25" w:rsidSect="008A2B25">
          <w:pgSz w:w="16838" w:h="11906" w:orient="landscape"/>
          <w:pgMar w:top="1440" w:right="1440" w:bottom="1440" w:left="1440" w:header="709" w:footer="709" w:gutter="0"/>
          <w:pgNumType w:start="1"/>
          <w:cols w:space="720"/>
          <w:docGrid w:linePitch="299"/>
        </w:sectPr>
      </w:pPr>
      <w:bookmarkStart w:id="59" w:name="_Toc240448282"/>
    </w:p>
    <w:p w14:paraId="1AA26C5A" w14:textId="77777777" w:rsidR="00423B40" w:rsidRDefault="00636AB1">
      <w:pPr>
        <w:pStyle w:val="Heading2"/>
        <w:rPr>
          <w:color w:val="121212"/>
        </w:rPr>
      </w:pPr>
      <w:r>
        <w:rPr>
          <w:color w:val="121212"/>
        </w:rPr>
        <w:lastRenderedPageBreak/>
        <w:t>4.5 Thematic Analysis</w:t>
      </w:r>
      <w:bookmarkEnd w:id="59"/>
    </w:p>
    <w:p w14:paraId="64237E74" w14:textId="77777777" w:rsidR="00423B40" w:rsidRDefault="00636AB1">
      <w:pPr>
        <w:rPr>
          <w:b/>
          <w:bCs/>
          <w:color w:val="121212"/>
        </w:rPr>
      </w:pPr>
      <w:r>
        <w:rPr>
          <w:b/>
          <w:bCs/>
          <w:color w:val="121212"/>
        </w:rPr>
        <w:t>Theme 1: Pelvic floor dysfunction as a multidimensional determinant of quality of life among young adults</w:t>
      </w:r>
    </w:p>
    <w:p w14:paraId="40B7061A" w14:textId="19C35495" w:rsidR="00423B40" w:rsidRDefault="00636AB1">
      <w:pPr>
        <w:rPr>
          <w:color w:val="121212"/>
        </w:rPr>
      </w:pPr>
      <w:r>
        <w:rPr>
          <w:color w:val="121212"/>
        </w:rPr>
        <w:t xml:space="preserve">The theme on findings critically aims to address the first research objective, which is to understand the impact of pelvic floor dysfunction in influencing quality of life among young adults. In this context, Parden </w:t>
      </w:r>
      <w:r>
        <w:rPr>
          <w:i/>
          <w:iCs/>
          <w:color w:val="121212"/>
        </w:rPr>
        <w:t>et al</w:t>
      </w:r>
      <w:r>
        <w:rPr>
          <w:color w:val="121212"/>
        </w:rPr>
        <w:t xml:space="preserve">. (2016) adopted a large sample size 1092 young women and identified that there is limited awareness and a lack of understanding about pelvic floor disorders, which increases the symptoms and makes these diseases more critical to address. These findings indicate that among young adults, the symptoms of PFD are initially underestimated, and they delay seeking adequate care at the initial time, which increases the complexity of the disease. Further, in the findings of Rogers </w:t>
      </w:r>
      <w:r>
        <w:rPr>
          <w:i/>
          <w:iCs/>
          <w:color w:val="121212"/>
        </w:rPr>
        <w:t>et al</w:t>
      </w:r>
      <w:r>
        <w:rPr>
          <w:color w:val="121212"/>
        </w:rPr>
        <w:t xml:space="preserve">. (2017) indicate that during the first pregnancy, most of the women can identify the symptoms of PFD during diagnosis; this result has been identified by performing a cohort study with 300 women. This finding is important as it is associated with changes in quality of life during pregnancy, demonstrating that adult women can significantly face physical symptoms during pregnancy, which influences everyday lifestyle during this critical stage. On the other hand, Pires </w:t>
      </w:r>
      <w:r>
        <w:rPr>
          <w:i/>
          <w:iCs/>
          <w:color w:val="121212"/>
        </w:rPr>
        <w:t>et al</w:t>
      </w:r>
      <w:r>
        <w:rPr>
          <w:color w:val="121212"/>
        </w:rPr>
        <w:t xml:space="preserve">. (2020) identify the relationship between pelvic 4 muscle dysfunction symptoms and quality of life, which indicates that PFD can significantly influence physical activity and performance for adult women. At the same time, Eloranta </w:t>
      </w:r>
      <w:r>
        <w:rPr>
          <w:i/>
          <w:iCs/>
          <w:color w:val="121212"/>
        </w:rPr>
        <w:t>et al</w:t>
      </w:r>
      <w:r>
        <w:rPr>
          <w:color w:val="121212"/>
        </w:rPr>
        <w:t xml:space="preserve">. (2019) adopted a larger group of women, it is equal to 2848 and identified that PFD can negatively affect health related quality of life, which includes every day and social activities. </w:t>
      </w:r>
    </w:p>
    <w:p w14:paraId="4871E4BE" w14:textId="77777777" w:rsidR="00423B40" w:rsidRDefault="00636AB1">
      <w:pPr>
        <w:rPr>
          <w:color w:val="121212"/>
        </w:rPr>
      </w:pPr>
      <w:r>
        <w:rPr>
          <w:color w:val="121212"/>
        </w:rPr>
        <w:t>These study findings critically identify that pelvic floor dysfunction affects quality of life as it creates challenges during pregnancy, influences muscle function and affects health-related quality of life. This finding critically addresses the first research objective of this research, which aims to evaluate the effect of PFD on quality of life in terms of physical, social, emotional and occupational functions.</w:t>
      </w:r>
    </w:p>
    <w:p w14:paraId="546129EF" w14:textId="77777777" w:rsidR="00423B40" w:rsidRDefault="00636AB1">
      <w:pPr>
        <w:rPr>
          <w:b/>
          <w:bCs/>
          <w:color w:val="121212"/>
        </w:rPr>
      </w:pPr>
      <w:r>
        <w:rPr>
          <w:b/>
          <w:bCs/>
          <w:color w:val="121212"/>
        </w:rPr>
        <w:t>Theme 2: Pelvic floor dysfunction and psychological vulnerability as interconnected health outcomes</w:t>
      </w:r>
    </w:p>
    <w:p w14:paraId="2E9298A8" w14:textId="67A86D36" w:rsidR="00423B40" w:rsidRDefault="00636AB1">
      <w:pPr>
        <w:rPr>
          <w:color w:val="121212"/>
        </w:rPr>
      </w:pPr>
      <w:r>
        <w:rPr>
          <w:color w:val="121212"/>
        </w:rPr>
        <w:t xml:space="preserve">The findings of this theme intend to identify the interconnected relationship between pelvic floor dysfunction and psychological vulnerability.  In this context, </w:t>
      </w:r>
      <w:proofErr w:type="spellStart"/>
      <w:r>
        <w:rPr>
          <w:color w:val="121212"/>
        </w:rPr>
        <w:t>Vrijens</w:t>
      </w:r>
      <w:proofErr w:type="spellEnd"/>
      <w:r>
        <w:rPr>
          <w:color w:val="121212"/>
        </w:rPr>
        <w:t xml:space="preserve"> </w:t>
      </w:r>
      <w:r>
        <w:rPr>
          <w:i/>
          <w:iCs/>
          <w:color w:val="121212"/>
        </w:rPr>
        <w:t>et al</w:t>
      </w:r>
      <w:r>
        <w:rPr>
          <w:color w:val="121212"/>
        </w:rPr>
        <w:t xml:space="preserve">. (2017) performed an analysis of 1866 participants and identified that depression and anxiety are some primary-level symptoms of PFD among adult women.  This finding suggests that psychological distress is an initial outcome of pelvic floor disorders. As the study uses a large cohort, these findings indicate better strength and reliability of the result.  Further, Mazi </w:t>
      </w:r>
      <w:r>
        <w:rPr>
          <w:i/>
          <w:iCs/>
          <w:color w:val="121212"/>
        </w:rPr>
        <w:t>et al</w:t>
      </w:r>
      <w:r>
        <w:rPr>
          <w:color w:val="121212"/>
        </w:rPr>
        <w:t xml:space="preserve">. </w:t>
      </w:r>
      <w:r>
        <w:rPr>
          <w:color w:val="121212"/>
        </w:rPr>
        <w:lastRenderedPageBreak/>
        <w:t xml:space="preserve">(2019) conducted a case-control study between 100 women and identified that most of the women face depressive symptoms at the initial stage of PFD, which lends support to the evidence for an association between pelvic floor symptoms and depression. </w:t>
      </w:r>
    </w:p>
    <w:p w14:paraId="48F72EE9" w14:textId="3A444968" w:rsidR="00423B40" w:rsidRDefault="00636AB1">
      <w:pPr>
        <w:rPr>
          <w:color w:val="121212"/>
        </w:rPr>
      </w:pPr>
      <w:r>
        <w:rPr>
          <w:color w:val="121212"/>
        </w:rPr>
        <w:t xml:space="preserve">On the other hand, AlQuaiz </w:t>
      </w:r>
      <w:r>
        <w:rPr>
          <w:i/>
          <w:iCs/>
          <w:color w:val="121212"/>
        </w:rPr>
        <w:t>et al</w:t>
      </w:r>
      <w:r>
        <w:rPr>
          <w:color w:val="121212"/>
        </w:rPr>
        <w:t xml:space="preserve">. (2023) and Kalata </w:t>
      </w:r>
      <w:r>
        <w:rPr>
          <w:i/>
          <w:iCs/>
          <w:color w:val="121212"/>
        </w:rPr>
        <w:t>et al</w:t>
      </w:r>
      <w:r>
        <w:rPr>
          <w:color w:val="121212"/>
        </w:rPr>
        <w:t xml:space="preserve">. (2023) performed studies among 964 women and  123 women, respectively, and identified that PFD is associated with urinary incontinence, which increases stress and anxiety levels among women, which impact psychological wellbeing for adult women. Overall, this function critically addresses the second research objective of the study, which aims to assess the correlation between symptoms of PFD and major depressive disorders during the stage. </w:t>
      </w:r>
    </w:p>
    <w:p w14:paraId="4DCF7E3B" w14:textId="77777777" w:rsidR="00423B40" w:rsidRDefault="00636AB1">
      <w:pPr>
        <w:rPr>
          <w:b/>
          <w:bCs/>
          <w:color w:val="121212"/>
        </w:rPr>
      </w:pPr>
      <w:r>
        <w:rPr>
          <w:b/>
          <w:bCs/>
          <w:color w:val="121212"/>
        </w:rPr>
        <w:t>Theme 3: Individual, social, reproductive and healthcare-related factors shaping pelvic floor and mental-health outcomes</w:t>
      </w:r>
    </w:p>
    <w:p w14:paraId="2C2A7241" w14:textId="556E43A3" w:rsidR="00423B40" w:rsidRDefault="00636AB1">
      <w:pPr>
        <w:rPr>
          <w:color w:val="121212"/>
        </w:rPr>
      </w:pPr>
      <w:r>
        <w:rPr>
          <w:color w:val="121212"/>
        </w:rPr>
        <w:t xml:space="preserve">Theme 3 findings are intended to identify individual, social, reproductive and healthcare-related factors which influence PFD and mental health outcomes for adult women. Findings from Mishra </w:t>
      </w:r>
      <w:r>
        <w:rPr>
          <w:i/>
          <w:iCs/>
          <w:color w:val="121212"/>
        </w:rPr>
        <w:t>et al</w:t>
      </w:r>
      <w:r>
        <w:rPr>
          <w:color w:val="121212"/>
        </w:rPr>
        <w:t xml:space="preserve">. (2015) identified that PFD is aligned with urinary incontinence symptoms, which creates depressive symptoms among young women. These findings were identified by conducting a cross-sectional study involving 6424 women. The major strength of the study is the large sample size, which provides stronger evidence of the relationship between PFD and health-related outcomes. On the other hand, </w:t>
      </w:r>
      <w:proofErr w:type="spellStart"/>
      <w:r>
        <w:rPr>
          <w:color w:val="121212"/>
        </w:rPr>
        <w:t>Jelovsek</w:t>
      </w:r>
      <w:proofErr w:type="spellEnd"/>
      <w:r>
        <w:rPr>
          <w:color w:val="121212"/>
        </w:rPr>
        <w:t xml:space="preserve"> </w:t>
      </w:r>
      <w:r>
        <w:rPr>
          <w:i/>
          <w:iCs/>
          <w:color w:val="121212"/>
        </w:rPr>
        <w:t>et al</w:t>
      </w:r>
      <w:r>
        <w:rPr>
          <w:color w:val="121212"/>
        </w:rPr>
        <w:t xml:space="preserve">. (2018) adopted 1528 women and identified that pelvic floor disorder can create health risks for the next  12 to 20 years after delivery. As the study provided long-term outcomes of pelvic floor disorder, this indicates the strength of these findings, which help to identify the most important factor which influences health care outcomes specifically for pregnant women. On the other hand, </w:t>
      </w:r>
      <w:proofErr w:type="spellStart"/>
      <w:r>
        <w:rPr>
          <w:color w:val="121212"/>
        </w:rPr>
        <w:t>Tsinisizeli</w:t>
      </w:r>
      <w:proofErr w:type="spellEnd"/>
      <w:r>
        <w:rPr>
          <w:color w:val="121212"/>
        </w:rPr>
        <w:t xml:space="preserve"> </w:t>
      </w:r>
      <w:r>
        <w:rPr>
          <w:i/>
          <w:iCs/>
          <w:color w:val="121212"/>
        </w:rPr>
        <w:t>et al</w:t>
      </w:r>
      <w:r>
        <w:rPr>
          <w:color w:val="121212"/>
        </w:rPr>
        <w:t xml:space="preserve">. (2023) included 230 participants and Vemulapalli </w:t>
      </w:r>
      <w:r>
        <w:rPr>
          <w:i/>
          <w:iCs/>
          <w:color w:val="121212"/>
        </w:rPr>
        <w:t>et al</w:t>
      </w:r>
      <w:r>
        <w:rPr>
          <w:color w:val="121212"/>
        </w:rPr>
        <w:t xml:space="preserve">. (2024) included 1285 participants to identify associations between PFD and maternal and obstetric characteristics. These findings highlight the importance of knowledge and awareness as social factors that influence PFD issues.  Overall, this study demonstrated that individual reproductive and knowledge-related factors may help to influence PFD outcomes.  This evidence critically addresses the third research objective, which aims to investigate the possibility of moderating variables' impact on PFD and mental health outcomes. </w:t>
      </w:r>
    </w:p>
    <w:p w14:paraId="736DF2C3" w14:textId="77777777" w:rsidR="00423B40" w:rsidRDefault="00636AB1">
      <w:pPr>
        <w:rPr>
          <w:b/>
          <w:bCs/>
          <w:color w:val="121212"/>
        </w:rPr>
      </w:pPr>
      <w:r>
        <w:rPr>
          <w:b/>
          <w:bCs/>
          <w:color w:val="121212"/>
        </w:rPr>
        <w:t>Theme 4: Integrated clinical pathways for early identification, prevention and management of pelvic floor and mental-health problems</w:t>
      </w:r>
    </w:p>
    <w:p w14:paraId="5C072A29" w14:textId="0B45E940" w:rsidR="00423B40" w:rsidRDefault="00636AB1">
      <w:pPr>
        <w:rPr>
          <w:color w:val="121212"/>
        </w:rPr>
      </w:pPr>
      <w:r>
        <w:rPr>
          <w:color w:val="121212"/>
        </w:rPr>
        <w:t>The main intention of the theme for findings is to identify clinical pathways for early prevention and management of pelvic floor dysfunction and mental health problems among adult women. Patel (2025) performed a longitudinal study with</w:t>
      </w:r>
      <w:r w:rsidR="00522676">
        <w:rPr>
          <w:color w:val="121212"/>
        </w:rPr>
        <w:t xml:space="preserve"> 120</w:t>
      </w:r>
      <w:r>
        <w:rPr>
          <w:color w:val="121212"/>
        </w:rPr>
        <w:t xml:space="preserve"> women to identify clinical, interventions </w:t>
      </w:r>
      <w:r>
        <w:rPr>
          <w:color w:val="121212"/>
        </w:rPr>
        <w:lastRenderedPageBreak/>
        <w:t xml:space="preserve">to address PFD for women. Study findings identified that there is a need to monitor women with PFD during pregnancy and after childbirth, as PFD can contribute to negative health impacts for a long time. However, Vico-Moreno </w:t>
      </w:r>
      <w:r>
        <w:rPr>
          <w:i/>
          <w:iCs/>
          <w:color w:val="121212"/>
        </w:rPr>
        <w:t>et al</w:t>
      </w:r>
      <w:r>
        <w:rPr>
          <w:color w:val="121212"/>
        </w:rPr>
        <w:t>. (2026) performed study with</w:t>
      </w:r>
      <w:r w:rsidR="00D171CB">
        <w:rPr>
          <w:color w:val="121212"/>
        </w:rPr>
        <w:t xml:space="preserve"> 412</w:t>
      </w:r>
      <w:r>
        <w:rPr>
          <w:color w:val="121212"/>
        </w:rPr>
        <w:t xml:space="preserve"> women and identified that adoption of PFD care practices can help to identify pelvic floor dysfunction at the initial stage and improve the preventive care system.  Additionally, findings identify the importance of education and routine pelvic management activities among the young women. However, </w:t>
      </w:r>
      <w:proofErr w:type="spellStart"/>
      <w:r>
        <w:rPr>
          <w:color w:val="121212"/>
        </w:rPr>
        <w:t>Giagio</w:t>
      </w:r>
      <w:proofErr w:type="spellEnd"/>
      <w:r>
        <w:rPr>
          <w:color w:val="121212"/>
        </w:rPr>
        <w:t xml:space="preserve"> </w:t>
      </w:r>
      <w:r>
        <w:rPr>
          <w:i/>
          <w:iCs/>
          <w:color w:val="121212"/>
        </w:rPr>
        <w:t>et al</w:t>
      </w:r>
      <w:r>
        <w:rPr>
          <w:color w:val="121212"/>
        </w:rPr>
        <w:t>. (2025) performed a study with 325 healthy young women and identified that regular physical activity helps to prevent PFD symptoms and issues. Further, the study values routine screening and early recognition for better management of PFD issues. These findings align with the fourth research objective and identified preventive interventions to address PFD among young adult women.</w:t>
      </w:r>
    </w:p>
    <w:p w14:paraId="19E94262" w14:textId="77777777" w:rsidR="00423B40" w:rsidRDefault="00636AB1">
      <w:pPr>
        <w:pStyle w:val="Heading2"/>
        <w:rPr>
          <w:color w:val="121212"/>
        </w:rPr>
      </w:pPr>
      <w:bookmarkStart w:id="60" w:name="_Toc240448283"/>
      <w:r>
        <w:rPr>
          <w:color w:val="121212"/>
        </w:rPr>
        <w:t>4.6 Chapter Summary</w:t>
      </w:r>
      <w:bookmarkEnd w:id="60"/>
    </w:p>
    <w:p w14:paraId="24A47B20" w14:textId="77777777" w:rsidR="00423B40" w:rsidRDefault="00636AB1">
      <w:pPr>
        <w:rPr>
          <w:color w:val="121212"/>
        </w:rPr>
      </w:pPr>
      <w:r>
        <w:rPr>
          <w:color w:val="121212"/>
        </w:rPr>
        <w:t>In summary, the findings confirm the fact that pelvic floor dysfunction (PFD) is a complex condition, especially in young adults, which affects their quality of life and mental state. Throughout the process of research, it has become clear that the symptoms may affect a person's social and psychological life and everyday activities, but some psychological and situational aspects may have some additional impact . In other words, these findings provide a significant amount of evidence in support of the biopsychosocial paradigm used in the dissertation, which is also confirmed by other studies. Nevertheless, despite the evidence of the correlation between PFD and the quality of life and psychological issues of the patients, causation has never been proven.</w:t>
      </w:r>
    </w:p>
    <w:p w14:paraId="55144614" w14:textId="77777777" w:rsidR="00423B40" w:rsidRDefault="00636AB1">
      <w:pPr>
        <w:spacing w:line="278" w:lineRule="auto"/>
        <w:jc w:val="left"/>
        <w:rPr>
          <w:b/>
          <w:bCs/>
          <w:color w:val="121212"/>
          <w:sz w:val="28"/>
          <w:szCs w:val="28"/>
        </w:rPr>
      </w:pPr>
      <w:r>
        <w:rPr>
          <w:color w:val="121212"/>
        </w:rPr>
        <w:br w:type="page"/>
      </w:r>
    </w:p>
    <w:p w14:paraId="05D143BD" w14:textId="77777777" w:rsidR="00423B40" w:rsidRDefault="00636AB1">
      <w:pPr>
        <w:pStyle w:val="Heading1"/>
        <w:rPr>
          <w:color w:val="121212"/>
        </w:rPr>
      </w:pPr>
      <w:bookmarkStart w:id="61" w:name="_Toc240448284"/>
      <w:r>
        <w:rPr>
          <w:color w:val="121212"/>
        </w:rPr>
        <w:lastRenderedPageBreak/>
        <w:t>Chapter 5: Discussion</w:t>
      </w:r>
      <w:bookmarkEnd w:id="61"/>
    </w:p>
    <w:p w14:paraId="48204E4D" w14:textId="77777777" w:rsidR="00423B40" w:rsidRDefault="00000000">
      <w:pPr>
        <w:pStyle w:val="Heading2"/>
        <w:rPr>
          <w:color w:val="121212"/>
        </w:rPr>
      </w:pPr>
      <w:sdt>
        <w:sdtPr>
          <w:rPr>
            <w:color w:val="121212"/>
          </w:rPr>
          <w:tag w:val="goog_rdk_6"/>
          <w:id w:val="954774185"/>
        </w:sdtPr>
        <w:sdtContent>
          <w:bookmarkStart w:id="62" w:name="_Toc240448285"/>
        </w:sdtContent>
      </w:sdt>
      <w:r w:rsidR="00636AB1">
        <w:rPr>
          <w:color w:val="121212"/>
        </w:rPr>
        <w:t>5.1 Introduction</w:t>
      </w:r>
      <w:bookmarkEnd w:id="62"/>
    </w:p>
    <w:p w14:paraId="1A68B2FF" w14:textId="77777777" w:rsidR="00423B40" w:rsidRDefault="00636AB1">
      <w:pPr>
        <w:rPr>
          <w:color w:val="121212"/>
        </w:rPr>
      </w:pPr>
      <w:r>
        <w:rPr>
          <w:color w:val="121212"/>
        </w:rPr>
        <w:t>Overview of the Discoveries Covered in Chapter 4 is Covered in this Chapter. This entails a summary of the significance that pelvic floor dysfunction plays in the quality of life and chances of having major depressive disorder for young people aged between 18 and 35 years old in the UK. The results generated from the four topics are relevant and associated with other people's works in the field, as well as the biopsychosocial model covered in chapter 2. The significance of the discoveries is evaluated, giving the significance of the results in terms of health care and public health. Limitations of the review are also highlighted.</w:t>
      </w:r>
    </w:p>
    <w:p w14:paraId="3DA79E01" w14:textId="77777777" w:rsidR="00423B40" w:rsidRDefault="00636AB1">
      <w:pPr>
        <w:pStyle w:val="Heading2"/>
        <w:rPr>
          <w:color w:val="121212"/>
        </w:rPr>
      </w:pPr>
      <w:bookmarkStart w:id="63" w:name="_Toc240448286"/>
      <w:r>
        <w:rPr>
          <w:color w:val="121212"/>
        </w:rPr>
        <w:t>5.2 Interpretation of the Findings</w:t>
      </w:r>
      <w:bookmarkEnd w:id="63"/>
      <w:r>
        <w:rPr>
          <w:color w:val="121212"/>
        </w:rPr>
        <w:t xml:space="preserve"> </w:t>
      </w:r>
    </w:p>
    <w:p w14:paraId="62655D22" w14:textId="77777777" w:rsidR="00423B40" w:rsidRDefault="00636AB1">
      <w:pPr>
        <w:spacing w:after="0"/>
        <w:rPr>
          <w:color w:val="121212"/>
        </w:rPr>
      </w:pPr>
      <w:r>
        <w:rPr>
          <w:color w:val="121212"/>
        </w:rPr>
        <w:t>Based on the results of the systematic review, it can be stated that the problem of pelvic floor dysfunction (PFD) should not be considered simply as a physical problem but rather as a multifaceted issue of health. It is known that PFD affects physical well-being, social participation, emotional state, and everyday activities within four themes, as well as predisposes individuals to psychological vulnerability. The results of the review correspond with the concept of the biopsychosocial model of health discussed in Chapter 2.</w:t>
      </w:r>
    </w:p>
    <w:p w14:paraId="65B2DA35" w14:textId="77777777" w:rsidR="00423B40" w:rsidRDefault="00636AB1">
      <w:pPr>
        <w:spacing w:after="0"/>
        <w:rPr>
          <w:color w:val="121212"/>
        </w:rPr>
      </w:pPr>
      <w:r>
        <w:rPr>
          <w:color w:val="121212"/>
        </w:rPr>
        <w:t xml:space="preserve">Conclusively, the results of the systematic review are in line with the hypothesis stated before. Based on the overview of the literature provided in previous chapters, the hypothesis suggested that the presence of PFD leads to low quality of life and psychological vulnerability, especially in younger individuals (Merino </w:t>
      </w:r>
      <w:r>
        <w:rPr>
          <w:i/>
          <w:iCs/>
          <w:color w:val="121212"/>
        </w:rPr>
        <w:t>et al</w:t>
      </w:r>
      <w:r>
        <w:rPr>
          <w:color w:val="121212"/>
        </w:rPr>
        <w:t>., 2024). The results of the analysis of four themes confirmed the hypothesis, showing that there exist links between symptoms of PFD, functional impairment, psychological problems, and situational factors. However, based on the data found, it is clear that such links are complicated and cannot be explained by the PFD itself.</w:t>
      </w:r>
    </w:p>
    <w:p w14:paraId="196A22EF" w14:textId="77777777" w:rsidR="00423B40" w:rsidRDefault="00636AB1">
      <w:pPr>
        <w:spacing w:after="0"/>
        <w:rPr>
          <w:color w:val="121212"/>
        </w:rPr>
      </w:pPr>
      <w:r>
        <w:rPr>
          <w:color w:val="121212"/>
        </w:rPr>
        <w:t>There might be other explanations for the relationships revealed in the course of the research. Though the fact that people develop psychological problems due to PFD symptoms is quite possible, it is equally possible that those individuals who suffer from depression, anxiety or poor well-being perceive their physical symptoms in some specific ways. Besides, reproductive experience, social environment, knowledge about PFD and opportunities for its treatment can affect interpretation of the symptoms and the outcome in psychological terms. Therefore, the established relationship between PFD and mental health can indicate interaction of biological, psychological, and social factors.</w:t>
      </w:r>
    </w:p>
    <w:p w14:paraId="17CAF215" w14:textId="77777777" w:rsidR="00423B40" w:rsidRDefault="00636AB1">
      <w:pPr>
        <w:spacing w:after="0"/>
        <w:rPr>
          <w:color w:val="121212"/>
        </w:rPr>
      </w:pPr>
      <w:r>
        <w:rPr>
          <w:color w:val="121212"/>
        </w:rPr>
        <w:t xml:space="preserve">Theme one highlighted how the condition called Pelvic Floor Disorders (PFD) affects the quality of life of the younger generation. As per the studies by Parden </w:t>
      </w:r>
      <w:r>
        <w:rPr>
          <w:i/>
          <w:iCs/>
          <w:color w:val="121212"/>
        </w:rPr>
        <w:t>et al</w:t>
      </w:r>
      <w:r>
        <w:rPr>
          <w:color w:val="121212"/>
        </w:rPr>
        <w:t xml:space="preserve">. (2016), Rogers </w:t>
      </w:r>
      <w:r>
        <w:rPr>
          <w:i/>
          <w:iCs/>
          <w:color w:val="121212"/>
        </w:rPr>
        <w:t>et al</w:t>
      </w:r>
      <w:r>
        <w:rPr>
          <w:color w:val="121212"/>
        </w:rPr>
        <w:t xml:space="preserve">. (2017), Pires </w:t>
      </w:r>
      <w:r>
        <w:rPr>
          <w:i/>
          <w:iCs/>
          <w:color w:val="121212"/>
        </w:rPr>
        <w:t>et al</w:t>
      </w:r>
      <w:r>
        <w:rPr>
          <w:color w:val="121212"/>
        </w:rPr>
        <w:t xml:space="preserve">. (2020), and Eloranta </w:t>
      </w:r>
      <w:r>
        <w:rPr>
          <w:i/>
          <w:iCs/>
          <w:color w:val="121212"/>
        </w:rPr>
        <w:t>et al</w:t>
      </w:r>
      <w:r>
        <w:rPr>
          <w:color w:val="121212"/>
        </w:rPr>
        <w:t xml:space="preserve">. (2019), it can be observed that symptoms </w:t>
      </w:r>
      <w:r>
        <w:rPr>
          <w:color w:val="121212"/>
        </w:rPr>
        <w:lastRenderedPageBreak/>
        <w:t>associated with pelvic floor disorders may restrict individuals from exercising, getting pregnant, being sociable, as well as affect the quality of life in general. Based on this information, one can state that the effects of this disease are not limited only to the presence of certain symptoms. Restrictions in performing different actions, exercises and social activities may lead to more negative results, as this period in the lives of people involves studying, working, building up relationships, etc. In other words, based on the results obtained in this study, it is possible to raise the idea discussed in the literature, according to which PFD is not only an issue for elderly people.</w:t>
      </w:r>
    </w:p>
    <w:p w14:paraId="5FB5DF80" w14:textId="77777777" w:rsidR="00423B40" w:rsidRDefault="00636AB1">
      <w:pPr>
        <w:spacing w:after="0"/>
        <w:rPr>
          <w:color w:val="121212"/>
        </w:rPr>
      </w:pPr>
      <w:r>
        <w:rPr>
          <w:color w:val="121212"/>
        </w:rPr>
        <w:t xml:space="preserve">The second theme provides further evidence to support the notion that both physical and psychological consequences are connected. According to the findings of </w:t>
      </w:r>
      <w:proofErr w:type="spellStart"/>
      <w:r>
        <w:rPr>
          <w:color w:val="121212"/>
        </w:rPr>
        <w:t>Vrijens</w:t>
      </w:r>
      <w:proofErr w:type="spellEnd"/>
      <w:r>
        <w:rPr>
          <w:color w:val="121212"/>
        </w:rPr>
        <w:t xml:space="preserve"> </w:t>
      </w:r>
      <w:r>
        <w:rPr>
          <w:i/>
          <w:iCs/>
          <w:color w:val="121212"/>
        </w:rPr>
        <w:t>et al</w:t>
      </w:r>
      <w:r>
        <w:rPr>
          <w:color w:val="121212"/>
        </w:rPr>
        <w:t xml:space="preserve">. (2017), Mazi </w:t>
      </w:r>
      <w:r>
        <w:rPr>
          <w:i/>
          <w:iCs/>
          <w:color w:val="121212"/>
        </w:rPr>
        <w:t>et al</w:t>
      </w:r>
      <w:r>
        <w:rPr>
          <w:color w:val="121212"/>
        </w:rPr>
        <w:t xml:space="preserve">. (2019), AlQuaiz </w:t>
      </w:r>
      <w:r>
        <w:rPr>
          <w:i/>
          <w:iCs/>
          <w:color w:val="121212"/>
        </w:rPr>
        <w:t>et al</w:t>
      </w:r>
      <w:r>
        <w:rPr>
          <w:color w:val="121212"/>
        </w:rPr>
        <w:t xml:space="preserve">. (2023), and Kalata </w:t>
      </w:r>
      <w:r>
        <w:rPr>
          <w:i/>
          <w:iCs/>
          <w:color w:val="121212"/>
        </w:rPr>
        <w:t>et al</w:t>
      </w:r>
      <w:r>
        <w:rPr>
          <w:color w:val="121212"/>
        </w:rPr>
        <w:t>. (2023), the researchers discovered that there was some correlation between the clinical presentation of the PFD and various mental conditions, such as depression, anxiety, psychological distress, low self-esteem, and sleep disorders. The results confirm the theoretical framework proposed in this dissertation and indicate that chronic pelvic complaints can cause a poor psychological state and depression. However, the information needs to be interpreted as an association but not as solid proof that PFD causes major depressive disorder because this literature review emphasises the importance of cross-sectional studies.</w:t>
      </w:r>
    </w:p>
    <w:p w14:paraId="5F4C2377" w14:textId="77777777" w:rsidR="00423B40" w:rsidRDefault="00636AB1">
      <w:pPr>
        <w:spacing w:after="0"/>
      </w:pPr>
      <w:r w:rsidRPr="3B2C0D8C">
        <w:rPr>
          <w:color w:val="121212"/>
        </w:rPr>
        <w:t>The findings presented in the third and fourth themes are based on particular contextual aspects and peculiarities of the health care delivery process. The history of childbirth and the awareness of the issue and health determinants influence the experience and adaptation to PFD problems; screening, prevention and early diagnosis offer the chance for improvement. In general, all these findings reflect the holistic approach to the study of the connection between PFD, quality of life and psychological well-being and show the necessity of investigation of both physical and psychosocial aspects of the PFD research in the UK youth population.</w:t>
      </w:r>
    </w:p>
    <w:p w14:paraId="2A62DFFA" w14:textId="2AD2C582" w:rsidR="00423B40" w:rsidRDefault="553FC709">
      <w:pPr>
        <w:spacing w:after="200"/>
        <w:rPr>
          <w:color w:val="121212"/>
        </w:rPr>
      </w:pPr>
      <w:r w:rsidRPr="3B2C0D8C">
        <w:rPr>
          <w:color w:val="121212"/>
        </w:rPr>
        <w:t>5.3 Interpretation the results using the Biopsychosocial Model, Stress Process Model, and Common-Sense Model of Self-Regulation (CSM)</w:t>
      </w:r>
      <w:r w:rsidR="00636AB1">
        <w:rPr>
          <w:color w:val="121212"/>
        </w:rPr>
        <w:t>In summary, the results of this systematic review contribute to the knowledge about pelvic floor dysfunction (PFD) among young adults and its proper management. The current results are in great accordance with the literature overviewed in Chapter 2, as previously it was known that PFD had a link to a reduced quality of life and presence of psychological conditions, such as depression. The literature review proved that there was an association between pelvic floor problems and poor physical, social, and psychological functioning in people, and chronic urinary symptoms, pain, and other consequences could reduce their psychological well-being as well.</w:t>
      </w:r>
    </w:p>
    <w:p w14:paraId="2E374D97" w14:textId="77777777" w:rsidR="00423B40" w:rsidRDefault="00636AB1">
      <w:pPr>
        <w:spacing w:after="200"/>
        <w:rPr>
          <w:color w:val="121212"/>
        </w:rPr>
      </w:pPr>
      <w:r>
        <w:rPr>
          <w:color w:val="121212"/>
        </w:rPr>
        <w:lastRenderedPageBreak/>
        <w:t xml:space="preserve">Findings from the current study support the Biopsychosocial (BPS) Model, which served as the framework for this study. In accordance with the model, a variety of factors such as biological, context-related and psychological factors may impact a health condition in individuals (Bashmi </w:t>
      </w:r>
      <w:r>
        <w:rPr>
          <w:i/>
          <w:iCs/>
          <w:color w:val="121212"/>
        </w:rPr>
        <w:t>et al</w:t>
      </w:r>
      <w:r>
        <w:rPr>
          <w:color w:val="121212"/>
        </w:rPr>
        <w:t>., 2023). The findings from the current study demonstrate how the three factors interact since it has been discovered that the symptoms associated with PFD are linked to physical and functional restrictions, psychological predispositions, and context-related factors including reproductive characteristics, patients’ awareness, and health care information. Thus, findings from the current study prove that the BPS model is applicable and relevant to studying the relationship between PFD and such constructs as quality of life and mental health outcomes. At the same time, it should be noted that, according to the relevance of the finding, it cannot be claimed that PFD causes depressive disorders because the difference should be considered when exploring the gynaecological connection.</w:t>
      </w:r>
    </w:p>
    <w:p w14:paraId="1AA8768B" w14:textId="77777777" w:rsidR="00423B40" w:rsidRDefault="00636AB1">
      <w:pPr>
        <w:spacing w:after="0"/>
        <w:rPr>
          <w:color w:val="121212"/>
        </w:rPr>
      </w:pPr>
      <w:r>
        <w:rPr>
          <w:color w:val="121212"/>
        </w:rPr>
        <w:t>In summary, these findings are significant as they identify one of the public health concerns related to a particular cohort that has not yet been researched enough. As can be seen from the existing literature reviewed within the dissertation, a lot of research is currently being carried out on the elderly population and postpartum women. In contrast, there is limited research conducted among the younger population aged 18-35 years old in the UK (</w:t>
      </w:r>
      <w:proofErr w:type="spellStart"/>
      <w:r>
        <w:rPr>
          <w:color w:val="121212"/>
        </w:rPr>
        <w:t>Bosward</w:t>
      </w:r>
      <w:proofErr w:type="spellEnd"/>
      <w:r>
        <w:rPr>
          <w:color w:val="121212"/>
        </w:rPr>
        <w:t xml:space="preserve"> </w:t>
      </w:r>
      <w:r>
        <w:rPr>
          <w:i/>
          <w:iCs/>
          <w:color w:val="121212"/>
        </w:rPr>
        <w:t>et al</w:t>
      </w:r>
      <w:r>
        <w:rPr>
          <w:color w:val="121212"/>
        </w:rPr>
        <w:t>., 2025). Hence, it can be seen why the significance of considering the issue of PFD and its effects is so important, since it may influence a variety of different spheres in a person’s life, including physical activity, social contacts and psychology. The findings are also relevant to the need to consider the relation between physical and psychological health concerning the diagnosis of PFD.</w:t>
      </w:r>
    </w:p>
    <w:p w14:paraId="4BD8806C" w14:textId="77777777" w:rsidR="00423B40" w:rsidRDefault="00636AB1">
      <w:pPr>
        <w:spacing w:after="0"/>
        <w:rPr>
          <w:color w:val="121212"/>
        </w:rPr>
      </w:pPr>
      <w:r>
        <w:rPr>
          <w:color w:val="121212"/>
        </w:rPr>
        <w:t xml:space="preserve">Moreover, the findings are significant for practice as well. Awareness and education can lead to better identification of the symptoms of PFD and subsequent health care behaviour (Dalla Serra, Graham Longsworth and </w:t>
      </w:r>
      <w:proofErr w:type="spellStart"/>
      <w:r>
        <w:rPr>
          <w:color w:val="121212"/>
        </w:rPr>
        <w:t>Druart</w:t>
      </w:r>
      <w:proofErr w:type="spellEnd"/>
      <w:r>
        <w:rPr>
          <w:color w:val="121212"/>
        </w:rPr>
        <w:t>, 2026). The findings emphasising the necessity of screening and early detection indicate that healthcare practitioners should look for ways to identify the problem before it becomes more serious and chronic. Furthermore, healthcare practitioners should consider psychological health while diagnosing a person.</w:t>
      </w:r>
    </w:p>
    <w:p w14:paraId="4BC3857A" w14:textId="77777777" w:rsidR="00423B40" w:rsidRDefault="00636AB1">
      <w:pPr>
        <w:spacing w:after="0"/>
        <w:rPr>
          <w:color w:val="121212"/>
        </w:rPr>
      </w:pPr>
      <w:r>
        <w:rPr>
          <w:color w:val="121212"/>
        </w:rPr>
        <w:t xml:space="preserve">The findings can be explained using the Biopsychosocial Model, Stress Process Model, and Common-Sense Model of Self-Regulation (CSM). The Biopsychosocial Model shows that pelvic floor dysfunction (PFD) is influenced by biological, psychological, and social factors. This matches the findings because PFD was linked with physical problems, poor quality of life, emotional distress, and social difficulties. </w:t>
      </w:r>
    </w:p>
    <w:p w14:paraId="26E475C9" w14:textId="77777777" w:rsidR="00423B40" w:rsidRDefault="00636AB1">
      <w:pPr>
        <w:spacing w:after="0"/>
        <w:rPr>
          <w:color w:val="121212"/>
        </w:rPr>
      </w:pPr>
      <w:r>
        <w:rPr>
          <w:color w:val="121212"/>
        </w:rPr>
        <w:t xml:space="preserve">The Stress Process Model also helps to explain the results. Long-term symptoms such as pelvic pain, urinary problems, and sexual difficulties may act as repeated stressors. Over time, these problems may increase stress, anxiety, low self-esteem, and depressive symptoms, </w:t>
      </w:r>
      <w:r>
        <w:rPr>
          <w:color w:val="121212"/>
        </w:rPr>
        <w:lastRenderedPageBreak/>
        <w:t xml:space="preserve">especially when social support and coping are limited. This is supported by Theme 2, which identified a relationship between PFD and psychological vulnerability. </w:t>
      </w:r>
    </w:p>
    <w:p w14:paraId="2587590B" w14:textId="77777777" w:rsidR="00423B40" w:rsidRDefault="00636AB1">
      <w:pPr>
        <w:spacing w:after="0"/>
        <w:rPr>
          <w:color w:val="121212"/>
        </w:rPr>
      </w:pPr>
      <w:r>
        <w:rPr>
          <w:color w:val="121212"/>
        </w:rPr>
        <w:t>The CSM explains how people understand and respond to their symptoms. Poor awareness or embarrassment may cause young adults to ignore symptoms or delay seeking treatment. In contrast, better knowledge and early identification may support positive health behaviour. Therefore, all three models help explain how physical symptoms, stress, personal understanding, and social factors can work together to influence quality of life and mental health.</w:t>
      </w:r>
    </w:p>
    <w:p w14:paraId="546FB73D" w14:textId="77777777" w:rsidR="00423B40" w:rsidRDefault="00636AB1">
      <w:pPr>
        <w:pStyle w:val="Heading2"/>
        <w:rPr>
          <w:color w:val="121212"/>
        </w:rPr>
      </w:pPr>
      <w:bookmarkStart w:id="64" w:name="_Toc240448288"/>
      <w:r>
        <w:rPr>
          <w:color w:val="121212"/>
        </w:rPr>
        <w:t>5.4 strength and Limitations of the Findings</w:t>
      </w:r>
      <w:bookmarkEnd w:id="64"/>
      <w:r>
        <w:rPr>
          <w:color w:val="121212"/>
        </w:rPr>
        <w:t xml:space="preserve"> </w:t>
      </w:r>
    </w:p>
    <w:p w14:paraId="5CD57A7F" w14:textId="77777777" w:rsidR="00423B40" w:rsidRDefault="00636AB1">
      <w:pPr>
        <w:spacing w:after="0"/>
        <w:rPr>
          <w:color w:val="121212"/>
        </w:rPr>
      </w:pPr>
      <w:r>
        <w:rPr>
          <w:color w:val="121212"/>
        </w:rPr>
        <w:t>However, there are several limitations that need to be considered while evaluating the results of the systematic review performed by us. First, our studies cannot be used to draw any conclusions about the possible causal relationships between the phenomena mentioned above, PFD and MDD. Actually, even though the studies demonstrate the relationship between the symptoms of PFD and the symptoms of psychological problems or depression, most of the studies conducted in this field have a cross-sectional design. Thus, it means that such kind of studies can demonstrate only associations, but not causality.</w:t>
      </w:r>
    </w:p>
    <w:p w14:paraId="04C94417" w14:textId="77777777" w:rsidR="00423B40" w:rsidRDefault="00636AB1">
      <w:pPr>
        <w:spacing w:after="0"/>
        <w:rPr>
          <w:color w:val="121212"/>
        </w:rPr>
      </w:pPr>
      <w:r>
        <w:rPr>
          <w:color w:val="121212"/>
        </w:rPr>
        <w:t xml:space="preserve">Finally, one of the limitations of our results is their low degree of generalizability. Actually, although our studies consider the problem of PFD among young adults aged from 18 to 35 years old in the UK, the evidence provided includes studies that use sample populations with other characteristics, primarily women, and even women who have given birth recently (Merenstein </w:t>
      </w:r>
      <w:r>
        <w:rPr>
          <w:i/>
          <w:iCs/>
          <w:color w:val="121212"/>
        </w:rPr>
        <w:t>et al</w:t>
      </w:r>
      <w:r>
        <w:rPr>
          <w:color w:val="121212"/>
        </w:rPr>
        <w:t>., 2024).</w:t>
      </w:r>
    </w:p>
    <w:p w14:paraId="3845D3B0" w14:textId="77777777" w:rsidR="00423B40" w:rsidRDefault="00636AB1">
      <w:pPr>
        <w:spacing w:after="0"/>
        <w:rPr>
          <w:color w:val="121212"/>
        </w:rPr>
      </w:pPr>
      <w:r>
        <w:rPr>
          <w:color w:val="121212"/>
        </w:rPr>
        <w:t>In conclusion, the moderating factors have been ignored in the selected studies. For example, such moderating factors as gender, accessibility of health care, stigmatisation, support system, and coping strategies can affect the relationship between PFDs, quality of life, and mental health outcomes, but there is insufficient evidence about the effect of these factors. Therefore, it is impossible to say that the relationship between PFDs and mental health outcomes is straightforward since the relationship is complicated and affected by multiple physical and psychological factors. More longitudinal research needs to be conducted in the UK to address the aforementioned problems.</w:t>
      </w:r>
    </w:p>
    <w:p w14:paraId="69D6DCA7" w14:textId="77777777" w:rsidR="00423B40" w:rsidRDefault="00636AB1">
      <w:pPr>
        <w:rPr>
          <w:color w:val="121212"/>
        </w:rPr>
      </w:pPr>
      <w:r>
        <w:rPr>
          <w:color w:val="121212"/>
        </w:rPr>
        <w:t>Moreover, the present research study is based on information obtained from previous research work, and hence, its reliability depends completely on the credibility of the previously undertaken research. No information regarding the experiences of young women with PFD in Great Britain is provided by the current study because there was no primary data gathered. Also, the studies under review did not cover all the areas related to health care access, stigma, social support, and psychological well-being.</w:t>
      </w:r>
    </w:p>
    <w:p w14:paraId="72DBEB13" w14:textId="77777777" w:rsidR="00423B40" w:rsidRDefault="00000000">
      <w:pPr>
        <w:pStyle w:val="Heading2"/>
        <w:rPr>
          <w:color w:val="121212"/>
        </w:rPr>
      </w:pPr>
      <w:sdt>
        <w:sdtPr>
          <w:rPr>
            <w:color w:val="121212"/>
          </w:rPr>
          <w:tag w:val="goog_rdk_7"/>
          <w:id w:val="-393534435"/>
        </w:sdtPr>
        <w:sdtContent>
          <w:bookmarkStart w:id="65" w:name="_Toc240448289"/>
        </w:sdtContent>
      </w:sdt>
      <w:r w:rsidR="00636AB1">
        <w:rPr>
          <w:color w:val="121212"/>
        </w:rPr>
        <w:t>5.5 Chapter Summary</w:t>
      </w:r>
      <w:bookmarkEnd w:id="65"/>
      <w:r w:rsidR="00636AB1">
        <w:rPr>
          <w:color w:val="121212"/>
        </w:rPr>
        <w:t xml:space="preserve"> </w:t>
      </w:r>
    </w:p>
    <w:p w14:paraId="79D63421" w14:textId="77777777" w:rsidR="00423B40" w:rsidRDefault="00636AB1">
      <w:pPr>
        <w:rPr>
          <w:color w:val="121212"/>
        </w:rPr>
      </w:pPr>
      <w:r>
        <w:rPr>
          <w:color w:val="121212"/>
        </w:rPr>
        <w:t>In this chapter, interpretation of the findings of the systematic review was made in accordance with the research question, existing literature, and biopsychosocial approach. It has been noted in the discussion that PFD can be related to poor quality of life, psychological problems, depression-like symptoms, and social issues among young people. This chapter also notes that raising awareness, early diagnosis, access to care, and integration are very important aspects. In addition, limitations of the study, its generalisability, and reliance on the existing literature have been discussed. Overall, the discussion presents several implications for practice and further research in Great Britain.</w:t>
      </w:r>
      <w:r>
        <w:rPr>
          <w:color w:val="121212"/>
        </w:rPr>
        <w:br w:type="page"/>
      </w:r>
    </w:p>
    <w:p w14:paraId="299ADC56" w14:textId="77777777" w:rsidR="00423B40" w:rsidRDefault="00636AB1">
      <w:pPr>
        <w:pStyle w:val="Heading1"/>
        <w:rPr>
          <w:color w:val="121212"/>
        </w:rPr>
      </w:pPr>
      <w:bookmarkStart w:id="66" w:name="_Toc240448290"/>
      <w:r>
        <w:rPr>
          <w:color w:val="121212"/>
        </w:rPr>
        <w:lastRenderedPageBreak/>
        <w:t>Chapter 6: Conclusion &amp; Recommendations</w:t>
      </w:r>
      <w:bookmarkEnd w:id="66"/>
    </w:p>
    <w:p w14:paraId="35039CF2" w14:textId="77777777" w:rsidR="00423B40" w:rsidRDefault="00636AB1">
      <w:pPr>
        <w:pStyle w:val="Heading2"/>
        <w:spacing w:after="200"/>
        <w:ind w:left="0" w:right="0"/>
        <w:rPr>
          <w:color w:val="121212"/>
        </w:rPr>
      </w:pPr>
      <w:bookmarkStart w:id="67" w:name="_Toc240448291"/>
      <w:r>
        <w:rPr>
          <w:color w:val="121212"/>
        </w:rPr>
        <w:t>6.1 Concluding Findings aligning with research questions</w:t>
      </w:r>
      <w:bookmarkEnd w:id="67"/>
      <w:r>
        <w:rPr>
          <w:color w:val="121212"/>
        </w:rPr>
        <w:t xml:space="preserve"> </w:t>
      </w:r>
    </w:p>
    <w:p w14:paraId="66A8B140" w14:textId="77777777" w:rsidR="00423B40" w:rsidRDefault="00636AB1">
      <w:pPr>
        <w:spacing w:after="0"/>
        <w:rPr>
          <w:color w:val="121212"/>
        </w:rPr>
      </w:pPr>
      <w:r>
        <w:rPr>
          <w:color w:val="121212"/>
        </w:rPr>
        <w:t xml:space="preserve">The overall systematic review and analysis reveal that pelvic floor dysfunction has a substantial multidimensional impact on the quality of life of young women.  This also increases vulnerability and creates concern regarding psychological and physiological issues among UK young adult women aged 18 to 35 years old.  Across the peer-reviewed study findings, it has been identified that PFD symptoms, including urinary incontinence and pelvic organ prolapse, critically lead to poor physical functioning, reduced social wellbeing and lower health outcomes. </w:t>
      </w:r>
    </w:p>
    <w:p w14:paraId="70A4CD12" w14:textId="77777777" w:rsidR="00423B40" w:rsidRDefault="00636AB1">
      <w:pPr>
        <w:spacing w:after="0"/>
        <w:rPr>
          <w:color w:val="121212"/>
        </w:rPr>
      </w:pPr>
      <w:r>
        <w:rPr>
          <w:color w:val="121212"/>
        </w:rPr>
        <w:t xml:space="preserve">The findings critically identified the link between PFD symptoms and depressive and mental outcomes, which critically reduce self-esteem. </w:t>
      </w:r>
    </w:p>
    <w:p w14:paraId="7D5C3029" w14:textId="77777777" w:rsidR="00423B40" w:rsidRDefault="00636AB1">
      <w:pPr>
        <w:spacing w:after="0"/>
        <w:rPr>
          <w:color w:val="121212"/>
        </w:rPr>
      </w:pPr>
      <w:r>
        <w:rPr>
          <w:color w:val="121212"/>
        </w:rPr>
        <w:t xml:space="preserve">However, evidence from previous articles suggests that depression, anxiety, insomnia and physical distress can be observed as some of the common symptoms of PFD. Additionally, it has been identified that regular screening, monitoring and early identification of symptoms can help to address PFD issues among young adult women in the UK (Kalata </w:t>
      </w:r>
      <w:r>
        <w:rPr>
          <w:i/>
          <w:iCs/>
          <w:color w:val="121212"/>
        </w:rPr>
        <w:t>et al</w:t>
      </w:r>
      <w:r>
        <w:rPr>
          <w:color w:val="121212"/>
        </w:rPr>
        <w:t xml:space="preserve">., 2023).  Therefore, the findings critically address the Research question by demonstrating that PFD strongly influences daily lifestyle and held outcome of women aged 18 to 35 years old. </w:t>
      </w:r>
    </w:p>
    <w:p w14:paraId="54B08210" w14:textId="77777777" w:rsidR="00423B40" w:rsidRDefault="00636AB1">
      <w:pPr>
        <w:spacing w:after="0"/>
        <w:rPr>
          <w:color w:val="121212"/>
        </w:rPr>
      </w:pPr>
      <w:r>
        <w:rPr>
          <w:color w:val="121212"/>
        </w:rPr>
        <w:t>Additionally, from the research findings, it becomes evident that one cannot view PFD as just a physical health problem since its effects may affect mental and social well-being. Besides, the research findings indicate that the problems experienced with PFD affect self-respect, social life, and the ability to have a normal lifestyle. Thus, it is important to understand the full effect of PFD in order to identify the health needs of young women. From the research findings, it becomes clear that there are certain factors such as the history of reproduction, awareness of symptoms, and availability of healthcare services which affect PFD (Ayub, Irshad and Kanwal, 2026). This means that the effects of PFD are very complex and one cannot judge the condition using just its physical effects.</w:t>
      </w:r>
    </w:p>
    <w:p w14:paraId="127A92AE" w14:textId="77777777" w:rsidR="00423B40" w:rsidRDefault="00636AB1">
      <w:pPr>
        <w:spacing w:after="0"/>
        <w:rPr>
          <w:color w:val="121212"/>
          <w:sz w:val="24"/>
          <w:szCs w:val="24"/>
        </w:rPr>
      </w:pPr>
      <w:r>
        <w:rPr>
          <w:color w:val="121212"/>
        </w:rPr>
        <w:t>To conclude, the findings of this research will contribute to increasing awareness of PFD among younger females and introducing certain health strategies that can help detect the problem and provide proper assistance. Therefore, this literature review will aid in understanding the characteristics of PFD and its impact on various health aspects.</w:t>
      </w:r>
    </w:p>
    <w:p w14:paraId="0359E226" w14:textId="77777777" w:rsidR="00423B40" w:rsidRDefault="00636AB1">
      <w:pPr>
        <w:pStyle w:val="Heading2"/>
        <w:spacing w:after="200"/>
        <w:ind w:left="0" w:right="0"/>
        <w:rPr>
          <w:color w:val="121212"/>
        </w:rPr>
      </w:pPr>
      <w:bookmarkStart w:id="68" w:name="_Toc240448292"/>
      <w:r>
        <w:rPr>
          <w:color w:val="121212"/>
        </w:rPr>
        <w:t>6.2 Reflection on the Research Approach</w:t>
      </w:r>
      <w:bookmarkEnd w:id="68"/>
      <w:r>
        <w:rPr>
          <w:color w:val="121212"/>
        </w:rPr>
        <w:t xml:space="preserve"> </w:t>
      </w:r>
    </w:p>
    <w:p w14:paraId="2A45837A" w14:textId="77777777" w:rsidR="00423B40" w:rsidRDefault="00636AB1">
      <w:pPr>
        <w:spacing w:after="0"/>
        <w:rPr>
          <w:color w:val="121212"/>
        </w:rPr>
      </w:pPr>
      <w:r>
        <w:rPr>
          <w:color w:val="121212"/>
        </w:rPr>
        <w:t xml:space="preserve">The choice of systematic review was quite successful to some extent, as the inclusion of various peer-reviewed studies made it possible to understand the issues. Using thematic analysis, the researcher was able to get an idea about the literature since this method made it possible to analyse the effect of PFD on quality of life, the connection of the disorder with </w:t>
      </w:r>
      <w:r>
        <w:rPr>
          <w:color w:val="121212"/>
        </w:rPr>
        <w:lastRenderedPageBreak/>
        <w:t xml:space="preserve">psychological factors, as well as other important personal factors and ways of identification and treatment of the condition. Thus, the method could be considered appropriate for getting the overall view on the complicated issue of the relationship between PFD and health of young women (Uttley </w:t>
      </w:r>
      <w:r>
        <w:rPr>
          <w:i/>
          <w:iCs/>
          <w:color w:val="121212"/>
        </w:rPr>
        <w:t>et al</w:t>
      </w:r>
      <w:r>
        <w:rPr>
          <w:color w:val="121212"/>
        </w:rPr>
        <w:t>., 2023). It did not provide the researcher with points of causation because most of the literature sources used were observational and cross-sectional ones, and thus the systematic review could reveal connections but not the causal relationship, for instance, between PFD and depression.</w:t>
      </w:r>
    </w:p>
    <w:p w14:paraId="47D1B796" w14:textId="77777777" w:rsidR="00423B40" w:rsidRDefault="00636AB1">
      <w:pPr>
        <w:spacing w:after="0"/>
        <w:rPr>
          <w:color w:val="121212"/>
        </w:rPr>
      </w:pPr>
      <w:r>
        <w:rPr>
          <w:color w:val="121212"/>
        </w:rPr>
        <w:t xml:space="preserve">The study raised many good questions and yielded some findings. According to the findings, the issues related to PFD should not only be regarded as physical or reproductive since the consequences of its effects could have a bearing on psychological well-being, social engagement, and functioning capacity (Neto </w:t>
      </w:r>
      <w:r>
        <w:rPr>
          <w:i/>
          <w:iCs/>
          <w:color w:val="121212"/>
        </w:rPr>
        <w:t>et al</w:t>
      </w:r>
      <w:r>
        <w:rPr>
          <w:color w:val="121212"/>
        </w:rPr>
        <w:t>., 2025). From the above findings, the necessity of carrying out more studies regarding the interaction of different variables needs to be emphasised. This is especially so since screening and integration of the solution might be important for women aged 18 to 35 in the UK.</w:t>
      </w:r>
    </w:p>
    <w:p w14:paraId="537CCE48" w14:textId="77777777" w:rsidR="00423B40" w:rsidRDefault="00636AB1">
      <w:pPr>
        <w:pStyle w:val="Heading2"/>
        <w:spacing w:after="200"/>
        <w:ind w:left="0" w:right="0"/>
        <w:rPr>
          <w:color w:val="121212"/>
        </w:rPr>
      </w:pPr>
      <w:bookmarkStart w:id="69" w:name="_Toc240448293"/>
      <w:r>
        <w:rPr>
          <w:color w:val="121212"/>
        </w:rPr>
        <w:t>6.3 Recommendations</w:t>
      </w:r>
      <w:bookmarkEnd w:id="69"/>
      <w:r>
        <w:rPr>
          <w:color w:val="121212"/>
        </w:rPr>
        <w:t xml:space="preserve"> </w:t>
      </w:r>
    </w:p>
    <w:p w14:paraId="7602835C" w14:textId="77777777" w:rsidR="00423B40" w:rsidRDefault="00636AB1">
      <w:pPr>
        <w:spacing w:after="0"/>
        <w:rPr>
          <w:b/>
          <w:bCs/>
          <w:color w:val="121212"/>
        </w:rPr>
      </w:pPr>
      <w:r>
        <w:rPr>
          <w:b/>
          <w:bCs/>
          <w:color w:val="121212"/>
        </w:rPr>
        <w:t>Recommendation 1: Introduce routine screening</w:t>
      </w:r>
    </w:p>
    <w:p w14:paraId="59764D24" w14:textId="77777777" w:rsidR="00423B40" w:rsidRDefault="00636AB1">
      <w:pPr>
        <w:spacing w:after="0"/>
        <w:rPr>
          <w:color w:val="121212"/>
        </w:rPr>
      </w:pPr>
      <w:r>
        <w:rPr>
          <w:color w:val="121212"/>
        </w:rPr>
        <w:t>Based on the increasing PFD symptoms and issues, it is recommended that healthcare professionals should incorporate better routine pelvic floor screening. Better screening and identifying PFD symptoms at an early stage can help to support earlier intervention and promote better health outcomes. It may be that screening patients will result in the identification of signs and symptoms associated with the urinary tract, the pelvis, and general wellbeing before they become more serious or troublesome. It is feasible for screening to be incorporated into certain hospital consultations where appropriate.</w:t>
      </w:r>
    </w:p>
    <w:p w14:paraId="2A7A4D80" w14:textId="77777777" w:rsidR="00423B40" w:rsidRDefault="00636AB1">
      <w:pPr>
        <w:spacing w:after="0"/>
        <w:rPr>
          <w:b/>
          <w:bCs/>
          <w:color w:val="121212"/>
        </w:rPr>
      </w:pPr>
      <w:r>
        <w:rPr>
          <w:b/>
          <w:bCs/>
          <w:color w:val="121212"/>
        </w:rPr>
        <w:t>Recommendation 2: Strengthen Patient Education</w:t>
      </w:r>
    </w:p>
    <w:p w14:paraId="30FBDECC" w14:textId="77777777" w:rsidR="00423B40" w:rsidRDefault="00636AB1">
      <w:pPr>
        <w:spacing w:after="0"/>
        <w:rPr>
          <w:color w:val="121212"/>
        </w:rPr>
      </w:pPr>
      <w:r>
        <w:rPr>
          <w:color w:val="121212"/>
        </w:rPr>
        <w:t>Findings also suggest that it is important to improve the accessibility of education and awareness about PFD symptoms among women.  This activity will help to improve awareness and reduce embarrassment, encourage young adults to seek early help, and promote better health outcomes by reducing the early-stage symptoms of PFD. The educational information on PFD will give the symptoms of PFD, risk factors and the need for seeking medical help. Education of the community on PFD will help the women realise that PFD is a real condition, and there is no need to feel ashamed of the problems they have.</w:t>
      </w:r>
    </w:p>
    <w:p w14:paraId="499F13E5" w14:textId="77777777" w:rsidR="00423B40" w:rsidRDefault="00636AB1">
      <w:pPr>
        <w:spacing w:after="0"/>
        <w:rPr>
          <w:b/>
          <w:bCs/>
          <w:color w:val="121212"/>
        </w:rPr>
      </w:pPr>
      <w:r>
        <w:rPr>
          <w:b/>
          <w:bCs/>
          <w:color w:val="121212"/>
        </w:rPr>
        <w:t>Recommendation 3: Improve UK healthcare preventive support</w:t>
      </w:r>
    </w:p>
    <w:p w14:paraId="76CB2595" w14:textId="77777777" w:rsidR="00423B40" w:rsidRDefault="00636AB1">
      <w:pPr>
        <w:rPr>
          <w:color w:val="121212"/>
        </w:rPr>
      </w:pPr>
      <w:r>
        <w:rPr>
          <w:color w:val="121212"/>
        </w:rPr>
        <w:t xml:space="preserve">As the rate of PFD is increasing in the UK, it is important to improve UK Healthcare accessibility and promote preventive support to reduce this issue.  then implement better interventions to reduce pregnancy-related risk and muscle dysfunction among athletic women by adopting better pelvic floor education, assessment and preventive interventions. Such an </w:t>
      </w:r>
      <w:r>
        <w:rPr>
          <w:color w:val="121212"/>
        </w:rPr>
        <w:lastRenderedPageBreak/>
        <w:t>approach would assist in involving healthcare specialists at the initial stages in solving both physical and psychological health issues. Future approaches aimed at the prevention of these problems should be based on the idea of integrating treatment, early problem detection, and individual treatment of women suffering from PFD.</w:t>
      </w:r>
    </w:p>
    <w:p w14:paraId="6A6DCCD2" w14:textId="77777777" w:rsidR="00423B40" w:rsidRDefault="00636AB1">
      <w:pPr>
        <w:pStyle w:val="Heading2"/>
        <w:spacing w:after="200"/>
        <w:ind w:left="0" w:right="0"/>
        <w:rPr>
          <w:color w:val="121212"/>
        </w:rPr>
      </w:pPr>
      <w:bookmarkStart w:id="70" w:name="_Toc240448294"/>
      <w:r>
        <w:rPr>
          <w:color w:val="121212"/>
        </w:rPr>
        <w:t>6.4 Future studies</w:t>
      </w:r>
      <w:bookmarkEnd w:id="70"/>
      <w:r>
        <w:rPr>
          <w:color w:val="121212"/>
        </w:rPr>
        <w:t xml:space="preserve"> </w:t>
      </w:r>
    </w:p>
    <w:p w14:paraId="115792B2" w14:textId="77777777" w:rsidR="00423B40" w:rsidRDefault="00636AB1">
      <w:pPr>
        <w:spacing w:after="0"/>
        <w:rPr>
          <w:color w:val="121212"/>
        </w:rPr>
      </w:pPr>
      <w:r>
        <w:rPr>
          <w:color w:val="121212"/>
        </w:rPr>
        <w:t>Considering the current limitations of the study, future research should focus on performing UK-based longitudinal studies and adopt primary quantitative data evidence along with secondary quality findings, which will help to find evidence-based interventions to address this functional issue.  Additionally, future studies can identify effective policy-based interventions to promote Healthcare accessibility and support systems to reduce the PFD impact and promote evidence-based interventions to support better health outcomes among young adult women aged between 18 and 35 years old (</w:t>
      </w:r>
      <w:proofErr w:type="spellStart"/>
      <w:r>
        <w:rPr>
          <w:color w:val="121212"/>
        </w:rPr>
        <w:t>Bacaro</w:t>
      </w:r>
      <w:proofErr w:type="spellEnd"/>
      <w:r>
        <w:rPr>
          <w:color w:val="121212"/>
        </w:rPr>
        <w:t>, Miletic and Crocetti, 2024). Conducting longitudinal research could be beneficial when trying to understand how physical symptomatology is associated with psychological consequences and how any changes in physical symptoms are connected to psychological well-being changes. One potential way of future research would be direct recruitment of participants from among the young adult population of the UK. This way, the results obtained will apply to the problem at hand.</w:t>
      </w:r>
    </w:p>
    <w:p w14:paraId="67A37A8C" w14:textId="77777777" w:rsidR="00423B40" w:rsidRDefault="00636AB1">
      <w:pPr>
        <w:spacing w:after="0"/>
        <w:rPr>
          <w:color w:val="121212"/>
        </w:rPr>
      </w:pPr>
      <w:r>
        <w:rPr>
          <w:color w:val="121212"/>
        </w:rPr>
        <w:t>Moreover, future research should investigate the impact of access to health care, stigma, social support and coping mechanisms on PFD experience. These factors are regarded as potentially important to the problem, but their role is under research (Proctor, Reiman and Best, 2023). In addition, further research could focus on evaluating the effectiveness of regular screenings, education of patients and prevention of the problem in the pelvic floor region. This will help to figure out the best way to identify and address PFD in the population of young women 18-35 years old living in the UK.</w:t>
      </w:r>
    </w:p>
    <w:p w14:paraId="05A13C6E" w14:textId="77777777" w:rsidR="00423B40" w:rsidRDefault="00636AB1">
      <w:pPr>
        <w:pStyle w:val="Heading2"/>
        <w:spacing w:after="200"/>
        <w:ind w:left="0" w:right="0"/>
        <w:rPr>
          <w:color w:val="121212"/>
        </w:rPr>
      </w:pPr>
      <w:bookmarkStart w:id="71" w:name="_Toc240448295"/>
      <w:r>
        <w:rPr>
          <w:color w:val="121212"/>
        </w:rPr>
        <w:t>6.5 Contribution to Knowledge and Significance of the Research</w:t>
      </w:r>
      <w:bookmarkEnd w:id="71"/>
      <w:r>
        <w:rPr>
          <w:color w:val="121212"/>
        </w:rPr>
        <w:t xml:space="preserve"> </w:t>
      </w:r>
    </w:p>
    <w:p w14:paraId="15980D33" w14:textId="77777777" w:rsidR="00423B40" w:rsidRDefault="00636AB1">
      <w:pPr>
        <w:spacing w:after="0"/>
        <w:rPr>
          <w:color w:val="121212"/>
        </w:rPr>
      </w:pPr>
      <w:r>
        <w:rPr>
          <w:color w:val="121212"/>
        </w:rPr>
        <w:t>The contribution to existing literature of this research lies in the possibility of a multidimensional analysis of PFD among women aged 18-35 years old because the information concerning the condition of physical health, general well-being, and psychological well-being will be obtained from the survey. As a result of this work, the notion of PFD will be viewed not only as a disease but as a condition that can affect daily functioning, social life, psychological well-being, and vulnerability of a person (</w:t>
      </w:r>
      <w:proofErr w:type="spellStart"/>
      <w:r>
        <w:rPr>
          <w:color w:val="121212"/>
        </w:rPr>
        <w:t>Selinheimo</w:t>
      </w:r>
      <w:proofErr w:type="spellEnd"/>
      <w:r>
        <w:rPr>
          <w:color w:val="121212"/>
        </w:rPr>
        <w:t xml:space="preserve"> </w:t>
      </w:r>
      <w:r>
        <w:rPr>
          <w:i/>
          <w:iCs/>
          <w:color w:val="121212"/>
        </w:rPr>
        <w:t>et al</w:t>
      </w:r>
      <w:r>
        <w:rPr>
          <w:color w:val="121212"/>
        </w:rPr>
        <w:t>., 2026).</w:t>
      </w:r>
    </w:p>
    <w:p w14:paraId="053F0AB7" w14:textId="07E4A5AF" w:rsidR="00423B40" w:rsidRDefault="00636AB1">
      <w:pPr>
        <w:spacing w:after="0"/>
        <w:rPr>
          <w:color w:val="121212"/>
        </w:rPr>
      </w:pPr>
      <w:r w:rsidRPr="3B2C0D8C">
        <w:rPr>
          <w:color w:val="121212"/>
        </w:rPr>
        <w:t xml:space="preserve">Another contribution of this study to the body of literature lies in the discovery of the connection between PFD and such psychological consequences of the disease as depression, anxiety, sleep disorders, and low self-confidence. Personal, reproductive, and social factors have been found to influence the mentioned psychological outcomes of the disease. This particular study </w:t>
      </w:r>
      <w:r w:rsidRPr="3B2C0D8C">
        <w:rPr>
          <w:color w:val="121212"/>
        </w:rPr>
        <w:lastRenderedPageBreak/>
        <w:t>is significant due to its emphasis on the minimal number of studies on younger adults in the UK (people aged between 18 and 35 years old), which emphasises the need for raising awareness, early diagnosis, and coordinated healthcare programs (Renzi, Piacentini and Lingiardi, 2026). In such a way, the results obtained from the study can be helpful not only in terms of increasing the level of awareness and developing preventive measures but also as a basis for future studies carried out in the UK.</w:t>
      </w:r>
    </w:p>
    <w:p w14:paraId="5E8AAFE6" w14:textId="77777777" w:rsidR="00423B40" w:rsidRDefault="00423B40">
      <w:pPr>
        <w:rPr>
          <w:color w:val="121212"/>
        </w:rPr>
      </w:pPr>
    </w:p>
    <w:p w14:paraId="098AE4D9" w14:textId="77777777" w:rsidR="00423B40" w:rsidRDefault="00636AB1">
      <w:pPr>
        <w:spacing w:line="259" w:lineRule="auto"/>
        <w:jc w:val="left"/>
        <w:rPr>
          <w:color w:val="121212"/>
        </w:rPr>
      </w:pPr>
      <w:r>
        <w:rPr>
          <w:color w:val="121212"/>
        </w:rPr>
        <w:br w:type="page"/>
      </w:r>
    </w:p>
    <w:p w14:paraId="307A0797" w14:textId="77777777" w:rsidR="00423B40" w:rsidRDefault="00636AB1">
      <w:pPr>
        <w:pStyle w:val="Heading1"/>
        <w:ind w:left="12" w:right="6" w:firstLine="0"/>
        <w:rPr>
          <w:color w:val="121212"/>
        </w:rPr>
      </w:pPr>
      <w:bookmarkStart w:id="72" w:name="_Toc240448296"/>
      <w:r>
        <w:rPr>
          <w:color w:val="121212"/>
        </w:rPr>
        <w:lastRenderedPageBreak/>
        <w:t>Reference list</w:t>
      </w:r>
      <w:bookmarkEnd w:id="72"/>
      <w:r>
        <w:rPr>
          <w:color w:val="121212"/>
        </w:rPr>
        <w:t xml:space="preserve"> </w:t>
      </w:r>
    </w:p>
    <w:p w14:paraId="49FD152D" w14:textId="77777777" w:rsidR="00532A99" w:rsidRPr="001B735F" w:rsidRDefault="00532A99" w:rsidP="001B735F">
      <w:pPr>
        <w:spacing w:after="240"/>
        <w:ind w:left="360"/>
        <w:rPr>
          <w:color w:val="121212"/>
          <w:lang w:val="en-IN"/>
        </w:rPr>
      </w:pPr>
      <w:proofErr w:type="spellStart"/>
      <w:r w:rsidRPr="001B735F">
        <w:rPr>
          <w:color w:val="121212"/>
          <w:lang w:val="en-IN"/>
        </w:rPr>
        <w:t>Afyouni</w:t>
      </w:r>
      <w:proofErr w:type="spellEnd"/>
      <w:r w:rsidRPr="001B735F">
        <w:rPr>
          <w:color w:val="121212"/>
          <w:lang w:val="en-IN"/>
        </w:rPr>
        <w:t xml:space="preserve">, A.S., </w:t>
      </w:r>
      <w:proofErr w:type="spellStart"/>
      <w:r w:rsidRPr="001B735F">
        <w:rPr>
          <w:color w:val="121212"/>
          <w:lang w:val="en-IN"/>
        </w:rPr>
        <w:t>Khanmammadova</w:t>
      </w:r>
      <w:proofErr w:type="spellEnd"/>
      <w:r w:rsidRPr="001B735F">
        <w:rPr>
          <w:color w:val="121212"/>
          <w:lang w:val="en-IN"/>
        </w:rPr>
        <w:t xml:space="preserve">, N., Bozorgi, A., Das, A.K., Gelman, J. and Sadeghi, Z. (2025). Urologic manifestations of nonrelaxing pelvic floor dysfunction: Insights on clinical workup and management. </w:t>
      </w:r>
      <w:r w:rsidRPr="001B735F">
        <w:rPr>
          <w:i/>
          <w:iCs/>
          <w:color w:val="121212"/>
          <w:lang w:val="en-IN"/>
        </w:rPr>
        <w:t>Current Urology Reports</w:t>
      </w:r>
      <w:r w:rsidRPr="001B735F">
        <w:rPr>
          <w:color w:val="121212"/>
          <w:lang w:val="en-IN"/>
        </w:rPr>
        <w:t>, [online] 26(1). doi:10.1007/s11934-025-01290-4.</w:t>
      </w:r>
    </w:p>
    <w:p w14:paraId="0D222E1A" w14:textId="77777777" w:rsidR="00532A99" w:rsidRPr="001B735F" w:rsidRDefault="00532A99" w:rsidP="001B735F">
      <w:pPr>
        <w:spacing w:before="240" w:after="240"/>
        <w:ind w:left="360"/>
        <w:rPr>
          <w:color w:val="121212"/>
        </w:rPr>
      </w:pPr>
      <w:proofErr w:type="spellStart"/>
      <w:r w:rsidRPr="001B735F">
        <w:rPr>
          <w:color w:val="121212"/>
        </w:rPr>
        <w:t>Aiyegbusi</w:t>
      </w:r>
      <w:proofErr w:type="spellEnd"/>
      <w:r w:rsidRPr="001B735F">
        <w:rPr>
          <w:color w:val="121212"/>
        </w:rPr>
        <w:t xml:space="preserve">, A.I., Eze, D.I., Balogun, O.J. and </w:t>
      </w:r>
      <w:proofErr w:type="spellStart"/>
      <w:r w:rsidRPr="001B735F">
        <w:rPr>
          <w:color w:val="121212"/>
        </w:rPr>
        <w:t>Olamijulo</w:t>
      </w:r>
      <w:proofErr w:type="spellEnd"/>
      <w:r w:rsidRPr="001B735F">
        <w:rPr>
          <w:color w:val="121212"/>
        </w:rPr>
        <w:t xml:space="preserve">, J.A. (2023). Prevalence of pelvic floor dysfunction and associated risk factors among Nulligravida college students: a cross-sectional study. </w:t>
      </w:r>
      <w:r w:rsidRPr="001B735F">
        <w:rPr>
          <w:i/>
          <w:iCs/>
          <w:color w:val="121212"/>
        </w:rPr>
        <w:t>Bulletin of Faculty of Physical Therapy</w:t>
      </w:r>
      <w:r w:rsidRPr="001B735F">
        <w:rPr>
          <w:color w:val="121212"/>
        </w:rPr>
        <w:t>,  28(1). doi:</w:t>
      </w:r>
      <w:hyperlink r:id="rId22">
        <w:r w:rsidRPr="001B735F">
          <w:rPr>
            <w:color w:val="121212"/>
            <w:u w:val="single"/>
          </w:rPr>
          <w:t>https://doi.org/10.1186/s43161-023-00147-6</w:t>
        </w:r>
      </w:hyperlink>
      <w:r w:rsidRPr="001B735F">
        <w:rPr>
          <w:color w:val="121212"/>
        </w:rPr>
        <w:t xml:space="preserve">. </w:t>
      </w:r>
    </w:p>
    <w:p w14:paraId="734F4B3F" w14:textId="77777777" w:rsidR="00532A99" w:rsidRPr="001B735F" w:rsidRDefault="00532A99" w:rsidP="001B735F">
      <w:pPr>
        <w:spacing w:before="240" w:after="240"/>
        <w:ind w:left="360"/>
        <w:rPr>
          <w:color w:val="121212"/>
        </w:rPr>
      </w:pPr>
      <w:r w:rsidRPr="001B735F">
        <w:rPr>
          <w:color w:val="121212"/>
        </w:rPr>
        <w:t xml:space="preserve">AlQuaiz, A.M., Kazi, A., AlYousefi, N., Alwatban, L., AlHabib, Y. and Turkistani, I. (2023). Urinary Incontinence Affects the Quality of Life and Increases Psychological Distress and Low Self-Esteem. </w:t>
      </w:r>
      <w:r w:rsidRPr="001B735F">
        <w:rPr>
          <w:i/>
          <w:iCs/>
          <w:color w:val="121212"/>
        </w:rPr>
        <w:t>Healthcare</w:t>
      </w:r>
      <w:r w:rsidRPr="001B735F">
        <w:rPr>
          <w:color w:val="121212"/>
        </w:rPr>
        <w:t>,  11(12), p.1772. doi:</w:t>
      </w:r>
      <w:hyperlink r:id="rId23">
        <w:r w:rsidRPr="001B735F">
          <w:rPr>
            <w:color w:val="121212"/>
            <w:u w:val="single"/>
          </w:rPr>
          <w:t>https://doi.org/10.3390/healthcare11121772</w:t>
        </w:r>
      </w:hyperlink>
      <w:r w:rsidRPr="001B735F">
        <w:rPr>
          <w:color w:val="121212"/>
        </w:rPr>
        <w:t xml:space="preserve">. </w:t>
      </w:r>
    </w:p>
    <w:p w14:paraId="4406ABBE" w14:textId="77777777" w:rsidR="00532A99" w:rsidRPr="001B735F" w:rsidRDefault="00532A99" w:rsidP="001B735F">
      <w:pPr>
        <w:spacing w:after="240"/>
        <w:ind w:left="360"/>
        <w:rPr>
          <w:color w:val="121212"/>
          <w:lang w:val="en-IN"/>
        </w:rPr>
      </w:pPr>
      <w:r w:rsidRPr="001B735F">
        <w:rPr>
          <w:color w:val="121212"/>
          <w:lang w:val="en-IN"/>
        </w:rPr>
        <w:t xml:space="preserve">Anderson, D.J., Aucoin, A., Toups, C.R., Cormier, D.J., McDonald, M., </w:t>
      </w:r>
      <w:proofErr w:type="spellStart"/>
      <w:r w:rsidRPr="001B735F">
        <w:rPr>
          <w:color w:val="121212"/>
          <w:lang w:val="en-IN"/>
        </w:rPr>
        <w:t>Hasoon</w:t>
      </w:r>
      <w:proofErr w:type="spellEnd"/>
      <w:r w:rsidRPr="001B735F">
        <w:rPr>
          <w:color w:val="121212"/>
          <w:lang w:val="en-IN"/>
        </w:rPr>
        <w:t xml:space="preserve">, J., Viswanath, O., Kaye, A. D and Urits, I. (2023). Lower urinary tract symptoms in depression: A review. </w:t>
      </w:r>
      <w:r w:rsidRPr="001B735F">
        <w:rPr>
          <w:i/>
          <w:iCs/>
          <w:color w:val="121212"/>
          <w:lang w:val="en-IN"/>
        </w:rPr>
        <w:t>Health Psychology Research</w:t>
      </w:r>
      <w:r w:rsidRPr="001B735F">
        <w:rPr>
          <w:color w:val="121212"/>
          <w:lang w:val="en-IN"/>
        </w:rPr>
        <w:t>, 11. doi:10.52965/001c.81040.</w:t>
      </w:r>
    </w:p>
    <w:p w14:paraId="4EF77B9A" w14:textId="77777777" w:rsidR="00532A99" w:rsidRPr="001B735F" w:rsidRDefault="00532A99" w:rsidP="001B735F">
      <w:pPr>
        <w:spacing w:before="240" w:after="0"/>
        <w:ind w:left="360"/>
        <w:rPr>
          <w:color w:val="121212"/>
        </w:rPr>
      </w:pPr>
      <w:r w:rsidRPr="001B735F">
        <w:rPr>
          <w:color w:val="121212"/>
        </w:rPr>
        <w:t xml:space="preserve">Avula, S., </w:t>
      </w:r>
      <w:proofErr w:type="spellStart"/>
      <w:r w:rsidRPr="001B735F">
        <w:rPr>
          <w:color w:val="121212"/>
        </w:rPr>
        <w:t>Mandefro</w:t>
      </w:r>
      <w:proofErr w:type="spellEnd"/>
      <w:r w:rsidRPr="001B735F">
        <w:rPr>
          <w:color w:val="121212"/>
        </w:rPr>
        <w:t xml:space="preserve">, B.T., Sundara, S.V., et al (2025). The Impact of Early Intensive Behavioral and Developmental Interventions on Key Developmental Outcomes in Young Children With Autism Spectrum Disorder: A Narrative Review. </w:t>
      </w:r>
      <w:r w:rsidRPr="001B735F">
        <w:rPr>
          <w:i/>
          <w:iCs/>
          <w:color w:val="121212"/>
        </w:rPr>
        <w:t>Cureus</w:t>
      </w:r>
      <w:r w:rsidRPr="001B735F">
        <w:rPr>
          <w:color w:val="121212"/>
        </w:rPr>
        <w:t>,  17(9). doi:</w:t>
      </w:r>
      <w:hyperlink r:id="rId24">
        <w:r w:rsidRPr="001B735F">
          <w:rPr>
            <w:color w:val="121212"/>
            <w:u w:val="single"/>
          </w:rPr>
          <w:t>https://doi.org/10.7759/cureus.92055</w:t>
        </w:r>
      </w:hyperlink>
      <w:r w:rsidRPr="001B735F">
        <w:rPr>
          <w:color w:val="121212"/>
        </w:rPr>
        <w:t xml:space="preserve">. </w:t>
      </w:r>
    </w:p>
    <w:p w14:paraId="074DAC26" w14:textId="77777777" w:rsidR="00532A99" w:rsidRPr="001B735F" w:rsidRDefault="00532A99" w:rsidP="001B735F">
      <w:pPr>
        <w:spacing w:before="240"/>
        <w:ind w:left="360"/>
        <w:rPr>
          <w:color w:val="121212"/>
        </w:rPr>
      </w:pPr>
      <w:r w:rsidRPr="001B735F">
        <w:rPr>
          <w:color w:val="121212"/>
        </w:rPr>
        <w:t xml:space="preserve">Ayenew Tega, </w:t>
      </w:r>
      <w:proofErr w:type="spellStart"/>
      <w:r w:rsidRPr="001B735F">
        <w:rPr>
          <w:color w:val="121212"/>
        </w:rPr>
        <w:t>Fentahun</w:t>
      </w:r>
      <w:proofErr w:type="spellEnd"/>
      <w:r w:rsidRPr="001B735F">
        <w:rPr>
          <w:color w:val="121212"/>
        </w:rPr>
        <w:t xml:space="preserve"> </w:t>
      </w:r>
      <w:proofErr w:type="spellStart"/>
      <w:r w:rsidRPr="001B735F">
        <w:rPr>
          <w:color w:val="121212"/>
        </w:rPr>
        <w:t>Yenealem</w:t>
      </w:r>
      <w:proofErr w:type="spellEnd"/>
      <w:r w:rsidRPr="001B735F">
        <w:rPr>
          <w:color w:val="121212"/>
        </w:rPr>
        <w:t xml:space="preserve">, Belay, G., </w:t>
      </w:r>
      <w:proofErr w:type="spellStart"/>
      <w:r w:rsidRPr="001B735F">
        <w:rPr>
          <w:color w:val="121212"/>
        </w:rPr>
        <w:t>Asmare</w:t>
      </w:r>
      <w:proofErr w:type="spellEnd"/>
      <w:r w:rsidRPr="001B735F">
        <w:rPr>
          <w:color w:val="121212"/>
        </w:rPr>
        <w:t xml:space="preserve">, E., Temesgen Getaneh, Misgana Desalegn, Natnael </w:t>
      </w:r>
      <w:proofErr w:type="spellStart"/>
      <w:r w:rsidRPr="001B735F">
        <w:rPr>
          <w:color w:val="121212"/>
        </w:rPr>
        <w:t>Dechasa</w:t>
      </w:r>
      <w:proofErr w:type="spellEnd"/>
      <w:r w:rsidRPr="001B735F">
        <w:rPr>
          <w:color w:val="121212"/>
        </w:rPr>
        <w:t xml:space="preserve"> and Addis, Z. (2024). Quality of life and its associated factors among women with pelvic organ prolapse who attend </w:t>
      </w:r>
      <w:proofErr w:type="spellStart"/>
      <w:r w:rsidRPr="001B735F">
        <w:rPr>
          <w:color w:val="121212"/>
        </w:rPr>
        <w:t>gynecology</w:t>
      </w:r>
      <w:proofErr w:type="spellEnd"/>
      <w:r w:rsidRPr="001B735F">
        <w:rPr>
          <w:color w:val="121212"/>
        </w:rPr>
        <w:t xml:space="preserve"> clinics Southern Ethiopia 2022. </w:t>
      </w:r>
      <w:r w:rsidRPr="001B735F">
        <w:rPr>
          <w:i/>
          <w:iCs/>
          <w:color w:val="121212"/>
        </w:rPr>
        <w:t>BMC Women s Health</w:t>
      </w:r>
      <w:r w:rsidRPr="001B735F">
        <w:rPr>
          <w:color w:val="121212"/>
        </w:rPr>
        <w:t>, 24(1). doi:10.1186/s12905-024-03238-1.</w:t>
      </w:r>
    </w:p>
    <w:p w14:paraId="49D1E22E" w14:textId="77777777" w:rsidR="00532A99" w:rsidRPr="001B735F" w:rsidRDefault="00532A99" w:rsidP="001B735F">
      <w:pPr>
        <w:spacing w:before="240" w:after="240"/>
        <w:ind w:left="360"/>
        <w:rPr>
          <w:color w:val="121212"/>
        </w:rPr>
      </w:pPr>
      <w:r w:rsidRPr="001B735F">
        <w:rPr>
          <w:color w:val="121212"/>
        </w:rPr>
        <w:t xml:space="preserve">Ayub, S., Irshad, D.E. and Kanwal, D.S. (2026). Effectiveness of compassion-focused therapy in improving self-esteem, resilience, and quality of life among individuals with differences of sex development: A quasi-experimental study. </w:t>
      </w:r>
      <w:r w:rsidRPr="001B735F">
        <w:rPr>
          <w:i/>
          <w:iCs/>
          <w:color w:val="121212"/>
        </w:rPr>
        <w:t>Al-ISRA</w:t>
      </w:r>
      <w:r w:rsidRPr="001B735F">
        <w:rPr>
          <w:color w:val="121212"/>
        </w:rPr>
        <w:t>,  5(1), pp.92–122. Available at: https://israjr.com/index.php/home/article/view/101 [Accessed 25 Aug. 2026].</w:t>
      </w:r>
    </w:p>
    <w:p w14:paraId="13DED747" w14:textId="77777777" w:rsidR="00532A99" w:rsidRPr="001B735F" w:rsidRDefault="00532A99" w:rsidP="001B735F">
      <w:pPr>
        <w:spacing w:before="240" w:after="240"/>
        <w:ind w:left="360"/>
        <w:rPr>
          <w:color w:val="121212"/>
        </w:rPr>
      </w:pPr>
      <w:proofErr w:type="spellStart"/>
      <w:r w:rsidRPr="001B735F">
        <w:rPr>
          <w:color w:val="121212"/>
        </w:rPr>
        <w:t>Bacaro</w:t>
      </w:r>
      <w:proofErr w:type="spellEnd"/>
      <w:r w:rsidRPr="001B735F">
        <w:rPr>
          <w:color w:val="121212"/>
        </w:rPr>
        <w:t xml:space="preserve">, V., Miletic, K. and Crocetti, E. (2024). A meta-analysis of longitudinal studies on the interplay between sleep, mental health, and positive well-being in adolescents. </w:t>
      </w:r>
      <w:r w:rsidRPr="001B735F">
        <w:rPr>
          <w:i/>
          <w:iCs/>
          <w:color w:val="121212"/>
        </w:rPr>
        <w:lastRenderedPageBreak/>
        <w:t>International Journal of Clinical and Health Psychology</w:t>
      </w:r>
      <w:r w:rsidRPr="001B735F">
        <w:rPr>
          <w:color w:val="121212"/>
        </w:rPr>
        <w:t>, 24(1), pp.100424–100424. doi:10.1016/j.ijchp.2023.100424.</w:t>
      </w:r>
    </w:p>
    <w:p w14:paraId="66F58D17" w14:textId="77777777" w:rsidR="00532A99" w:rsidRPr="001B735F" w:rsidRDefault="00532A99" w:rsidP="001B735F">
      <w:pPr>
        <w:spacing w:before="240" w:after="240"/>
        <w:ind w:left="360"/>
        <w:rPr>
          <w:color w:val="121212"/>
        </w:rPr>
      </w:pPr>
      <w:r w:rsidRPr="001B735F">
        <w:rPr>
          <w:color w:val="121212"/>
        </w:rPr>
        <w:t xml:space="preserve">Bashmi, L., Cohn, A., Chan, S.T., Tobia, G., Gohar, Y., Herrera, N., Wen, R.Y., </w:t>
      </w:r>
      <w:proofErr w:type="spellStart"/>
      <w:r w:rsidRPr="001B735F">
        <w:rPr>
          <w:color w:val="121212"/>
        </w:rPr>
        <w:t>IsHak</w:t>
      </w:r>
      <w:proofErr w:type="spellEnd"/>
      <w:r w:rsidRPr="001B735F">
        <w:rPr>
          <w:color w:val="121212"/>
        </w:rPr>
        <w:t xml:space="preserve">, W.W. and DeBonis, K. (2023). The biopsychosocial model of evaluation and treatment in psychiatry. </w:t>
      </w:r>
      <w:r w:rsidRPr="001B735F">
        <w:rPr>
          <w:i/>
          <w:iCs/>
          <w:color w:val="121212"/>
        </w:rPr>
        <w:t>Atlas of Psychiatry</w:t>
      </w:r>
      <w:r w:rsidRPr="001B735F">
        <w:rPr>
          <w:color w:val="121212"/>
        </w:rPr>
        <w:t>, ] pp.57–89. doi:10.1007/978-3-031-15401-0_3.</w:t>
      </w:r>
    </w:p>
    <w:p w14:paraId="7532A470" w14:textId="77777777" w:rsidR="00532A99" w:rsidRPr="001B735F" w:rsidRDefault="00532A99" w:rsidP="001B735F">
      <w:pPr>
        <w:spacing w:before="240"/>
        <w:ind w:left="360"/>
        <w:rPr>
          <w:color w:val="121212"/>
        </w:rPr>
      </w:pPr>
      <w:r w:rsidRPr="001B735F">
        <w:rPr>
          <w:color w:val="121212"/>
        </w:rPr>
        <w:t xml:space="preserve">Beheshti, L., </w:t>
      </w:r>
      <w:proofErr w:type="spellStart"/>
      <w:r w:rsidRPr="001B735F">
        <w:rPr>
          <w:color w:val="121212"/>
        </w:rPr>
        <w:t>Kalankesh</w:t>
      </w:r>
      <w:proofErr w:type="spellEnd"/>
      <w:r w:rsidRPr="001B735F">
        <w:rPr>
          <w:color w:val="121212"/>
        </w:rPr>
        <w:t xml:space="preserve">, L.R., </w:t>
      </w:r>
      <w:proofErr w:type="spellStart"/>
      <w:r w:rsidRPr="001B735F">
        <w:rPr>
          <w:color w:val="121212"/>
        </w:rPr>
        <w:t>Doshmangir</w:t>
      </w:r>
      <w:proofErr w:type="spellEnd"/>
      <w:r w:rsidRPr="001B735F">
        <w:rPr>
          <w:color w:val="121212"/>
        </w:rPr>
        <w:t xml:space="preserve">, L. and </w:t>
      </w:r>
      <w:proofErr w:type="spellStart"/>
      <w:r w:rsidRPr="001B735F">
        <w:rPr>
          <w:color w:val="121212"/>
        </w:rPr>
        <w:t>Farahbakhsh</w:t>
      </w:r>
      <w:proofErr w:type="spellEnd"/>
      <w:r w:rsidRPr="001B735F">
        <w:rPr>
          <w:color w:val="121212"/>
        </w:rPr>
        <w:t xml:space="preserve">, M. (2022). Telehealth in primary health care: A scoping review of the literature. </w:t>
      </w:r>
      <w:r w:rsidRPr="001B735F">
        <w:rPr>
          <w:i/>
          <w:iCs/>
          <w:color w:val="121212"/>
        </w:rPr>
        <w:t>Perspectives in Health Information Management</w:t>
      </w:r>
      <w:r w:rsidRPr="001B735F">
        <w:rPr>
          <w:color w:val="121212"/>
        </w:rPr>
        <w:t>,19(1). Available at: https://pmc.ncbi.nlm.nih.gov/articles/PMC9013222/ [Accessed 15 July 2026].</w:t>
      </w:r>
    </w:p>
    <w:p w14:paraId="32DB4AE8" w14:textId="77777777" w:rsidR="00532A99" w:rsidRPr="001B735F" w:rsidRDefault="00532A99" w:rsidP="001B735F">
      <w:pPr>
        <w:spacing w:before="240" w:after="240"/>
        <w:ind w:left="360"/>
        <w:rPr>
          <w:color w:val="121212"/>
        </w:rPr>
      </w:pPr>
      <w:proofErr w:type="spellStart"/>
      <w:r w:rsidRPr="001B735F">
        <w:rPr>
          <w:color w:val="121212"/>
        </w:rPr>
        <w:t>Bosward</w:t>
      </w:r>
      <w:proofErr w:type="spellEnd"/>
      <w:r w:rsidRPr="001B735F">
        <w:rPr>
          <w:color w:val="121212"/>
        </w:rPr>
        <w:t xml:space="preserve">, M.R., Braunack-Mayer, A., Frost, M.E. and Carter, S. (2025). The emergence and future of Precision Public Health: A scoping review. </w:t>
      </w:r>
      <w:r w:rsidRPr="001B735F">
        <w:rPr>
          <w:i/>
          <w:iCs/>
          <w:color w:val="121212"/>
        </w:rPr>
        <w:t>Health Policy and Technology</w:t>
      </w:r>
      <w:r w:rsidRPr="001B735F">
        <w:rPr>
          <w:color w:val="121212"/>
        </w:rPr>
        <w:t>,  14(5), p.101056. doi:10.1016/j.hlpt.2025.101056.</w:t>
      </w:r>
    </w:p>
    <w:p w14:paraId="21D5879E" w14:textId="77777777" w:rsidR="00532A99" w:rsidRPr="001B735F" w:rsidRDefault="00532A99" w:rsidP="001B735F">
      <w:pPr>
        <w:spacing w:before="240" w:after="240"/>
        <w:ind w:left="360"/>
        <w:rPr>
          <w:color w:val="121212"/>
        </w:rPr>
      </w:pPr>
      <w:r w:rsidRPr="001B735F">
        <w:rPr>
          <w:color w:val="121212"/>
        </w:rPr>
        <w:t xml:space="preserve">CASP (2024). </w:t>
      </w:r>
      <w:r w:rsidRPr="001B735F">
        <w:rPr>
          <w:i/>
          <w:iCs/>
          <w:color w:val="121212"/>
        </w:rPr>
        <w:t>Critical appraisal checklists</w:t>
      </w:r>
      <w:r w:rsidRPr="001B735F">
        <w:rPr>
          <w:color w:val="121212"/>
        </w:rPr>
        <w:t xml:space="preserve">.  </w:t>
      </w:r>
      <w:r w:rsidRPr="001B735F">
        <w:rPr>
          <w:i/>
          <w:iCs/>
          <w:color w:val="121212"/>
        </w:rPr>
        <w:t>Critical Appraisal Skills Programme</w:t>
      </w:r>
      <w:r w:rsidRPr="001B735F">
        <w:rPr>
          <w:color w:val="121212"/>
        </w:rPr>
        <w:t>. Available at: https://casp-uk.net/casp-tools-checklists/ [Accessed 5 Aug. 2026].</w:t>
      </w:r>
    </w:p>
    <w:p w14:paraId="17C06A01" w14:textId="77777777" w:rsidR="00532A99" w:rsidRPr="001B735F" w:rsidRDefault="00532A99" w:rsidP="001B735F">
      <w:pPr>
        <w:spacing w:before="240" w:after="0"/>
        <w:ind w:left="360"/>
        <w:rPr>
          <w:color w:val="121212"/>
        </w:rPr>
      </w:pPr>
      <w:r w:rsidRPr="001B735F">
        <w:rPr>
          <w:color w:val="121212"/>
        </w:rPr>
        <w:t xml:space="preserve">Chen, W., Gong, J., Liu, M. and Cai, Y.C. (2025). Long-term health outcomes and quality of life in women with untreated pelvic floor dysfunction: A single-center cohort study. </w:t>
      </w:r>
      <w:r w:rsidRPr="001B735F">
        <w:rPr>
          <w:i/>
          <w:iCs/>
          <w:color w:val="121212"/>
        </w:rPr>
        <w:t>Frontiers in public health</w:t>
      </w:r>
      <w:r w:rsidRPr="001B735F">
        <w:rPr>
          <w:color w:val="121212"/>
        </w:rPr>
        <w:t>, [online] 12, p.1495679. doi:10.3389/fpubh.2024.1495679.</w:t>
      </w:r>
    </w:p>
    <w:p w14:paraId="4BAF6548" w14:textId="77777777" w:rsidR="00532A99" w:rsidRPr="001B735F" w:rsidRDefault="00532A99" w:rsidP="001B735F">
      <w:pPr>
        <w:spacing w:before="240"/>
        <w:ind w:left="360"/>
        <w:rPr>
          <w:color w:val="121212"/>
        </w:rPr>
      </w:pPr>
      <w:r w:rsidRPr="001B735F">
        <w:rPr>
          <w:color w:val="121212"/>
        </w:rPr>
        <w:t xml:space="preserve">Chen, W., Gong, J., Liu, M. and Cai, Y.C. (2025). Long-term health outcomes and quality of life in women with untreated pelvic floor dysfunction: A single-center cohort study. </w:t>
      </w:r>
      <w:r w:rsidRPr="001B735F">
        <w:rPr>
          <w:i/>
          <w:iCs/>
          <w:color w:val="121212"/>
        </w:rPr>
        <w:t>Frontiers in public health</w:t>
      </w:r>
      <w:r w:rsidRPr="001B735F">
        <w:rPr>
          <w:color w:val="121212"/>
        </w:rPr>
        <w:t>, 12, p.1495679. doi:10.3389/fpubh.2024.1495679.</w:t>
      </w:r>
    </w:p>
    <w:p w14:paraId="22CD487C" w14:textId="77777777" w:rsidR="00532A99" w:rsidRPr="001B735F" w:rsidRDefault="00532A99" w:rsidP="001B735F">
      <w:pPr>
        <w:spacing w:before="240"/>
        <w:ind w:left="360"/>
        <w:rPr>
          <w:color w:val="121212"/>
        </w:rPr>
      </w:pPr>
      <w:r w:rsidRPr="001B735F">
        <w:rPr>
          <w:color w:val="121212"/>
        </w:rPr>
        <w:t xml:space="preserve">Cheng, S., Lin, D., Hu, T., Cao, L., Liao, H., Mou, X., Zhang, Q., Liu, J. and Wu, T. (2020). Association of urinary incontinence and depression or anxiety: A meta-analysis. </w:t>
      </w:r>
      <w:r w:rsidRPr="001B735F">
        <w:rPr>
          <w:i/>
          <w:iCs/>
          <w:color w:val="121212"/>
        </w:rPr>
        <w:t>Journal of International Medical Research</w:t>
      </w:r>
      <w:r w:rsidRPr="001B735F">
        <w:rPr>
          <w:color w:val="121212"/>
        </w:rPr>
        <w:t>, 48(6), p.030006052093134. doi:10.1177/0300060520931348.</w:t>
      </w:r>
    </w:p>
    <w:p w14:paraId="386281E8" w14:textId="77777777" w:rsidR="00532A99" w:rsidRPr="001B735F" w:rsidRDefault="00532A99" w:rsidP="001B735F">
      <w:pPr>
        <w:spacing w:before="240" w:after="240"/>
        <w:ind w:left="360"/>
        <w:rPr>
          <w:color w:val="121212"/>
        </w:rPr>
      </w:pPr>
      <w:r w:rsidRPr="001B735F">
        <w:rPr>
          <w:color w:val="121212"/>
        </w:rPr>
        <w:t xml:space="preserve">Cooper, C., Booth, A., Varley-Campbell, J., Britten, N. and Garside, R. (2018). Defining the process to literature searching in systematic reviews: A literature review of guidance and supporting studies. </w:t>
      </w:r>
      <w:r w:rsidRPr="001B735F">
        <w:rPr>
          <w:i/>
          <w:iCs/>
          <w:color w:val="121212"/>
        </w:rPr>
        <w:t>BMC Medical Research Methodology</w:t>
      </w:r>
      <w:r w:rsidRPr="001B735F">
        <w:rPr>
          <w:color w:val="121212"/>
        </w:rPr>
        <w:t>, [online] 18(1). Available at: https://bmcmedresmethodol.biomedcentral.com/articles/10.1186/s12874-018-0545-3 [Accessed 5 Aug. 2026].</w:t>
      </w:r>
    </w:p>
    <w:p w14:paraId="361E7859" w14:textId="77777777" w:rsidR="00532A99" w:rsidRPr="001B735F" w:rsidRDefault="00532A99" w:rsidP="001B735F">
      <w:pPr>
        <w:spacing w:before="240"/>
        <w:ind w:left="360"/>
        <w:rPr>
          <w:color w:val="121212"/>
        </w:rPr>
      </w:pPr>
      <w:r w:rsidRPr="001B735F">
        <w:rPr>
          <w:color w:val="121212"/>
        </w:rPr>
        <w:lastRenderedPageBreak/>
        <w:t xml:space="preserve">Cormack, B., Stilwell, P., </w:t>
      </w:r>
      <w:proofErr w:type="spellStart"/>
      <w:r w:rsidRPr="001B735F">
        <w:rPr>
          <w:color w:val="121212"/>
        </w:rPr>
        <w:t>Coninx</w:t>
      </w:r>
      <w:proofErr w:type="spellEnd"/>
      <w:r w:rsidRPr="001B735F">
        <w:rPr>
          <w:color w:val="121212"/>
        </w:rPr>
        <w:t xml:space="preserve">, S. and Gibson, J. (2022). The Biopsychosocial Model Is Lost in translation: From Misrepresentation to an </w:t>
      </w:r>
      <w:proofErr w:type="spellStart"/>
      <w:r w:rsidRPr="001B735F">
        <w:rPr>
          <w:color w:val="121212"/>
        </w:rPr>
        <w:t>Enactive</w:t>
      </w:r>
      <w:proofErr w:type="spellEnd"/>
      <w:r w:rsidRPr="001B735F">
        <w:rPr>
          <w:color w:val="121212"/>
        </w:rPr>
        <w:t xml:space="preserve"> Modernization. </w:t>
      </w:r>
      <w:r w:rsidRPr="001B735F">
        <w:rPr>
          <w:i/>
          <w:iCs/>
          <w:color w:val="121212"/>
        </w:rPr>
        <w:t>Physiotherapy Theory and Practice</w:t>
      </w:r>
      <w:r w:rsidRPr="001B735F">
        <w:rPr>
          <w:color w:val="121212"/>
        </w:rPr>
        <w:t>, 39(11), pp.1–16. doi:10.1080/09593985.2022.2080130.</w:t>
      </w:r>
    </w:p>
    <w:p w14:paraId="49FBCAB8" w14:textId="77777777" w:rsidR="00532A99" w:rsidRPr="001B735F" w:rsidRDefault="00532A99" w:rsidP="001B735F">
      <w:pPr>
        <w:spacing w:before="240" w:after="240"/>
        <w:ind w:left="360"/>
        <w:rPr>
          <w:color w:val="121212"/>
        </w:rPr>
      </w:pPr>
      <w:r w:rsidRPr="001B735F">
        <w:rPr>
          <w:color w:val="121212"/>
        </w:rPr>
        <w:t xml:space="preserve">Dalla Serra, A., Graham Longsworth, S.E. and </w:t>
      </w:r>
      <w:proofErr w:type="spellStart"/>
      <w:r w:rsidRPr="001B735F">
        <w:rPr>
          <w:color w:val="121212"/>
        </w:rPr>
        <w:t>Druart</w:t>
      </w:r>
      <w:proofErr w:type="spellEnd"/>
      <w:r w:rsidRPr="001B735F">
        <w:rPr>
          <w:color w:val="121212"/>
        </w:rPr>
        <w:t xml:space="preserve">, L. (2026). Good knowledge, poor behaviour? Pelvic floor understanding and continence practices related to continence in nulliparous women in France. </w:t>
      </w:r>
      <w:r w:rsidRPr="001B735F">
        <w:rPr>
          <w:i/>
          <w:iCs/>
          <w:color w:val="121212"/>
        </w:rPr>
        <w:t>The French Journal of Urology</w:t>
      </w:r>
      <w:r w:rsidRPr="001B735F">
        <w:rPr>
          <w:color w:val="121212"/>
        </w:rPr>
        <w:t>,  36(1), p.103064. doi:10.1016/j.fjurol.2025.103064.</w:t>
      </w:r>
    </w:p>
    <w:p w14:paraId="5B9CCD42" w14:textId="77777777" w:rsidR="00532A99" w:rsidRPr="001B735F" w:rsidRDefault="00532A99" w:rsidP="001B735F">
      <w:pPr>
        <w:spacing w:after="240"/>
        <w:ind w:left="360"/>
        <w:rPr>
          <w:color w:val="121212"/>
          <w:lang w:val="en-IN"/>
        </w:rPr>
      </w:pPr>
      <w:proofErr w:type="spellStart"/>
      <w:r w:rsidRPr="001B735F">
        <w:rPr>
          <w:color w:val="121212"/>
          <w:lang w:val="en-IN"/>
        </w:rPr>
        <w:t>Dasikan</w:t>
      </w:r>
      <w:proofErr w:type="spellEnd"/>
      <w:r w:rsidRPr="001B735F">
        <w:rPr>
          <w:color w:val="121212"/>
          <w:lang w:val="en-IN"/>
        </w:rPr>
        <w:t xml:space="preserve">, Z., Ozturk, R. and Ozturk, A. (2020). Pelvic floor dysfunction symptoms and risk factors at the first year of postpartum women: A cross-sectional study. </w:t>
      </w:r>
      <w:r w:rsidRPr="001B735F">
        <w:rPr>
          <w:i/>
          <w:iCs/>
          <w:color w:val="121212"/>
          <w:lang w:val="en-IN"/>
        </w:rPr>
        <w:t>Contemporary Nurse</w:t>
      </w:r>
      <w:r w:rsidRPr="001B735F">
        <w:rPr>
          <w:color w:val="121212"/>
          <w:lang w:val="en-IN"/>
        </w:rPr>
        <w:t>, 56(2), pp.132–145. doi:10.1080/10376178.2020.1749099.</w:t>
      </w:r>
    </w:p>
    <w:p w14:paraId="297B43B4" w14:textId="77777777" w:rsidR="00532A99" w:rsidRPr="001B735F" w:rsidRDefault="00532A99" w:rsidP="001B735F">
      <w:pPr>
        <w:spacing w:before="240"/>
        <w:ind w:left="360"/>
        <w:rPr>
          <w:color w:val="121212"/>
        </w:rPr>
      </w:pPr>
      <w:r w:rsidRPr="001B735F">
        <w:rPr>
          <w:color w:val="121212"/>
        </w:rPr>
        <w:t xml:space="preserve">Devi, Jawahir, S., Manual, A., Abdul, E., </w:t>
      </w:r>
      <w:proofErr w:type="spellStart"/>
      <w:r w:rsidRPr="001B735F">
        <w:rPr>
          <w:color w:val="121212"/>
        </w:rPr>
        <w:t>Nurain</w:t>
      </w:r>
      <w:proofErr w:type="spellEnd"/>
      <w:r w:rsidRPr="001B735F">
        <w:rPr>
          <w:color w:val="121212"/>
        </w:rPr>
        <w:t xml:space="preserve">, S., Rahim, I.A., Hamid, J.A. and Nordin, A.A. (2025). Gender differences in health-seeking behaviour: Insights from the National Health and Morbidity Survey 2019. </w:t>
      </w:r>
      <w:r w:rsidRPr="001B735F">
        <w:rPr>
          <w:i/>
          <w:iCs/>
          <w:color w:val="121212"/>
        </w:rPr>
        <w:t>BMC Health Services Research</w:t>
      </w:r>
      <w:r w:rsidRPr="001B735F">
        <w:rPr>
          <w:color w:val="121212"/>
        </w:rPr>
        <w:t>,  25(1). doi:10.1186/s12913-025-13020-0.</w:t>
      </w:r>
    </w:p>
    <w:p w14:paraId="78E12B5A" w14:textId="77777777" w:rsidR="00532A99" w:rsidRPr="001B735F" w:rsidRDefault="00532A99" w:rsidP="001B735F">
      <w:pPr>
        <w:spacing w:before="240" w:after="240"/>
        <w:ind w:left="360"/>
        <w:rPr>
          <w:color w:val="121212"/>
        </w:rPr>
      </w:pPr>
      <w:r w:rsidRPr="001B735F">
        <w:rPr>
          <w:color w:val="121212"/>
        </w:rPr>
        <w:t xml:space="preserve">Digesu, A., Swift, S. and Bhide, A. (2026). Urogynaecology and Pelvic Reconstructive Surgery. </w:t>
      </w:r>
      <w:r w:rsidRPr="001B735F">
        <w:rPr>
          <w:i/>
          <w:iCs/>
          <w:color w:val="121212"/>
        </w:rPr>
        <w:t>Urogynaecology and Pelvic Reconstructive Surgery: A Roadmap for Training in Urogynaecology</w:t>
      </w:r>
      <w:r w:rsidRPr="001B735F">
        <w:rPr>
          <w:color w:val="121212"/>
        </w:rPr>
        <w:t>,  pp.244–260. doi:</w:t>
      </w:r>
      <w:hyperlink r:id="rId25">
        <w:r w:rsidRPr="001B735F">
          <w:rPr>
            <w:color w:val="121212"/>
            <w:u w:val="single"/>
          </w:rPr>
          <w:t>https://doi.org/10.1142/14794</w:t>
        </w:r>
      </w:hyperlink>
      <w:r w:rsidRPr="001B735F">
        <w:rPr>
          <w:color w:val="121212"/>
        </w:rPr>
        <w:t xml:space="preserve">. </w:t>
      </w:r>
    </w:p>
    <w:p w14:paraId="7149092A" w14:textId="77777777" w:rsidR="00532A99" w:rsidRPr="001B735F" w:rsidRDefault="00532A99" w:rsidP="001B735F">
      <w:pPr>
        <w:spacing w:before="240"/>
        <w:ind w:left="360"/>
        <w:rPr>
          <w:color w:val="121212"/>
        </w:rPr>
      </w:pPr>
      <w:r w:rsidRPr="001B735F">
        <w:rPr>
          <w:color w:val="121212"/>
        </w:rPr>
        <w:t xml:space="preserve">Doom, J.R. (2020). Mapping Future Directions to Test Biopsychosocial Pathways to Health and well-being. </w:t>
      </w:r>
      <w:r w:rsidRPr="001B735F">
        <w:rPr>
          <w:i/>
          <w:iCs/>
          <w:color w:val="121212"/>
        </w:rPr>
        <w:t>Social Science &amp; Medicine</w:t>
      </w:r>
      <w:r w:rsidRPr="001B735F">
        <w:rPr>
          <w:color w:val="121212"/>
        </w:rPr>
        <w:t>, 258, pp.1–6. doi:10.1016/j.socscimed.2020.113083.</w:t>
      </w:r>
    </w:p>
    <w:p w14:paraId="19F178A3" w14:textId="77777777" w:rsidR="00532A99" w:rsidRPr="001B735F" w:rsidRDefault="00532A99" w:rsidP="001B735F">
      <w:pPr>
        <w:spacing w:before="240" w:after="240"/>
        <w:ind w:left="360"/>
        <w:rPr>
          <w:color w:val="121212"/>
        </w:rPr>
      </w:pPr>
      <w:proofErr w:type="spellStart"/>
      <w:r w:rsidRPr="001B735F">
        <w:rPr>
          <w:color w:val="121212"/>
        </w:rPr>
        <w:t>Eldawlatly</w:t>
      </w:r>
      <w:proofErr w:type="spellEnd"/>
      <w:r w:rsidRPr="001B735F">
        <w:rPr>
          <w:color w:val="121212"/>
        </w:rPr>
        <w:t xml:space="preserve">, A., Alshehri, H., Alqahtani, A., Ahmad, A., Al-Dammas, F. and Marzouk, A. (2018). Appearance of population, intervention, comparison, and outcome as research question in the title of articles of three different </w:t>
      </w:r>
      <w:proofErr w:type="spellStart"/>
      <w:r w:rsidRPr="001B735F">
        <w:rPr>
          <w:color w:val="121212"/>
        </w:rPr>
        <w:t>anesthesia</w:t>
      </w:r>
      <w:proofErr w:type="spellEnd"/>
      <w:r w:rsidRPr="001B735F">
        <w:rPr>
          <w:color w:val="121212"/>
        </w:rPr>
        <w:t xml:space="preserve"> journals: A pilot study. </w:t>
      </w:r>
      <w:r w:rsidRPr="001B735F">
        <w:rPr>
          <w:i/>
          <w:iCs/>
          <w:color w:val="121212"/>
        </w:rPr>
        <w:t>Saudi Journal of Anaesthesia</w:t>
      </w:r>
      <w:r w:rsidRPr="001B735F">
        <w:rPr>
          <w:color w:val="121212"/>
        </w:rPr>
        <w:t>,  12(2), pp.283–286. doi:10.4103/sja.sja_767_17.</w:t>
      </w:r>
    </w:p>
    <w:p w14:paraId="5FADB9BD" w14:textId="77777777" w:rsidR="00532A99" w:rsidRPr="001B735F" w:rsidRDefault="00532A99" w:rsidP="001B735F">
      <w:pPr>
        <w:spacing w:before="240" w:after="240"/>
        <w:ind w:left="360"/>
        <w:rPr>
          <w:color w:val="121212"/>
        </w:rPr>
      </w:pPr>
      <w:r w:rsidRPr="001B735F">
        <w:rPr>
          <w:color w:val="121212"/>
        </w:rPr>
        <w:t xml:space="preserve">Eloranta, S., Rantanen, V., Kauppila, M., </w:t>
      </w:r>
      <w:proofErr w:type="spellStart"/>
      <w:r w:rsidRPr="001B735F">
        <w:rPr>
          <w:color w:val="121212"/>
        </w:rPr>
        <w:t>Hautaniemi</w:t>
      </w:r>
      <w:proofErr w:type="spellEnd"/>
      <w:r w:rsidRPr="001B735F">
        <w:rPr>
          <w:color w:val="121212"/>
        </w:rPr>
        <w:t xml:space="preserve">, S., </w:t>
      </w:r>
      <w:proofErr w:type="spellStart"/>
      <w:r w:rsidRPr="001B735F">
        <w:rPr>
          <w:color w:val="121212"/>
        </w:rPr>
        <w:t>Vahlberg</w:t>
      </w:r>
      <w:proofErr w:type="spellEnd"/>
      <w:r w:rsidRPr="001B735F">
        <w:rPr>
          <w:color w:val="121212"/>
        </w:rPr>
        <w:t xml:space="preserve">, T., Laasik, M., Joronen, K., </w:t>
      </w:r>
      <w:proofErr w:type="spellStart"/>
      <w:r w:rsidRPr="001B735F">
        <w:rPr>
          <w:color w:val="121212"/>
        </w:rPr>
        <w:t>Sintonen</w:t>
      </w:r>
      <w:proofErr w:type="spellEnd"/>
      <w:r w:rsidRPr="001B735F">
        <w:rPr>
          <w:color w:val="121212"/>
        </w:rPr>
        <w:t xml:space="preserve">, H. and Ala-Nissilä, S. (2019). Pelvic floor disorders and health-related quality of life in older women: Results from the women’s gynaecological health study in Lieto, Finland. </w:t>
      </w:r>
      <w:r w:rsidRPr="001B735F">
        <w:rPr>
          <w:i/>
          <w:iCs/>
          <w:color w:val="121212"/>
        </w:rPr>
        <w:t>Archives of gerontology and geriatrics</w:t>
      </w:r>
      <w:r w:rsidRPr="001B735F">
        <w:rPr>
          <w:color w:val="121212"/>
        </w:rPr>
        <w:t>, 82(1), pp.226–231. doi:10.1016/j.archger.2019.03.001.</w:t>
      </w:r>
    </w:p>
    <w:p w14:paraId="26BB6E2A" w14:textId="77777777" w:rsidR="00532A99" w:rsidRPr="001B735F" w:rsidRDefault="00532A99" w:rsidP="001B735F">
      <w:pPr>
        <w:spacing w:before="240" w:after="240"/>
        <w:ind w:left="360"/>
        <w:rPr>
          <w:color w:val="121212"/>
        </w:rPr>
      </w:pPr>
      <w:proofErr w:type="spellStart"/>
      <w:r w:rsidRPr="001B735F">
        <w:rPr>
          <w:color w:val="121212"/>
        </w:rPr>
        <w:lastRenderedPageBreak/>
        <w:t>Firthous</w:t>
      </w:r>
      <w:proofErr w:type="spellEnd"/>
      <w:r w:rsidRPr="001B735F">
        <w:rPr>
          <w:color w:val="121212"/>
        </w:rPr>
        <w:t xml:space="preserve">, J., K, Senthil., </w:t>
      </w:r>
      <w:proofErr w:type="spellStart"/>
      <w:r w:rsidRPr="001B735F">
        <w:rPr>
          <w:color w:val="121212"/>
        </w:rPr>
        <w:t>Elayaperumal</w:t>
      </w:r>
      <w:proofErr w:type="spellEnd"/>
      <w:r w:rsidRPr="001B735F">
        <w:rPr>
          <w:color w:val="121212"/>
        </w:rPr>
        <w:t xml:space="preserve">, S., S, Subashini. and </w:t>
      </w:r>
      <w:proofErr w:type="spellStart"/>
      <w:r w:rsidRPr="001B735F">
        <w:rPr>
          <w:color w:val="121212"/>
        </w:rPr>
        <w:t>Thilagam.S</w:t>
      </w:r>
      <w:proofErr w:type="spellEnd"/>
      <w:r w:rsidRPr="001B735F">
        <w:rPr>
          <w:color w:val="121212"/>
        </w:rPr>
        <w:t xml:space="preserve">, R. (2025). Prevalence of pelvic floor </w:t>
      </w:r>
      <w:proofErr w:type="spellStart"/>
      <w:r w:rsidRPr="001B735F">
        <w:rPr>
          <w:color w:val="121212"/>
        </w:rPr>
        <w:t>dysfuction</w:t>
      </w:r>
      <w:proofErr w:type="spellEnd"/>
      <w:r w:rsidRPr="001B735F">
        <w:rPr>
          <w:color w:val="121212"/>
        </w:rPr>
        <w:t xml:space="preserve"> and its impact on quality of life among postpartum women. </w:t>
      </w:r>
      <w:r w:rsidRPr="001B735F">
        <w:rPr>
          <w:i/>
          <w:iCs/>
          <w:color w:val="121212"/>
        </w:rPr>
        <w:t>Journal of Neonatal Surgery</w:t>
      </w:r>
      <w:r w:rsidRPr="001B735F">
        <w:rPr>
          <w:color w:val="121212"/>
        </w:rPr>
        <w:t>,  14(5), pp.1–9. doi:10.52783/jns.v14.2817.</w:t>
      </w:r>
    </w:p>
    <w:p w14:paraId="7F7E0750" w14:textId="77777777" w:rsidR="00532A99" w:rsidRPr="001B735F" w:rsidRDefault="00532A99" w:rsidP="001B735F">
      <w:pPr>
        <w:spacing w:after="240"/>
        <w:ind w:left="360"/>
        <w:rPr>
          <w:color w:val="121212"/>
          <w:lang w:val="en-IN"/>
        </w:rPr>
      </w:pPr>
      <w:r w:rsidRPr="001B735F">
        <w:rPr>
          <w:color w:val="121212"/>
          <w:lang w:val="en-IN"/>
        </w:rPr>
        <w:t xml:space="preserve">Fisher-Yosef, T., Lidsky Sachs, D., Edel, S.S., </w:t>
      </w:r>
      <w:proofErr w:type="spellStart"/>
      <w:r w:rsidRPr="001B735F">
        <w:rPr>
          <w:color w:val="121212"/>
          <w:lang w:val="en-IN"/>
        </w:rPr>
        <w:t>Nammouz</w:t>
      </w:r>
      <w:proofErr w:type="spellEnd"/>
      <w:r w:rsidRPr="001B735F">
        <w:rPr>
          <w:color w:val="121212"/>
          <w:lang w:val="en-IN"/>
        </w:rPr>
        <w:t xml:space="preserve">, H., Zoabi, A.E. and Adler, L. (2024). Pelvic floor dysfunction among reproductive-age women in Israel: Prevalence and attitudes—A cross-sectional study. </w:t>
      </w:r>
      <w:r w:rsidRPr="001B735F">
        <w:rPr>
          <w:i/>
          <w:iCs/>
          <w:color w:val="121212"/>
          <w:lang w:val="en-IN"/>
        </w:rPr>
        <w:t>Healthcare</w:t>
      </w:r>
      <w:r w:rsidRPr="001B735F">
        <w:rPr>
          <w:color w:val="121212"/>
          <w:lang w:val="en-IN"/>
        </w:rPr>
        <w:t>, [online] 12(3), p.390. doi:10.3390/healthcare12030390.</w:t>
      </w:r>
    </w:p>
    <w:p w14:paraId="20EB81E6" w14:textId="77777777" w:rsidR="00532A99" w:rsidRPr="001B735F" w:rsidRDefault="00532A99" w:rsidP="001B735F">
      <w:pPr>
        <w:spacing w:after="240"/>
        <w:ind w:left="360"/>
        <w:rPr>
          <w:color w:val="121212"/>
          <w:lang w:val="en-IN"/>
        </w:rPr>
      </w:pPr>
      <w:r w:rsidRPr="001B735F">
        <w:rPr>
          <w:color w:val="121212"/>
          <w:lang w:val="en-IN"/>
        </w:rPr>
        <w:t xml:space="preserve">Franz, J., Kieselbach, K., Lahmann, C., </w:t>
      </w:r>
      <w:proofErr w:type="spellStart"/>
      <w:r w:rsidRPr="001B735F">
        <w:rPr>
          <w:color w:val="121212"/>
          <w:lang w:val="en-IN"/>
        </w:rPr>
        <w:t>Gratzke</w:t>
      </w:r>
      <w:proofErr w:type="spellEnd"/>
      <w:r w:rsidRPr="001B735F">
        <w:rPr>
          <w:color w:val="121212"/>
          <w:lang w:val="en-IN"/>
        </w:rPr>
        <w:t xml:space="preserve">, C. and Miernik, A. (2023). Chronic primary pelvic pain syndrome in men—Differential diagnostic evaluation and treatment. </w:t>
      </w:r>
      <w:r w:rsidRPr="001B735F">
        <w:rPr>
          <w:i/>
          <w:iCs/>
          <w:color w:val="121212"/>
          <w:lang w:val="en-IN"/>
        </w:rPr>
        <w:t xml:space="preserve">Deutsches </w:t>
      </w:r>
      <w:proofErr w:type="spellStart"/>
      <w:r w:rsidRPr="001B735F">
        <w:rPr>
          <w:i/>
          <w:iCs/>
          <w:color w:val="121212"/>
          <w:lang w:val="en-IN"/>
        </w:rPr>
        <w:t>Arzteblatt</w:t>
      </w:r>
      <w:proofErr w:type="spellEnd"/>
      <w:r w:rsidRPr="001B735F">
        <w:rPr>
          <w:i/>
          <w:iCs/>
          <w:color w:val="121212"/>
          <w:lang w:val="en-IN"/>
        </w:rPr>
        <w:t xml:space="preserve"> International</w:t>
      </w:r>
      <w:r w:rsidRPr="001B735F">
        <w:rPr>
          <w:color w:val="121212"/>
          <w:lang w:val="en-IN"/>
        </w:rPr>
        <w:t>. doi:10.3238/arztebl.m2023.0036.</w:t>
      </w:r>
    </w:p>
    <w:p w14:paraId="05E31585" w14:textId="77777777" w:rsidR="00532A99" w:rsidRPr="001B735F" w:rsidRDefault="00532A99" w:rsidP="001B735F">
      <w:pPr>
        <w:spacing w:before="240" w:after="0"/>
        <w:ind w:left="360"/>
        <w:rPr>
          <w:color w:val="121212"/>
        </w:rPr>
      </w:pPr>
      <w:r w:rsidRPr="001B735F">
        <w:rPr>
          <w:color w:val="121212"/>
        </w:rPr>
        <w:t xml:space="preserve">Frigerio, M., Barba, M., Cola, A., Braga, A., Celardo, A., Munno, G.M., Schettino, M.T., Vagnetti, P., De Simone, F., Di Lucia, A., Grassini, G. and Torella, M. (2022). Quality of life, psychological wellbeing, and sexuality in women with urinary incontinence—Where are we now: A narrative review. </w:t>
      </w:r>
      <w:r w:rsidRPr="001B735F">
        <w:rPr>
          <w:i/>
          <w:iCs/>
          <w:color w:val="121212"/>
        </w:rPr>
        <w:t>Medicina</w:t>
      </w:r>
      <w:r w:rsidRPr="001B735F">
        <w:rPr>
          <w:color w:val="121212"/>
        </w:rPr>
        <w:t>, [online] 58(4), p.525. doi:10.3390/medicina58040525.</w:t>
      </w:r>
    </w:p>
    <w:p w14:paraId="73BD554C" w14:textId="77777777" w:rsidR="00532A99" w:rsidRPr="001B735F" w:rsidRDefault="00532A99" w:rsidP="001B735F">
      <w:pPr>
        <w:spacing w:before="240" w:after="240"/>
        <w:ind w:left="360"/>
        <w:rPr>
          <w:color w:val="121212"/>
        </w:rPr>
      </w:pPr>
      <w:r w:rsidRPr="001B735F">
        <w:rPr>
          <w:color w:val="121212"/>
        </w:rPr>
        <w:t xml:space="preserve">Ge, R., Wang, S., Gu, M., Lao, F., Xu, W., Gu, M. and Zhang, W. (2026). Stigma experiences among Chinese middle-aged women with pelvic floor disorders: A qualitative study. </w:t>
      </w:r>
      <w:r w:rsidRPr="001B735F">
        <w:rPr>
          <w:i/>
          <w:iCs/>
          <w:color w:val="121212"/>
        </w:rPr>
        <w:t>International Journal for Equity in Health</w:t>
      </w:r>
      <w:r w:rsidRPr="001B735F">
        <w:rPr>
          <w:color w:val="121212"/>
        </w:rPr>
        <w:t>. doi:10.1186/s12939-026-02817-y.</w:t>
      </w:r>
    </w:p>
    <w:p w14:paraId="417E377A" w14:textId="77777777" w:rsidR="00532A99" w:rsidRPr="001B735F" w:rsidRDefault="00532A99" w:rsidP="001B735F">
      <w:pPr>
        <w:spacing w:before="240" w:after="240"/>
        <w:ind w:left="360"/>
        <w:rPr>
          <w:color w:val="121212"/>
        </w:rPr>
      </w:pPr>
      <w:r w:rsidRPr="001B735F">
        <w:rPr>
          <w:color w:val="121212"/>
        </w:rPr>
        <w:t xml:space="preserve">Ghanad, A. (2023). </w:t>
      </w:r>
      <w:r w:rsidRPr="001B735F">
        <w:rPr>
          <w:i/>
          <w:iCs/>
          <w:color w:val="121212"/>
        </w:rPr>
        <w:t>An overview of quantitative research methods</w:t>
      </w:r>
      <w:r w:rsidRPr="001B735F">
        <w:rPr>
          <w:color w:val="121212"/>
        </w:rPr>
        <w:t xml:space="preserve">. [online] </w:t>
      </w:r>
      <w:r w:rsidRPr="001B735F">
        <w:rPr>
          <w:i/>
          <w:iCs/>
          <w:color w:val="121212"/>
        </w:rPr>
        <w:t>ResearchGate</w:t>
      </w:r>
      <w:r w:rsidRPr="001B735F">
        <w:rPr>
          <w:color w:val="121212"/>
        </w:rPr>
        <w:t xml:space="preserve">. </w:t>
      </w:r>
      <w:proofErr w:type="spellStart"/>
      <w:r w:rsidRPr="001B735F">
        <w:rPr>
          <w:color w:val="121212"/>
        </w:rPr>
        <w:t>Everant</w:t>
      </w:r>
      <w:proofErr w:type="spellEnd"/>
      <w:r w:rsidRPr="001B735F">
        <w:rPr>
          <w:color w:val="121212"/>
        </w:rPr>
        <w:t xml:space="preserve"> Journals. Available at: https://www.researchgate.net/publication/373370007_An_Overview_of_Quantitative_Research_Methods [Accessed 5 Aug. 2026].</w:t>
      </w:r>
    </w:p>
    <w:p w14:paraId="22230855" w14:textId="77777777" w:rsidR="00532A99" w:rsidRPr="001B735F" w:rsidRDefault="00532A99" w:rsidP="001B735F">
      <w:pPr>
        <w:spacing w:before="240" w:after="0"/>
        <w:ind w:left="360"/>
        <w:rPr>
          <w:color w:val="121212"/>
        </w:rPr>
      </w:pPr>
      <w:proofErr w:type="spellStart"/>
      <w:r w:rsidRPr="001B735F">
        <w:rPr>
          <w:color w:val="121212"/>
        </w:rPr>
        <w:t>Giagio</w:t>
      </w:r>
      <w:proofErr w:type="spellEnd"/>
      <w:r w:rsidRPr="001B735F">
        <w:rPr>
          <w:color w:val="121212"/>
        </w:rPr>
        <w:t>, S., Adami, P.E., Stéphane Bermon, Rial-</w:t>
      </w:r>
      <w:proofErr w:type="spellStart"/>
      <w:r w:rsidRPr="001B735F">
        <w:rPr>
          <w:color w:val="121212"/>
        </w:rPr>
        <w:t>Rebullido</w:t>
      </w:r>
      <w:proofErr w:type="spellEnd"/>
      <w:r w:rsidRPr="001B735F">
        <w:rPr>
          <w:color w:val="121212"/>
        </w:rPr>
        <w:t xml:space="preserve">, T., Paolo Pillastrini, Vecchiato, M. and </w:t>
      </w:r>
      <w:proofErr w:type="spellStart"/>
      <w:r w:rsidRPr="001B735F">
        <w:rPr>
          <w:color w:val="121212"/>
        </w:rPr>
        <w:t>Garrandes</w:t>
      </w:r>
      <w:proofErr w:type="spellEnd"/>
      <w:r w:rsidRPr="001B735F">
        <w:rPr>
          <w:color w:val="121212"/>
        </w:rPr>
        <w:t xml:space="preserve">, F. (2025). Nearly half of 325 athletes reported pelvic floor symptoms: A cross-sectional study at the Lima 2024 world athletics U20 championships. </w:t>
      </w:r>
      <w:r w:rsidRPr="001B735F">
        <w:rPr>
          <w:i/>
          <w:iCs/>
          <w:color w:val="121212"/>
        </w:rPr>
        <w:t>BMJ Open Sport &amp; Exercise Medicine</w:t>
      </w:r>
      <w:r w:rsidRPr="001B735F">
        <w:rPr>
          <w:color w:val="121212"/>
        </w:rPr>
        <w:t>, [online] 11(3), pp.e002564-e002564. doi:10.1136/bmjsem-2025-002564.</w:t>
      </w:r>
    </w:p>
    <w:p w14:paraId="35036385" w14:textId="77777777" w:rsidR="00532A99" w:rsidRPr="001B735F" w:rsidRDefault="00532A99" w:rsidP="001B735F">
      <w:pPr>
        <w:spacing w:before="240" w:after="0"/>
        <w:ind w:left="360"/>
        <w:rPr>
          <w:color w:val="121212"/>
        </w:rPr>
      </w:pPr>
      <w:r w:rsidRPr="001B735F">
        <w:rPr>
          <w:color w:val="121212"/>
          <w:lang w:val="en-IN"/>
        </w:rPr>
        <w:t xml:space="preserve">Gilbert, P., Basran, J.K., Raven, J., Gilbert, H., Petrocchi, N., Cheli, S., Rayner, A., Hayes, A., Lucre, K., Minou, P., Giles, D., Byrne, F., Newton, E. and McEwan, K. (2022). Compassion focused group therapy for people with a diagnosis of bipolar affective disorder: A feasibility study. </w:t>
      </w:r>
      <w:r w:rsidRPr="001B735F">
        <w:rPr>
          <w:i/>
          <w:iCs/>
          <w:color w:val="121212"/>
          <w:lang w:val="en-IN"/>
        </w:rPr>
        <w:t>Frontiers in Psychology</w:t>
      </w:r>
      <w:r w:rsidRPr="001B735F">
        <w:rPr>
          <w:color w:val="121212"/>
          <w:lang w:val="en-IN"/>
        </w:rPr>
        <w:t>, 13. doi:10.3389/fpsyg.2022.841932.</w:t>
      </w:r>
    </w:p>
    <w:p w14:paraId="5E0DB976" w14:textId="77777777" w:rsidR="00532A99" w:rsidRPr="001B735F" w:rsidRDefault="00532A99" w:rsidP="001B735F">
      <w:pPr>
        <w:spacing w:before="240"/>
        <w:ind w:left="360"/>
        <w:rPr>
          <w:color w:val="121212"/>
        </w:rPr>
      </w:pPr>
      <w:r w:rsidRPr="001B735F">
        <w:rPr>
          <w:color w:val="121212"/>
        </w:rPr>
        <w:lastRenderedPageBreak/>
        <w:t xml:space="preserve">Gillett, A., Traywick, L., LaGorio, K. and Dold, A. (2024). Increasing access to pelvic health education for women in underserved communities: A mixed-methods study. </w:t>
      </w:r>
      <w:r w:rsidRPr="001B735F">
        <w:rPr>
          <w:i/>
          <w:iCs/>
          <w:color w:val="121212"/>
        </w:rPr>
        <w:t>Health Promotion International</w:t>
      </w:r>
      <w:r w:rsidRPr="001B735F">
        <w:rPr>
          <w:color w:val="121212"/>
        </w:rPr>
        <w:t>, 39(6). doi:10.1093/</w:t>
      </w:r>
      <w:proofErr w:type="spellStart"/>
      <w:r w:rsidRPr="001B735F">
        <w:rPr>
          <w:color w:val="121212"/>
        </w:rPr>
        <w:t>heapro</w:t>
      </w:r>
      <w:proofErr w:type="spellEnd"/>
      <w:r w:rsidRPr="001B735F">
        <w:rPr>
          <w:color w:val="121212"/>
        </w:rPr>
        <w:t>/daae180.</w:t>
      </w:r>
    </w:p>
    <w:p w14:paraId="4F90BD08" w14:textId="77777777" w:rsidR="00532A99" w:rsidRPr="001B735F" w:rsidRDefault="00532A99" w:rsidP="001B735F">
      <w:pPr>
        <w:spacing w:before="240" w:after="240"/>
        <w:ind w:left="360"/>
        <w:rPr>
          <w:color w:val="121212"/>
        </w:rPr>
      </w:pPr>
      <w:r w:rsidRPr="001B735F">
        <w:rPr>
          <w:color w:val="121212"/>
        </w:rPr>
        <w:t>González-</w:t>
      </w:r>
      <w:proofErr w:type="spellStart"/>
      <w:r w:rsidRPr="001B735F">
        <w:rPr>
          <w:color w:val="121212"/>
        </w:rPr>
        <w:t>Timoneda</w:t>
      </w:r>
      <w:proofErr w:type="spellEnd"/>
      <w:r w:rsidRPr="001B735F">
        <w:rPr>
          <w:color w:val="121212"/>
        </w:rPr>
        <w:t xml:space="preserve">, A., Nerea Valles-Murcia, Esteban, P.M., Torres, S., Martínez, E.T., Garcia, P.E., Raya, L.S. and Alfonso, F.N. (2025). Prevalence and impact of pelvic floor dysfunctions on quality of life in women 5-10 years after their first vaginal or </w:t>
      </w:r>
      <w:proofErr w:type="spellStart"/>
      <w:r w:rsidRPr="001B735F">
        <w:rPr>
          <w:color w:val="121212"/>
        </w:rPr>
        <w:t>caesarian</w:t>
      </w:r>
      <w:proofErr w:type="spellEnd"/>
      <w:r w:rsidRPr="001B735F">
        <w:rPr>
          <w:color w:val="121212"/>
        </w:rPr>
        <w:t xml:space="preserve"> delivery. </w:t>
      </w:r>
      <w:r w:rsidRPr="001B735F">
        <w:rPr>
          <w:i/>
          <w:iCs/>
          <w:color w:val="121212"/>
        </w:rPr>
        <w:t>Heliyon</w:t>
      </w:r>
      <w:r w:rsidRPr="001B735F">
        <w:rPr>
          <w:color w:val="121212"/>
        </w:rPr>
        <w:t>, [online] 11(3), pp.e42018-e42018. doi:10.1016/j.heliyon.2025.e42018.</w:t>
      </w:r>
    </w:p>
    <w:p w14:paraId="7EB0BB96" w14:textId="77777777" w:rsidR="00532A99" w:rsidRPr="001B735F" w:rsidRDefault="00532A99" w:rsidP="001B735F">
      <w:pPr>
        <w:spacing w:before="240"/>
        <w:ind w:left="360"/>
        <w:rPr>
          <w:color w:val="121212"/>
        </w:rPr>
      </w:pPr>
      <w:r w:rsidRPr="001B735F">
        <w:rPr>
          <w:color w:val="121212"/>
        </w:rPr>
        <w:t xml:space="preserve">Grimes, W.R. and Stratton, M. (2023). </w:t>
      </w:r>
      <w:r w:rsidRPr="001B735F">
        <w:rPr>
          <w:i/>
          <w:iCs/>
          <w:color w:val="121212"/>
        </w:rPr>
        <w:t>Pelvic floor dysfunction</w:t>
      </w:r>
      <w:r w:rsidRPr="001B735F">
        <w:rPr>
          <w:color w:val="121212"/>
        </w:rPr>
        <w:t>. [online] PubMed. Available at: https://www.ncbi.nlm.nih.gov/books/NBK559246/ [Accessed 15 July 2026].</w:t>
      </w:r>
    </w:p>
    <w:p w14:paraId="5D1967F8" w14:textId="77777777" w:rsidR="00532A99" w:rsidRPr="001B735F" w:rsidRDefault="00532A99" w:rsidP="001B735F">
      <w:pPr>
        <w:spacing w:before="240"/>
        <w:ind w:left="360"/>
        <w:rPr>
          <w:color w:val="121212"/>
        </w:rPr>
      </w:pPr>
      <w:r w:rsidRPr="001B735F">
        <w:rPr>
          <w:color w:val="121212"/>
        </w:rPr>
        <w:t xml:space="preserve">Hagger, M.S. and Orbell, S. (2021). The common sense model of illness self-regulation: A conceptual review and proposed extended model. </w:t>
      </w:r>
      <w:r w:rsidRPr="001B735F">
        <w:rPr>
          <w:i/>
          <w:iCs/>
          <w:color w:val="121212"/>
        </w:rPr>
        <w:t>Health Psychology Review</w:t>
      </w:r>
      <w:r w:rsidRPr="001B735F">
        <w:rPr>
          <w:color w:val="121212"/>
        </w:rPr>
        <w:t>, 16(3), pp.1–31. doi:10.1080/17437199.2021.1878050.</w:t>
      </w:r>
    </w:p>
    <w:p w14:paraId="32B68650" w14:textId="77777777" w:rsidR="00532A99" w:rsidRPr="001B735F" w:rsidRDefault="00532A99" w:rsidP="001B735F">
      <w:pPr>
        <w:spacing w:after="240"/>
        <w:ind w:left="360"/>
        <w:rPr>
          <w:color w:val="121212"/>
          <w:lang w:val="en-IN"/>
        </w:rPr>
      </w:pPr>
      <w:r w:rsidRPr="001B735F">
        <w:rPr>
          <w:color w:val="121212"/>
          <w:lang w:val="en-IN"/>
        </w:rPr>
        <w:t xml:space="preserve">Health Research Authority (2020). </w:t>
      </w:r>
      <w:r w:rsidRPr="001B735F">
        <w:rPr>
          <w:i/>
          <w:iCs/>
          <w:color w:val="121212"/>
          <w:lang w:val="en-IN"/>
        </w:rPr>
        <w:t>Exploring pelvic organ symptoms in people with neurological conditions</w:t>
      </w:r>
      <w:r w:rsidRPr="001B735F">
        <w:rPr>
          <w:color w:val="121212"/>
          <w:lang w:val="en-IN"/>
        </w:rPr>
        <w:t>. [online] Health Research Authority. Available at: https://www.hra.nhs.uk/planning-and-improving-research/application-summaries/research-summaries/exploring-pelvic-organ-symptoms-in-people-with-neurological-conditions/ [Accessed 24 Sept. 2026].</w:t>
      </w:r>
    </w:p>
    <w:p w14:paraId="1F4B7026" w14:textId="77777777" w:rsidR="00532A99" w:rsidRPr="001B735F" w:rsidRDefault="00532A99" w:rsidP="001B735F">
      <w:pPr>
        <w:spacing w:before="240"/>
        <w:ind w:left="360"/>
        <w:rPr>
          <w:color w:val="121212"/>
        </w:rPr>
      </w:pPr>
      <w:r w:rsidRPr="001B735F">
        <w:rPr>
          <w:color w:val="121212"/>
        </w:rPr>
        <w:t xml:space="preserve">Hish, A.J., Nagy, G.A., Fang, C.M., Kelley, L., </w:t>
      </w:r>
      <w:proofErr w:type="spellStart"/>
      <w:r w:rsidRPr="001B735F">
        <w:rPr>
          <w:color w:val="121212"/>
        </w:rPr>
        <w:t>Nicchitta</w:t>
      </w:r>
      <w:proofErr w:type="spellEnd"/>
      <w:r w:rsidRPr="001B735F">
        <w:rPr>
          <w:color w:val="121212"/>
        </w:rPr>
        <w:t xml:space="preserve">, C.V., </w:t>
      </w:r>
      <w:proofErr w:type="spellStart"/>
      <w:r w:rsidRPr="001B735F">
        <w:rPr>
          <w:color w:val="121212"/>
        </w:rPr>
        <w:t>Dzirasa</w:t>
      </w:r>
      <w:proofErr w:type="spellEnd"/>
      <w:r w:rsidRPr="001B735F">
        <w:rPr>
          <w:color w:val="121212"/>
        </w:rPr>
        <w:t xml:space="preserve">, K. and Rosenthal, M.Z. (2019). Applying the Stress Process Model to Stress–Burnout and Stress–Depression Relationships in Biomedical Doctoral Students: A Cross-Sectional Pilot Study. </w:t>
      </w:r>
      <w:r w:rsidRPr="001B735F">
        <w:rPr>
          <w:i/>
          <w:iCs/>
          <w:color w:val="121212"/>
        </w:rPr>
        <w:t>CBE—Life Sciences Education</w:t>
      </w:r>
      <w:r w:rsidRPr="001B735F">
        <w:rPr>
          <w:color w:val="121212"/>
        </w:rPr>
        <w:t>, 18(4), p.ar51. doi:10.1187/cbe.19-03-0060.</w:t>
      </w:r>
    </w:p>
    <w:p w14:paraId="2C1A276A" w14:textId="77777777" w:rsidR="00532A99" w:rsidRPr="001B735F" w:rsidRDefault="00532A99" w:rsidP="001B735F">
      <w:pPr>
        <w:spacing w:before="240"/>
        <w:ind w:left="360"/>
        <w:rPr>
          <w:color w:val="121212"/>
        </w:rPr>
      </w:pPr>
      <w:r w:rsidRPr="001B735F">
        <w:rPr>
          <w:color w:val="121212"/>
        </w:rPr>
        <w:t xml:space="preserve">Hra.nhs.uk (2020). </w:t>
      </w:r>
      <w:r w:rsidRPr="001B735F">
        <w:rPr>
          <w:i/>
          <w:iCs/>
          <w:color w:val="121212"/>
        </w:rPr>
        <w:t>Exploring pelvic organ symptoms in people with neurological conditions</w:t>
      </w:r>
      <w:r w:rsidRPr="001B735F">
        <w:rPr>
          <w:color w:val="121212"/>
        </w:rPr>
        <w:t>. [online] Health Research Authority. Available at: https://www.hra.nhs.uk/planning-and-improving-research/application-summaries/research-summaries/exploring-pelvic-organ-symptoms-in-people-with-neurological-conditions/ [Accessed 24 Aug. 2026].</w:t>
      </w:r>
    </w:p>
    <w:p w14:paraId="0266DD89" w14:textId="77777777" w:rsidR="00532A99" w:rsidRPr="001B735F" w:rsidRDefault="00532A99" w:rsidP="001B735F">
      <w:pPr>
        <w:spacing w:before="240"/>
        <w:ind w:left="360"/>
        <w:rPr>
          <w:color w:val="121212"/>
        </w:rPr>
      </w:pPr>
      <w:r w:rsidRPr="001B735F">
        <w:rPr>
          <w:color w:val="121212"/>
        </w:rPr>
        <w:t xml:space="preserve">Jacobs, C. (2024). </w:t>
      </w:r>
      <w:r w:rsidRPr="001B735F">
        <w:rPr>
          <w:i/>
          <w:iCs/>
          <w:color w:val="121212"/>
        </w:rPr>
        <w:t>Occupational Stress and Burnout</w:t>
      </w:r>
      <w:r w:rsidRPr="001B735F">
        <w:rPr>
          <w:color w:val="121212"/>
        </w:rPr>
        <w:t>. [online] Www.intechopen.com. Available at: https://www.intechopen.com/chapters/1153211 [Accessed 15 July 2026].</w:t>
      </w:r>
    </w:p>
    <w:p w14:paraId="3F4D83F2" w14:textId="77777777" w:rsidR="00532A99" w:rsidRPr="001B735F" w:rsidRDefault="00532A99" w:rsidP="001B735F">
      <w:pPr>
        <w:spacing w:before="240" w:after="0"/>
        <w:ind w:left="360"/>
        <w:rPr>
          <w:color w:val="121212"/>
        </w:rPr>
      </w:pPr>
      <w:r w:rsidRPr="001B735F">
        <w:rPr>
          <w:color w:val="121212"/>
        </w:rPr>
        <w:t xml:space="preserve">Jelovsek, J.E., </w:t>
      </w:r>
      <w:proofErr w:type="spellStart"/>
      <w:r w:rsidRPr="001B735F">
        <w:rPr>
          <w:color w:val="121212"/>
        </w:rPr>
        <w:t>Chagin</w:t>
      </w:r>
      <w:proofErr w:type="spellEnd"/>
      <w:r w:rsidRPr="001B735F">
        <w:rPr>
          <w:color w:val="121212"/>
        </w:rPr>
        <w:t xml:space="preserve">, K., </w:t>
      </w:r>
      <w:proofErr w:type="spellStart"/>
      <w:r w:rsidRPr="001B735F">
        <w:rPr>
          <w:color w:val="121212"/>
        </w:rPr>
        <w:t>Gyhagen</w:t>
      </w:r>
      <w:proofErr w:type="spellEnd"/>
      <w:r w:rsidRPr="001B735F">
        <w:rPr>
          <w:color w:val="121212"/>
        </w:rPr>
        <w:t xml:space="preserve">, M., Hagen, S., Wilson, D., Kattan, M.W., Elders, A., Barber, M.D., Areskoug, B., MacArthur, C. and Milsom, I. (2018). Predicting risk of pelvic floor disorders 12 and 20 years after delivery. </w:t>
      </w:r>
      <w:r w:rsidRPr="001B735F">
        <w:rPr>
          <w:i/>
          <w:iCs/>
          <w:color w:val="121212"/>
        </w:rPr>
        <w:t xml:space="preserve">American Journal of Obstetrics and </w:t>
      </w:r>
      <w:proofErr w:type="spellStart"/>
      <w:r w:rsidRPr="001B735F">
        <w:rPr>
          <w:i/>
          <w:iCs/>
          <w:color w:val="121212"/>
        </w:rPr>
        <w:t>Gynecology</w:t>
      </w:r>
      <w:proofErr w:type="spellEnd"/>
      <w:r w:rsidRPr="001B735F">
        <w:rPr>
          <w:color w:val="121212"/>
        </w:rPr>
        <w:t>, 218(2), pp.222.e1–222.e19. doi:10.1016/j.ajog.2017.10.014.</w:t>
      </w:r>
    </w:p>
    <w:p w14:paraId="1BCBB715" w14:textId="77777777" w:rsidR="00532A99" w:rsidRPr="001B735F" w:rsidRDefault="00532A99" w:rsidP="001B735F">
      <w:pPr>
        <w:spacing w:after="240"/>
        <w:ind w:left="360"/>
        <w:rPr>
          <w:color w:val="121212"/>
          <w:lang w:val="en-IN"/>
        </w:rPr>
      </w:pPr>
      <w:proofErr w:type="spellStart"/>
      <w:r w:rsidRPr="001B735F">
        <w:rPr>
          <w:color w:val="121212"/>
          <w:lang w:val="en-IN"/>
        </w:rPr>
        <w:lastRenderedPageBreak/>
        <w:t>Jouanny</w:t>
      </w:r>
      <w:proofErr w:type="spellEnd"/>
      <w:r w:rsidRPr="001B735F">
        <w:rPr>
          <w:color w:val="121212"/>
          <w:lang w:val="en-IN"/>
        </w:rPr>
        <w:t xml:space="preserve">, C., Abhyankar, P. and Maxwell, M. (2024). A mixed methods systematic literature review of barriers and facilitators to help-seeking among women with stigmatised pelvic health symptoms. </w:t>
      </w:r>
      <w:r w:rsidRPr="001B735F">
        <w:rPr>
          <w:i/>
          <w:iCs/>
          <w:color w:val="121212"/>
          <w:lang w:val="en-IN"/>
        </w:rPr>
        <w:t>BMC women’s health (Online)</w:t>
      </w:r>
      <w:r w:rsidRPr="001B735F">
        <w:rPr>
          <w:color w:val="121212"/>
          <w:lang w:val="en-IN"/>
        </w:rPr>
        <w:t>, [online] 24(1). doi:10.1186/s12905-024-03063-6.</w:t>
      </w:r>
    </w:p>
    <w:p w14:paraId="713B54C7" w14:textId="77777777" w:rsidR="00532A99" w:rsidRPr="001B735F" w:rsidRDefault="00532A99" w:rsidP="001B735F">
      <w:pPr>
        <w:spacing w:before="240"/>
        <w:ind w:left="360"/>
        <w:rPr>
          <w:color w:val="121212"/>
        </w:rPr>
      </w:pPr>
      <w:r w:rsidRPr="001B735F">
        <w:rPr>
          <w:color w:val="121212"/>
        </w:rPr>
        <w:t xml:space="preserve">Kalata, U., </w:t>
      </w:r>
      <w:proofErr w:type="spellStart"/>
      <w:r w:rsidRPr="001B735F">
        <w:rPr>
          <w:color w:val="121212"/>
        </w:rPr>
        <w:t>Pomian</w:t>
      </w:r>
      <w:proofErr w:type="spellEnd"/>
      <w:r w:rsidRPr="001B735F">
        <w:rPr>
          <w:color w:val="121212"/>
        </w:rPr>
        <w:t xml:space="preserve">, A., Jarkiewicz, M., </w:t>
      </w:r>
      <w:proofErr w:type="spellStart"/>
      <w:r w:rsidRPr="001B735F">
        <w:rPr>
          <w:color w:val="121212"/>
        </w:rPr>
        <w:t>Kondratskyi</w:t>
      </w:r>
      <w:proofErr w:type="spellEnd"/>
      <w:r w:rsidRPr="001B735F">
        <w:rPr>
          <w:color w:val="121212"/>
        </w:rPr>
        <w:t xml:space="preserve">, V., Lippki, K. and </w:t>
      </w:r>
      <w:proofErr w:type="spellStart"/>
      <w:r w:rsidRPr="001B735F">
        <w:rPr>
          <w:color w:val="121212"/>
        </w:rPr>
        <w:t>Barcz</w:t>
      </w:r>
      <w:proofErr w:type="spellEnd"/>
      <w:r w:rsidRPr="001B735F">
        <w:rPr>
          <w:color w:val="121212"/>
        </w:rPr>
        <w:t xml:space="preserve">, E. (2023). Influence of stress urinary incontinence and pelvic organ prolapse on depression, anxiety, and insomnia-A comparative observational study. </w:t>
      </w:r>
      <w:r w:rsidRPr="001B735F">
        <w:rPr>
          <w:i/>
          <w:iCs/>
          <w:color w:val="121212"/>
        </w:rPr>
        <w:t>Journal of Clinical Medicine</w:t>
      </w:r>
      <w:r w:rsidRPr="001B735F">
        <w:rPr>
          <w:color w:val="121212"/>
        </w:rPr>
        <w:t>, [online] 13(1), p.185. doi:10.3390/jcm13010185.</w:t>
      </w:r>
    </w:p>
    <w:p w14:paraId="0C304052" w14:textId="77777777" w:rsidR="00532A99" w:rsidRPr="001B735F" w:rsidRDefault="00532A99" w:rsidP="001B735F">
      <w:pPr>
        <w:spacing w:before="240" w:after="240"/>
        <w:ind w:left="360"/>
        <w:rPr>
          <w:color w:val="121212"/>
        </w:rPr>
      </w:pPr>
      <w:r w:rsidRPr="001B735F">
        <w:rPr>
          <w:color w:val="121212"/>
        </w:rPr>
        <w:t xml:space="preserve">Khan, A. (2022). The significance of comprehending ontology and epistemology within the framework of practitioner research. </w:t>
      </w:r>
      <w:r w:rsidRPr="001B735F">
        <w:rPr>
          <w:i/>
          <w:iCs/>
          <w:color w:val="121212"/>
        </w:rPr>
        <w:t>Journal of Education and Finance Review</w:t>
      </w:r>
      <w:r w:rsidRPr="001B735F">
        <w:rPr>
          <w:color w:val="121212"/>
        </w:rPr>
        <w:t>, [online] 1(1), pp.35–42. doi:10.62843/</w:t>
      </w:r>
      <w:proofErr w:type="spellStart"/>
      <w:r w:rsidRPr="001B735F">
        <w:rPr>
          <w:color w:val="121212"/>
        </w:rPr>
        <w:t>jefr</w:t>
      </w:r>
      <w:proofErr w:type="spellEnd"/>
      <w:r w:rsidRPr="001B735F">
        <w:rPr>
          <w:color w:val="121212"/>
        </w:rPr>
        <w:t>/2022.8359404.</w:t>
      </w:r>
    </w:p>
    <w:p w14:paraId="32203E2A" w14:textId="77777777" w:rsidR="00532A99" w:rsidRPr="001B735F" w:rsidRDefault="00532A99" w:rsidP="001B735F">
      <w:pPr>
        <w:spacing w:before="240"/>
        <w:ind w:left="360"/>
        <w:rPr>
          <w:color w:val="121212"/>
        </w:rPr>
      </w:pPr>
      <w:r w:rsidRPr="001B735F">
        <w:rPr>
          <w:color w:val="121212"/>
        </w:rPr>
        <w:t xml:space="preserve">Knol-de Vries, G.E. and Blanker, M.H. (2022). Prevalence of co-existing pelvic floor disorders: A scoping review in males and females. </w:t>
      </w:r>
      <w:r w:rsidRPr="001B735F">
        <w:rPr>
          <w:i/>
          <w:iCs/>
          <w:color w:val="121212"/>
        </w:rPr>
        <w:t>Continence</w:t>
      </w:r>
      <w:r w:rsidRPr="001B735F">
        <w:rPr>
          <w:color w:val="121212"/>
        </w:rPr>
        <w:t>, [online] 2, p.100028. doi:10.1016/j.cont.2022.100028.</w:t>
      </w:r>
    </w:p>
    <w:p w14:paraId="19FDA9D3" w14:textId="77777777" w:rsidR="00532A99" w:rsidRPr="001B735F" w:rsidRDefault="00532A99" w:rsidP="001B735F">
      <w:pPr>
        <w:spacing w:before="240"/>
        <w:ind w:left="360"/>
        <w:rPr>
          <w:color w:val="121212"/>
        </w:rPr>
      </w:pPr>
      <w:r w:rsidRPr="001B735F">
        <w:rPr>
          <w:color w:val="121212"/>
        </w:rPr>
        <w:t>Kuutti, M.A., Matti Hyvärinen, Kauppinen, M., Sarianna Sipilä, Pauliina Aukee and Laakkonen, E.K. (2023). Early adulthood and current physical activity and their association with symptoms of pelvic floor disorders in middle</w:t>
      </w:r>
      <w:r w:rsidRPr="001B735F">
        <w:rPr>
          <w:rFonts w:ascii="Cambria Math" w:eastAsia="Cambria Math" w:hAnsi="Cambria Math" w:cs="Cambria Math"/>
          <w:color w:val="121212"/>
        </w:rPr>
        <w:t>‐</w:t>
      </w:r>
      <w:r w:rsidRPr="001B735F">
        <w:rPr>
          <w:color w:val="121212"/>
        </w:rPr>
        <w:t xml:space="preserve">aged women: An observational study with retrospective physical activity assessment. </w:t>
      </w:r>
      <w:r w:rsidRPr="001B735F">
        <w:rPr>
          <w:i/>
          <w:iCs/>
          <w:color w:val="121212"/>
        </w:rPr>
        <w:t>BJOG An International Journal of Obstetrics &amp; Gynaecology</w:t>
      </w:r>
      <w:r w:rsidRPr="001B735F">
        <w:rPr>
          <w:color w:val="121212"/>
        </w:rPr>
        <w:t>, 130(6), pp.664–673. doi:10.1111/1471-0528.17397.</w:t>
      </w:r>
    </w:p>
    <w:p w14:paraId="3368D1F4" w14:textId="77777777" w:rsidR="00532A99" w:rsidRPr="001B735F" w:rsidRDefault="00532A99" w:rsidP="001B735F">
      <w:pPr>
        <w:spacing w:before="240"/>
        <w:ind w:left="360"/>
        <w:rPr>
          <w:color w:val="121212"/>
        </w:rPr>
      </w:pPr>
      <w:r w:rsidRPr="001B735F">
        <w:rPr>
          <w:color w:val="121212"/>
        </w:rPr>
        <w:t xml:space="preserve">Lai, Y., Lin, A., Zheng, Z., Wang, Y., Yu, H., Jiang, X. and Ge, L. (2022). Perceptions of pelvic floor dysfunction and rehabilitation care amongst women in southeast China after radical hysterectomy: A qualitative study. </w:t>
      </w:r>
      <w:r w:rsidRPr="001B735F">
        <w:rPr>
          <w:i/>
          <w:iCs/>
          <w:color w:val="121212"/>
        </w:rPr>
        <w:t>BMC Women’s Health</w:t>
      </w:r>
      <w:r w:rsidRPr="001B735F">
        <w:rPr>
          <w:color w:val="121212"/>
        </w:rPr>
        <w:t>, 22(1). doi:10.1186/s12905-022-01687-0.</w:t>
      </w:r>
    </w:p>
    <w:p w14:paraId="574B505C" w14:textId="77777777" w:rsidR="00532A99" w:rsidRPr="001B735F" w:rsidRDefault="00532A99" w:rsidP="001B735F">
      <w:pPr>
        <w:spacing w:before="240"/>
        <w:ind w:left="360"/>
        <w:rPr>
          <w:color w:val="121212"/>
        </w:rPr>
      </w:pPr>
      <w:r w:rsidRPr="001B735F">
        <w:rPr>
          <w:color w:val="121212"/>
        </w:rPr>
        <w:t xml:space="preserve">Lebel, S., </w:t>
      </w:r>
      <w:proofErr w:type="spellStart"/>
      <w:r w:rsidRPr="001B735F">
        <w:rPr>
          <w:color w:val="121212"/>
        </w:rPr>
        <w:t>Mutsaers</w:t>
      </w:r>
      <w:proofErr w:type="spellEnd"/>
      <w:r w:rsidRPr="001B735F">
        <w:rPr>
          <w:color w:val="121212"/>
        </w:rPr>
        <w:t xml:space="preserve">, B., Tomei, C., Leclair, C.S., Jones, G., Petricone-Westwood, D., Rutkowski, N., Ta, V., Trudel, G., Laflamme, S.Z., Lavigne, A.-A. and Dinkel, A. (2020). Health anxiety and illness-related fears across diverse chronic illnesses: A systematic review on conceptualization, measurement, prevalence, course, and correlates. </w:t>
      </w:r>
      <w:r w:rsidRPr="001B735F">
        <w:rPr>
          <w:i/>
          <w:iCs/>
          <w:color w:val="121212"/>
        </w:rPr>
        <w:t>PLOS ONE</w:t>
      </w:r>
      <w:r w:rsidRPr="001B735F">
        <w:rPr>
          <w:color w:val="121212"/>
        </w:rPr>
        <w:t>, 15(7). doi:10.1371/journal.pone.0234124.</w:t>
      </w:r>
    </w:p>
    <w:p w14:paraId="7F56C7A3" w14:textId="77777777" w:rsidR="00532A99" w:rsidRPr="001B735F" w:rsidRDefault="00532A99" w:rsidP="001B735F">
      <w:pPr>
        <w:spacing w:before="240"/>
        <w:ind w:left="360"/>
        <w:rPr>
          <w:color w:val="121212"/>
        </w:rPr>
      </w:pPr>
      <w:r w:rsidRPr="001B735F">
        <w:rPr>
          <w:color w:val="121212"/>
        </w:rPr>
        <w:t xml:space="preserve">Liang, S., Liu, J., Chen, Z., Li, C.-J., Hao, F. and Cai, W. (2023). Prevalence and Influencing Factors of Help-Seeking Behavior Among Women with Urinary Incontinence: A Systematic Review and Meta-Analysis. </w:t>
      </w:r>
      <w:r w:rsidRPr="001B735F">
        <w:rPr>
          <w:i/>
          <w:iCs/>
          <w:color w:val="121212"/>
        </w:rPr>
        <w:t xml:space="preserve">Journal of </w:t>
      </w:r>
      <w:proofErr w:type="spellStart"/>
      <w:r w:rsidRPr="001B735F">
        <w:rPr>
          <w:i/>
          <w:iCs/>
          <w:color w:val="121212"/>
        </w:rPr>
        <w:t>Womens</w:t>
      </w:r>
      <w:proofErr w:type="spellEnd"/>
      <w:r w:rsidRPr="001B735F">
        <w:rPr>
          <w:i/>
          <w:iCs/>
          <w:color w:val="121212"/>
        </w:rPr>
        <w:t xml:space="preserve"> Health</w:t>
      </w:r>
      <w:r w:rsidRPr="001B735F">
        <w:rPr>
          <w:color w:val="121212"/>
        </w:rPr>
        <w:t>, 32(12), pp.1363–1379. doi:10.1089/jwh.2022.0482.</w:t>
      </w:r>
    </w:p>
    <w:p w14:paraId="3F35BFD6" w14:textId="77777777" w:rsidR="00532A99" w:rsidRPr="001B735F" w:rsidRDefault="00532A99" w:rsidP="001B735F">
      <w:pPr>
        <w:spacing w:before="240"/>
        <w:ind w:left="360"/>
        <w:rPr>
          <w:color w:val="121212"/>
        </w:rPr>
      </w:pPr>
      <w:proofErr w:type="spellStart"/>
      <w:r w:rsidRPr="001B735F">
        <w:rPr>
          <w:color w:val="121212"/>
        </w:rPr>
        <w:lastRenderedPageBreak/>
        <w:t>Maaoui</w:t>
      </w:r>
      <w:proofErr w:type="spellEnd"/>
      <w:r w:rsidRPr="001B735F">
        <w:rPr>
          <w:color w:val="121212"/>
        </w:rPr>
        <w:t xml:space="preserve">, F., Moumni, I., </w:t>
      </w:r>
      <w:proofErr w:type="spellStart"/>
      <w:r w:rsidRPr="001B735F">
        <w:rPr>
          <w:color w:val="121212"/>
        </w:rPr>
        <w:t>Arboix</w:t>
      </w:r>
      <w:proofErr w:type="spellEnd"/>
      <w:r w:rsidRPr="001B735F">
        <w:rPr>
          <w:color w:val="121212"/>
        </w:rPr>
        <w:t xml:space="preserve">-Calas, F., Safra, I. and </w:t>
      </w:r>
      <w:proofErr w:type="spellStart"/>
      <w:r w:rsidRPr="001B735F">
        <w:rPr>
          <w:color w:val="121212"/>
        </w:rPr>
        <w:t>Mnif</w:t>
      </w:r>
      <w:proofErr w:type="spellEnd"/>
      <w:r w:rsidRPr="001B735F">
        <w:rPr>
          <w:color w:val="121212"/>
        </w:rPr>
        <w:t xml:space="preserve">, S. (2025). Reformulating the common-sense model of self-regulation for hemoglobinopathies primary prevention. </w:t>
      </w:r>
      <w:r w:rsidRPr="001B735F">
        <w:rPr>
          <w:i/>
          <w:iCs/>
          <w:color w:val="121212"/>
        </w:rPr>
        <w:t>Discover Public Health</w:t>
      </w:r>
      <w:r w:rsidRPr="001B735F">
        <w:rPr>
          <w:color w:val="121212"/>
        </w:rPr>
        <w:t>, 22(1). doi:10.1186/s12982-025-00499-5.</w:t>
      </w:r>
    </w:p>
    <w:p w14:paraId="0C0D45E5" w14:textId="77777777" w:rsidR="00532A99" w:rsidRPr="001B735F" w:rsidRDefault="00532A99" w:rsidP="001B735F">
      <w:pPr>
        <w:spacing w:before="240" w:after="240"/>
        <w:ind w:left="360"/>
        <w:rPr>
          <w:color w:val="121212"/>
        </w:rPr>
      </w:pPr>
      <w:proofErr w:type="spellStart"/>
      <w:r w:rsidRPr="001B735F">
        <w:rPr>
          <w:color w:val="121212"/>
        </w:rPr>
        <w:t>Mancin</w:t>
      </w:r>
      <w:proofErr w:type="spellEnd"/>
      <w:r w:rsidRPr="001B735F">
        <w:rPr>
          <w:color w:val="121212"/>
        </w:rPr>
        <w:t xml:space="preserve">, S., </w:t>
      </w:r>
      <w:proofErr w:type="spellStart"/>
      <w:r w:rsidRPr="001B735F">
        <w:rPr>
          <w:color w:val="121212"/>
        </w:rPr>
        <w:t>Sguanci</w:t>
      </w:r>
      <w:proofErr w:type="spellEnd"/>
      <w:r w:rsidRPr="001B735F">
        <w:rPr>
          <w:color w:val="121212"/>
        </w:rPr>
        <w:t xml:space="preserve">, M., Andreoli, D., </w:t>
      </w:r>
      <w:proofErr w:type="spellStart"/>
      <w:r w:rsidRPr="001B735F">
        <w:rPr>
          <w:color w:val="121212"/>
        </w:rPr>
        <w:t>Soekeland</w:t>
      </w:r>
      <w:proofErr w:type="spellEnd"/>
      <w:r w:rsidRPr="001B735F">
        <w:rPr>
          <w:color w:val="121212"/>
        </w:rPr>
        <w:t xml:space="preserve">, F., Anastasi, G., </w:t>
      </w:r>
      <w:proofErr w:type="spellStart"/>
      <w:r w:rsidRPr="001B735F">
        <w:rPr>
          <w:color w:val="121212"/>
        </w:rPr>
        <w:t>Piredda</w:t>
      </w:r>
      <w:proofErr w:type="spellEnd"/>
      <w:r w:rsidRPr="001B735F">
        <w:rPr>
          <w:color w:val="121212"/>
        </w:rPr>
        <w:t xml:space="preserve">, M. and Grazia, M. (2023). Systematic review of clinical practice guidelines and systematic reviews: A method for conducting comprehensive analysis. </w:t>
      </w:r>
      <w:proofErr w:type="spellStart"/>
      <w:r w:rsidRPr="001B735F">
        <w:rPr>
          <w:i/>
          <w:iCs/>
          <w:color w:val="121212"/>
        </w:rPr>
        <w:t>MethodsX</w:t>
      </w:r>
      <w:proofErr w:type="spellEnd"/>
      <w:r w:rsidRPr="001B735F">
        <w:rPr>
          <w:color w:val="121212"/>
        </w:rPr>
        <w:t>, [online] 12(1), pp.102532–102532. doi:10.1016/j.mex.2023.102532.</w:t>
      </w:r>
    </w:p>
    <w:p w14:paraId="743F0ACD" w14:textId="77777777" w:rsidR="00532A99" w:rsidRPr="001B735F" w:rsidRDefault="00532A99" w:rsidP="001B735F">
      <w:pPr>
        <w:spacing w:after="240"/>
        <w:ind w:left="360"/>
        <w:rPr>
          <w:color w:val="121212"/>
          <w:lang w:val="en-IN"/>
        </w:rPr>
      </w:pPr>
      <w:r w:rsidRPr="001B735F">
        <w:rPr>
          <w:color w:val="121212"/>
          <w:lang w:val="en-IN"/>
        </w:rPr>
        <w:t xml:space="preserve">Marx, W., </w:t>
      </w:r>
      <w:proofErr w:type="spellStart"/>
      <w:r w:rsidRPr="001B735F">
        <w:rPr>
          <w:color w:val="121212"/>
          <w:lang w:val="en-IN"/>
        </w:rPr>
        <w:t>Penninx</w:t>
      </w:r>
      <w:proofErr w:type="spellEnd"/>
      <w:r w:rsidRPr="001B735F">
        <w:rPr>
          <w:color w:val="121212"/>
          <w:lang w:val="en-IN"/>
        </w:rPr>
        <w:t xml:space="preserve">, B.W.J.H., </w:t>
      </w:r>
      <w:proofErr w:type="spellStart"/>
      <w:r w:rsidRPr="001B735F">
        <w:rPr>
          <w:color w:val="121212"/>
          <w:lang w:val="en-IN"/>
        </w:rPr>
        <w:t>Solmi</w:t>
      </w:r>
      <w:proofErr w:type="spellEnd"/>
      <w:r w:rsidRPr="001B735F">
        <w:rPr>
          <w:color w:val="121212"/>
          <w:lang w:val="en-IN"/>
        </w:rPr>
        <w:t xml:space="preserve">, M., Furukawa, T.A., Firth, J., Carvalho, A.F. and Berk, M. (2023). Major depressive disorder. </w:t>
      </w:r>
      <w:r w:rsidRPr="001B735F">
        <w:rPr>
          <w:i/>
          <w:iCs/>
          <w:color w:val="121212"/>
          <w:lang w:val="en-IN"/>
        </w:rPr>
        <w:t>Nature Reviews Disease Primers</w:t>
      </w:r>
      <w:r w:rsidRPr="001B735F">
        <w:rPr>
          <w:color w:val="121212"/>
          <w:lang w:val="en-IN"/>
        </w:rPr>
        <w:t>, [online] 9(1), p.44. doi:10.1038/s41572-023-00454-1.</w:t>
      </w:r>
    </w:p>
    <w:p w14:paraId="318E458C" w14:textId="77777777" w:rsidR="00532A99" w:rsidRPr="001B735F" w:rsidRDefault="00532A99" w:rsidP="001B735F">
      <w:pPr>
        <w:spacing w:before="240"/>
        <w:ind w:left="360"/>
        <w:rPr>
          <w:color w:val="121212"/>
        </w:rPr>
      </w:pPr>
      <w:r w:rsidRPr="001B735F">
        <w:rPr>
          <w:color w:val="121212"/>
        </w:rPr>
        <w:t xml:space="preserve">Mazi, B., Kaddour, O. and Al-Badr, A. (2019). &lt;P&gt;Depression symptoms in women with pelvic floor dysfunction: A case-control study&lt;/p&gt;. </w:t>
      </w:r>
      <w:r w:rsidRPr="001B735F">
        <w:rPr>
          <w:i/>
          <w:iCs/>
          <w:color w:val="121212"/>
        </w:rPr>
        <w:t>International Journal of Women’s Health</w:t>
      </w:r>
      <w:r w:rsidRPr="001B735F">
        <w:rPr>
          <w:color w:val="121212"/>
        </w:rPr>
        <w:t>, Volume 11, pp.143–148. doi:10.2147/ijwh.s187417.</w:t>
      </w:r>
    </w:p>
    <w:p w14:paraId="3A0ED511" w14:textId="77777777" w:rsidR="00532A99" w:rsidRPr="001B735F" w:rsidRDefault="00532A99" w:rsidP="001B735F">
      <w:pPr>
        <w:spacing w:after="240"/>
        <w:ind w:left="360"/>
        <w:rPr>
          <w:color w:val="121212"/>
          <w:lang w:val="en-IN"/>
        </w:rPr>
      </w:pPr>
      <w:r w:rsidRPr="001B735F">
        <w:rPr>
          <w:color w:val="121212"/>
          <w:lang w:val="en-IN"/>
        </w:rPr>
        <w:t xml:space="preserve">McKenzie, S.K., </w:t>
      </w:r>
      <w:proofErr w:type="spellStart"/>
      <w:r w:rsidRPr="001B735F">
        <w:rPr>
          <w:color w:val="121212"/>
          <w:lang w:val="en-IN"/>
        </w:rPr>
        <w:t>Oliffe</w:t>
      </w:r>
      <w:proofErr w:type="spellEnd"/>
      <w:r w:rsidRPr="001B735F">
        <w:rPr>
          <w:color w:val="121212"/>
          <w:lang w:val="en-IN"/>
        </w:rPr>
        <w:t xml:space="preserve">, J.L., Black, A. and Collings, S. (2022). Men’s experiences of mental illness stigma across the lifespan: A scoping review. </w:t>
      </w:r>
      <w:r w:rsidRPr="001B735F">
        <w:rPr>
          <w:i/>
          <w:iCs/>
          <w:color w:val="121212"/>
          <w:lang w:val="en-IN"/>
        </w:rPr>
        <w:t>American Journal of Men’s Health</w:t>
      </w:r>
      <w:r w:rsidRPr="001B735F">
        <w:rPr>
          <w:color w:val="121212"/>
          <w:lang w:val="en-IN"/>
        </w:rPr>
        <w:t>, [online] 16(1). doi:10.1177/15579883221074789.</w:t>
      </w:r>
    </w:p>
    <w:p w14:paraId="6610B268" w14:textId="77777777" w:rsidR="00532A99" w:rsidRPr="001B735F" w:rsidRDefault="00532A99" w:rsidP="001B735F">
      <w:pPr>
        <w:spacing w:before="240" w:after="240"/>
        <w:ind w:left="360"/>
        <w:rPr>
          <w:color w:val="121212"/>
        </w:rPr>
      </w:pPr>
      <w:r w:rsidRPr="001B735F">
        <w:rPr>
          <w:color w:val="121212"/>
        </w:rPr>
        <w:t>Merenstein, D.J., Tancredi, D.J., J. Philip Karl, Krist, A.H., Lenoir-</w:t>
      </w:r>
      <w:proofErr w:type="spellStart"/>
      <w:r w:rsidRPr="001B735F">
        <w:rPr>
          <w:color w:val="121212"/>
        </w:rPr>
        <w:t>Wijnkoop</w:t>
      </w:r>
      <w:proofErr w:type="spellEnd"/>
      <w:r w:rsidRPr="001B735F">
        <w:rPr>
          <w:color w:val="121212"/>
        </w:rPr>
        <w:t xml:space="preserve">, I., Reid, G., </w:t>
      </w:r>
      <w:proofErr w:type="spellStart"/>
      <w:r w:rsidRPr="001B735F">
        <w:rPr>
          <w:color w:val="121212"/>
        </w:rPr>
        <w:t>Roos</w:t>
      </w:r>
      <w:proofErr w:type="spellEnd"/>
      <w:r w:rsidRPr="001B735F">
        <w:rPr>
          <w:color w:val="121212"/>
        </w:rPr>
        <w:t xml:space="preserve">, S., Hania </w:t>
      </w:r>
      <w:proofErr w:type="spellStart"/>
      <w:r w:rsidRPr="001B735F">
        <w:rPr>
          <w:color w:val="121212"/>
        </w:rPr>
        <w:t>Szajewska</w:t>
      </w:r>
      <w:proofErr w:type="spellEnd"/>
      <w:r w:rsidRPr="001B735F">
        <w:rPr>
          <w:color w:val="121212"/>
        </w:rPr>
        <w:t xml:space="preserve"> and Mary Ellen Sanders (2024). Is there evidence to support probiotic use for healthy people? </w:t>
      </w:r>
      <w:r w:rsidRPr="001B735F">
        <w:rPr>
          <w:i/>
          <w:iCs/>
          <w:color w:val="121212"/>
        </w:rPr>
        <w:t>Advances in nutrition</w:t>
      </w:r>
      <w:r w:rsidRPr="001B735F">
        <w:rPr>
          <w:color w:val="121212"/>
        </w:rPr>
        <w:t>, 15(8), pp.100265–100265. doi:10.1016/j.advnut.2024.100265.</w:t>
      </w:r>
    </w:p>
    <w:p w14:paraId="299939B1" w14:textId="77777777" w:rsidR="00532A99" w:rsidRPr="001B735F" w:rsidRDefault="00532A99" w:rsidP="001B735F">
      <w:pPr>
        <w:spacing w:before="240" w:after="0"/>
        <w:ind w:left="360"/>
        <w:rPr>
          <w:color w:val="121212"/>
        </w:rPr>
      </w:pPr>
      <w:r w:rsidRPr="001B735F">
        <w:rPr>
          <w:color w:val="121212"/>
        </w:rPr>
        <w:t>Merino, M., Tornero-Aguilera, J.F., Rubio-Zarapuz, A., Villanueva-</w:t>
      </w:r>
      <w:proofErr w:type="spellStart"/>
      <w:r w:rsidRPr="001B735F">
        <w:rPr>
          <w:color w:val="121212"/>
        </w:rPr>
        <w:t>Tobaldo</w:t>
      </w:r>
      <w:proofErr w:type="spellEnd"/>
      <w:r w:rsidRPr="001B735F">
        <w:rPr>
          <w:color w:val="121212"/>
        </w:rPr>
        <w:t xml:space="preserve">, C.V., Martín-Rodríguez, A. and Clemente-Suárez, V.J. (2024). Body perceptions and psychological well-being: A review of the impact of social media and physical measurements on self-esteem and mental health with a focus on body image satisfaction and its relationship with cultural and gender factors. </w:t>
      </w:r>
      <w:r w:rsidRPr="001B735F">
        <w:rPr>
          <w:i/>
          <w:iCs/>
          <w:color w:val="121212"/>
        </w:rPr>
        <w:t>Healthcare</w:t>
      </w:r>
      <w:r w:rsidRPr="001B735F">
        <w:rPr>
          <w:color w:val="121212"/>
        </w:rPr>
        <w:t>, [online] 12(14), pp.1–44. doi:10.3390/healthcare12141396.</w:t>
      </w:r>
    </w:p>
    <w:p w14:paraId="76470314" w14:textId="77777777" w:rsidR="00532A99" w:rsidRPr="001B735F" w:rsidRDefault="00532A99" w:rsidP="001B735F">
      <w:pPr>
        <w:spacing w:before="240" w:after="0"/>
        <w:ind w:left="360"/>
        <w:rPr>
          <w:color w:val="121212"/>
        </w:rPr>
      </w:pPr>
      <w:r w:rsidRPr="001B735F">
        <w:rPr>
          <w:color w:val="121212"/>
        </w:rPr>
        <w:t xml:space="preserve">Mishra, G.D., Barker, M.S., Herber-Gast, G.-C. and Hillard, T. (2015). Depression and the incidence of urinary incontinence symptoms among young women: Results from a prospective cohort study. </w:t>
      </w:r>
      <w:proofErr w:type="spellStart"/>
      <w:r w:rsidRPr="001B735F">
        <w:rPr>
          <w:i/>
          <w:iCs/>
          <w:color w:val="121212"/>
        </w:rPr>
        <w:t>Maturitas</w:t>
      </w:r>
      <w:proofErr w:type="spellEnd"/>
      <w:r w:rsidRPr="001B735F">
        <w:rPr>
          <w:color w:val="121212"/>
        </w:rPr>
        <w:t>, 81(4), pp.456–461. doi:10.1016/j.maturitas.2015.05.006.</w:t>
      </w:r>
    </w:p>
    <w:p w14:paraId="1D4E16EC" w14:textId="77777777" w:rsidR="00532A99" w:rsidRPr="001B735F" w:rsidRDefault="00532A99" w:rsidP="001B735F">
      <w:pPr>
        <w:spacing w:before="240" w:after="240"/>
        <w:ind w:left="360"/>
        <w:rPr>
          <w:color w:val="121212"/>
        </w:rPr>
      </w:pPr>
      <w:r w:rsidRPr="001B735F">
        <w:rPr>
          <w:color w:val="121212"/>
        </w:rPr>
        <w:lastRenderedPageBreak/>
        <w:t xml:space="preserve">Molina, R.A.P., Martínez, A.H., Vázquez, S.M. and Galiano, J.M.M. (2023). Influence of pelvic floor disorders on quality of life in women. </w:t>
      </w:r>
      <w:r w:rsidRPr="001B735F">
        <w:rPr>
          <w:i/>
          <w:iCs/>
          <w:color w:val="121212"/>
        </w:rPr>
        <w:t>Frontiers in Public Health</w:t>
      </w:r>
      <w:r w:rsidRPr="001B735F">
        <w:rPr>
          <w:color w:val="121212"/>
        </w:rPr>
        <w:t>, [online] 11, p.1180907. doi:</w:t>
      </w:r>
      <w:hyperlink r:id="rId26">
        <w:r w:rsidRPr="001B735F">
          <w:rPr>
            <w:color w:val="121212"/>
            <w:u w:val="single"/>
          </w:rPr>
          <w:t>https://doi.org/10.3389/fpubh.2023.1180907</w:t>
        </w:r>
      </w:hyperlink>
      <w:r w:rsidRPr="001B735F">
        <w:rPr>
          <w:color w:val="121212"/>
        </w:rPr>
        <w:t xml:space="preserve">. </w:t>
      </w:r>
    </w:p>
    <w:p w14:paraId="57D20A90" w14:textId="77777777" w:rsidR="00532A99" w:rsidRPr="001B735F" w:rsidRDefault="00532A99" w:rsidP="001B735F">
      <w:pPr>
        <w:spacing w:before="240" w:after="240"/>
        <w:ind w:left="360"/>
        <w:rPr>
          <w:color w:val="121212"/>
        </w:rPr>
      </w:pPr>
      <w:r w:rsidRPr="001B735F">
        <w:rPr>
          <w:color w:val="121212"/>
        </w:rPr>
        <w:t xml:space="preserve">Molina, R.A.P., Vázquez, S.M., Galiano, J.M.M., Izquierdo, M.R., Khan, K.S. and </w:t>
      </w:r>
      <w:proofErr w:type="spellStart"/>
      <w:r w:rsidRPr="001B735F">
        <w:rPr>
          <w:color w:val="121212"/>
        </w:rPr>
        <w:t>Cano</w:t>
      </w:r>
      <w:proofErr w:type="spellEnd"/>
      <w:r w:rsidRPr="001B735F">
        <w:rPr>
          <w:rFonts w:ascii="Cambria Math" w:eastAsia="Cambria Math" w:hAnsi="Cambria Math" w:cs="Cambria Math"/>
          <w:color w:val="121212"/>
        </w:rPr>
        <w:t>‐</w:t>
      </w:r>
      <w:r w:rsidRPr="001B735F">
        <w:rPr>
          <w:color w:val="121212"/>
        </w:rPr>
        <w:t>Ibáñez, N. (2024). Prevalence of depression and anxiety in women with pelvic floor dysfunctions: A systematic review and meta</w:t>
      </w:r>
      <w:r w:rsidRPr="001B735F">
        <w:rPr>
          <w:rFonts w:ascii="Cambria Math" w:eastAsia="Cambria Math" w:hAnsi="Cambria Math" w:cs="Cambria Math"/>
          <w:color w:val="121212"/>
        </w:rPr>
        <w:t>‐</w:t>
      </w:r>
      <w:r w:rsidRPr="001B735F">
        <w:rPr>
          <w:color w:val="121212"/>
        </w:rPr>
        <w:t xml:space="preserve">analysis. </w:t>
      </w:r>
      <w:r w:rsidRPr="001B735F">
        <w:rPr>
          <w:i/>
          <w:iCs/>
          <w:color w:val="121212"/>
        </w:rPr>
        <w:t>International journal of gynaecology and obstetrics</w:t>
      </w:r>
      <w:r w:rsidRPr="001B735F">
        <w:rPr>
          <w:color w:val="121212"/>
        </w:rPr>
        <w:t>, [online] 167(2), pp.507–528. doi:</w:t>
      </w:r>
      <w:hyperlink r:id="rId27">
        <w:r w:rsidRPr="001B735F">
          <w:rPr>
            <w:color w:val="121212"/>
            <w:u w:val="single"/>
          </w:rPr>
          <w:t>https://doi.org/10.1002/ijgo.15719</w:t>
        </w:r>
      </w:hyperlink>
      <w:r w:rsidRPr="001B735F">
        <w:rPr>
          <w:color w:val="121212"/>
        </w:rPr>
        <w:t xml:space="preserve">. </w:t>
      </w:r>
    </w:p>
    <w:p w14:paraId="2FEC244F" w14:textId="77777777" w:rsidR="00532A99" w:rsidRPr="001B735F" w:rsidRDefault="00532A99" w:rsidP="001B735F">
      <w:pPr>
        <w:spacing w:before="240" w:after="240"/>
        <w:ind w:left="360"/>
        <w:rPr>
          <w:color w:val="121212"/>
          <w:lang w:val="de-AT"/>
        </w:rPr>
      </w:pPr>
      <w:r w:rsidRPr="001B735F">
        <w:rPr>
          <w:color w:val="121212"/>
        </w:rPr>
        <w:t xml:space="preserve">Neto, B.R., Barreiro, M., António Tomé and Emídio Vale-Fernandes (2025). Psychosocial aspects of infertility and the impact of assisted reproductive techniques - a comprehensive review. </w:t>
      </w:r>
      <w:r w:rsidRPr="001B735F">
        <w:rPr>
          <w:i/>
          <w:iCs/>
          <w:color w:val="121212"/>
          <w:lang w:val="de-AT"/>
        </w:rPr>
        <w:t>JBRA</w:t>
      </w:r>
      <w:r w:rsidRPr="001B735F">
        <w:rPr>
          <w:color w:val="121212"/>
          <w:lang w:val="de-AT"/>
        </w:rPr>
        <w:t>. [online] doi:10.5935/1518-0557.20250002.</w:t>
      </w:r>
    </w:p>
    <w:p w14:paraId="1139B70E" w14:textId="77777777" w:rsidR="00532A99" w:rsidRPr="001B735F" w:rsidRDefault="00532A99" w:rsidP="001B735F">
      <w:pPr>
        <w:spacing w:before="240"/>
        <w:ind w:left="360"/>
        <w:rPr>
          <w:color w:val="121212"/>
        </w:rPr>
      </w:pPr>
      <w:r w:rsidRPr="001B735F">
        <w:rPr>
          <w:color w:val="121212"/>
          <w:lang w:val="de-AT"/>
        </w:rPr>
        <w:t xml:space="preserve">Neulinger, B., Ebert, C., Lochbühler, K., Bergmann, A., Gensichen, J. and Lukaschek, K. (2024). </w:t>
      </w:r>
      <w:r w:rsidRPr="001B735F">
        <w:rPr>
          <w:color w:val="121212"/>
        </w:rPr>
        <w:t xml:space="preserve">Screening tools assessing mental illness in primary care: A systematic review. </w:t>
      </w:r>
      <w:r w:rsidRPr="001B735F">
        <w:rPr>
          <w:i/>
          <w:iCs/>
          <w:color w:val="121212"/>
        </w:rPr>
        <w:t>European Journal of General Practice</w:t>
      </w:r>
      <w:r w:rsidRPr="001B735F">
        <w:rPr>
          <w:color w:val="121212"/>
        </w:rPr>
        <w:t>, 30(1). doi:10.1080/13814788.2024.2418299.</w:t>
      </w:r>
    </w:p>
    <w:p w14:paraId="6E304B15" w14:textId="77777777" w:rsidR="00532A99" w:rsidRPr="001B735F" w:rsidRDefault="00532A99" w:rsidP="001B735F">
      <w:pPr>
        <w:spacing w:before="240"/>
        <w:ind w:left="360"/>
        <w:rPr>
          <w:color w:val="121212"/>
        </w:rPr>
      </w:pPr>
      <w:proofErr w:type="spellStart"/>
      <w:r w:rsidRPr="001B735F">
        <w:rPr>
          <w:color w:val="121212"/>
        </w:rPr>
        <w:t>Notenboom</w:t>
      </w:r>
      <w:proofErr w:type="spellEnd"/>
      <w:r w:rsidRPr="001B735F">
        <w:rPr>
          <w:rFonts w:ascii="Cambria Math" w:eastAsia="Cambria Math" w:hAnsi="Cambria Math" w:cs="Cambria Math"/>
          <w:color w:val="121212"/>
        </w:rPr>
        <w:t>‐</w:t>
      </w:r>
      <w:r w:rsidRPr="001B735F">
        <w:rPr>
          <w:color w:val="121212"/>
        </w:rPr>
        <w:t>Nas, F.J.M., Knol</w:t>
      </w:r>
      <w:r w:rsidRPr="001B735F">
        <w:rPr>
          <w:rFonts w:ascii="Cambria Math" w:eastAsia="Cambria Math" w:hAnsi="Cambria Math" w:cs="Cambria Math"/>
          <w:color w:val="121212"/>
        </w:rPr>
        <w:t>‐</w:t>
      </w:r>
      <w:r w:rsidRPr="001B735F">
        <w:rPr>
          <w:color w:val="121212"/>
        </w:rPr>
        <w:t xml:space="preserve">de Vries, G.E., Beijer, L., Tolsma, Y., </w:t>
      </w:r>
      <w:proofErr w:type="spellStart"/>
      <w:r w:rsidRPr="001B735F">
        <w:rPr>
          <w:color w:val="121212"/>
        </w:rPr>
        <w:t>Slieker</w:t>
      </w:r>
      <w:proofErr w:type="spellEnd"/>
      <w:r w:rsidRPr="001B735F">
        <w:rPr>
          <w:rFonts w:ascii="Cambria Math" w:eastAsia="Cambria Math" w:hAnsi="Cambria Math" w:cs="Cambria Math"/>
          <w:color w:val="121212"/>
        </w:rPr>
        <w:t>‐</w:t>
      </w:r>
      <w:r w:rsidRPr="001B735F">
        <w:rPr>
          <w:color w:val="121212"/>
        </w:rPr>
        <w:t xml:space="preserve">ten Hove, </w:t>
      </w:r>
      <w:proofErr w:type="spellStart"/>
      <w:r w:rsidRPr="001B735F">
        <w:rPr>
          <w:color w:val="121212"/>
        </w:rPr>
        <w:t>M.C.Ph</w:t>
      </w:r>
      <w:proofErr w:type="spellEnd"/>
      <w:r w:rsidRPr="001B735F">
        <w:rPr>
          <w:color w:val="121212"/>
        </w:rPr>
        <w:t xml:space="preserve">., Dekker, J.H., van </w:t>
      </w:r>
      <w:proofErr w:type="spellStart"/>
      <w:r w:rsidRPr="001B735F">
        <w:rPr>
          <w:color w:val="121212"/>
        </w:rPr>
        <w:t>Koeveringe</w:t>
      </w:r>
      <w:proofErr w:type="spellEnd"/>
      <w:r w:rsidRPr="001B735F">
        <w:rPr>
          <w:color w:val="121212"/>
        </w:rPr>
        <w:t>, G.A. and Blanker, M.H. (2022). Exploring pelvic floor muscle function in men with and without pelvic floor symptoms: A population</w:t>
      </w:r>
      <w:r w:rsidRPr="001B735F">
        <w:rPr>
          <w:rFonts w:ascii="Cambria Math" w:eastAsia="Cambria Math" w:hAnsi="Cambria Math" w:cs="Cambria Math"/>
          <w:color w:val="121212"/>
        </w:rPr>
        <w:t>‐</w:t>
      </w:r>
      <w:r w:rsidRPr="001B735F">
        <w:rPr>
          <w:color w:val="121212"/>
        </w:rPr>
        <w:t xml:space="preserve">based study. </w:t>
      </w:r>
      <w:proofErr w:type="spellStart"/>
      <w:r w:rsidRPr="001B735F">
        <w:rPr>
          <w:i/>
          <w:iCs/>
          <w:color w:val="121212"/>
        </w:rPr>
        <w:t>Neurourology</w:t>
      </w:r>
      <w:proofErr w:type="spellEnd"/>
      <w:r w:rsidRPr="001B735F">
        <w:rPr>
          <w:i/>
          <w:iCs/>
          <w:color w:val="121212"/>
        </w:rPr>
        <w:t xml:space="preserve"> and Urodynamics</w:t>
      </w:r>
      <w:r w:rsidRPr="001B735F">
        <w:rPr>
          <w:color w:val="121212"/>
        </w:rPr>
        <w:t>, 41(8), pp.1739–1748. doi:10.1002/nau.24996.</w:t>
      </w:r>
    </w:p>
    <w:p w14:paraId="4DBD4AE8" w14:textId="77777777" w:rsidR="00532A99" w:rsidRPr="001B735F" w:rsidRDefault="00532A99" w:rsidP="001B735F">
      <w:pPr>
        <w:spacing w:before="240"/>
        <w:ind w:left="360"/>
        <w:rPr>
          <w:color w:val="121212"/>
        </w:rPr>
      </w:pPr>
      <w:proofErr w:type="spellStart"/>
      <w:r w:rsidRPr="001B735F">
        <w:rPr>
          <w:color w:val="121212"/>
        </w:rPr>
        <w:t>Orom</w:t>
      </w:r>
      <w:proofErr w:type="spellEnd"/>
      <w:r w:rsidRPr="001B735F">
        <w:rPr>
          <w:color w:val="121212"/>
        </w:rPr>
        <w:t xml:space="preserve">, H., Biddle, C., Underwood, W. and Nelson, C.J. (2019). Worse Urinary, Sexual and Bowel Function Cause Emotional Distress and Vice Versa in Men Treated for Prostate Cancer. </w:t>
      </w:r>
      <w:r w:rsidRPr="001B735F">
        <w:rPr>
          <w:i/>
          <w:iCs/>
          <w:color w:val="121212"/>
        </w:rPr>
        <w:t>Journal of Urology</w:t>
      </w:r>
      <w:r w:rsidRPr="001B735F">
        <w:rPr>
          <w:color w:val="121212"/>
        </w:rPr>
        <w:t>, 199(6), pp.1464–1469. doi:10.1016/j.juro.2017.12.047.</w:t>
      </w:r>
    </w:p>
    <w:p w14:paraId="71EF7DDF" w14:textId="77777777" w:rsidR="00532A99" w:rsidRPr="001B735F" w:rsidRDefault="00532A99" w:rsidP="001B735F">
      <w:pPr>
        <w:spacing w:before="240" w:after="0"/>
        <w:ind w:left="360"/>
        <w:rPr>
          <w:color w:val="121212"/>
        </w:rPr>
      </w:pPr>
      <w:r w:rsidRPr="001B735F">
        <w:rPr>
          <w:color w:val="121212"/>
        </w:rPr>
        <w:t xml:space="preserve">Parden, A.M., Griffin, R.L., Hoover, K., Ellington, D.R., Gleason, J.L., Burgio, K.L. and Richter, H.E. (2016). Prevalence, awareness, and understanding of pelvic floor disorders in adolescent and young women. </w:t>
      </w:r>
      <w:r w:rsidRPr="001B735F">
        <w:rPr>
          <w:i/>
          <w:iCs/>
          <w:color w:val="121212"/>
        </w:rPr>
        <w:t>Female Pelvic Medicine &amp; Reconstructive Surgery</w:t>
      </w:r>
      <w:r w:rsidRPr="001B735F">
        <w:rPr>
          <w:color w:val="121212"/>
        </w:rPr>
        <w:t>, 22(5), pp.346–354. doi:10.1097/spv.0000000000000287.</w:t>
      </w:r>
    </w:p>
    <w:p w14:paraId="0BBCBAD1" w14:textId="77777777" w:rsidR="00532A99" w:rsidRPr="001B735F" w:rsidRDefault="00532A99" w:rsidP="001B735F">
      <w:pPr>
        <w:spacing w:before="240" w:after="0"/>
        <w:ind w:left="360"/>
        <w:rPr>
          <w:color w:val="121212"/>
        </w:rPr>
      </w:pPr>
      <w:r w:rsidRPr="001B735F">
        <w:rPr>
          <w:color w:val="121212"/>
        </w:rPr>
        <w:t xml:space="preserve">Patel, D.P.Y.M.K.P.M. (2025). Longitudinal study on postpartum pelvic floor dysfunction in women with instrumental versus spontaneous vaginal delivery. </w:t>
      </w:r>
      <w:r w:rsidRPr="001B735F">
        <w:rPr>
          <w:i/>
          <w:iCs/>
          <w:color w:val="121212"/>
        </w:rPr>
        <w:t>European Journal of Cardiovascular Medicine</w:t>
      </w:r>
      <w:r w:rsidRPr="001B735F">
        <w:rPr>
          <w:color w:val="121212"/>
        </w:rPr>
        <w:t>, [online] 15(12), pp.264–267. doi:10.61336/</w:t>
      </w:r>
      <w:proofErr w:type="spellStart"/>
      <w:r w:rsidRPr="001B735F">
        <w:rPr>
          <w:color w:val="121212"/>
        </w:rPr>
        <w:t>ejcm</w:t>
      </w:r>
      <w:proofErr w:type="spellEnd"/>
      <w:r w:rsidRPr="001B735F">
        <w:rPr>
          <w:color w:val="121212"/>
        </w:rPr>
        <w:t>/25-05-47.</w:t>
      </w:r>
    </w:p>
    <w:p w14:paraId="62579F7E" w14:textId="77777777" w:rsidR="00532A99" w:rsidRPr="001B735F" w:rsidRDefault="00532A99" w:rsidP="001B735F">
      <w:pPr>
        <w:spacing w:after="240"/>
        <w:ind w:left="360"/>
        <w:rPr>
          <w:color w:val="121212"/>
          <w:lang w:val="en-IN"/>
        </w:rPr>
      </w:pPr>
      <w:r w:rsidRPr="001B735F">
        <w:rPr>
          <w:color w:val="121212"/>
          <w:lang w:val="en-IN"/>
        </w:rPr>
        <w:t xml:space="preserve">Peinado Molina, R.A., Hernández Martínez, A., Martínez Vázquez, S. and Martínez Galiano, J.M. (2023). Influence of pelvic floor disorders on quality of life in women. </w:t>
      </w:r>
      <w:r w:rsidRPr="001B735F">
        <w:rPr>
          <w:i/>
          <w:iCs/>
          <w:color w:val="121212"/>
          <w:lang w:val="en-IN"/>
        </w:rPr>
        <w:t>Frontiers in Public Health</w:t>
      </w:r>
      <w:r w:rsidRPr="001B735F">
        <w:rPr>
          <w:color w:val="121212"/>
          <w:lang w:val="en-IN"/>
        </w:rPr>
        <w:t>, [online] 11. doi:10.3389/fpubh.2023.1180907.</w:t>
      </w:r>
    </w:p>
    <w:p w14:paraId="568E8E1F" w14:textId="77777777" w:rsidR="00532A99" w:rsidRPr="001B735F" w:rsidRDefault="00532A99" w:rsidP="001B735F">
      <w:pPr>
        <w:spacing w:before="240" w:after="240"/>
        <w:ind w:left="360"/>
        <w:rPr>
          <w:color w:val="121212"/>
        </w:rPr>
      </w:pPr>
      <w:r w:rsidRPr="001B735F">
        <w:rPr>
          <w:color w:val="121212"/>
        </w:rPr>
        <w:lastRenderedPageBreak/>
        <w:t>Peinado</w:t>
      </w:r>
      <w:r w:rsidRPr="001B735F">
        <w:rPr>
          <w:rFonts w:ascii="Cambria Math" w:eastAsia="Cambria Math" w:hAnsi="Cambria Math" w:cs="Cambria Math"/>
          <w:color w:val="121212"/>
        </w:rPr>
        <w:t>‐</w:t>
      </w:r>
      <w:r w:rsidRPr="001B735F">
        <w:rPr>
          <w:color w:val="121212"/>
        </w:rPr>
        <w:t>Molina, R.A., Hernández</w:t>
      </w:r>
      <w:r w:rsidRPr="001B735F">
        <w:rPr>
          <w:rFonts w:ascii="Cambria Math" w:eastAsia="Cambria Math" w:hAnsi="Cambria Math" w:cs="Cambria Math"/>
          <w:color w:val="121212"/>
        </w:rPr>
        <w:t>‐</w:t>
      </w:r>
      <w:r w:rsidRPr="001B735F">
        <w:rPr>
          <w:color w:val="121212"/>
        </w:rPr>
        <w:t>Martínez, A., Martínez</w:t>
      </w:r>
      <w:r w:rsidRPr="001B735F">
        <w:rPr>
          <w:rFonts w:ascii="Cambria Math" w:eastAsia="Cambria Math" w:hAnsi="Cambria Math" w:cs="Cambria Math"/>
          <w:color w:val="121212"/>
        </w:rPr>
        <w:t>‐</w:t>
      </w:r>
      <w:r w:rsidRPr="001B735F">
        <w:rPr>
          <w:color w:val="121212"/>
        </w:rPr>
        <w:t>Vázquez, S., Rodríguez</w:t>
      </w:r>
      <w:r w:rsidRPr="001B735F">
        <w:rPr>
          <w:rFonts w:ascii="Cambria Math" w:eastAsia="Cambria Math" w:hAnsi="Cambria Math" w:cs="Cambria Math"/>
          <w:color w:val="121212"/>
        </w:rPr>
        <w:t>‐</w:t>
      </w:r>
      <w:r w:rsidRPr="001B735F">
        <w:rPr>
          <w:color w:val="121212"/>
        </w:rPr>
        <w:t>Almagro, J. and Martínez</w:t>
      </w:r>
      <w:r w:rsidRPr="001B735F">
        <w:rPr>
          <w:rFonts w:ascii="Cambria Math" w:eastAsia="Cambria Math" w:hAnsi="Cambria Math" w:cs="Cambria Math"/>
          <w:color w:val="121212"/>
        </w:rPr>
        <w:t>‐</w:t>
      </w:r>
      <w:r w:rsidRPr="001B735F">
        <w:rPr>
          <w:color w:val="121212"/>
        </w:rPr>
        <w:t xml:space="preserve">Galiano, J.M. (2023). Pelvic floor dysfunction: prevalence and associated factors. </w:t>
      </w:r>
      <w:r w:rsidRPr="001B735F">
        <w:rPr>
          <w:i/>
          <w:iCs/>
          <w:color w:val="121212"/>
        </w:rPr>
        <w:t>BMC Public Health</w:t>
      </w:r>
      <w:r w:rsidRPr="001B735F">
        <w:rPr>
          <w:color w:val="121212"/>
        </w:rPr>
        <w:t>, [online] 23(1). doi:</w:t>
      </w:r>
      <w:hyperlink r:id="rId28">
        <w:r w:rsidRPr="001B735F">
          <w:rPr>
            <w:color w:val="121212"/>
            <w:u w:val="single"/>
          </w:rPr>
          <w:t>https://doi.org/10.1186/s12889-023-16901-3</w:t>
        </w:r>
      </w:hyperlink>
      <w:r w:rsidRPr="001B735F">
        <w:rPr>
          <w:color w:val="121212"/>
        </w:rPr>
        <w:t xml:space="preserve">. </w:t>
      </w:r>
    </w:p>
    <w:p w14:paraId="35EF23F0" w14:textId="77777777" w:rsidR="00532A99" w:rsidRPr="001B735F" w:rsidRDefault="00532A99" w:rsidP="001B735F">
      <w:pPr>
        <w:spacing w:before="240" w:after="0"/>
        <w:ind w:left="360"/>
        <w:rPr>
          <w:color w:val="121212"/>
        </w:rPr>
      </w:pPr>
      <w:r w:rsidRPr="001B735F">
        <w:rPr>
          <w:color w:val="121212"/>
        </w:rPr>
        <w:t xml:space="preserve">Pires, T., Pires, P., Moreira, H., Gabriel, R., Viana, S. and Viana, R. (2020). Assessment of pelvic floor muscles in sportswomen: Quality of life and related factors. </w:t>
      </w:r>
      <w:r w:rsidRPr="001B735F">
        <w:rPr>
          <w:i/>
          <w:iCs/>
          <w:color w:val="121212"/>
        </w:rPr>
        <w:t>Physical Therapy in Sport</w:t>
      </w:r>
      <w:r w:rsidRPr="001B735F">
        <w:rPr>
          <w:color w:val="121212"/>
        </w:rPr>
        <w:t>, 43(1), pp.151–156. doi:10.1016/j.ptsp.2020.02.015.</w:t>
      </w:r>
    </w:p>
    <w:p w14:paraId="32427E83" w14:textId="77777777" w:rsidR="00532A99" w:rsidRPr="001B735F" w:rsidRDefault="00532A99" w:rsidP="001B735F">
      <w:pPr>
        <w:spacing w:before="240" w:after="240"/>
        <w:ind w:left="360"/>
        <w:rPr>
          <w:color w:val="121212"/>
        </w:rPr>
      </w:pPr>
      <w:r w:rsidRPr="001B735F">
        <w:rPr>
          <w:color w:val="121212"/>
        </w:rPr>
        <w:t xml:space="preserve">Proctor, C.J., Reiman, A. and Best, L.A. (2023). Cancer, now what? A cross-sectional study examining physical symptoms, subjective well-being, and psychological flexibility. </w:t>
      </w:r>
      <w:r w:rsidRPr="001B735F">
        <w:rPr>
          <w:i/>
          <w:iCs/>
          <w:color w:val="121212"/>
        </w:rPr>
        <w:t>Health Psychology and Behavioral Medicine</w:t>
      </w:r>
      <w:r w:rsidRPr="001B735F">
        <w:rPr>
          <w:color w:val="121212"/>
        </w:rPr>
        <w:t>, 11(1). doi:10.1080/21642850.2023.2266220.</w:t>
      </w:r>
    </w:p>
    <w:p w14:paraId="3BFC36A4" w14:textId="77777777" w:rsidR="00532A99" w:rsidRPr="001B735F" w:rsidRDefault="00532A99" w:rsidP="001B735F">
      <w:pPr>
        <w:spacing w:after="240"/>
        <w:ind w:left="360"/>
        <w:rPr>
          <w:color w:val="121212"/>
          <w:lang w:val="en-IN"/>
        </w:rPr>
      </w:pPr>
      <w:proofErr w:type="spellStart"/>
      <w:r w:rsidRPr="001B735F">
        <w:rPr>
          <w:color w:val="121212"/>
          <w:lang w:val="en-IN"/>
        </w:rPr>
        <w:t>Quaghebeur</w:t>
      </w:r>
      <w:proofErr w:type="spellEnd"/>
      <w:r w:rsidRPr="001B735F">
        <w:rPr>
          <w:color w:val="121212"/>
          <w:lang w:val="en-IN"/>
        </w:rPr>
        <w:t xml:space="preserve">, J., Petros, P., Wyndaele, J.-J. and De Wachter, S. (2021). Pelvic-floor function, dysfunction, and treatment. </w:t>
      </w:r>
      <w:r w:rsidRPr="001B735F">
        <w:rPr>
          <w:i/>
          <w:iCs/>
          <w:color w:val="121212"/>
          <w:lang w:val="en-IN"/>
        </w:rPr>
        <w:t xml:space="preserve">European Journal of Obstetrics, </w:t>
      </w:r>
      <w:proofErr w:type="spellStart"/>
      <w:r w:rsidRPr="001B735F">
        <w:rPr>
          <w:i/>
          <w:iCs/>
          <w:color w:val="121212"/>
          <w:lang w:val="en-IN"/>
        </w:rPr>
        <w:t>Gynecology</w:t>
      </w:r>
      <w:proofErr w:type="spellEnd"/>
      <w:r w:rsidRPr="001B735F">
        <w:rPr>
          <w:i/>
          <w:iCs/>
          <w:color w:val="121212"/>
          <w:lang w:val="en-IN"/>
        </w:rPr>
        <w:t>, and Reproductive Biology</w:t>
      </w:r>
      <w:r w:rsidRPr="001B735F">
        <w:rPr>
          <w:color w:val="121212"/>
          <w:lang w:val="en-IN"/>
        </w:rPr>
        <w:t>, [online] 265, pp.143–149. doi:10.1016/j.ejogrb.2021.08.026.</w:t>
      </w:r>
    </w:p>
    <w:p w14:paraId="55C8FD41" w14:textId="77777777" w:rsidR="00532A99" w:rsidRPr="001B735F" w:rsidRDefault="00532A99" w:rsidP="001B735F">
      <w:pPr>
        <w:spacing w:before="240" w:after="240"/>
        <w:ind w:left="360"/>
        <w:rPr>
          <w:color w:val="121212"/>
        </w:rPr>
      </w:pPr>
      <w:r w:rsidRPr="001B735F">
        <w:rPr>
          <w:color w:val="121212"/>
        </w:rPr>
        <w:t xml:space="preserve">Rcog.org.uk (2023). </w:t>
      </w:r>
      <w:r w:rsidRPr="001B735F">
        <w:rPr>
          <w:i/>
          <w:iCs/>
          <w:color w:val="121212"/>
        </w:rPr>
        <w:t>RCOG calling for action to reduce number of women living with poor pelvic floor health | RCOG</w:t>
      </w:r>
      <w:r w:rsidRPr="001B735F">
        <w:rPr>
          <w:color w:val="121212"/>
        </w:rPr>
        <w:t xml:space="preserve">. [online] RCOG. Available at: </w:t>
      </w:r>
      <w:hyperlink r:id="rId29">
        <w:r w:rsidRPr="001B735F">
          <w:rPr>
            <w:color w:val="121212"/>
            <w:u w:val="single"/>
          </w:rPr>
          <w:t>https://www.rcog.org.uk/news/rcog-calling-for-action-to-reduce-number-of-women-living-with-poor-pelvic-floor-health/</w:t>
        </w:r>
      </w:hyperlink>
      <w:r w:rsidRPr="001B735F">
        <w:rPr>
          <w:color w:val="121212"/>
        </w:rPr>
        <w:t xml:space="preserve"> [Accessed 26 Jun. 2026].</w:t>
      </w:r>
    </w:p>
    <w:p w14:paraId="1AA891FD" w14:textId="77777777" w:rsidR="00532A99" w:rsidRPr="001B735F" w:rsidRDefault="00532A99" w:rsidP="001B735F">
      <w:pPr>
        <w:spacing w:before="240" w:after="240"/>
        <w:ind w:left="360"/>
        <w:rPr>
          <w:color w:val="121212"/>
        </w:rPr>
      </w:pPr>
      <w:r w:rsidRPr="001B735F">
        <w:rPr>
          <w:color w:val="121212"/>
        </w:rPr>
        <w:t xml:space="preserve">Renzi, A., Piacentini, E. and Lingiardi, V. (2026). Preliminary findings from a brief psychodynamic counseling program for university staff: Users’ psychological characteristics and implications for the program’s utility. </w:t>
      </w:r>
      <w:r w:rsidRPr="001B735F">
        <w:rPr>
          <w:i/>
          <w:iCs/>
          <w:color w:val="121212"/>
        </w:rPr>
        <w:t>Research in Psychotherapy: Psychopathology, Process and Outcome</w:t>
      </w:r>
      <w:r w:rsidRPr="001B735F">
        <w:rPr>
          <w:color w:val="121212"/>
        </w:rPr>
        <w:t>. [online] doi:10.4081/ripppo.2026.897.</w:t>
      </w:r>
    </w:p>
    <w:p w14:paraId="4FF5558D" w14:textId="77777777" w:rsidR="00532A99" w:rsidRPr="001B735F" w:rsidRDefault="00532A99" w:rsidP="001B735F">
      <w:pPr>
        <w:spacing w:before="240" w:after="240"/>
        <w:ind w:left="360"/>
        <w:rPr>
          <w:color w:val="121212"/>
        </w:rPr>
      </w:pPr>
      <w:r w:rsidRPr="001B735F">
        <w:rPr>
          <w:color w:val="121212"/>
        </w:rPr>
        <w:t xml:space="preserve">Robinson, O.C. and Bailey-Rodriguez, D. (2025). Deductive qualitative research: An integrative approach to designing studies. </w:t>
      </w:r>
      <w:r w:rsidRPr="001B735F">
        <w:rPr>
          <w:i/>
          <w:iCs/>
          <w:color w:val="121212"/>
        </w:rPr>
        <w:t>Qualitative Research in Psychology</w:t>
      </w:r>
      <w:r w:rsidRPr="001B735F">
        <w:rPr>
          <w:color w:val="121212"/>
        </w:rPr>
        <w:t>, pp.1–16. doi:10.1080/14780887.2025.2604773.</w:t>
      </w:r>
    </w:p>
    <w:p w14:paraId="11DFD65F" w14:textId="77777777" w:rsidR="00532A99" w:rsidRPr="001B735F" w:rsidRDefault="00532A99" w:rsidP="001B735F">
      <w:pPr>
        <w:spacing w:before="240"/>
        <w:ind w:left="360"/>
        <w:rPr>
          <w:color w:val="121212"/>
        </w:rPr>
      </w:pPr>
      <w:r w:rsidRPr="001B735F">
        <w:rPr>
          <w:color w:val="121212"/>
        </w:rPr>
        <w:t xml:space="preserve">Rocholl, M., Ludewig, M., </w:t>
      </w:r>
      <w:proofErr w:type="spellStart"/>
      <w:r w:rsidRPr="001B735F">
        <w:rPr>
          <w:color w:val="121212"/>
        </w:rPr>
        <w:t>Brakemeier</w:t>
      </w:r>
      <w:proofErr w:type="spellEnd"/>
      <w:r w:rsidRPr="001B735F">
        <w:rPr>
          <w:color w:val="121212"/>
        </w:rPr>
        <w:t xml:space="preserve">, C., John, S.M. and Wilke, A. (2021). Illness perceptions of adults with eczematous skin diseases: A systematic mixed studies review. </w:t>
      </w:r>
      <w:r w:rsidRPr="001B735F">
        <w:rPr>
          <w:i/>
          <w:iCs/>
          <w:color w:val="121212"/>
        </w:rPr>
        <w:t>Systematic Reviews</w:t>
      </w:r>
      <w:r w:rsidRPr="001B735F">
        <w:rPr>
          <w:color w:val="121212"/>
        </w:rPr>
        <w:t>, 10(1). doi:10.1186/s13643-021-01687-5.</w:t>
      </w:r>
    </w:p>
    <w:p w14:paraId="532FAD50" w14:textId="77777777" w:rsidR="00532A99" w:rsidRPr="001B735F" w:rsidRDefault="00532A99" w:rsidP="001B735F">
      <w:pPr>
        <w:spacing w:before="240"/>
        <w:ind w:left="360"/>
        <w:rPr>
          <w:color w:val="121212"/>
        </w:rPr>
      </w:pPr>
      <w:r w:rsidRPr="001B735F">
        <w:rPr>
          <w:color w:val="121212"/>
        </w:rPr>
        <w:t xml:space="preserve">Rocio Adriana Peinado Molina, Martínez Vázquez, S., Juan Miguel Martínez Galiano, Rivera Izquierdo, M., Khalid Saeed Khan and </w:t>
      </w:r>
      <w:proofErr w:type="spellStart"/>
      <w:r w:rsidRPr="001B735F">
        <w:rPr>
          <w:color w:val="121212"/>
        </w:rPr>
        <w:t>Cano</w:t>
      </w:r>
      <w:proofErr w:type="spellEnd"/>
      <w:r w:rsidRPr="001B735F">
        <w:rPr>
          <w:rFonts w:ascii="Cambria Math" w:eastAsia="Cambria Math" w:hAnsi="Cambria Math" w:cs="Cambria Math"/>
          <w:color w:val="121212"/>
        </w:rPr>
        <w:t>‐</w:t>
      </w:r>
      <w:r w:rsidRPr="001B735F">
        <w:rPr>
          <w:color w:val="121212"/>
        </w:rPr>
        <w:t xml:space="preserve">Ibáñez, N. (2024). Prevalence of depression and anxiety in women with pelvic floor dysfunctions: A systematic review and </w:t>
      </w:r>
      <w:r w:rsidRPr="001B735F">
        <w:rPr>
          <w:color w:val="121212"/>
        </w:rPr>
        <w:lastRenderedPageBreak/>
        <w:t>meta</w:t>
      </w:r>
      <w:r w:rsidRPr="001B735F">
        <w:rPr>
          <w:rFonts w:ascii="Cambria Math" w:eastAsia="Cambria Math" w:hAnsi="Cambria Math" w:cs="Cambria Math"/>
          <w:color w:val="121212"/>
        </w:rPr>
        <w:t>‐</w:t>
      </w:r>
      <w:r w:rsidRPr="001B735F">
        <w:rPr>
          <w:color w:val="121212"/>
        </w:rPr>
        <w:t xml:space="preserve">analysis. </w:t>
      </w:r>
      <w:r w:rsidRPr="001B735F">
        <w:rPr>
          <w:i/>
          <w:iCs/>
          <w:color w:val="121212"/>
        </w:rPr>
        <w:t>International journal of gynaecology and obstetrics</w:t>
      </w:r>
      <w:r w:rsidRPr="001B735F">
        <w:rPr>
          <w:color w:val="121212"/>
        </w:rPr>
        <w:t>. doi:10.1002/ijgo.15719.</w:t>
      </w:r>
    </w:p>
    <w:p w14:paraId="6718B5BE" w14:textId="77777777" w:rsidR="00532A99" w:rsidRPr="001B735F" w:rsidRDefault="00532A99" w:rsidP="001B735F">
      <w:pPr>
        <w:spacing w:after="240"/>
        <w:ind w:left="360"/>
        <w:rPr>
          <w:color w:val="121212"/>
          <w:lang w:val="en-IN"/>
        </w:rPr>
      </w:pPr>
      <w:r w:rsidRPr="001B735F">
        <w:rPr>
          <w:color w:val="121212"/>
          <w:lang w:val="en-IN"/>
        </w:rPr>
        <w:t xml:space="preserve">Rodríguez-Almagro, J., Hernández Martínez, A., Martínez-Vázquez, S., Peinado Molina, R.A., Bermejo-Cantarero, A. and Martínez-Galiano, J.M. (2024). A qualitative exploration of the perceptions of women living with pelvic floor disorders and factors related to quality of life. </w:t>
      </w:r>
      <w:r w:rsidRPr="001B735F">
        <w:rPr>
          <w:i/>
          <w:iCs/>
          <w:color w:val="121212"/>
          <w:lang w:val="en-IN"/>
        </w:rPr>
        <w:t>Journal of Clinical Medicine</w:t>
      </w:r>
      <w:r w:rsidRPr="001B735F">
        <w:rPr>
          <w:color w:val="121212"/>
          <w:lang w:val="en-IN"/>
        </w:rPr>
        <w:t>, [online] 13(7), p.1896. doi:10.3390/jcm13071896.</w:t>
      </w:r>
    </w:p>
    <w:p w14:paraId="3A013881" w14:textId="77777777" w:rsidR="00532A99" w:rsidRPr="001B735F" w:rsidRDefault="00532A99" w:rsidP="001B735F">
      <w:pPr>
        <w:spacing w:before="240" w:after="240"/>
        <w:ind w:left="360"/>
        <w:rPr>
          <w:color w:val="121212"/>
        </w:rPr>
      </w:pPr>
      <w:r w:rsidRPr="001B735F">
        <w:rPr>
          <w:color w:val="121212"/>
        </w:rPr>
        <w:t xml:space="preserve">Rogers, R.G., </w:t>
      </w:r>
      <w:proofErr w:type="spellStart"/>
      <w:r w:rsidRPr="001B735F">
        <w:rPr>
          <w:color w:val="121212"/>
        </w:rPr>
        <w:t>Ninivaggio</w:t>
      </w:r>
      <w:proofErr w:type="spellEnd"/>
      <w:r w:rsidRPr="001B735F">
        <w:rPr>
          <w:color w:val="121212"/>
        </w:rPr>
        <w:t xml:space="preserve">, C., Gallagher, K., Borders, A.N., Qualls, C. and Leeman, L.M. (2017). Pelvic floor symptoms and quality of life changes during first pregnancy: A prospective cohort study. </w:t>
      </w:r>
      <w:r w:rsidRPr="001B735F">
        <w:rPr>
          <w:i/>
          <w:iCs/>
          <w:color w:val="121212"/>
        </w:rPr>
        <w:t xml:space="preserve">International </w:t>
      </w:r>
      <w:proofErr w:type="spellStart"/>
      <w:r w:rsidRPr="001B735F">
        <w:rPr>
          <w:i/>
          <w:iCs/>
          <w:color w:val="121212"/>
        </w:rPr>
        <w:t>Urogynecology</w:t>
      </w:r>
      <w:proofErr w:type="spellEnd"/>
      <w:r w:rsidRPr="001B735F">
        <w:rPr>
          <w:i/>
          <w:iCs/>
          <w:color w:val="121212"/>
        </w:rPr>
        <w:t xml:space="preserve"> Journal</w:t>
      </w:r>
      <w:r w:rsidRPr="001B735F">
        <w:rPr>
          <w:color w:val="121212"/>
        </w:rPr>
        <w:t>, [online] 28(11), pp.1701–1707. doi:10.1007/s00192-017-3330-7.</w:t>
      </w:r>
    </w:p>
    <w:p w14:paraId="5BE177B7" w14:textId="77777777" w:rsidR="00532A99" w:rsidRPr="001B735F" w:rsidRDefault="00532A99" w:rsidP="001B735F">
      <w:pPr>
        <w:spacing w:before="240"/>
        <w:ind w:left="360"/>
        <w:rPr>
          <w:color w:val="121212"/>
        </w:rPr>
      </w:pPr>
      <w:proofErr w:type="spellStart"/>
      <w:r w:rsidRPr="001B735F">
        <w:rPr>
          <w:color w:val="121212"/>
        </w:rPr>
        <w:t>Rompou</w:t>
      </w:r>
      <w:proofErr w:type="spellEnd"/>
      <w:r w:rsidRPr="001B735F">
        <w:rPr>
          <w:color w:val="121212"/>
        </w:rPr>
        <w:t xml:space="preserve">, A., </w:t>
      </w:r>
      <w:proofErr w:type="spellStart"/>
      <w:r w:rsidRPr="001B735F">
        <w:rPr>
          <w:color w:val="121212"/>
        </w:rPr>
        <w:t>Sarzo</w:t>
      </w:r>
      <w:proofErr w:type="spellEnd"/>
      <w:r w:rsidRPr="001B735F">
        <w:rPr>
          <w:color w:val="121212"/>
        </w:rPr>
        <w:t xml:space="preserve">, C., Fernandes, A., Safadi, F., Renna, M., Hainsworth, A. and Ferrari, L. (2024). Anxiety and depression in colorectal Pelvic Floor Disorders among low Socioeconomic Status and ethnic groups. </w:t>
      </w:r>
      <w:r w:rsidRPr="001B735F">
        <w:rPr>
          <w:i/>
          <w:iCs/>
          <w:color w:val="121212"/>
        </w:rPr>
        <w:t>Continence</w:t>
      </w:r>
      <w:r w:rsidRPr="001B735F">
        <w:rPr>
          <w:color w:val="121212"/>
        </w:rPr>
        <w:t>, [online] 13, p.101734. doi:10.1016/j.cont.2024.101734.</w:t>
      </w:r>
    </w:p>
    <w:p w14:paraId="73BA92ED" w14:textId="77777777" w:rsidR="00532A99" w:rsidRPr="001B735F" w:rsidRDefault="00532A99" w:rsidP="001B735F">
      <w:pPr>
        <w:spacing w:before="240"/>
        <w:ind w:left="360"/>
        <w:rPr>
          <w:color w:val="121212"/>
        </w:rPr>
      </w:pPr>
      <w:r w:rsidRPr="001B735F">
        <w:rPr>
          <w:color w:val="121212"/>
        </w:rPr>
        <w:t xml:space="preserve">Royal College of Obstetricians and Gynaecologists (2023). </w:t>
      </w:r>
      <w:r w:rsidRPr="001B735F">
        <w:rPr>
          <w:i/>
          <w:iCs/>
          <w:color w:val="121212"/>
        </w:rPr>
        <w:t>RCOG calling for action to reduce number of women living with poor pelvic floor health | RCOG</w:t>
      </w:r>
      <w:r w:rsidRPr="001B735F">
        <w:rPr>
          <w:color w:val="121212"/>
        </w:rPr>
        <w:t>. [online] Royal College of Obstetricians and Gynaecologists. Available at: https://www.rcog.org.uk/news/rcog-calling-for-action-to-reduce-number-of-women-living-with-poor-pelvic-floor-health/ [Accessed 15 July 2026].</w:t>
      </w:r>
    </w:p>
    <w:p w14:paraId="57A37A11" w14:textId="77777777" w:rsidR="00532A99" w:rsidRPr="001B735F" w:rsidRDefault="00532A99" w:rsidP="001B735F">
      <w:pPr>
        <w:spacing w:before="240"/>
        <w:ind w:left="360"/>
        <w:rPr>
          <w:color w:val="121212"/>
        </w:rPr>
      </w:pPr>
      <w:r w:rsidRPr="001B735F">
        <w:rPr>
          <w:color w:val="121212"/>
        </w:rPr>
        <w:t xml:space="preserve">Sebring, J.C.H., Kelly, C., McPhail, D. and Woodgate, R.L. (2023). Medical invalidation in the clinical encounter: A qualitative study of the health care experiences of young women and nonbinary people living with chronic illnesses. </w:t>
      </w:r>
      <w:r w:rsidRPr="001B735F">
        <w:rPr>
          <w:i/>
          <w:iCs/>
          <w:color w:val="121212"/>
        </w:rPr>
        <w:t>Canadian Medical Association Open Access Journal</w:t>
      </w:r>
      <w:r w:rsidRPr="001B735F">
        <w:rPr>
          <w:color w:val="121212"/>
        </w:rPr>
        <w:t>, [online] 11(5), pp.E915–E921. doi:10.9778/cmajo.20220212.</w:t>
      </w:r>
    </w:p>
    <w:p w14:paraId="358ED4A3" w14:textId="77777777" w:rsidR="00532A99" w:rsidRPr="001B735F" w:rsidRDefault="00532A99" w:rsidP="001B735F">
      <w:pPr>
        <w:spacing w:before="240" w:after="240"/>
        <w:ind w:left="360"/>
        <w:rPr>
          <w:color w:val="121212"/>
        </w:rPr>
      </w:pPr>
      <w:proofErr w:type="spellStart"/>
      <w:r w:rsidRPr="001B735F">
        <w:rPr>
          <w:color w:val="121212"/>
        </w:rPr>
        <w:t>Selinheimo</w:t>
      </w:r>
      <w:proofErr w:type="spellEnd"/>
      <w:r w:rsidRPr="001B735F">
        <w:rPr>
          <w:color w:val="121212"/>
        </w:rPr>
        <w:t xml:space="preserve">, S., Vuokko, A., Lappalainen, P., Keinonen, K., Tolvanen, A., Lappalainen, R., Sainio, M. and Paunio, T. (2026). The role of psychological flexibility in health-related quality of life among patients with persistent physical symptoms associated with indoor environment and chronic fatigue – 9-Month follow-up of a randomized controlled trial. </w:t>
      </w:r>
      <w:r w:rsidRPr="001B735F">
        <w:rPr>
          <w:i/>
          <w:iCs/>
          <w:color w:val="121212"/>
        </w:rPr>
        <w:t>International Journal of Behavioral Medicine</w:t>
      </w:r>
      <w:r w:rsidRPr="001B735F">
        <w:rPr>
          <w:color w:val="121212"/>
        </w:rPr>
        <w:t>. doi:10.1007/s12529-026-10477-z.</w:t>
      </w:r>
    </w:p>
    <w:p w14:paraId="438051B9" w14:textId="77777777" w:rsidR="00532A99" w:rsidRPr="001B735F" w:rsidRDefault="00532A99" w:rsidP="001B735F">
      <w:pPr>
        <w:spacing w:before="240" w:after="240"/>
        <w:ind w:left="360"/>
        <w:rPr>
          <w:color w:val="121212"/>
        </w:rPr>
      </w:pPr>
      <w:proofErr w:type="spellStart"/>
      <w:r w:rsidRPr="001B735F">
        <w:rPr>
          <w:color w:val="121212"/>
        </w:rPr>
        <w:t>Slomian</w:t>
      </w:r>
      <w:proofErr w:type="spellEnd"/>
      <w:r w:rsidRPr="001B735F">
        <w:rPr>
          <w:color w:val="121212"/>
        </w:rPr>
        <w:t xml:space="preserve">, J., </w:t>
      </w:r>
      <w:proofErr w:type="spellStart"/>
      <w:r w:rsidRPr="001B735F">
        <w:rPr>
          <w:color w:val="121212"/>
        </w:rPr>
        <w:t>Honvo</w:t>
      </w:r>
      <w:proofErr w:type="spellEnd"/>
      <w:r w:rsidRPr="001B735F">
        <w:rPr>
          <w:color w:val="121212"/>
        </w:rPr>
        <w:t xml:space="preserve">, G., </w:t>
      </w:r>
      <w:proofErr w:type="spellStart"/>
      <w:r w:rsidRPr="001B735F">
        <w:rPr>
          <w:color w:val="121212"/>
        </w:rPr>
        <w:t>Emonts</w:t>
      </w:r>
      <w:proofErr w:type="spellEnd"/>
      <w:r w:rsidRPr="001B735F">
        <w:rPr>
          <w:color w:val="121212"/>
        </w:rPr>
        <w:t xml:space="preserve">, P., </w:t>
      </w:r>
      <w:proofErr w:type="spellStart"/>
      <w:r w:rsidRPr="001B735F">
        <w:rPr>
          <w:color w:val="121212"/>
        </w:rPr>
        <w:t>Reginster</w:t>
      </w:r>
      <w:proofErr w:type="spellEnd"/>
      <w:r w:rsidRPr="001B735F">
        <w:rPr>
          <w:color w:val="121212"/>
        </w:rPr>
        <w:t xml:space="preserve">, J.-Y. and Bruyère, O. (2019). Consequences of maternal postpartum depression: a systematic review of maternal and infant outcomes. </w:t>
      </w:r>
      <w:r w:rsidRPr="001B735F">
        <w:rPr>
          <w:i/>
          <w:iCs/>
          <w:color w:val="121212"/>
        </w:rPr>
        <w:t>Women’s Health</w:t>
      </w:r>
      <w:r w:rsidRPr="001B735F">
        <w:rPr>
          <w:color w:val="121212"/>
        </w:rPr>
        <w:t>, [online] 15(15), p.174550651984404. doi:</w:t>
      </w:r>
      <w:hyperlink r:id="rId30">
        <w:r w:rsidRPr="001B735F">
          <w:rPr>
            <w:color w:val="121212"/>
            <w:u w:val="single"/>
          </w:rPr>
          <w:t>https://doi.org/10.1177/1745506519844044</w:t>
        </w:r>
      </w:hyperlink>
      <w:r w:rsidRPr="001B735F">
        <w:rPr>
          <w:color w:val="121212"/>
        </w:rPr>
        <w:t xml:space="preserve">. </w:t>
      </w:r>
    </w:p>
    <w:p w14:paraId="2CCBFE40" w14:textId="77777777" w:rsidR="00532A99" w:rsidRPr="001B735F" w:rsidRDefault="00532A99" w:rsidP="001B735F">
      <w:pPr>
        <w:spacing w:before="240" w:after="240"/>
        <w:ind w:left="360"/>
        <w:rPr>
          <w:color w:val="121212"/>
        </w:rPr>
      </w:pPr>
      <w:r w:rsidRPr="001B735F">
        <w:rPr>
          <w:color w:val="121212"/>
        </w:rPr>
        <w:lastRenderedPageBreak/>
        <w:t xml:space="preserve">Sony, E., Ali, E., Cletus, E., Agbakhamen, O., </w:t>
      </w:r>
      <w:proofErr w:type="spellStart"/>
      <w:r w:rsidRPr="001B735F">
        <w:rPr>
          <w:color w:val="121212"/>
        </w:rPr>
        <w:t>Ogheneteme</w:t>
      </w:r>
      <w:proofErr w:type="spellEnd"/>
      <w:r w:rsidRPr="001B735F">
        <w:rPr>
          <w:color w:val="121212"/>
        </w:rPr>
        <w:t xml:space="preserve">, E. and Okoro, P. (2025). Ethical standards in research: A professional imperative. </w:t>
      </w:r>
      <w:r w:rsidRPr="001B735F">
        <w:rPr>
          <w:i/>
          <w:iCs/>
          <w:color w:val="121212"/>
        </w:rPr>
        <w:t>International Journal of Innovative Scientific &amp; Engineering Technologies Research</w:t>
      </w:r>
      <w:r w:rsidRPr="001B735F">
        <w:rPr>
          <w:color w:val="121212"/>
        </w:rPr>
        <w:t>, [online] 13(1), pp.94–104. doi:10.5281/zenodo.14875237.</w:t>
      </w:r>
    </w:p>
    <w:p w14:paraId="28E5A123" w14:textId="77777777" w:rsidR="00532A99" w:rsidRPr="001B735F" w:rsidRDefault="00532A99" w:rsidP="001B735F">
      <w:pPr>
        <w:spacing w:before="240"/>
        <w:ind w:left="360"/>
        <w:rPr>
          <w:color w:val="121212"/>
        </w:rPr>
      </w:pPr>
      <w:r w:rsidRPr="001B735F">
        <w:rPr>
          <w:color w:val="121212"/>
        </w:rPr>
        <w:t xml:space="preserve">Teoli, D. and Bhardwaj, A. (2023). </w:t>
      </w:r>
      <w:r w:rsidRPr="001B735F">
        <w:rPr>
          <w:i/>
          <w:iCs/>
          <w:color w:val="121212"/>
        </w:rPr>
        <w:t>Quality of Life</w:t>
      </w:r>
      <w:r w:rsidRPr="001B735F">
        <w:rPr>
          <w:color w:val="121212"/>
        </w:rPr>
        <w:t>. [online] PubMed. Available at: https://www.ncbi.nlm.nih.gov/books/NBK536962/ [Accessed 15 July 2026].</w:t>
      </w:r>
    </w:p>
    <w:p w14:paraId="0C6384EC" w14:textId="77777777" w:rsidR="00532A99" w:rsidRPr="001B735F" w:rsidRDefault="00532A99" w:rsidP="001B735F">
      <w:pPr>
        <w:spacing w:before="240" w:after="240"/>
        <w:ind w:left="360"/>
        <w:rPr>
          <w:color w:val="121212"/>
        </w:rPr>
      </w:pPr>
      <w:r w:rsidRPr="001B735F">
        <w:rPr>
          <w:color w:val="121212"/>
        </w:rPr>
        <w:t xml:space="preserve">Terefe, A.B., </w:t>
      </w:r>
      <w:proofErr w:type="spellStart"/>
      <w:r w:rsidRPr="001B735F">
        <w:rPr>
          <w:color w:val="121212"/>
        </w:rPr>
        <w:t>Gudeta</w:t>
      </w:r>
      <w:proofErr w:type="spellEnd"/>
      <w:r w:rsidRPr="001B735F">
        <w:rPr>
          <w:color w:val="121212"/>
        </w:rPr>
        <w:t xml:space="preserve">, T.G., Mengistu, G.T. and Sori, S.A. (2022). Determinants of Pelvic Floor Disorders among Women Visiting the </w:t>
      </w:r>
      <w:proofErr w:type="spellStart"/>
      <w:r w:rsidRPr="001B735F">
        <w:rPr>
          <w:color w:val="121212"/>
        </w:rPr>
        <w:t>Gynecology</w:t>
      </w:r>
      <w:proofErr w:type="spellEnd"/>
      <w:r w:rsidRPr="001B735F">
        <w:rPr>
          <w:color w:val="121212"/>
        </w:rPr>
        <w:t xml:space="preserve"> Outpatient Department in </w:t>
      </w:r>
      <w:proofErr w:type="spellStart"/>
      <w:r w:rsidRPr="001B735F">
        <w:rPr>
          <w:color w:val="121212"/>
        </w:rPr>
        <w:t>Wolkite</w:t>
      </w:r>
      <w:proofErr w:type="spellEnd"/>
      <w:r w:rsidRPr="001B735F">
        <w:rPr>
          <w:color w:val="121212"/>
        </w:rPr>
        <w:t xml:space="preserve"> University Specialized Center, </w:t>
      </w:r>
      <w:proofErr w:type="spellStart"/>
      <w:r w:rsidRPr="001B735F">
        <w:rPr>
          <w:color w:val="121212"/>
        </w:rPr>
        <w:t>Wolkite</w:t>
      </w:r>
      <w:proofErr w:type="spellEnd"/>
      <w:r w:rsidRPr="001B735F">
        <w:rPr>
          <w:color w:val="121212"/>
        </w:rPr>
        <w:t xml:space="preserve">, Ethiopia. </w:t>
      </w:r>
      <w:r w:rsidRPr="001B735F">
        <w:rPr>
          <w:i/>
          <w:iCs/>
          <w:color w:val="121212"/>
        </w:rPr>
        <w:t xml:space="preserve">Obstetrics and </w:t>
      </w:r>
      <w:proofErr w:type="spellStart"/>
      <w:r w:rsidRPr="001B735F">
        <w:rPr>
          <w:i/>
          <w:iCs/>
          <w:color w:val="121212"/>
        </w:rPr>
        <w:t>Gynecology</w:t>
      </w:r>
      <w:proofErr w:type="spellEnd"/>
      <w:r w:rsidRPr="001B735F">
        <w:rPr>
          <w:i/>
          <w:iCs/>
          <w:color w:val="121212"/>
        </w:rPr>
        <w:t xml:space="preserve"> International</w:t>
      </w:r>
      <w:r w:rsidRPr="001B735F">
        <w:rPr>
          <w:color w:val="121212"/>
        </w:rPr>
        <w:t>, [online] 2022, p.e6949700. doi:</w:t>
      </w:r>
      <w:hyperlink r:id="rId31">
        <w:r w:rsidRPr="001B735F">
          <w:rPr>
            <w:color w:val="121212"/>
            <w:u w:val="single"/>
          </w:rPr>
          <w:t>https://doi.org/10.1155/2022/6949700</w:t>
        </w:r>
      </w:hyperlink>
      <w:r w:rsidRPr="001B735F">
        <w:rPr>
          <w:color w:val="121212"/>
        </w:rPr>
        <w:t xml:space="preserve">. </w:t>
      </w:r>
    </w:p>
    <w:p w14:paraId="60EF16F7" w14:textId="77777777" w:rsidR="00532A99" w:rsidRPr="001B735F" w:rsidRDefault="00532A99" w:rsidP="001B735F">
      <w:pPr>
        <w:spacing w:after="240"/>
        <w:ind w:left="360"/>
        <w:rPr>
          <w:color w:val="121212"/>
          <w:lang w:val="en-IN"/>
        </w:rPr>
      </w:pPr>
      <w:r w:rsidRPr="001B735F">
        <w:rPr>
          <w:color w:val="121212"/>
          <w:lang w:val="en-IN"/>
        </w:rPr>
        <w:t xml:space="preserve">Thomas, L. (2023). </w:t>
      </w:r>
      <w:r w:rsidRPr="001B735F">
        <w:rPr>
          <w:i/>
          <w:iCs/>
          <w:color w:val="121212"/>
          <w:lang w:val="en-IN"/>
        </w:rPr>
        <w:t>Improving care for patients with pelvic floor dysfunction - ProQuest</w:t>
      </w:r>
      <w:r w:rsidRPr="001B735F">
        <w:rPr>
          <w:color w:val="121212"/>
          <w:lang w:val="en-IN"/>
        </w:rPr>
        <w:t>. [online] Proquest.com. Available at: https://search.proquest.com/openview/3d7bfa2b9cce978c1ef0851a7b16602c/1?pq-origsite=gscholar&amp;cbl=2026366&amp;diss=y [Accessed 24 Sept. 2026].</w:t>
      </w:r>
    </w:p>
    <w:p w14:paraId="4F50FBA3" w14:textId="77777777" w:rsidR="00532A99" w:rsidRPr="001B735F" w:rsidRDefault="00532A99" w:rsidP="001B735F">
      <w:pPr>
        <w:spacing w:before="240"/>
        <w:ind w:left="360"/>
        <w:rPr>
          <w:color w:val="121212"/>
        </w:rPr>
      </w:pPr>
      <w:r w:rsidRPr="001B735F">
        <w:rPr>
          <w:color w:val="121212"/>
        </w:rPr>
        <w:t xml:space="preserve">Tim, S. and Mazur-Bialy, A.I. (2021). The Most Common Functional Disorders and Factors Affecting Female Pelvic Floor. </w:t>
      </w:r>
      <w:r w:rsidRPr="001B735F">
        <w:rPr>
          <w:i/>
          <w:iCs/>
          <w:color w:val="121212"/>
        </w:rPr>
        <w:t>Life</w:t>
      </w:r>
      <w:r w:rsidRPr="001B735F">
        <w:rPr>
          <w:color w:val="121212"/>
        </w:rPr>
        <w:t>, 11(12), p.1397. doi:10.3390/life11121397.</w:t>
      </w:r>
    </w:p>
    <w:p w14:paraId="70D28A5B" w14:textId="77777777" w:rsidR="00532A99" w:rsidRPr="001B735F" w:rsidRDefault="00532A99" w:rsidP="001B735F">
      <w:pPr>
        <w:spacing w:before="240"/>
        <w:ind w:left="360"/>
        <w:rPr>
          <w:color w:val="121212"/>
        </w:rPr>
      </w:pPr>
      <w:r w:rsidRPr="001B735F">
        <w:rPr>
          <w:color w:val="121212"/>
        </w:rPr>
        <w:t xml:space="preserve">Tsai, T.-Y., Huang, S.-H., Liao, C.-K., Tsai, K.-Y., Hsieh, P.-S., Chiang, S.-F. and </w:t>
      </w:r>
      <w:proofErr w:type="spellStart"/>
      <w:r w:rsidRPr="001B735F">
        <w:rPr>
          <w:color w:val="121212"/>
        </w:rPr>
        <w:t>Hiraike</w:t>
      </w:r>
      <w:proofErr w:type="spellEnd"/>
      <w:r w:rsidRPr="001B735F">
        <w:rPr>
          <w:color w:val="121212"/>
        </w:rPr>
        <w:t xml:space="preserve">, O. (2025). Multidisciplinary Team Approach to Pelvic Floor Disorders: A Systematic Review. </w:t>
      </w:r>
      <w:r w:rsidRPr="001B735F">
        <w:rPr>
          <w:i/>
          <w:iCs/>
          <w:color w:val="121212"/>
        </w:rPr>
        <w:t>Biomedical Journal</w:t>
      </w:r>
      <w:r w:rsidRPr="001B735F">
        <w:rPr>
          <w:color w:val="121212"/>
        </w:rPr>
        <w:t>, [online] p.100912. doi:10.1016/j.bj.2025.100912.</w:t>
      </w:r>
    </w:p>
    <w:p w14:paraId="5812C5B6" w14:textId="77777777" w:rsidR="00532A99" w:rsidRPr="001B735F" w:rsidRDefault="00532A99" w:rsidP="001B735F">
      <w:pPr>
        <w:spacing w:after="240"/>
        <w:ind w:left="360"/>
        <w:rPr>
          <w:color w:val="121212"/>
          <w:lang w:val="en-IN"/>
        </w:rPr>
      </w:pPr>
      <w:r w:rsidRPr="001B735F">
        <w:rPr>
          <w:color w:val="121212"/>
          <w:lang w:val="en-IN"/>
        </w:rPr>
        <w:t xml:space="preserve">Tsai, T.-Y., Huang, S.-H., Liao, C.-K., Tsai, K.-Y., Hsieh, P.-S., Chiang, S.-F. and </w:t>
      </w:r>
      <w:proofErr w:type="spellStart"/>
      <w:r w:rsidRPr="001B735F">
        <w:rPr>
          <w:color w:val="121212"/>
          <w:lang w:val="en-IN"/>
        </w:rPr>
        <w:t>Hiraike</w:t>
      </w:r>
      <w:proofErr w:type="spellEnd"/>
      <w:r w:rsidRPr="001B735F">
        <w:rPr>
          <w:color w:val="121212"/>
          <w:lang w:val="en-IN"/>
        </w:rPr>
        <w:t xml:space="preserve">, O. (2025). Multidisciplinary team approach to pelvic floor disorders: A systematic review. </w:t>
      </w:r>
      <w:r w:rsidRPr="001B735F">
        <w:rPr>
          <w:i/>
          <w:iCs/>
          <w:color w:val="121212"/>
          <w:lang w:val="en-IN"/>
        </w:rPr>
        <w:t>Biomedical Journal</w:t>
      </w:r>
      <w:r w:rsidRPr="001B735F">
        <w:rPr>
          <w:color w:val="121212"/>
          <w:lang w:val="en-IN"/>
        </w:rPr>
        <w:t>, [online] p.100912. doi:10.1016/j.bj.2025.100912.</w:t>
      </w:r>
    </w:p>
    <w:p w14:paraId="6337AC4F" w14:textId="77777777" w:rsidR="00532A99" w:rsidRPr="001B735F" w:rsidRDefault="00532A99" w:rsidP="001B735F">
      <w:pPr>
        <w:spacing w:before="240" w:after="0"/>
        <w:ind w:left="360"/>
        <w:rPr>
          <w:color w:val="121212"/>
        </w:rPr>
      </w:pPr>
      <w:proofErr w:type="spellStart"/>
      <w:r w:rsidRPr="001B735F">
        <w:rPr>
          <w:color w:val="121212"/>
        </w:rPr>
        <w:t>Tsinisizeli</w:t>
      </w:r>
      <w:proofErr w:type="spellEnd"/>
      <w:r w:rsidRPr="001B735F">
        <w:rPr>
          <w:color w:val="121212"/>
        </w:rPr>
        <w:t xml:space="preserve">, N.P., </w:t>
      </w:r>
      <w:proofErr w:type="spellStart"/>
      <w:r w:rsidRPr="001B735F">
        <w:rPr>
          <w:color w:val="121212"/>
        </w:rPr>
        <w:t>Kyrkou</w:t>
      </w:r>
      <w:proofErr w:type="spellEnd"/>
      <w:r w:rsidRPr="001B735F">
        <w:rPr>
          <w:color w:val="121212"/>
        </w:rPr>
        <w:t xml:space="preserve">, G.A., </w:t>
      </w:r>
      <w:proofErr w:type="spellStart"/>
      <w:r w:rsidRPr="001B735F">
        <w:rPr>
          <w:color w:val="121212"/>
        </w:rPr>
        <w:t>Tsolaridou</w:t>
      </w:r>
      <w:proofErr w:type="spellEnd"/>
      <w:r w:rsidRPr="001B735F">
        <w:rPr>
          <w:color w:val="121212"/>
        </w:rPr>
        <w:t xml:space="preserve">, E.P., Kypraiou, E. D, Komseli, E.A. and </w:t>
      </w:r>
      <w:proofErr w:type="spellStart"/>
      <w:r w:rsidRPr="001B735F">
        <w:rPr>
          <w:color w:val="121212"/>
        </w:rPr>
        <w:t>Lykeridou</w:t>
      </w:r>
      <w:proofErr w:type="spellEnd"/>
      <w:r w:rsidRPr="001B735F">
        <w:rPr>
          <w:color w:val="121212"/>
        </w:rPr>
        <w:t xml:space="preserve">, A.E. (2023). The knowledge of correlation of pelvic floor disorders with maternal and obstetrics characteristics, overtime. </w:t>
      </w:r>
      <w:r w:rsidRPr="001B735F">
        <w:rPr>
          <w:i/>
          <w:iCs/>
          <w:color w:val="121212"/>
        </w:rPr>
        <w:t>European Journal of Midwifery</w:t>
      </w:r>
      <w:r w:rsidRPr="001B735F">
        <w:rPr>
          <w:color w:val="121212"/>
        </w:rPr>
        <w:t>, 7(Supplement 1). doi:10.18332/</w:t>
      </w:r>
      <w:proofErr w:type="spellStart"/>
      <w:r w:rsidRPr="001B735F">
        <w:rPr>
          <w:color w:val="121212"/>
        </w:rPr>
        <w:t>ejm</w:t>
      </w:r>
      <w:proofErr w:type="spellEnd"/>
      <w:r w:rsidRPr="001B735F">
        <w:rPr>
          <w:color w:val="121212"/>
        </w:rPr>
        <w:t>/171987.</w:t>
      </w:r>
    </w:p>
    <w:p w14:paraId="69DA40B1" w14:textId="77777777" w:rsidR="00532A99" w:rsidRPr="001B735F" w:rsidRDefault="00532A99" w:rsidP="001B735F">
      <w:pPr>
        <w:spacing w:before="240" w:after="240"/>
        <w:ind w:left="360"/>
        <w:rPr>
          <w:color w:val="121212"/>
        </w:rPr>
      </w:pPr>
      <w:r w:rsidRPr="001B735F">
        <w:rPr>
          <w:color w:val="121212"/>
        </w:rPr>
        <w:t xml:space="preserve">Uttley, L., </w:t>
      </w:r>
      <w:proofErr w:type="spellStart"/>
      <w:r w:rsidRPr="001B735F">
        <w:rPr>
          <w:color w:val="121212"/>
        </w:rPr>
        <w:t>Quintana</w:t>
      </w:r>
      <w:proofErr w:type="spellEnd"/>
      <w:r w:rsidRPr="001B735F">
        <w:rPr>
          <w:color w:val="121212"/>
        </w:rPr>
        <w:t xml:space="preserve">, D.S., Montgomery, P., Carroll, C., Page, M.J., Falzon, L., Sutton, A. and Moher, D. (2023). The problems with systematic reviews: A living systematic review. </w:t>
      </w:r>
      <w:r w:rsidRPr="001B735F">
        <w:rPr>
          <w:i/>
          <w:iCs/>
          <w:color w:val="121212"/>
        </w:rPr>
        <w:t>Journal of Clinical Epidemiology</w:t>
      </w:r>
      <w:r w:rsidRPr="001B735F">
        <w:rPr>
          <w:color w:val="121212"/>
        </w:rPr>
        <w:t>, 156(5), pp.30–41. doi:10.1016/j.jclinepi.2023.01.011.</w:t>
      </w:r>
    </w:p>
    <w:p w14:paraId="74F0B903" w14:textId="77777777" w:rsidR="00532A99" w:rsidRPr="001B735F" w:rsidRDefault="00532A99" w:rsidP="001B735F">
      <w:pPr>
        <w:spacing w:before="240" w:after="0"/>
        <w:ind w:left="360"/>
        <w:rPr>
          <w:color w:val="121212"/>
        </w:rPr>
      </w:pPr>
      <w:r w:rsidRPr="001B735F">
        <w:rPr>
          <w:color w:val="121212"/>
        </w:rPr>
        <w:t xml:space="preserve">Vemulapalli, R., Ngobi, M.D., </w:t>
      </w:r>
      <w:proofErr w:type="spellStart"/>
      <w:r w:rsidRPr="001B735F">
        <w:rPr>
          <w:color w:val="121212"/>
        </w:rPr>
        <w:t>Kiweewa</w:t>
      </w:r>
      <w:proofErr w:type="spellEnd"/>
      <w:r w:rsidRPr="001B735F">
        <w:rPr>
          <w:color w:val="121212"/>
        </w:rPr>
        <w:t xml:space="preserve">, F.M., Jensen, J.E., </w:t>
      </w:r>
      <w:proofErr w:type="spellStart"/>
      <w:r w:rsidRPr="001B735F">
        <w:rPr>
          <w:color w:val="121212"/>
        </w:rPr>
        <w:t>Fleecs</w:t>
      </w:r>
      <w:proofErr w:type="spellEnd"/>
      <w:r w:rsidRPr="001B735F">
        <w:rPr>
          <w:color w:val="121212"/>
        </w:rPr>
        <w:t xml:space="preserve">, J.D., Steffen, H.A., Wendt, L.H., Jackson, J.B. and Kenne, K.A. (2024). Pelvic floor disorder prevalence and </w:t>
      </w:r>
      <w:r w:rsidRPr="001B735F">
        <w:rPr>
          <w:color w:val="121212"/>
        </w:rPr>
        <w:lastRenderedPageBreak/>
        <w:t xml:space="preserve">risk factors in a cohort of parous Ugandan women. </w:t>
      </w:r>
      <w:r w:rsidRPr="001B735F">
        <w:rPr>
          <w:i/>
          <w:iCs/>
          <w:color w:val="121212"/>
        </w:rPr>
        <w:t xml:space="preserve">International Journal of </w:t>
      </w:r>
      <w:proofErr w:type="spellStart"/>
      <w:r w:rsidRPr="001B735F">
        <w:rPr>
          <w:i/>
          <w:iCs/>
          <w:color w:val="121212"/>
        </w:rPr>
        <w:t>Gynecology</w:t>
      </w:r>
      <w:proofErr w:type="spellEnd"/>
      <w:r w:rsidRPr="001B735F">
        <w:rPr>
          <w:i/>
          <w:iCs/>
          <w:color w:val="121212"/>
        </w:rPr>
        <w:t xml:space="preserve"> &amp; Obstetrics</w:t>
      </w:r>
      <w:r w:rsidRPr="001B735F">
        <w:rPr>
          <w:color w:val="121212"/>
        </w:rPr>
        <w:t>, 168(1), pp.362–368. doi:10.1002/ijgo.15853.</w:t>
      </w:r>
    </w:p>
    <w:p w14:paraId="51F6ABD0" w14:textId="77777777" w:rsidR="00532A99" w:rsidRPr="001B735F" w:rsidRDefault="00532A99" w:rsidP="001B735F">
      <w:pPr>
        <w:spacing w:before="240" w:after="0"/>
        <w:ind w:left="360"/>
        <w:rPr>
          <w:color w:val="121212"/>
        </w:rPr>
      </w:pPr>
      <w:r w:rsidRPr="001B735F">
        <w:rPr>
          <w:color w:val="121212"/>
        </w:rPr>
        <w:t xml:space="preserve">Vico-Moreno, E., Romero-Franco, N., Bosch-Donate, E., Martínez-Bueso, M. de la P., González-Trujillo, A. and Fernández-Domínguez, J.C. (2026). Association between pelvic floor care practices and symptoms in female track and field athletes: A cross-sectional study. </w:t>
      </w:r>
      <w:proofErr w:type="spellStart"/>
      <w:r w:rsidRPr="001B735F">
        <w:rPr>
          <w:i/>
          <w:iCs/>
          <w:color w:val="121212"/>
        </w:rPr>
        <w:t>Gynecology</w:t>
      </w:r>
      <w:proofErr w:type="spellEnd"/>
      <w:r w:rsidRPr="001B735F">
        <w:rPr>
          <w:i/>
          <w:iCs/>
          <w:color w:val="121212"/>
        </w:rPr>
        <w:t xml:space="preserve"> and Pelvic Medicine</w:t>
      </w:r>
      <w:r w:rsidRPr="001B735F">
        <w:rPr>
          <w:color w:val="121212"/>
        </w:rPr>
        <w:t>, 9(0). doi:10.21037/gpm-2025-1-53.</w:t>
      </w:r>
    </w:p>
    <w:p w14:paraId="7F2A30FC" w14:textId="77777777" w:rsidR="00532A99" w:rsidRPr="001B735F" w:rsidRDefault="00532A99" w:rsidP="001B735F">
      <w:pPr>
        <w:spacing w:before="240" w:after="0"/>
        <w:ind w:left="360"/>
        <w:rPr>
          <w:color w:val="121212"/>
        </w:rPr>
      </w:pPr>
      <w:r w:rsidRPr="001B735F">
        <w:rPr>
          <w:color w:val="121212"/>
          <w:lang w:val="de-AT"/>
        </w:rPr>
        <w:t xml:space="preserve">Vrijens, D., Berghmans, B., Nieman, F., van Os, J., van Koeveringe, G. and Leue, C. (2017). </w:t>
      </w:r>
      <w:r w:rsidRPr="001B735F">
        <w:rPr>
          <w:color w:val="121212"/>
        </w:rPr>
        <w:t xml:space="preserve">Prevalence of anxiety and depressive symptoms and their association with pelvic floor dysfunctions-a cross sectional cohort study at a pelvic care centre. </w:t>
      </w:r>
      <w:proofErr w:type="spellStart"/>
      <w:r w:rsidRPr="001B735F">
        <w:rPr>
          <w:i/>
          <w:iCs/>
          <w:color w:val="121212"/>
        </w:rPr>
        <w:t>Neurourology</w:t>
      </w:r>
      <w:proofErr w:type="spellEnd"/>
      <w:r w:rsidRPr="001B735F">
        <w:rPr>
          <w:i/>
          <w:iCs/>
          <w:color w:val="121212"/>
        </w:rPr>
        <w:t xml:space="preserve"> and Urodynamics</w:t>
      </w:r>
      <w:r w:rsidRPr="001B735F">
        <w:rPr>
          <w:color w:val="121212"/>
        </w:rPr>
        <w:t>, 36(7), pp.1816–1823. doi:10.1002/nau.23186.</w:t>
      </w:r>
    </w:p>
    <w:p w14:paraId="10A63F5E" w14:textId="77777777" w:rsidR="00532A99" w:rsidRPr="001B735F" w:rsidRDefault="00532A99" w:rsidP="001B735F">
      <w:pPr>
        <w:spacing w:before="240"/>
        <w:ind w:left="360"/>
        <w:rPr>
          <w:color w:val="121212"/>
        </w:rPr>
      </w:pPr>
      <w:r w:rsidRPr="001B735F">
        <w:rPr>
          <w:color w:val="121212"/>
        </w:rPr>
        <w:t xml:space="preserve">WashU Medicine Department of Surgery (2021). </w:t>
      </w:r>
      <w:r w:rsidRPr="001B735F">
        <w:rPr>
          <w:i/>
          <w:iCs/>
          <w:color w:val="121212"/>
        </w:rPr>
        <w:t>Three aspects of health and healing: The biopsychosocial model in medicine</w:t>
      </w:r>
      <w:r w:rsidRPr="001B735F">
        <w:rPr>
          <w:color w:val="121212"/>
        </w:rPr>
        <w:t>. [online] WashU Medicine Department of Surgery. Available at: https://surgery.wustl.edu/three-aspects-of-health-and-healing-the-biopsychosocial-model/ [Accessed 15 July 2026].</w:t>
      </w:r>
    </w:p>
    <w:p w14:paraId="54D9AA86" w14:textId="77777777" w:rsidR="00532A99" w:rsidRPr="001B735F" w:rsidRDefault="00532A99" w:rsidP="001B735F">
      <w:pPr>
        <w:spacing w:before="240"/>
        <w:ind w:left="360"/>
        <w:rPr>
          <w:color w:val="121212"/>
        </w:rPr>
      </w:pPr>
      <w:proofErr w:type="spellStart"/>
      <w:r w:rsidRPr="001B735F">
        <w:rPr>
          <w:color w:val="121212"/>
        </w:rPr>
        <w:t>Wesseldijk</w:t>
      </w:r>
      <w:proofErr w:type="spellEnd"/>
      <w:r w:rsidRPr="001B735F">
        <w:rPr>
          <w:color w:val="121212"/>
        </w:rPr>
        <w:t xml:space="preserve">, K.G., Hannah, Horst, E., Grietje E. Knol-de Vries and Blanker, M.H. (2024). Differences in help-seeking behaviour between males and females with multiple pelvic floor symptoms: A qualitative study. </w:t>
      </w:r>
      <w:r w:rsidRPr="001B735F">
        <w:rPr>
          <w:i/>
          <w:iCs/>
          <w:color w:val="121212"/>
        </w:rPr>
        <w:t>Heliyon</w:t>
      </w:r>
      <w:r w:rsidRPr="001B735F">
        <w:rPr>
          <w:color w:val="121212"/>
        </w:rPr>
        <w:t>, 10(7), pp.e29110-e29110. doi:10.1016/j.heliyon.2024.e29110.</w:t>
      </w:r>
    </w:p>
    <w:p w14:paraId="3D6FCB6B" w14:textId="77777777" w:rsidR="00532A99" w:rsidRPr="001B735F" w:rsidRDefault="00532A99" w:rsidP="001B735F">
      <w:pPr>
        <w:spacing w:before="240"/>
        <w:ind w:left="360"/>
        <w:rPr>
          <w:color w:val="121212"/>
        </w:rPr>
      </w:pPr>
      <w:r w:rsidRPr="001B735F">
        <w:rPr>
          <w:color w:val="121212"/>
        </w:rPr>
        <w:t xml:space="preserve">Wong, B.W.X., Smagula, S.F., Shen, L., Chan, Y.H., Cauley, J.A. and Yong, E.-L. (2025). Pelvic floor symptom progression increases risk for depression, while better physical performance is protective in Asian midlife women. </w:t>
      </w:r>
      <w:r w:rsidRPr="001B735F">
        <w:rPr>
          <w:i/>
          <w:iCs/>
          <w:color w:val="121212"/>
        </w:rPr>
        <w:t>Scientific Reports</w:t>
      </w:r>
      <w:r w:rsidRPr="001B735F">
        <w:rPr>
          <w:color w:val="121212"/>
        </w:rPr>
        <w:t>, 15(1). doi:10.1038/s41598-025-02805-2.</w:t>
      </w:r>
    </w:p>
    <w:p w14:paraId="04DBA190" w14:textId="77777777" w:rsidR="00532A99" w:rsidRPr="001B735F" w:rsidRDefault="00532A99" w:rsidP="001B735F">
      <w:pPr>
        <w:spacing w:before="240"/>
        <w:ind w:left="360"/>
        <w:rPr>
          <w:color w:val="121212"/>
        </w:rPr>
      </w:pPr>
      <w:r w:rsidRPr="001B735F">
        <w:rPr>
          <w:color w:val="121212"/>
        </w:rPr>
        <w:t xml:space="preserve">World Health Organization (2025). </w:t>
      </w:r>
      <w:r w:rsidRPr="001B735F">
        <w:rPr>
          <w:i/>
          <w:iCs/>
          <w:color w:val="121212"/>
        </w:rPr>
        <w:t>Depressive disorder (depression)</w:t>
      </w:r>
      <w:r w:rsidRPr="001B735F">
        <w:rPr>
          <w:color w:val="121212"/>
        </w:rPr>
        <w:t>. [online] World Health Organization. Available at: https://www.who.int/news-room/fact-sheets/detail/depression [Accessed 15 July 2026]</w:t>
      </w:r>
    </w:p>
    <w:p w14:paraId="78D1D50B" w14:textId="77777777" w:rsidR="00532A99" w:rsidRPr="001B735F" w:rsidRDefault="00532A99" w:rsidP="001B735F">
      <w:pPr>
        <w:spacing w:after="240"/>
        <w:ind w:left="360"/>
        <w:rPr>
          <w:color w:val="121212"/>
        </w:rPr>
      </w:pPr>
      <w:r w:rsidRPr="001B735F">
        <w:rPr>
          <w:color w:val="121212"/>
        </w:rPr>
        <w:t xml:space="preserve">Yoshida, Y., </w:t>
      </w:r>
      <w:proofErr w:type="spellStart"/>
      <w:r w:rsidRPr="001B735F">
        <w:rPr>
          <w:color w:val="121212"/>
        </w:rPr>
        <w:t>Sitas</w:t>
      </w:r>
      <w:proofErr w:type="spellEnd"/>
      <w:r w:rsidRPr="001B735F">
        <w:rPr>
          <w:color w:val="121212"/>
        </w:rPr>
        <w:t xml:space="preserve">, N., Mannetti, L., O’Farrell, P., Arroyo-Robles, G., Berbés-Blázquez, M., González-Jiménez, D., Nelson, V., Niamir, A. and </w:t>
      </w:r>
      <w:proofErr w:type="spellStart"/>
      <w:r w:rsidRPr="001B735F">
        <w:rPr>
          <w:color w:val="121212"/>
        </w:rPr>
        <w:t>Harmáčková</w:t>
      </w:r>
      <w:proofErr w:type="spellEnd"/>
      <w:r w:rsidRPr="001B735F">
        <w:rPr>
          <w:color w:val="121212"/>
        </w:rPr>
        <w:t xml:space="preserve">, Z.V. (2024). Beyond Academia: A case for reviews of gray literature for science-policy processes and applied research. </w:t>
      </w:r>
      <w:r w:rsidRPr="001B735F">
        <w:rPr>
          <w:i/>
          <w:iCs/>
          <w:color w:val="121212"/>
        </w:rPr>
        <w:t>Environmental Science &amp; Policy</w:t>
      </w:r>
      <w:r w:rsidRPr="001B735F">
        <w:rPr>
          <w:color w:val="121212"/>
        </w:rPr>
        <w:t>,  162, p.103882. doi:10.1016/j.envsci.2024.103882.</w:t>
      </w:r>
    </w:p>
    <w:p w14:paraId="24E70EFE" w14:textId="77777777" w:rsidR="00532A99" w:rsidRPr="001B735F" w:rsidRDefault="00532A99" w:rsidP="001B735F">
      <w:pPr>
        <w:spacing w:after="240"/>
        <w:ind w:left="360"/>
        <w:rPr>
          <w:color w:val="121212"/>
          <w:lang w:val="en-IN"/>
        </w:rPr>
      </w:pPr>
      <w:r w:rsidRPr="001B735F">
        <w:rPr>
          <w:color w:val="121212"/>
          <w:lang w:val="en-IN"/>
        </w:rPr>
        <w:t xml:space="preserve">Zhu, J., Feng, Z., Chen, Z., Guo, L., Fan, C., Yang, C., Zhao, Z., Sang, X., Xu, L. and Yin, W. (2026). The relationship between disability and quality of life among older adults: The </w:t>
      </w:r>
      <w:r w:rsidRPr="001B735F">
        <w:rPr>
          <w:color w:val="121212"/>
          <w:lang w:val="en-IN"/>
        </w:rPr>
        <w:lastRenderedPageBreak/>
        <w:t xml:space="preserve">roles of sleep, depression, and living arrangements. </w:t>
      </w:r>
      <w:r w:rsidRPr="001B735F">
        <w:rPr>
          <w:i/>
          <w:iCs/>
          <w:color w:val="121212"/>
          <w:lang w:val="en-IN"/>
        </w:rPr>
        <w:t>Frontiers in public health</w:t>
      </w:r>
      <w:r w:rsidRPr="001B735F">
        <w:rPr>
          <w:color w:val="121212"/>
          <w:lang w:val="en-IN"/>
        </w:rPr>
        <w:t>, [online] 14, p.1854817. doi:10.3389/fpubh.2026.1854817.</w:t>
      </w:r>
    </w:p>
    <w:p w14:paraId="74D4FEE6" w14:textId="77777777" w:rsidR="00143C33" w:rsidRDefault="00143C33">
      <w:pPr>
        <w:spacing w:after="240"/>
        <w:rPr>
          <w:color w:val="121212"/>
        </w:rPr>
      </w:pPr>
    </w:p>
    <w:p w14:paraId="0D05A966" w14:textId="77777777" w:rsidR="00423B40" w:rsidRDefault="00636AB1">
      <w:pPr>
        <w:spacing w:line="278" w:lineRule="auto"/>
        <w:jc w:val="left"/>
        <w:rPr>
          <w:color w:val="121212"/>
        </w:rPr>
      </w:pPr>
      <w:r>
        <w:rPr>
          <w:color w:val="121212"/>
        </w:rPr>
        <w:br w:type="page"/>
      </w:r>
    </w:p>
    <w:p w14:paraId="2D406B59" w14:textId="77777777" w:rsidR="00423B40" w:rsidRDefault="00636AB1">
      <w:pPr>
        <w:pStyle w:val="Heading1"/>
        <w:rPr>
          <w:color w:val="121212"/>
        </w:rPr>
      </w:pPr>
      <w:bookmarkStart w:id="73" w:name="_Toc240448297"/>
      <w:r>
        <w:rPr>
          <w:color w:val="121212"/>
        </w:rPr>
        <w:lastRenderedPageBreak/>
        <w:t>Appendices</w:t>
      </w:r>
      <w:bookmarkEnd w:id="73"/>
    </w:p>
    <w:p w14:paraId="1B62FF24" w14:textId="77777777" w:rsidR="00423B40" w:rsidRDefault="00636AB1">
      <w:pPr>
        <w:pStyle w:val="Heading2"/>
        <w:rPr>
          <w:color w:val="121212"/>
        </w:rPr>
      </w:pPr>
      <w:bookmarkStart w:id="74" w:name="_Toc240448298"/>
      <w:r>
        <w:rPr>
          <w:color w:val="121212"/>
        </w:rPr>
        <w:t>Appendix 1: CASP Table of Studies</w:t>
      </w:r>
      <w:bookmarkEnd w:id="74"/>
    </w:p>
    <w:tbl>
      <w:tblPr>
        <w:tblStyle w:val="Style28"/>
        <w:tblW w:w="9016" w:type="dxa"/>
        <w:tblLayout w:type="fixed"/>
        <w:tblLook w:val="04A0" w:firstRow="1" w:lastRow="0" w:firstColumn="1" w:lastColumn="0" w:noHBand="0" w:noVBand="1"/>
      </w:tblPr>
      <w:tblGrid>
        <w:gridCol w:w="1163"/>
        <w:gridCol w:w="780"/>
        <w:gridCol w:w="780"/>
        <w:gridCol w:w="780"/>
        <w:gridCol w:w="781"/>
        <w:gridCol w:w="781"/>
        <w:gridCol w:w="781"/>
        <w:gridCol w:w="781"/>
        <w:gridCol w:w="781"/>
        <w:gridCol w:w="781"/>
        <w:gridCol w:w="827"/>
      </w:tblGrid>
      <w:tr w:rsidR="00423B40" w14:paraId="7DA3DD06" w14:textId="77777777">
        <w:trPr>
          <w:trHeight w:val="315"/>
        </w:trPr>
        <w:tc>
          <w:tcPr>
            <w:tcW w:w="1163" w:type="dxa"/>
            <w:tcBorders>
              <w:top w:val="single" w:sz="4" w:space="0" w:color="000000"/>
              <w:left w:val="single" w:sz="4" w:space="0" w:color="000000"/>
              <w:bottom w:val="single" w:sz="4" w:space="0" w:color="000000"/>
              <w:right w:val="single" w:sz="4" w:space="0" w:color="000000"/>
            </w:tcBorders>
            <w:vAlign w:val="bottom"/>
          </w:tcPr>
          <w:p w14:paraId="3FE2B855" w14:textId="77777777" w:rsidR="00423B40" w:rsidRDefault="00636AB1">
            <w:pPr>
              <w:spacing w:after="0" w:line="240" w:lineRule="auto"/>
              <w:jc w:val="left"/>
              <w:rPr>
                <w:color w:val="121212"/>
              </w:rPr>
            </w:pPr>
            <w:r>
              <w:rPr>
                <w:color w:val="121212"/>
              </w:rPr>
              <w:t>author</w:t>
            </w:r>
          </w:p>
        </w:tc>
        <w:tc>
          <w:tcPr>
            <w:tcW w:w="780" w:type="dxa"/>
            <w:tcBorders>
              <w:top w:val="single" w:sz="4" w:space="0" w:color="000000"/>
              <w:left w:val="nil"/>
              <w:bottom w:val="single" w:sz="4" w:space="0" w:color="000000"/>
              <w:right w:val="single" w:sz="4" w:space="0" w:color="000000"/>
            </w:tcBorders>
            <w:vAlign w:val="bottom"/>
          </w:tcPr>
          <w:p w14:paraId="77C66DD1" w14:textId="77777777" w:rsidR="00423B40" w:rsidRDefault="00636AB1">
            <w:pPr>
              <w:spacing w:after="0" w:line="240" w:lineRule="auto"/>
              <w:jc w:val="left"/>
              <w:rPr>
                <w:color w:val="121212"/>
              </w:rPr>
            </w:pPr>
            <w:r>
              <w:rPr>
                <w:color w:val="121212"/>
              </w:rPr>
              <w:t>OUTCOME Q1</w:t>
            </w:r>
          </w:p>
        </w:tc>
        <w:tc>
          <w:tcPr>
            <w:tcW w:w="780" w:type="dxa"/>
            <w:tcBorders>
              <w:top w:val="single" w:sz="4" w:space="0" w:color="000000"/>
              <w:left w:val="nil"/>
              <w:bottom w:val="single" w:sz="4" w:space="0" w:color="000000"/>
              <w:right w:val="single" w:sz="4" w:space="0" w:color="000000"/>
            </w:tcBorders>
            <w:vAlign w:val="bottom"/>
          </w:tcPr>
          <w:p w14:paraId="126FDC12" w14:textId="77777777" w:rsidR="00423B40" w:rsidRDefault="00636AB1">
            <w:pPr>
              <w:spacing w:after="0" w:line="240" w:lineRule="auto"/>
              <w:jc w:val="left"/>
              <w:rPr>
                <w:color w:val="121212"/>
              </w:rPr>
            </w:pPr>
            <w:r>
              <w:rPr>
                <w:color w:val="121212"/>
              </w:rPr>
              <w:t>OUTCOME Q2</w:t>
            </w:r>
          </w:p>
        </w:tc>
        <w:tc>
          <w:tcPr>
            <w:tcW w:w="780" w:type="dxa"/>
            <w:tcBorders>
              <w:top w:val="single" w:sz="4" w:space="0" w:color="000000"/>
              <w:left w:val="nil"/>
              <w:bottom w:val="single" w:sz="4" w:space="0" w:color="000000"/>
              <w:right w:val="single" w:sz="4" w:space="0" w:color="000000"/>
            </w:tcBorders>
            <w:vAlign w:val="bottom"/>
          </w:tcPr>
          <w:p w14:paraId="685A5CA7" w14:textId="77777777" w:rsidR="00423B40" w:rsidRDefault="00636AB1">
            <w:pPr>
              <w:spacing w:after="0" w:line="240" w:lineRule="auto"/>
              <w:jc w:val="left"/>
              <w:rPr>
                <w:color w:val="121212"/>
              </w:rPr>
            </w:pPr>
            <w:r>
              <w:rPr>
                <w:color w:val="121212"/>
              </w:rPr>
              <w:t>OUTCOME Q3</w:t>
            </w:r>
          </w:p>
        </w:tc>
        <w:tc>
          <w:tcPr>
            <w:tcW w:w="781" w:type="dxa"/>
            <w:tcBorders>
              <w:top w:val="single" w:sz="4" w:space="0" w:color="000000"/>
              <w:left w:val="nil"/>
              <w:bottom w:val="single" w:sz="4" w:space="0" w:color="000000"/>
              <w:right w:val="single" w:sz="4" w:space="0" w:color="000000"/>
            </w:tcBorders>
            <w:vAlign w:val="bottom"/>
          </w:tcPr>
          <w:p w14:paraId="6DA162C2" w14:textId="77777777" w:rsidR="00423B40" w:rsidRDefault="00636AB1">
            <w:pPr>
              <w:spacing w:after="0" w:line="240" w:lineRule="auto"/>
              <w:jc w:val="left"/>
              <w:rPr>
                <w:color w:val="121212"/>
              </w:rPr>
            </w:pPr>
            <w:r>
              <w:rPr>
                <w:color w:val="121212"/>
              </w:rPr>
              <w:t>OUTCOME Q4</w:t>
            </w:r>
          </w:p>
        </w:tc>
        <w:tc>
          <w:tcPr>
            <w:tcW w:w="781" w:type="dxa"/>
            <w:tcBorders>
              <w:top w:val="single" w:sz="4" w:space="0" w:color="000000"/>
              <w:left w:val="nil"/>
              <w:bottom w:val="single" w:sz="4" w:space="0" w:color="000000"/>
              <w:right w:val="single" w:sz="4" w:space="0" w:color="000000"/>
            </w:tcBorders>
            <w:vAlign w:val="bottom"/>
          </w:tcPr>
          <w:p w14:paraId="6356A27D" w14:textId="77777777" w:rsidR="00423B40" w:rsidRDefault="00636AB1">
            <w:pPr>
              <w:spacing w:after="0" w:line="240" w:lineRule="auto"/>
              <w:jc w:val="left"/>
              <w:rPr>
                <w:color w:val="121212"/>
              </w:rPr>
            </w:pPr>
            <w:r>
              <w:rPr>
                <w:color w:val="121212"/>
              </w:rPr>
              <w:t>OUTCOME Q5</w:t>
            </w:r>
          </w:p>
        </w:tc>
        <w:tc>
          <w:tcPr>
            <w:tcW w:w="781" w:type="dxa"/>
            <w:tcBorders>
              <w:top w:val="single" w:sz="4" w:space="0" w:color="000000"/>
              <w:left w:val="nil"/>
              <w:bottom w:val="single" w:sz="4" w:space="0" w:color="000000"/>
              <w:right w:val="single" w:sz="4" w:space="0" w:color="000000"/>
            </w:tcBorders>
            <w:vAlign w:val="bottom"/>
          </w:tcPr>
          <w:p w14:paraId="0DA4728D" w14:textId="77777777" w:rsidR="00423B40" w:rsidRDefault="00636AB1">
            <w:pPr>
              <w:spacing w:after="0" w:line="240" w:lineRule="auto"/>
              <w:jc w:val="left"/>
              <w:rPr>
                <w:color w:val="121212"/>
              </w:rPr>
            </w:pPr>
            <w:r>
              <w:rPr>
                <w:color w:val="121212"/>
              </w:rPr>
              <w:t>OUTCOME Q6</w:t>
            </w:r>
          </w:p>
        </w:tc>
        <w:tc>
          <w:tcPr>
            <w:tcW w:w="781" w:type="dxa"/>
            <w:tcBorders>
              <w:top w:val="single" w:sz="4" w:space="0" w:color="000000"/>
              <w:left w:val="nil"/>
              <w:bottom w:val="single" w:sz="4" w:space="0" w:color="000000"/>
              <w:right w:val="single" w:sz="4" w:space="0" w:color="000000"/>
            </w:tcBorders>
            <w:vAlign w:val="bottom"/>
          </w:tcPr>
          <w:p w14:paraId="78CB363A" w14:textId="77777777" w:rsidR="00423B40" w:rsidRDefault="00636AB1">
            <w:pPr>
              <w:spacing w:after="0" w:line="240" w:lineRule="auto"/>
              <w:jc w:val="left"/>
              <w:rPr>
                <w:color w:val="121212"/>
              </w:rPr>
            </w:pPr>
            <w:r>
              <w:rPr>
                <w:color w:val="121212"/>
              </w:rPr>
              <w:t>OUTCOME Q7</w:t>
            </w:r>
          </w:p>
        </w:tc>
        <w:tc>
          <w:tcPr>
            <w:tcW w:w="781" w:type="dxa"/>
            <w:tcBorders>
              <w:top w:val="single" w:sz="4" w:space="0" w:color="000000"/>
              <w:left w:val="nil"/>
              <w:bottom w:val="single" w:sz="4" w:space="0" w:color="000000"/>
              <w:right w:val="single" w:sz="4" w:space="0" w:color="000000"/>
            </w:tcBorders>
            <w:vAlign w:val="bottom"/>
          </w:tcPr>
          <w:p w14:paraId="26EC5951" w14:textId="77777777" w:rsidR="00423B40" w:rsidRDefault="00636AB1">
            <w:pPr>
              <w:spacing w:after="0" w:line="240" w:lineRule="auto"/>
              <w:jc w:val="left"/>
              <w:rPr>
                <w:color w:val="121212"/>
              </w:rPr>
            </w:pPr>
            <w:r>
              <w:rPr>
                <w:color w:val="121212"/>
              </w:rPr>
              <w:t>OUTCOME Q8</w:t>
            </w:r>
          </w:p>
        </w:tc>
        <w:tc>
          <w:tcPr>
            <w:tcW w:w="781" w:type="dxa"/>
            <w:tcBorders>
              <w:top w:val="single" w:sz="4" w:space="0" w:color="000000"/>
              <w:left w:val="nil"/>
              <w:bottom w:val="single" w:sz="4" w:space="0" w:color="000000"/>
              <w:right w:val="single" w:sz="4" w:space="0" w:color="000000"/>
            </w:tcBorders>
            <w:vAlign w:val="bottom"/>
          </w:tcPr>
          <w:p w14:paraId="542B30D9" w14:textId="77777777" w:rsidR="00423B40" w:rsidRDefault="00636AB1">
            <w:pPr>
              <w:spacing w:after="0" w:line="240" w:lineRule="auto"/>
              <w:jc w:val="left"/>
              <w:rPr>
                <w:color w:val="121212"/>
              </w:rPr>
            </w:pPr>
            <w:r>
              <w:rPr>
                <w:color w:val="121212"/>
              </w:rPr>
              <w:t>OUTCOME Q9</w:t>
            </w:r>
          </w:p>
        </w:tc>
        <w:tc>
          <w:tcPr>
            <w:tcW w:w="827" w:type="dxa"/>
            <w:tcBorders>
              <w:top w:val="single" w:sz="4" w:space="0" w:color="000000"/>
              <w:left w:val="nil"/>
              <w:bottom w:val="single" w:sz="4" w:space="0" w:color="000000"/>
              <w:right w:val="single" w:sz="4" w:space="0" w:color="000000"/>
            </w:tcBorders>
            <w:vAlign w:val="bottom"/>
          </w:tcPr>
          <w:p w14:paraId="17FDC60F" w14:textId="77777777" w:rsidR="00423B40" w:rsidRDefault="00636AB1">
            <w:pPr>
              <w:spacing w:after="0" w:line="240" w:lineRule="auto"/>
              <w:jc w:val="left"/>
              <w:rPr>
                <w:color w:val="121212"/>
              </w:rPr>
            </w:pPr>
            <w:r>
              <w:rPr>
                <w:color w:val="121212"/>
              </w:rPr>
              <w:t>OUTCOME Q10</w:t>
            </w:r>
          </w:p>
        </w:tc>
      </w:tr>
      <w:tr w:rsidR="00423B40" w14:paraId="4AF92909"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12633C7F" w14:textId="77777777" w:rsidR="00423B40" w:rsidRDefault="00636AB1">
            <w:pPr>
              <w:spacing w:after="0" w:line="240" w:lineRule="auto"/>
              <w:jc w:val="left"/>
              <w:rPr>
                <w:color w:val="121212"/>
              </w:rPr>
            </w:pPr>
            <w:r>
              <w:rPr>
                <w:color w:val="121212"/>
              </w:rPr>
              <w:t xml:space="preserve">Parden </w:t>
            </w:r>
            <w:r>
              <w:rPr>
                <w:i/>
                <w:iCs/>
                <w:color w:val="121212"/>
              </w:rPr>
              <w:t>et al</w:t>
            </w:r>
            <w:r>
              <w:rPr>
                <w:color w:val="121212"/>
              </w:rPr>
              <w:t>. (2016)</w:t>
            </w:r>
          </w:p>
        </w:tc>
        <w:tc>
          <w:tcPr>
            <w:tcW w:w="780" w:type="dxa"/>
            <w:tcBorders>
              <w:top w:val="nil"/>
              <w:left w:val="nil"/>
              <w:bottom w:val="single" w:sz="4" w:space="0" w:color="000000"/>
              <w:right w:val="single" w:sz="4" w:space="0" w:color="000000"/>
            </w:tcBorders>
            <w:vAlign w:val="bottom"/>
          </w:tcPr>
          <w:p w14:paraId="04149DA5"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5F07DB0"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16128C00"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091A54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4E7E875C"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71BA3D8"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A6983FD"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CF957AE"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4A56EB9"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0995981C" w14:textId="77777777" w:rsidR="00423B40" w:rsidRDefault="00636AB1">
            <w:pPr>
              <w:spacing w:after="0" w:line="240" w:lineRule="auto"/>
              <w:jc w:val="left"/>
              <w:rPr>
                <w:color w:val="121212"/>
              </w:rPr>
            </w:pPr>
            <w:r>
              <w:rPr>
                <w:color w:val="121212"/>
              </w:rPr>
              <w:t>Yes</w:t>
            </w:r>
          </w:p>
        </w:tc>
      </w:tr>
      <w:tr w:rsidR="00423B40" w14:paraId="595309EA"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53A82751" w14:textId="77777777" w:rsidR="00423B40" w:rsidRDefault="00636AB1">
            <w:pPr>
              <w:spacing w:after="0" w:line="240" w:lineRule="auto"/>
              <w:jc w:val="left"/>
              <w:rPr>
                <w:color w:val="121212"/>
              </w:rPr>
            </w:pPr>
            <w:proofErr w:type="spellStart"/>
            <w:r>
              <w:rPr>
                <w:color w:val="121212"/>
              </w:rPr>
              <w:t>Vrijens</w:t>
            </w:r>
            <w:proofErr w:type="spellEnd"/>
            <w:r>
              <w:rPr>
                <w:color w:val="121212"/>
              </w:rPr>
              <w:t xml:space="preserve"> </w:t>
            </w:r>
            <w:r>
              <w:rPr>
                <w:i/>
                <w:iCs/>
                <w:color w:val="121212"/>
              </w:rPr>
              <w:t>et al</w:t>
            </w:r>
            <w:r>
              <w:rPr>
                <w:color w:val="121212"/>
              </w:rPr>
              <w:t>. (2017)</w:t>
            </w:r>
          </w:p>
        </w:tc>
        <w:tc>
          <w:tcPr>
            <w:tcW w:w="780" w:type="dxa"/>
            <w:tcBorders>
              <w:top w:val="nil"/>
              <w:left w:val="nil"/>
              <w:bottom w:val="single" w:sz="4" w:space="0" w:color="000000"/>
              <w:right w:val="single" w:sz="4" w:space="0" w:color="000000"/>
            </w:tcBorders>
            <w:vAlign w:val="bottom"/>
          </w:tcPr>
          <w:p w14:paraId="74F94196"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19561EAA"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17E32D50"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14E0978"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9CDE4F0"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AD48256"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598F699"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839032D"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3E3BCD02"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1734A2B7" w14:textId="77777777" w:rsidR="00423B40" w:rsidRDefault="00636AB1">
            <w:pPr>
              <w:spacing w:after="0" w:line="240" w:lineRule="auto"/>
              <w:jc w:val="left"/>
              <w:rPr>
                <w:color w:val="121212"/>
              </w:rPr>
            </w:pPr>
            <w:r>
              <w:rPr>
                <w:color w:val="121212"/>
              </w:rPr>
              <w:t>Yes</w:t>
            </w:r>
          </w:p>
        </w:tc>
      </w:tr>
      <w:tr w:rsidR="00423B40" w14:paraId="5AD83404"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61B04221" w14:textId="77777777" w:rsidR="00423B40" w:rsidRDefault="00636AB1">
            <w:pPr>
              <w:spacing w:after="0" w:line="240" w:lineRule="auto"/>
              <w:jc w:val="left"/>
              <w:rPr>
                <w:color w:val="121212"/>
              </w:rPr>
            </w:pPr>
            <w:r>
              <w:rPr>
                <w:color w:val="121212"/>
              </w:rPr>
              <w:t xml:space="preserve">Mazi </w:t>
            </w:r>
            <w:r>
              <w:rPr>
                <w:i/>
                <w:iCs/>
                <w:color w:val="121212"/>
              </w:rPr>
              <w:t>et al</w:t>
            </w:r>
            <w:r>
              <w:rPr>
                <w:color w:val="121212"/>
              </w:rPr>
              <w:t>. (2019)</w:t>
            </w:r>
          </w:p>
        </w:tc>
        <w:tc>
          <w:tcPr>
            <w:tcW w:w="780" w:type="dxa"/>
            <w:tcBorders>
              <w:top w:val="nil"/>
              <w:left w:val="nil"/>
              <w:bottom w:val="single" w:sz="4" w:space="0" w:color="000000"/>
              <w:right w:val="single" w:sz="4" w:space="0" w:color="000000"/>
            </w:tcBorders>
            <w:vAlign w:val="bottom"/>
          </w:tcPr>
          <w:p w14:paraId="41E5C9F3"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7814094"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4972451"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558F3E4"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0916212"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46C2A1F"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498E271"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833FA92"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D206DB5"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101D9B37" w14:textId="77777777" w:rsidR="00423B40" w:rsidRDefault="00636AB1">
            <w:pPr>
              <w:spacing w:after="0" w:line="240" w:lineRule="auto"/>
              <w:jc w:val="left"/>
              <w:rPr>
                <w:color w:val="121212"/>
              </w:rPr>
            </w:pPr>
            <w:r>
              <w:rPr>
                <w:color w:val="121212"/>
              </w:rPr>
              <w:t>Yes</w:t>
            </w:r>
          </w:p>
        </w:tc>
      </w:tr>
      <w:tr w:rsidR="00423B40" w14:paraId="548CCE4D"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33506FA5" w14:textId="77777777" w:rsidR="00423B40" w:rsidRDefault="00636AB1">
            <w:pPr>
              <w:spacing w:after="0" w:line="240" w:lineRule="auto"/>
              <w:jc w:val="left"/>
              <w:rPr>
                <w:color w:val="121212"/>
              </w:rPr>
            </w:pPr>
            <w:r>
              <w:rPr>
                <w:color w:val="121212"/>
              </w:rPr>
              <w:t xml:space="preserve">Eloranta </w:t>
            </w:r>
            <w:r>
              <w:rPr>
                <w:i/>
                <w:iCs/>
                <w:color w:val="121212"/>
              </w:rPr>
              <w:t>et al</w:t>
            </w:r>
            <w:r>
              <w:rPr>
                <w:color w:val="121212"/>
              </w:rPr>
              <w:t>. (2019)</w:t>
            </w:r>
          </w:p>
        </w:tc>
        <w:tc>
          <w:tcPr>
            <w:tcW w:w="780" w:type="dxa"/>
            <w:tcBorders>
              <w:top w:val="nil"/>
              <w:left w:val="nil"/>
              <w:bottom w:val="single" w:sz="4" w:space="0" w:color="000000"/>
              <w:right w:val="single" w:sz="4" w:space="0" w:color="000000"/>
            </w:tcBorders>
            <w:vAlign w:val="bottom"/>
          </w:tcPr>
          <w:p w14:paraId="2FD7DFE3"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07B4E43B"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41A459F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91C2ADA"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8A4CA09"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4E770C4"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4DDE0391"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93BAEE3"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1B112CE"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612B4898" w14:textId="77777777" w:rsidR="00423B40" w:rsidRDefault="00636AB1">
            <w:pPr>
              <w:spacing w:after="0" w:line="240" w:lineRule="auto"/>
              <w:jc w:val="left"/>
              <w:rPr>
                <w:color w:val="121212"/>
              </w:rPr>
            </w:pPr>
            <w:r>
              <w:rPr>
                <w:color w:val="121212"/>
              </w:rPr>
              <w:t>Yes</w:t>
            </w:r>
          </w:p>
        </w:tc>
      </w:tr>
      <w:tr w:rsidR="00423B40" w14:paraId="7CBE80F3"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38D34D12" w14:textId="77777777" w:rsidR="00423B40" w:rsidRDefault="00636AB1">
            <w:pPr>
              <w:spacing w:after="0" w:line="240" w:lineRule="auto"/>
              <w:jc w:val="left"/>
              <w:rPr>
                <w:color w:val="121212"/>
              </w:rPr>
            </w:pPr>
            <w:r>
              <w:rPr>
                <w:color w:val="121212"/>
              </w:rPr>
              <w:t xml:space="preserve">AlQuaiz </w:t>
            </w:r>
            <w:r>
              <w:rPr>
                <w:i/>
                <w:iCs/>
                <w:color w:val="121212"/>
              </w:rPr>
              <w:t>et al</w:t>
            </w:r>
            <w:r>
              <w:rPr>
                <w:color w:val="121212"/>
              </w:rPr>
              <w:t>. (2023)</w:t>
            </w:r>
          </w:p>
        </w:tc>
        <w:tc>
          <w:tcPr>
            <w:tcW w:w="780" w:type="dxa"/>
            <w:tcBorders>
              <w:top w:val="nil"/>
              <w:left w:val="nil"/>
              <w:bottom w:val="single" w:sz="4" w:space="0" w:color="000000"/>
              <w:right w:val="single" w:sz="4" w:space="0" w:color="000000"/>
            </w:tcBorders>
            <w:vAlign w:val="bottom"/>
          </w:tcPr>
          <w:p w14:paraId="1D407100"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4C3BCF16"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D8460C6"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4A816758"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1666585"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30519541"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44D7B4B5"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23C5248"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F2D556A"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0932CBBB" w14:textId="77777777" w:rsidR="00423B40" w:rsidRDefault="00636AB1">
            <w:pPr>
              <w:spacing w:after="0" w:line="240" w:lineRule="auto"/>
              <w:jc w:val="left"/>
              <w:rPr>
                <w:color w:val="121212"/>
              </w:rPr>
            </w:pPr>
            <w:r>
              <w:rPr>
                <w:color w:val="121212"/>
              </w:rPr>
              <w:t>Yes</w:t>
            </w:r>
          </w:p>
        </w:tc>
      </w:tr>
      <w:tr w:rsidR="00423B40" w14:paraId="7EB765DC"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3365D713" w14:textId="77777777" w:rsidR="00423B40" w:rsidRDefault="00636AB1">
            <w:pPr>
              <w:spacing w:after="0" w:line="240" w:lineRule="auto"/>
              <w:jc w:val="left"/>
              <w:rPr>
                <w:color w:val="121212"/>
              </w:rPr>
            </w:pPr>
            <w:r>
              <w:rPr>
                <w:color w:val="121212"/>
              </w:rPr>
              <w:t xml:space="preserve">Kalata </w:t>
            </w:r>
            <w:r>
              <w:rPr>
                <w:i/>
                <w:iCs/>
                <w:color w:val="121212"/>
              </w:rPr>
              <w:t>et al</w:t>
            </w:r>
            <w:r>
              <w:rPr>
                <w:color w:val="121212"/>
              </w:rPr>
              <w:t>. (2023)</w:t>
            </w:r>
          </w:p>
        </w:tc>
        <w:tc>
          <w:tcPr>
            <w:tcW w:w="780" w:type="dxa"/>
            <w:tcBorders>
              <w:top w:val="nil"/>
              <w:left w:val="nil"/>
              <w:bottom w:val="single" w:sz="4" w:space="0" w:color="000000"/>
              <w:right w:val="single" w:sz="4" w:space="0" w:color="000000"/>
            </w:tcBorders>
            <w:vAlign w:val="bottom"/>
          </w:tcPr>
          <w:p w14:paraId="64F8C3D9"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367E54C4"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786C37D"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806558B"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60CAC1C"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4F337654"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44F4B49"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107F008"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8904BCE"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32B90311" w14:textId="77777777" w:rsidR="00423B40" w:rsidRDefault="00636AB1">
            <w:pPr>
              <w:spacing w:after="0" w:line="240" w:lineRule="auto"/>
              <w:jc w:val="left"/>
              <w:rPr>
                <w:color w:val="121212"/>
              </w:rPr>
            </w:pPr>
            <w:r>
              <w:rPr>
                <w:color w:val="121212"/>
              </w:rPr>
              <w:t>Yes</w:t>
            </w:r>
          </w:p>
        </w:tc>
      </w:tr>
      <w:tr w:rsidR="00423B40" w14:paraId="2CC038C7"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5CCB9C16" w14:textId="77777777" w:rsidR="00423B40" w:rsidRDefault="00636AB1">
            <w:pPr>
              <w:spacing w:after="0" w:line="240" w:lineRule="auto"/>
              <w:jc w:val="left"/>
              <w:rPr>
                <w:color w:val="121212"/>
              </w:rPr>
            </w:pPr>
            <w:r>
              <w:rPr>
                <w:color w:val="121212"/>
              </w:rPr>
              <w:t xml:space="preserve">Patel </w:t>
            </w:r>
            <w:r>
              <w:rPr>
                <w:i/>
                <w:iCs/>
                <w:color w:val="121212"/>
              </w:rPr>
              <w:t>et al</w:t>
            </w:r>
            <w:r>
              <w:rPr>
                <w:color w:val="121212"/>
              </w:rPr>
              <w:t>. (2025)</w:t>
            </w:r>
          </w:p>
        </w:tc>
        <w:tc>
          <w:tcPr>
            <w:tcW w:w="780" w:type="dxa"/>
            <w:tcBorders>
              <w:top w:val="nil"/>
              <w:left w:val="nil"/>
              <w:bottom w:val="single" w:sz="4" w:space="0" w:color="000000"/>
              <w:right w:val="single" w:sz="4" w:space="0" w:color="000000"/>
            </w:tcBorders>
            <w:vAlign w:val="bottom"/>
          </w:tcPr>
          <w:p w14:paraId="0A2FD8E1"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689FDDE4"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58106FD5"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99F2FD3"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3AFA654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330C346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6432490"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8DE9DA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F52D460"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07AA565F" w14:textId="77777777" w:rsidR="00423B40" w:rsidRDefault="00636AB1">
            <w:pPr>
              <w:spacing w:after="0" w:line="240" w:lineRule="auto"/>
              <w:jc w:val="left"/>
              <w:rPr>
                <w:color w:val="121212"/>
              </w:rPr>
            </w:pPr>
            <w:r>
              <w:rPr>
                <w:color w:val="121212"/>
              </w:rPr>
              <w:t>Yes</w:t>
            </w:r>
          </w:p>
        </w:tc>
      </w:tr>
      <w:tr w:rsidR="00423B40" w14:paraId="4C7A308F"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654F01F5" w14:textId="77777777" w:rsidR="00423B40" w:rsidRDefault="00636AB1">
            <w:pPr>
              <w:spacing w:after="0" w:line="240" w:lineRule="auto"/>
              <w:jc w:val="left"/>
              <w:rPr>
                <w:color w:val="121212"/>
              </w:rPr>
            </w:pPr>
            <w:proofErr w:type="spellStart"/>
            <w:r>
              <w:rPr>
                <w:color w:val="121212"/>
              </w:rPr>
              <w:t>Tsinisizeli</w:t>
            </w:r>
            <w:proofErr w:type="spellEnd"/>
            <w:r>
              <w:rPr>
                <w:color w:val="121212"/>
              </w:rPr>
              <w:t xml:space="preserve"> </w:t>
            </w:r>
            <w:r>
              <w:rPr>
                <w:i/>
                <w:iCs/>
                <w:color w:val="121212"/>
              </w:rPr>
              <w:t>et al</w:t>
            </w:r>
            <w:r>
              <w:rPr>
                <w:color w:val="121212"/>
              </w:rPr>
              <w:t>. (2023)</w:t>
            </w:r>
          </w:p>
        </w:tc>
        <w:tc>
          <w:tcPr>
            <w:tcW w:w="780" w:type="dxa"/>
            <w:tcBorders>
              <w:top w:val="nil"/>
              <w:left w:val="nil"/>
              <w:bottom w:val="single" w:sz="4" w:space="0" w:color="000000"/>
              <w:right w:val="single" w:sz="4" w:space="0" w:color="000000"/>
            </w:tcBorders>
            <w:vAlign w:val="bottom"/>
          </w:tcPr>
          <w:p w14:paraId="230B01C7"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784FE6BD"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C53CA63"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587F6D5"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C150C10"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E7CB4F9"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1137BBB5"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228BCFD"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FE6EC29"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28FEA7DA" w14:textId="77777777" w:rsidR="00423B40" w:rsidRDefault="00636AB1">
            <w:pPr>
              <w:spacing w:after="0" w:line="240" w:lineRule="auto"/>
              <w:jc w:val="left"/>
              <w:rPr>
                <w:color w:val="121212"/>
              </w:rPr>
            </w:pPr>
            <w:r>
              <w:rPr>
                <w:color w:val="121212"/>
              </w:rPr>
              <w:t>Yes</w:t>
            </w:r>
          </w:p>
        </w:tc>
      </w:tr>
      <w:tr w:rsidR="00423B40" w14:paraId="0F00C911"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06A5BA0A" w14:textId="77777777" w:rsidR="00423B40" w:rsidRDefault="00636AB1">
            <w:pPr>
              <w:spacing w:after="0" w:line="240" w:lineRule="auto"/>
              <w:jc w:val="left"/>
              <w:rPr>
                <w:color w:val="121212"/>
              </w:rPr>
            </w:pPr>
            <w:r>
              <w:rPr>
                <w:color w:val="121212"/>
              </w:rPr>
              <w:t xml:space="preserve">Vemulapalli </w:t>
            </w:r>
            <w:r>
              <w:rPr>
                <w:i/>
                <w:iCs/>
                <w:color w:val="121212"/>
              </w:rPr>
              <w:t>et al</w:t>
            </w:r>
            <w:r>
              <w:rPr>
                <w:color w:val="121212"/>
              </w:rPr>
              <w:t>. (2024)</w:t>
            </w:r>
          </w:p>
        </w:tc>
        <w:tc>
          <w:tcPr>
            <w:tcW w:w="780" w:type="dxa"/>
            <w:tcBorders>
              <w:top w:val="nil"/>
              <w:left w:val="nil"/>
              <w:bottom w:val="single" w:sz="4" w:space="0" w:color="000000"/>
              <w:right w:val="single" w:sz="4" w:space="0" w:color="000000"/>
            </w:tcBorders>
            <w:vAlign w:val="bottom"/>
          </w:tcPr>
          <w:p w14:paraId="1EDECE2D"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64986532"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456F08A1"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4FAADDAE"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9074A34"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7B69F9B"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1415DAAC"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572B866"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3D18F892"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0204D8E0" w14:textId="77777777" w:rsidR="00423B40" w:rsidRDefault="00636AB1">
            <w:pPr>
              <w:spacing w:after="0" w:line="240" w:lineRule="auto"/>
              <w:jc w:val="left"/>
              <w:rPr>
                <w:color w:val="121212"/>
              </w:rPr>
            </w:pPr>
            <w:r>
              <w:rPr>
                <w:color w:val="121212"/>
              </w:rPr>
              <w:t>Yes</w:t>
            </w:r>
          </w:p>
        </w:tc>
      </w:tr>
      <w:tr w:rsidR="00423B40" w14:paraId="7C7F1B75"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2C2E53CA" w14:textId="77777777" w:rsidR="00423B40" w:rsidRDefault="00636AB1">
            <w:pPr>
              <w:spacing w:after="0" w:line="240" w:lineRule="auto"/>
              <w:jc w:val="left"/>
              <w:rPr>
                <w:color w:val="121212"/>
              </w:rPr>
            </w:pPr>
            <w:proofErr w:type="spellStart"/>
            <w:r>
              <w:rPr>
                <w:color w:val="121212"/>
              </w:rPr>
              <w:t>Jelovsek</w:t>
            </w:r>
            <w:proofErr w:type="spellEnd"/>
            <w:r>
              <w:rPr>
                <w:color w:val="121212"/>
              </w:rPr>
              <w:t xml:space="preserve"> </w:t>
            </w:r>
            <w:r>
              <w:rPr>
                <w:i/>
                <w:iCs/>
                <w:color w:val="121212"/>
              </w:rPr>
              <w:t>et al</w:t>
            </w:r>
            <w:r>
              <w:rPr>
                <w:color w:val="121212"/>
              </w:rPr>
              <w:t>. (2018)</w:t>
            </w:r>
          </w:p>
        </w:tc>
        <w:tc>
          <w:tcPr>
            <w:tcW w:w="780" w:type="dxa"/>
            <w:tcBorders>
              <w:top w:val="nil"/>
              <w:left w:val="nil"/>
              <w:bottom w:val="single" w:sz="4" w:space="0" w:color="000000"/>
              <w:right w:val="single" w:sz="4" w:space="0" w:color="000000"/>
            </w:tcBorders>
            <w:vAlign w:val="bottom"/>
          </w:tcPr>
          <w:p w14:paraId="08514939"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3172C535"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1B045042"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F87AAD4"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2B138FE"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43E44808"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7AC39FE"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15398C02"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BBCEE2F"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7A0A6985" w14:textId="77777777" w:rsidR="00423B40" w:rsidRDefault="00636AB1">
            <w:pPr>
              <w:spacing w:after="0" w:line="240" w:lineRule="auto"/>
              <w:jc w:val="left"/>
              <w:rPr>
                <w:color w:val="121212"/>
              </w:rPr>
            </w:pPr>
            <w:r>
              <w:rPr>
                <w:color w:val="121212"/>
              </w:rPr>
              <w:t>Yes</w:t>
            </w:r>
          </w:p>
        </w:tc>
      </w:tr>
      <w:tr w:rsidR="00423B40" w14:paraId="5CCE8FC5"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334D595B" w14:textId="77777777" w:rsidR="00423B40" w:rsidRDefault="00636AB1">
            <w:pPr>
              <w:spacing w:after="0" w:line="240" w:lineRule="auto"/>
              <w:jc w:val="left"/>
              <w:rPr>
                <w:color w:val="121212"/>
              </w:rPr>
            </w:pPr>
            <w:r>
              <w:rPr>
                <w:color w:val="121212"/>
              </w:rPr>
              <w:t xml:space="preserve">Mishra </w:t>
            </w:r>
            <w:r>
              <w:rPr>
                <w:i/>
                <w:iCs/>
                <w:color w:val="121212"/>
              </w:rPr>
              <w:t>et al</w:t>
            </w:r>
            <w:r>
              <w:rPr>
                <w:color w:val="121212"/>
              </w:rPr>
              <w:t>. (2015)</w:t>
            </w:r>
          </w:p>
        </w:tc>
        <w:tc>
          <w:tcPr>
            <w:tcW w:w="780" w:type="dxa"/>
            <w:tcBorders>
              <w:top w:val="nil"/>
              <w:left w:val="nil"/>
              <w:bottom w:val="single" w:sz="4" w:space="0" w:color="000000"/>
              <w:right w:val="single" w:sz="4" w:space="0" w:color="000000"/>
            </w:tcBorders>
            <w:vAlign w:val="bottom"/>
          </w:tcPr>
          <w:p w14:paraId="3969C9A8"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A6A0474"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4039A87D"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F018EC9"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9CFAAE1"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EDB6F4D"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3349B6AA"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DF15B7F"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1F4FD268"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5447AD42" w14:textId="77777777" w:rsidR="00423B40" w:rsidRDefault="00636AB1">
            <w:pPr>
              <w:spacing w:after="0" w:line="240" w:lineRule="auto"/>
              <w:jc w:val="left"/>
              <w:rPr>
                <w:color w:val="121212"/>
              </w:rPr>
            </w:pPr>
            <w:r>
              <w:rPr>
                <w:color w:val="121212"/>
              </w:rPr>
              <w:t>Yes</w:t>
            </w:r>
          </w:p>
        </w:tc>
      </w:tr>
      <w:tr w:rsidR="00423B40" w14:paraId="2CF2F4B9"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7B6E6DC0" w14:textId="77777777" w:rsidR="00423B40" w:rsidRDefault="00636AB1">
            <w:pPr>
              <w:spacing w:after="0" w:line="240" w:lineRule="auto"/>
              <w:jc w:val="left"/>
              <w:rPr>
                <w:color w:val="121212"/>
              </w:rPr>
            </w:pPr>
            <w:r>
              <w:rPr>
                <w:color w:val="121212"/>
              </w:rPr>
              <w:t xml:space="preserve">Pires </w:t>
            </w:r>
            <w:r>
              <w:rPr>
                <w:i/>
                <w:iCs/>
                <w:color w:val="121212"/>
              </w:rPr>
              <w:t>et al</w:t>
            </w:r>
            <w:r>
              <w:rPr>
                <w:color w:val="121212"/>
              </w:rPr>
              <w:t>. (2020)</w:t>
            </w:r>
          </w:p>
        </w:tc>
        <w:tc>
          <w:tcPr>
            <w:tcW w:w="780" w:type="dxa"/>
            <w:tcBorders>
              <w:top w:val="nil"/>
              <w:left w:val="nil"/>
              <w:bottom w:val="single" w:sz="4" w:space="0" w:color="000000"/>
              <w:right w:val="single" w:sz="4" w:space="0" w:color="000000"/>
            </w:tcBorders>
            <w:vAlign w:val="bottom"/>
          </w:tcPr>
          <w:p w14:paraId="56756240"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704702B2"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6F3F5182"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B26E92D"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4ECC546A"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FCF4419"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1D74218A"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B37764A"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9C1AF79"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4675B6CF" w14:textId="77777777" w:rsidR="00423B40" w:rsidRDefault="00636AB1">
            <w:pPr>
              <w:spacing w:after="0" w:line="240" w:lineRule="auto"/>
              <w:jc w:val="left"/>
              <w:rPr>
                <w:color w:val="121212"/>
              </w:rPr>
            </w:pPr>
            <w:r>
              <w:rPr>
                <w:color w:val="121212"/>
              </w:rPr>
              <w:t>Yes</w:t>
            </w:r>
          </w:p>
        </w:tc>
      </w:tr>
      <w:tr w:rsidR="00423B40" w14:paraId="43E1EF2B"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7FA328A8" w14:textId="77777777" w:rsidR="00423B40" w:rsidRDefault="00636AB1">
            <w:pPr>
              <w:spacing w:after="0" w:line="240" w:lineRule="auto"/>
              <w:jc w:val="left"/>
              <w:rPr>
                <w:color w:val="121212"/>
              </w:rPr>
            </w:pPr>
            <w:r>
              <w:rPr>
                <w:color w:val="121212"/>
              </w:rPr>
              <w:t xml:space="preserve">Vico-Moreno </w:t>
            </w:r>
            <w:r>
              <w:rPr>
                <w:i/>
                <w:iCs/>
                <w:color w:val="121212"/>
              </w:rPr>
              <w:t>et al</w:t>
            </w:r>
            <w:r>
              <w:rPr>
                <w:color w:val="121212"/>
              </w:rPr>
              <w:t>. (2026)</w:t>
            </w:r>
          </w:p>
        </w:tc>
        <w:tc>
          <w:tcPr>
            <w:tcW w:w="780" w:type="dxa"/>
            <w:tcBorders>
              <w:top w:val="nil"/>
              <w:left w:val="nil"/>
              <w:bottom w:val="single" w:sz="4" w:space="0" w:color="000000"/>
              <w:right w:val="single" w:sz="4" w:space="0" w:color="000000"/>
            </w:tcBorders>
            <w:vAlign w:val="bottom"/>
          </w:tcPr>
          <w:p w14:paraId="315BB1DD"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5C3364A"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4D0687E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E988CA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D588D15"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19290AC4"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68EB42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3BA229CA"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729FA41"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00728195" w14:textId="77777777" w:rsidR="00423B40" w:rsidRDefault="00636AB1">
            <w:pPr>
              <w:spacing w:after="0" w:line="240" w:lineRule="auto"/>
              <w:jc w:val="left"/>
              <w:rPr>
                <w:color w:val="121212"/>
              </w:rPr>
            </w:pPr>
            <w:r>
              <w:rPr>
                <w:color w:val="121212"/>
              </w:rPr>
              <w:t>Yes</w:t>
            </w:r>
          </w:p>
        </w:tc>
      </w:tr>
      <w:tr w:rsidR="00423B40" w14:paraId="3B6B9B12"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4DA12DBF" w14:textId="77777777" w:rsidR="00423B40" w:rsidRDefault="00636AB1">
            <w:pPr>
              <w:spacing w:after="0" w:line="240" w:lineRule="auto"/>
              <w:jc w:val="left"/>
              <w:rPr>
                <w:color w:val="121212"/>
              </w:rPr>
            </w:pPr>
            <w:proofErr w:type="spellStart"/>
            <w:r>
              <w:rPr>
                <w:color w:val="121212"/>
              </w:rPr>
              <w:t>Giagio</w:t>
            </w:r>
            <w:proofErr w:type="spellEnd"/>
            <w:r>
              <w:rPr>
                <w:color w:val="121212"/>
              </w:rPr>
              <w:t xml:space="preserve"> </w:t>
            </w:r>
            <w:r>
              <w:rPr>
                <w:i/>
                <w:iCs/>
                <w:color w:val="121212"/>
              </w:rPr>
              <w:t>et al</w:t>
            </w:r>
            <w:r>
              <w:rPr>
                <w:color w:val="121212"/>
              </w:rPr>
              <w:t>. (2025)</w:t>
            </w:r>
          </w:p>
        </w:tc>
        <w:tc>
          <w:tcPr>
            <w:tcW w:w="780" w:type="dxa"/>
            <w:tcBorders>
              <w:top w:val="nil"/>
              <w:left w:val="nil"/>
              <w:bottom w:val="single" w:sz="4" w:space="0" w:color="000000"/>
              <w:right w:val="single" w:sz="4" w:space="0" w:color="000000"/>
            </w:tcBorders>
            <w:vAlign w:val="bottom"/>
          </w:tcPr>
          <w:p w14:paraId="3B64D79F"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6B0C36F"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6646368A"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2EA73555"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FB5D89E"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E43FDF6"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7172BB0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97DF4A0"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501E8C58"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3EFAED3A" w14:textId="77777777" w:rsidR="00423B40" w:rsidRDefault="00636AB1">
            <w:pPr>
              <w:spacing w:after="0" w:line="240" w:lineRule="auto"/>
              <w:jc w:val="left"/>
              <w:rPr>
                <w:color w:val="121212"/>
              </w:rPr>
            </w:pPr>
            <w:r>
              <w:rPr>
                <w:color w:val="121212"/>
              </w:rPr>
              <w:t>Yes</w:t>
            </w:r>
          </w:p>
        </w:tc>
      </w:tr>
      <w:tr w:rsidR="00423B40" w14:paraId="2EEEA73A"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2A28C294" w14:textId="77777777" w:rsidR="00423B40" w:rsidRDefault="00636AB1">
            <w:pPr>
              <w:spacing w:after="0" w:line="240" w:lineRule="auto"/>
              <w:jc w:val="left"/>
              <w:rPr>
                <w:color w:val="121212"/>
              </w:rPr>
            </w:pPr>
            <w:r>
              <w:rPr>
                <w:color w:val="121212"/>
              </w:rPr>
              <w:t xml:space="preserve">Rogers </w:t>
            </w:r>
            <w:r>
              <w:rPr>
                <w:i/>
                <w:iCs/>
                <w:color w:val="121212"/>
              </w:rPr>
              <w:t>et al</w:t>
            </w:r>
            <w:r>
              <w:rPr>
                <w:color w:val="121212"/>
              </w:rPr>
              <w:t>. (2017)</w:t>
            </w:r>
          </w:p>
        </w:tc>
        <w:tc>
          <w:tcPr>
            <w:tcW w:w="780" w:type="dxa"/>
            <w:tcBorders>
              <w:top w:val="nil"/>
              <w:left w:val="nil"/>
              <w:bottom w:val="single" w:sz="4" w:space="0" w:color="000000"/>
              <w:right w:val="single" w:sz="4" w:space="0" w:color="000000"/>
            </w:tcBorders>
            <w:vAlign w:val="bottom"/>
          </w:tcPr>
          <w:p w14:paraId="78BD74B7"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17337F3A" w14:textId="77777777" w:rsidR="00423B40" w:rsidRDefault="00636AB1">
            <w:pPr>
              <w:spacing w:after="0" w:line="240" w:lineRule="auto"/>
              <w:jc w:val="center"/>
              <w:rPr>
                <w:color w:val="121212"/>
              </w:rPr>
            </w:pPr>
            <w:r>
              <w:rPr>
                <w:color w:val="121212"/>
              </w:rPr>
              <w:t>Yes</w:t>
            </w:r>
          </w:p>
        </w:tc>
        <w:tc>
          <w:tcPr>
            <w:tcW w:w="780" w:type="dxa"/>
            <w:tcBorders>
              <w:top w:val="nil"/>
              <w:left w:val="nil"/>
              <w:bottom w:val="single" w:sz="4" w:space="0" w:color="000000"/>
              <w:right w:val="single" w:sz="4" w:space="0" w:color="000000"/>
            </w:tcBorders>
            <w:vAlign w:val="bottom"/>
          </w:tcPr>
          <w:p w14:paraId="2DA49961"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1E9CF8C1"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06FFC7C7"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1D9FD198"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173885D2"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6E727558" w14:textId="77777777" w:rsidR="00423B40" w:rsidRDefault="00636AB1">
            <w:pPr>
              <w:spacing w:after="0" w:line="240" w:lineRule="auto"/>
              <w:jc w:val="center"/>
              <w:rPr>
                <w:color w:val="121212"/>
              </w:rPr>
            </w:pPr>
            <w:r>
              <w:rPr>
                <w:color w:val="121212"/>
              </w:rPr>
              <w:t>Yes</w:t>
            </w:r>
          </w:p>
        </w:tc>
        <w:tc>
          <w:tcPr>
            <w:tcW w:w="781" w:type="dxa"/>
            <w:tcBorders>
              <w:top w:val="nil"/>
              <w:left w:val="nil"/>
              <w:bottom w:val="single" w:sz="4" w:space="0" w:color="000000"/>
              <w:right w:val="single" w:sz="4" w:space="0" w:color="000000"/>
            </w:tcBorders>
            <w:vAlign w:val="bottom"/>
          </w:tcPr>
          <w:p w14:paraId="380CA9AE" w14:textId="77777777" w:rsidR="00423B40" w:rsidRDefault="00636AB1">
            <w:pPr>
              <w:spacing w:after="0" w:line="240" w:lineRule="auto"/>
              <w:jc w:val="left"/>
              <w:rPr>
                <w:color w:val="121212"/>
              </w:rPr>
            </w:pPr>
            <w:r>
              <w:rPr>
                <w:color w:val="121212"/>
              </w:rPr>
              <w:t>Yes</w:t>
            </w:r>
          </w:p>
        </w:tc>
        <w:tc>
          <w:tcPr>
            <w:tcW w:w="827" w:type="dxa"/>
            <w:tcBorders>
              <w:top w:val="nil"/>
              <w:left w:val="nil"/>
              <w:bottom w:val="single" w:sz="4" w:space="0" w:color="000000"/>
              <w:right w:val="single" w:sz="4" w:space="0" w:color="000000"/>
            </w:tcBorders>
            <w:vAlign w:val="bottom"/>
          </w:tcPr>
          <w:p w14:paraId="58D643AA" w14:textId="77777777" w:rsidR="00423B40" w:rsidRDefault="00636AB1">
            <w:pPr>
              <w:spacing w:after="0" w:line="240" w:lineRule="auto"/>
              <w:jc w:val="left"/>
              <w:rPr>
                <w:color w:val="121212"/>
              </w:rPr>
            </w:pPr>
            <w:r>
              <w:rPr>
                <w:color w:val="121212"/>
              </w:rPr>
              <w:t>Yes</w:t>
            </w:r>
          </w:p>
        </w:tc>
      </w:tr>
    </w:tbl>
    <w:p w14:paraId="14922714" w14:textId="77777777" w:rsidR="00423B40" w:rsidRDefault="00423B40">
      <w:pPr>
        <w:spacing w:after="240"/>
        <w:rPr>
          <w:b/>
          <w:bCs/>
          <w:color w:val="121212"/>
        </w:rPr>
      </w:pPr>
    </w:p>
    <w:p w14:paraId="45F1D6EC" w14:textId="77777777" w:rsidR="00423B40" w:rsidRDefault="00636AB1">
      <w:pPr>
        <w:spacing w:after="240"/>
        <w:rPr>
          <w:color w:val="121212"/>
        </w:rPr>
      </w:pPr>
      <w:r>
        <w:rPr>
          <w:b/>
          <w:bCs/>
          <w:color w:val="121212"/>
        </w:rPr>
        <w:t>1:</w:t>
      </w:r>
      <w:r>
        <w:rPr>
          <w:color w:val="121212"/>
        </w:rPr>
        <w:t xml:space="preserve"> Did the study address a clearly focused research question? </w:t>
      </w:r>
    </w:p>
    <w:p w14:paraId="69CEFF76" w14:textId="77777777" w:rsidR="00423B40" w:rsidRDefault="00636AB1">
      <w:pPr>
        <w:spacing w:after="240"/>
        <w:rPr>
          <w:color w:val="121212"/>
        </w:rPr>
      </w:pPr>
      <w:r>
        <w:rPr>
          <w:b/>
          <w:bCs/>
          <w:color w:val="121212"/>
        </w:rPr>
        <w:t>Q2:</w:t>
      </w:r>
      <w:r>
        <w:rPr>
          <w:color w:val="121212"/>
        </w:rPr>
        <w:t xml:space="preserve"> Was the selected study design appropriate for answering the research question? </w:t>
      </w:r>
    </w:p>
    <w:p w14:paraId="452B4901" w14:textId="77777777" w:rsidR="00423B40" w:rsidRDefault="00636AB1">
      <w:pPr>
        <w:spacing w:after="240"/>
        <w:rPr>
          <w:color w:val="121212"/>
        </w:rPr>
      </w:pPr>
      <w:r>
        <w:rPr>
          <w:b/>
          <w:bCs/>
          <w:color w:val="121212"/>
        </w:rPr>
        <w:t>Q3:</w:t>
      </w:r>
      <w:r>
        <w:rPr>
          <w:color w:val="121212"/>
        </w:rPr>
        <w:t xml:space="preserve"> Was the participant group recruited in an acceptable and appropriate way? </w:t>
      </w:r>
    </w:p>
    <w:p w14:paraId="289C7DDC" w14:textId="77777777" w:rsidR="00423B40" w:rsidRDefault="00636AB1">
      <w:pPr>
        <w:spacing w:after="240"/>
        <w:rPr>
          <w:color w:val="121212"/>
        </w:rPr>
      </w:pPr>
      <w:r>
        <w:rPr>
          <w:b/>
          <w:bCs/>
          <w:color w:val="121212"/>
        </w:rPr>
        <w:t>Q4:</w:t>
      </w:r>
      <w:r>
        <w:rPr>
          <w:color w:val="121212"/>
        </w:rPr>
        <w:t xml:space="preserve"> Were the exposure or risk factors measured accurately to reduce bias? </w:t>
      </w:r>
    </w:p>
    <w:p w14:paraId="16953A3D" w14:textId="77777777" w:rsidR="00423B40" w:rsidRDefault="00636AB1">
      <w:pPr>
        <w:spacing w:after="240"/>
        <w:rPr>
          <w:color w:val="121212"/>
        </w:rPr>
      </w:pPr>
      <w:r>
        <w:rPr>
          <w:b/>
          <w:bCs/>
          <w:color w:val="121212"/>
        </w:rPr>
        <w:t>Q5:</w:t>
      </w:r>
      <w:r>
        <w:rPr>
          <w:color w:val="121212"/>
        </w:rPr>
        <w:t xml:space="preserve"> Were the study outcomes measured accurately and reliably? </w:t>
      </w:r>
    </w:p>
    <w:p w14:paraId="75E7FD6A" w14:textId="77777777" w:rsidR="00423B40" w:rsidRDefault="00636AB1">
      <w:pPr>
        <w:spacing w:after="240"/>
        <w:rPr>
          <w:color w:val="121212"/>
        </w:rPr>
      </w:pPr>
      <w:r>
        <w:rPr>
          <w:b/>
          <w:bCs/>
          <w:color w:val="121212"/>
        </w:rPr>
        <w:t>Q6:</w:t>
      </w:r>
      <w:r>
        <w:rPr>
          <w:color w:val="121212"/>
        </w:rPr>
        <w:t xml:space="preserve"> Did the researchers identify and consider important confounding factors? </w:t>
      </w:r>
    </w:p>
    <w:p w14:paraId="5FF1C1BE" w14:textId="77777777" w:rsidR="00423B40" w:rsidRDefault="00636AB1">
      <w:pPr>
        <w:spacing w:after="240"/>
        <w:rPr>
          <w:color w:val="121212"/>
        </w:rPr>
      </w:pPr>
      <w:r>
        <w:rPr>
          <w:b/>
          <w:bCs/>
          <w:color w:val="121212"/>
        </w:rPr>
        <w:t>Q7:</w:t>
      </w:r>
      <w:r>
        <w:rPr>
          <w:color w:val="121212"/>
        </w:rPr>
        <w:t xml:space="preserve"> Were appropriate methods used to control the confounding factors? </w:t>
      </w:r>
    </w:p>
    <w:p w14:paraId="58A287FD" w14:textId="77777777" w:rsidR="00423B40" w:rsidRDefault="00636AB1">
      <w:pPr>
        <w:spacing w:after="240"/>
        <w:rPr>
          <w:color w:val="121212"/>
        </w:rPr>
      </w:pPr>
      <w:r>
        <w:rPr>
          <w:b/>
          <w:bCs/>
          <w:color w:val="121212"/>
        </w:rPr>
        <w:t>Q8:</w:t>
      </w:r>
      <w:r>
        <w:rPr>
          <w:color w:val="121212"/>
        </w:rPr>
        <w:t xml:space="preserve"> Was the statistical analysis appropriate, and were the results clearly presented? </w:t>
      </w:r>
    </w:p>
    <w:p w14:paraId="6E47D950" w14:textId="77777777" w:rsidR="00423B40" w:rsidRDefault="00636AB1">
      <w:pPr>
        <w:spacing w:after="240"/>
        <w:rPr>
          <w:color w:val="121212"/>
        </w:rPr>
      </w:pPr>
      <w:r>
        <w:rPr>
          <w:b/>
          <w:bCs/>
          <w:color w:val="121212"/>
        </w:rPr>
        <w:t>Q9:</w:t>
      </w:r>
      <w:r>
        <w:rPr>
          <w:color w:val="121212"/>
        </w:rPr>
        <w:t xml:space="preserve"> Were the results sufficiently precise, credible and relevant? </w:t>
      </w:r>
    </w:p>
    <w:p w14:paraId="5568BB30" w14:textId="77777777" w:rsidR="00423B40" w:rsidRDefault="00636AB1">
      <w:pPr>
        <w:spacing w:after="240"/>
        <w:rPr>
          <w:color w:val="121212"/>
        </w:rPr>
      </w:pPr>
      <w:r>
        <w:rPr>
          <w:b/>
          <w:bCs/>
          <w:color w:val="121212"/>
        </w:rPr>
        <w:t>Q10:</w:t>
      </w:r>
      <w:r>
        <w:rPr>
          <w:color w:val="121212"/>
        </w:rPr>
        <w:t xml:space="preserve"> Can the study findings be applied to the population and context of the present systematic review?</w:t>
      </w:r>
    </w:p>
    <w:sectPr w:rsidR="00423B40" w:rsidSect="008A2B25">
      <w:pgSz w:w="11906" w:h="16838"/>
      <w:pgMar w:top="1440" w:right="1440" w:bottom="1440" w:left="1440"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C46C0" w14:textId="77777777" w:rsidR="000F7F3F" w:rsidRDefault="000F7F3F">
      <w:pPr>
        <w:spacing w:after="0" w:line="240" w:lineRule="auto"/>
      </w:pPr>
      <w:r>
        <w:separator/>
      </w:r>
    </w:p>
  </w:endnote>
  <w:endnote w:type="continuationSeparator" w:id="0">
    <w:p w14:paraId="76C91295" w14:textId="77777777" w:rsidR="000F7F3F" w:rsidRDefault="000F7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9D90AEC8-4056-4EEC-9CB8-0F9CFA531CBA}"/>
  </w:font>
  <w:font w:name="Calibri">
    <w:panose1 w:val="020F0502020204030204"/>
    <w:charset w:val="00"/>
    <w:family w:val="swiss"/>
    <w:pitch w:val="variable"/>
    <w:sig w:usb0="E4002EFF" w:usb1="C200247B" w:usb2="00000009" w:usb3="00000000" w:csb0="000001FF" w:csb1="00000000"/>
    <w:embedRegular r:id="rId2" w:fontKey="{6308917E-B107-4BB1-8439-B22F6F0F82DB}"/>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embedRegular r:id="rId3" w:fontKey="{38C1B9FB-4B59-4A24-B209-3A279BED206D}"/>
  </w:font>
  <w:font w:name="Cambria">
    <w:panose1 w:val="02040503050406030204"/>
    <w:charset w:val="00"/>
    <w:family w:val="roman"/>
    <w:pitch w:val="variable"/>
    <w:sig w:usb0="E00006FF" w:usb1="420024FF" w:usb2="02000000" w:usb3="00000000" w:csb0="0000019F" w:csb1="00000000"/>
    <w:embedRegular r:id="rId4" w:fontKey="{162A3273-9129-460F-80DC-F3B160B0DF78}"/>
  </w:font>
  <w:font w:name="Cambria Math">
    <w:panose1 w:val="02040503050406030204"/>
    <w:charset w:val="00"/>
    <w:family w:val="roman"/>
    <w:pitch w:val="variable"/>
    <w:sig w:usb0="E00006FF" w:usb1="420024FF" w:usb2="02000000" w:usb3="00000000" w:csb0="0000019F" w:csb1="00000000"/>
    <w:embedRegular r:id="rId5" w:fontKey="{A8C2BF4B-2E8E-411A-A67F-F4A7E37D49B0}"/>
  </w:font>
  <w:font w:name="Palatino Linotype">
    <w:panose1 w:val="02040502050505030304"/>
    <w:charset w:val="00"/>
    <w:family w:val="roman"/>
    <w:pitch w:val="variable"/>
    <w:sig w:usb0="E0000287" w:usb1="40000013" w:usb2="00000000" w:usb3="00000000" w:csb0="0000019F" w:csb1="00000000"/>
    <w:embedRegular r:id="rId6" w:fontKey="{CDE2688C-82E0-4C56-BE2F-630899C670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4FF99" w14:textId="77777777" w:rsidR="00423B40" w:rsidRDefault="00636AB1">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end"/>
    </w:r>
    <w:r>
      <w:rPr>
        <w:rFonts w:ascii="Calibri" w:eastAsia="Calibri" w:hAnsi="Calibri" w:cs="Calibri"/>
      </w:rPr>
      <w:t xml:space="preserve"> </w:t>
    </w:r>
  </w:p>
  <w:p w14:paraId="547E791B" w14:textId="77777777" w:rsidR="00423B40" w:rsidRDefault="00636AB1">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24EA3D" w14:textId="77777777" w:rsidR="00423B40" w:rsidRDefault="00636AB1">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separate"/>
    </w:r>
    <w:r w:rsidR="002D62B3">
      <w:rPr>
        <w:rFonts w:ascii="Calibri" w:eastAsia="Calibri" w:hAnsi="Calibri" w:cs="Calibri"/>
        <w:noProof/>
      </w:rPr>
      <w:t>5</w:t>
    </w:r>
    <w:r>
      <w:rPr>
        <w:rFonts w:ascii="Calibri" w:eastAsia="Calibri" w:hAnsi="Calibri" w:cs="Calibri"/>
      </w:rPr>
      <w:fldChar w:fldCharType="end"/>
    </w:r>
    <w:r>
      <w:rPr>
        <w:rFonts w:ascii="Calibri" w:eastAsia="Calibri" w:hAnsi="Calibri" w:cs="Calibri"/>
      </w:rPr>
      <w:t xml:space="preserve"> </w:t>
    </w:r>
  </w:p>
  <w:p w14:paraId="0D3B1775" w14:textId="77777777" w:rsidR="00423B40" w:rsidRDefault="00636AB1">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F04A7" w14:textId="77777777" w:rsidR="00423B40" w:rsidRDefault="00636AB1">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end"/>
    </w:r>
    <w:r>
      <w:rPr>
        <w:rFonts w:ascii="Calibri" w:eastAsia="Calibri" w:hAnsi="Calibri" w:cs="Calibri"/>
      </w:rPr>
      <w:t xml:space="preserve"> </w:t>
    </w:r>
  </w:p>
  <w:p w14:paraId="38A24B11" w14:textId="77777777" w:rsidR="00423B40" w:rsidRDefault="00636AB1">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E556F" w14:textId="77777777" w:rsidR="000F7F3F" w:rsidRDefault="000F7F3F">
      <w:pPr>
        <w:spacing w:after="0" w:line="240" w:lineRule="auto"/>
      </w:pPr>
      <w:r>
        <w:separator/>
      </w:r>
    </w:p>
  </w:footnote>
  <w:footnote w:type="continuationSeparator" w:id="0">
    <w:p w14:paraId="53471FFB" w14:textId="77777777" w:rsidR="000F7F3F" w:rsidRDefault="000F7F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9B5BA1"/>
    <w:multiLevelType w:val="multilevel"/>
    <w:tmpl w:val="3F9B5BA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85C268F"/>
    <w:multiLevelType w:val="hybridMultilevel"/>
    <w:tmpl w:val="D41CDF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0240511">
    <w:abstractNumId w:val="0"/>
  </w:num>
  <w:num w:numId="2" w16cid:durableId="614412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B40"/>
    <w:rsid w:val="0003652C"/>
    <w:rsid w:val="00055C1A"/>
    <w:rsid w:val="000F3854"/>
    <w:rsid w:val="000F7F3F"/>
    <w:rsid w:val="00143C33"/>
    <w:rsid w:val="001455E7"/>
    <w:rsid w:val="001834BA"/>
    <w:rsid w:val="001B735F"/>
    <w:rsid w:val="001D44CF"/>
    <w:rsid w:val="00220ED8"/>
    <w:rsid w:val="002D62B3"/>
    <w:rsid w:val="003206AB"/>
    <w:rsid w:val="00337F04"/>
    <w:rsid w:val="00364771"/>
    <w:rsid w:val="003A0B61"/>
    <w:rsid w:val="003A2366"/>
    <w:rsid w:val="003A522F"/>
    <w:rsid w:val="003E2F8E"/>
    <w:rsid w:val="00417C2F"/>
    <w:rsid w:val="00423B40"/>
    <w:rsid w:val="0044134D"/>
    <w:rsid w:val="004458F0"/>
    <w:rsid w:val="0045021F"/>
    <w:rsid w:val="00451CCF"/>
    <w:rsid w:val="004551D4"/>
    <w:rsid w:val="00522676"/>
    <w:rsid w:val="0052422A"/>
    <w:rsid w:val="00532A99"/>
    <w:rsid w:val="005432CC"/>
    <w:rsid w:val="00555899"/>
    <w:rsid w:val="00571281"/>
    <w:rsid w:val="00585F17"/>
    <w:rsid w:val="005D1C0F"/>
    <w:rsid w:val="00636AB1"/>
    <w:rsid w:val="0066F6B7"/>
    <w:rsid w:val="0068205D"/>
    <w:rsid w:val="006967C5"/>
    <w:rsid w:val="006B24ED"/>
    <w:rsid w:val="006E03C5"/>
    <w:rsid w:val="006F533C"/>
    <w:rsid w:val="007844D7"/>
    <w:rsid w:val="008040D9"/>
    <w:rsid w:val="00823DBA"/>
    <w:rsid w:val="008330B7"/>
    <w:rsid w:val="00874623"/>
    <w:rsid w:val="008A2B25"/>
    <w:rsid w:val="008C4BB9"/>
    <w:rsid w:val="009226AC"/>
    <w:rsid w:val="00931F0A"/>
    <w:rsid w:val="009B05DE"/>
    <w:rsid w:val="009F2A38"/>
    <w:rsid w:val="00A361A9"/>
    <w:rsid w:val="00A52FFA"/>
    <w:rsid w:val="00A840F0"/>
    <w:rsid w:val="00A86A24"/>
    <w:rsid w:val="00AB0A70"/>
    <w:rsid w:val="00AB1E09"/>
    <w:rsid w:val="00AB74DA"/>
    <w:rsid w:val="00AC5789"/>
    <w:rsid w:val="00B07BE8"/>
    <w:rsid w:val="00BC693A"/>
    <w:rsid w:val="00C32B30"/>
    <w:rsid w:val="00C66C84"/>
    <w:rsid w:val="00C94868"/>
    <w:rsid w:val="00CB7B88"/>
    <w:rsid w:val="00CE307C"/>
    <w:rsid w:val="00D171CB"/>
    <w:rsid w:val="00D20381"/>
    <w:rsid w:val="00D27ED8"/>
    <w:rsid w:val="00DF5433"/>
    <w:rsid w:val="00DF6637"/>
    <w:rsid w:val="00EB67AA"/>
    <w:rsid w:val="00F344F0"/>
    <w:rsid w:val="10B439EE"/>
    <w:rsid w:val="1418EB8D"/>
    <w:rsid w:val="152BDC17"/>
    <w:rsid w:val="1E8DB187"/>
    <w:rsid w:val="2C4520BF"/>
    <w:rsid w:val="2E272FE7"/>
    <w:rsid w:val="318B0ACE"/>
    <w:rsid w:val="39C9F5F0"/>
    <w:rsid w:val="3B2C0D8C"/>
    <w:rsid w:val="47C31E88"/>
    <w:rsid w:val="4C0D1F6D"/>
    <w:rsid w:val="4EDE52BB"/>
    <w:rsid w:val="51DE325B"/>
    <w:rsid w:val="5420D396"/>
    <w:rsid w:val="553FC709"/>
    <w:rsid w:val="5A71C8A8"/>
    <w:rsid w:val="5EDD4487"/>
    <w:rsid w:val="71F067DF"/>
    <w:rsid w:val="7A85D3FC"/>
    <w:rsid w:val="7B107214"/>
    <w:rsid w:val="7F9A8A4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24E87FA8"/>
  <w15:docId w15:val="{F27E15E4-5A58-7542-9650-D736037E0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B25"/>
    <w:pPr>
      <w:spacing w:line="360" w:lineRule="auto"/>
      <w:jc w:val="both"/>
    </w:pPr>
    <w:rPr>
      <w:sz w:val="22"/>
      <w:szCs w:val="22"/>
      <w:lang w:eastAsia="en-IN"/>
    </w:rPr>
  </w:style>
  <w:style w:type="paragraph" w:styleId="Heading1">
    <w:name w:val="heading 1"/>
    <w:basedOn w:val="Normal"/>
    <w:next w:val="Normal"/>
    <w:uiPriority w:val="9"/>
    <w:qFormat/>
    <w:pPr>
      <w:keepNext/>
      <w:keepLines/>
      <w:spacing w:after="152"/>
      <w:ind w:left="10" w:right="2" w:hanging="10"/>
      <w:outlineLvl w:val="0"/>
    </w:pPr>
    <w:rPr>
      <w:b/>
      <w:bCs/>
      <w:color w:val="000000"/>
      <w:sz w:val="28"/>
      <w:szCs w:val="28"/>
    </w:rPr>
  </w:style>
  <w:style w:type="paragraph" w:styleId="Heading2">
    <w:name w:val="heading 2"/>
    <w:basedOn w:val="Normal"/>
    <w:next w:val="Normal"/>
    <w:link w:val="Heading2Char"/>
    <w:uiPriority w:val="9"/>
    <w:unhideWhenUsed/>
    <w:qFormat/>
    <w:pPr>
      <w:keepNext/>
      <w:keepLines/>
      <w:spacing w:after="152"/>
      <w:ind w:left="10" w:right="2" w:hanging="10"/>
      <w:outlineLvl w:val="1"/>
    </w:pPr>
    <w:rPr>
      <w:b/>
      <w:bCs/>
      <w:color w:val="000000"/>
    </w:rPr>
  </w:style>
  <w:style w:type="paragraph" w:styleId="Heading3">
    <w:name w:val="heading 3"/>
    <w:basedOn w:val="Normal"/>
    <w:next w:val="Normal"/>
    <w:uiPriority w:val="9"/>
    <w:unhideWhenUsed/>
    <w:qFormat/>
    <w:pPr>
      <w:keepNext/>
      <w:keepLines/>
      <w:spacing w:after="181"/>
      <w:outlineLvl w:val="2"/>
    </w:pPr>
    <w:rPr>
      <w:rFonts w:ascii="Times New Roman" w:eastAsia="Times New Roman" w:hAnsi="Times New Roman" w:cs="Times New Roman"/>
      <w:b/>
      <w:bCs/>
      <w:color w:val="000000"/>
    </w:rPr>
  </w:style>
  <w:style w:type="paragraph" w:styleId="Heading4">
    <w:name w:val="heading 4"/>
    <w:basedOn w:val="Normal"/>
    <w:next w:val="Normal"/>
    <w:uiPriority w:val="9"/>
    <w:unhideWhenUsed/>
    <w:qFormat/>
    <w:pPr>
      <w:keepNext/>
      <w:keepLines/>
      <w:spacing w:before="240" w:after="40"/>
      <w:jc w:val="center"/>
      <w:outlineLvl w:val="3"/>
    </w:pPr>
    <w:rPr>
      <w:b/>
      <w:bCs/>
    </w:rPr>
  </w:style>
  <w:style w:type="paragraph" w:styleId="Heading5">
    <w:name w:val="heading 5"/>
    <w:basedOn w:val="Normal"/>
    <w:next w:val="Normal"/>
    <w:link w:val="Heading5Char"/>
    <w:uiPriority w:val="9"/>
    <w:unhideWhenUsed/>
    <w:qFormat/>
    <w:pPr>
      <w:keepNext/>
      <w:keepLines/>
      <w:spacing w:before="220" w:after="40"/>
      <w:jc w:val="center"/>
      <w:outlineLvl w:val="4"/>
    </w:pPr>
    <w:rPr>
      <w:b/>
      <w:bCs/>
    </w:rPr>
  </w:style>
  <w:style w:type="paragraph" w:styleId="Heading6">
    <w:name w:val="heading 6"/>
    <w:basedOn w:val="Normal"/>
    <w:next w:val="Normal"/>
    <w:uiPriority w:val="9"/>
    <w:unhideWhenUsed/>
    <w:qFormat/>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pPr>
      <w:spacing w:line="240" w:lineRule="auto"/>
    </w:pPr>
    <w:rPr>
      <w:sz w:val="20"/>
      <w:szCs w:val="20"/>
    </w:rPr>
  </w:style>
  <w:style w:type="paragraph" w:styleId="CommentSubject">
    <w:name w:val="annotation subject"/>
    <w:basedOn w:val="CommentText"/>
    <w:next w:val="CommentText"/>
    <w:link w:val="CommentSubjectChar"/>
    <w:uiPriority w:val="99"/>
    <w:unhideWhenUsed/>
    <w:rPr>
      <w:b/>
      <w:bCs/>
    </w:rPr>
  </w:style>
  <w:style w:type="paragraph" w:styleId="NormalWeb">
    <w:name w:val="Normal (Web)"/>
    <w:basedOn w:val="Normal"/>
    <w:uiPriority w:val="99"/>
    <w:unhideWhenUsed/>
    <w:pPr>
      <w:spacing w:before="100" w:beforeAutospacing="1" w:after="100" w:afterAutospacing="1" w:line="240" w:lineRule="auto"/>
      <w:jc w:val="left"/>
    </w:pPr>
    <w:rPr>
      <w:rFonts w:ascii="Times New Roman" w:eastAsia="Times New Roman" w:hAnsi="Times New Roman" w:cs="Times New Roman"/>
      <w:sz w:val="24"/>
      <w:lang w:eastAsia="en-GB" w:bidi="bn-IN"/>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ableofFigures">
    <w:name w:val="table of figures"/>
    <w:basedOn w:val="Normal"/>
    <w:next w:val="Normal"/>
    <w:uiPriority w:val="99"/>
    <w:unhideWhenUsed/>
    <w:pPr>
      <w:spacing w:after="0"/>
    </w:pPr>
  </w:style>
  <w:style w:type="paragraph" w:styleId="Title">
    <w:name w:val="Title"/>
    <w:basedOn w:val="Normal"/>
    <w:next w:val="Normal"/>
    <w:uiPriority w:val="10"/>
    <w:qFormat/>
    <w:pPr>
      <w:keepNext/>
      <w:keepLines/>
      <w:spacing w:before="480" w:after="120"/>
    </w:pPr>
    <w:rPr>
      <w:b/>
      <w:bCs/>
      <w:sz w:val="72"/>
      <w:szCs w:val="7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styleId="CommentReference">
    <w:name w:val="annotation reference"/>
    <w:basedOn w:val="DefaultParagraphFont"/>
    <w:uiPriority w:val="99"/>
    <w:unhideWhenUsed/>
    <w:rPr>
      <w:sz w:val="16"/>
      <w:szCs w:val="16"/>
    </w:rPr>
  </w:style>
  <w:style w:type="character" w:styleId="Hyperlink">
    <w:name w:val="Hyperlink"/>
    <w:basedOn w:val="DefaultParagraphFont"/>
    <w:uiPriority w:val="99"/>
    <w:unhideWhenUsed/>
    <w:rPr>
      <w:color w:val="0000FF" w:themeColor="hyperlink"/>
      <w:u w:val="single"/>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0">
    <w:name w:val="TableNormal"/>
    <w:tblPr>
      <w:tblCellMar>
        <w:top w:w="100" w:type="dxa"/>
        <w:left w:w="100" w:type="dxa"/>
        <w:bottom w:w="100" w:type="dxa"/>
        <w:right w:w="100" w:type="dxa"/>
      </w:tblCellMar>
    </w:tblPr>
  </w:style>
  <w:style w:type="character" w:customStyle="1" w:styleId="CommentTextChar">
    <w:name w:val="Comment Text Char"/>
    <w:basedOn w:val="DefaultParagraphFont"/>
    <w:link w:val="CommentText"/>
    <w:uiPriority w:val="99"/>
    <w:rPr>
      <w:lang w:eastAsia="en-IN"/>
    </w:rPr>
  </w:style>
  <w:style w:type="character" w:customStyle="1" w:styleId="Heading2Char">
    <w:name w:val="Heading 2 Char"/>
    <w:basedOn w:val="DefaultParagraphFont"/>
    <w:link w:val="Heading2"/>
    <w:uiPriority w:val="9"/>
    <w:rPr>
      <w:b/>
      <w:bCs/>
      <w:color w:val="000000"/>
      <w:sz w:val="22"/>
      <w:szCs w:val="24"/>
      <w:lang w:eastAsia="en-IN"/>
    </w:rPr>
  </w:style>
  <w:style w:type="character" w:customStyle="1" w:styleId="CommentSubjectChar">
    <w:name w:val="Comment Subject Char"/>
    <w:basedOn w:val="CommentTextChar"/>
    <w:link w:val="CommentSubject"/>
    <w:uiPriority w:val="99"/>
    <w:semiHidden/>
    <w:rPr>
      <w:b/>
      <w:bCs/>
      <w:lang w:eastAsia="en-IN"/>
    </w:rPr>
  </w:style>
  <w:style w:type="paragraph" w:customStyle="1" w:styleId="TOCHeading1">
    <w:name w:val="TOC Heading1"/>
    <w:basedOn w:val="Heading1"/>
    <w:next w:val="Normal"/>
    <w:uiPriority w:val="39"/>
    <w:unhideWhenUsed/>
    <w:qFormat/>
    <w:pPr>
      <w:spacing w:before="240" w:after="0" w:line="259" w:lineRule="auto"/>
      <w:ind w:left="0" w:right="0" w:firstLine="0"/>
      <w:jc w:val="left"/>
      <w:outlineLvl w:val="9"/>
    </w:pPr>
    <w:rPr>
      <w:rFonts w:asciiTheme="majorHAnsi" w:eastAsiaTheme="majorEastAsia" w:hAnsiTheme="majorHAnsi" w:cstheme="majorBidi"/>
      <w:b w:val="0"/>
      <w:bCs w:val="0"/>
      <w:color w:val="365F91" w:themeColor="accent1" w:themeShade="BF"/>
      <w:sz w:val="32"/>
      <w:szCs w:val="32"/>
      <w:lang w:eastAsia="en-GB"/>
    </w:rPr>
  </w:style>
  <w:style w:type="table" w:customStyle="1" w:styleId="Style25">
    <w:name w:val="_Style 25"/>
    <w:basedOn w:val="TableNormal"/>
    <w:tblPr>
      <w:tblCellMar>
        <w:left w:w="115" w:type="dxa"/>
        <w:right w:w="115" w:type="dxa"/>
      </w:tblCellMar>
    </w:tblPr>
  </w:style>
  <w:style w:type="table" w:customStyle="1" w:styleId="Style26">
    <w:name w:val="_Style 26"/>
    <w:basedOn w:val="TableNormal"/>
    <w:tblPr>
      <w:tblCellMar>
        <w:left w:w="115" w:type="dxa"/>
        <w:right w:w="115" w:type="dxa"/>
      </w:tblCellMar>
    </w:tblPr>
  </w:style>
  <w:style w:type="table" w:customStyle="1" w:styleId="Style27">
    <w:name w:val="_Style 27"/>
    <w:basedOn w:val="TableNormal"/>
    <w:tblPr>
      <w:tblCellMar>
        <w:left w:w="115" w:type="dxa"/>
        <w:right w:w="115" w:type="dxa"/>
      </w:tblCellMar>
    </w:tblPr>
  </w:style>
  <w:style w:type="table" w:customStyle="1" w:styleId="Style28">
    <w:name w:val="_Style 28"/>
    <w:basedOn w:val="TableNormal"/>
    <w:tblPr>
      <w:tblCellMar>
        <w:left w:w="115" w:type="dxa"/>
        <w:right w:w="115" w:type="dxa"/>
      </w:tblCellMar>
    </w:tblPr>
  </w:style>
  <w:style w:type="table" w:customStyle="1" w:styleId="Style29">
    <w:name w:val="_Style 29"/>
    <w:basedOn w:val="TableNormal"/>
    <w:tblPr>
      <w:tblCellMar>
        <w:left w:w="115" w:type="dxa"/>
        <w:right w:w="115" w:type="dxa"/>
      </w:tblCellMar>
    </w:tblPr>
  </w:style>
  <w:style w:type="table" w:customStyle="1" w:styleId="Style30">
    <w:name w:val="_Style 30"/>
    <w:basedOn w:val="TableNormal"/>
    <w:tblPr>
      <w:tblCellMar>
        <w:left w:w="115" w:type="dxa"/>
        <w:right w:w="115" w:type="dxa"/>
      </w:tblCellMar>
    </w:tblPr>
  </w:style>
  <w:style w:type="character" w:customStyle="1" w:styleId="Heading5Char">
    <w:name w:val="Heading 5 Char"/>
    <w:basedOn w:val="DefaultParagraphFont"/>
    <w:link w:val="Heading5"/>
    <w:uiPriority w:val="9"/>
    <w:rPr>
      <w:b/>
      <w:bCs/>
      <w:sz w:val="22"/>
      <w:szCs w:val="22"/>
      <w:lang w:eastAsia="en-IN"/>
    </w:rPr>
  </w:style>
  <w:style w:type="paragraph" w:styleId="BalloonText">
    <w:name w:val="Balloon Text"/>
    <w:basedOn w:val="Normal"/>
    <w:link w:val="BalloonTextChar"/>
    <w:uiPriority w:val="99"/>
    <w:semiHidden/>
    <w:unhideWhenUsed/>
    <w:rsid w:val="00C66C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6C84"/>
    <w:rPr>
      <w:rFonts w:ascii="Segoe UI" w:hAnsi="Segoe UI" w:cs="Segoe UI"/>
      <w:sz w:val="18"/>
      <w:szCs w:val="18"/>
      <w:lang w:eastAsia="en-IN"/>
    </w:rPr>
  </w:style>
  <w:style w:type="paragraph" w:styleId="ListParagraph">
    <w:name w:val="List Paragraph"/>
    <w:basedOn w:val="Normal"/>
    <w:uiPriority w:val="99"/>
    <w:unhideWhenUsed/>
    <w:rsid w:val="00585F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5.png"/><Relationship Id="rId26" Type="http://schemas.openxmlformats.org/officeDocument/2006/relationships/hyperlink" Target="https://doi.org/10.3389/fpubh.2023.1180907" TargetMode="Externa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customXml" Target="ink/ink3.xml"/><Relationship Id="rId17" Type="http://schemas.openxmlformats.org/officeDocument/2006/relationships/image" Target="media/image4.png"/><Relationship Id="rId25" Type="http://schemas.openxmlformats.org/officeDocument/2006/relationships/hyperlink" Target="https://doi.org/10.1142/14794"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2.xml"/><Relationship Id="rId29" Type="http://schemas.openxmlformats.org/officeDocument/2006/relationships/hyperlink" Target="https://www.rcog.org.uk/news/rcog-calling-for-action-to-reduce-number-of-women-living-with-poor-pelvic-floor-healt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2.xml"/><Relationship Id="rId24" Type="http://schemas.openxmlformats.org/officeDocument/2006/relationships/hyperlink" Target="https://doi.org/10.7759/cureus.92055"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yperlink" Target="https://doi.org/10.3390/healthcare11121772" TargetMode="External"/><Relationship Id="rId28" Type="http://schemas.openxmlformats.org/officeDocument/2006/relationships/hyperlink" Target="https://doi.org/10.1186/s12889-023-16901-3" TargetMode="External"/><Relationship Id="rId10" Type="http://schemas.openxmlformats.org/officeDocument/2006/relationships/customXml" Target="ink/ink1.xml"/><Relationship Id="rId19" Type="http://schemas.openxmlformats.org/officeDocument/2006/relationships/footer" Target="footer1.xml"/><Relationship Id="rId31" Type="http://schemas.openxmlformats.org/officeDocument/2006/relationships/hyperlink" Target="https://doi.org/10.1155/2022/694970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hyperlink" Target="https://doi.org/10.1186/s43161-023-00147-6" TargetMode="External"/><Relationship Id="rId27" Type="http://schemas.openxmlformats.org/officeDocument/2006/relationships/hyperlink" Target="https://doi.org/10.1002/ijgo.15719" TargetMode="External"/><Relationship Id="rId30" Type="http://schemas.openxmlformats.org/officeDocument/2006/relationships/hyperlink" Target="https://doi.org/10.1177/1745506519844044" TargetMode="External"/><Relationship Id="rId8"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D:\Swastika_%20Sayani%20maam\guide\Permanent\Subhankar\2026\August\25th\task%20332\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x-none"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Reported prevalence ranges of pelvic floor-related symptoms among males</a:t>
            </a:r>
          </a:p>
        </c:rich>
      </c:tx>
      <c:overlay val="0"/>
      <c:spPr>
        <a:noFill/>
        <a:ln>
          <a:noFill/>
        </a:ln>
        <a:effectLst/>
      </c:spPr>
      <c:txPr>
        <a:bodyPr rot="0" spcFirstLastPara="1" vertOverflow="ellipsis" vert="horz" wrap="square" anchor="ctr" anchorCtr="1"/>
        <a:lstStyle/>
        <a:p>
          <a:pPr>
            <a:defRPr lang="x-none"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Minimum prevalence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Sheet1!$A$2:$A$3</c:f>
              <c:strCache>
                <c:ptCount val="2"/>
                <c:pt idx="0">
                  <c:v>Lower urinary tract symptoms with erectile dysfunction</c:v>
                </c:pt>
                <c:pt idx="1">
                  <c:v>Defecatory incontinence</c:v>
                </c:pt>
              </c:strCache>
            </c:strRef>
          </c:cat>
          <c:val>
            <c:numRef>
              <c:f>Sheet1!$B$2:$B$3</c:f>
              <c:numCache>
                <c:formatCode>0%</c:formatCode>
                <c:ptCount val="2"/>
                <c:pt idx="0">
                  <c:v>0.14000000000000001</c:v>
                </c:pt>
                <c:pt idx="1">
                  <c:v>0.01</c:v>
                </c:pt>
              </c:numCache>
            </c:numRef>
          </c:val>
          <c:extLst>
            <c:ext xmlns:c16="http://schemas.microsoft.com/office/drawing/2014/chart" uri="{C3380CC4-5D6E-409C-BE32-E72D297353CC}">
              <c16:uniqueId val="{00000000-4108-2F4E-B8C6-24D8DAF835A2}"/>
            </c:ext>
          </c:extLst>
        </c:ser>
        <c:ser>
          <c:idx val="1"/>
          <c:order val="1"/>
          <c:tx>
            <c:strRef>
              <c:f>Sheet1!$C$1</c:f>
              <c:strCache>
                <c:ptCount val="1"/>
                <c:pt idx="0">
                  <c:v>Maximum prevalence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Sheet1!$A$2:$A$3</c:f>
              <c:strCache>
                <c:ptCount val="2"/>
                <c:pt idx="0">
                  <c:v>Lower urinary tract symptoms with erectile dysfunction</c:v>
                </c:pt>
                <c:pt idx="1">
                  <c:v>Defecatory incontinence</c:v>
                </c:pt>
              </c:strCache>
            </c:strRef>
          </c:cat>
          <c:val>
            <c:numRef>
              <c:f>Sheet1!$C$2:$C$3</c:f>
              <c:numCache>
                <c:formatCode>0%</c:formatCode>
                <c:ptCount val="2"/>
                <c:pt idx="0">
                  <c:v>0.61</c:v>
                </c:pt>
                <c:pt idx="1">
                  <c:v>0.14000000000000001</c:v>
                </c:pt>
              </c:numCache>
            </c:numRef>
          </c:val>
          <c:extLst>
            <c:ext xmlns:c16="http://schemas.microsoft.com/office/drawing/2014/chart" uri="{C3380CC4-5D6E-409C-BE32-E72D297353CC}">
              <c16:uniqueId val="{00000001-4108-2F4E-B8C6-24D8DAF835A2}"/>
            </c:ext>
          </c:extLst>
        </c:ser>
        <c:dLbls>
          <c:showLegendKey val="0"/>
          <c:showVal val="0"/>
          <c:showCatName val="0"/>
          <c:showSerName val="0"/>
          <c:showPercent val="0"/>
          <c:showBubbleSize val="0"/>
        </c:dLbls>
        <c:gapWidth val="100"/>
        <c:overlap val="-24"/>
        <c:axId val="-66796656"/>
        <c:axId val="-66796112"/>
      </c:barChart>
      <c:catAx>
        <c:axId val="-667966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lang="x-none" sz="900" b="0" i="0" u="none" strike="noStrike" kern="1200" baseline="0">
                <a:solidFill>
                  <a:schemeClr val="lt1">
                    <a:lumMod val="85000"/>
                  </a:schemeClr>
                </a:solidFill>
                <a:latin typeface="+mn-lt"/>
                <a:ea typeface="+mn-ea"/>
                <a:cs typeface="+mn-cs"/>
              </a:defRPr>
            </a:pPr>
            <a:endParaRPr lang="en-US"/>
          </a:p>
        </c:txPr>
        <c:crossAx val="-66796112"/>
        <c:crosses val="autoZero"/>
        <c:auto val="1"/>
        <c:lblAlgn val="ctr"/>
        <c:lblOffset val="100"/>
        <c:noMultiLvlLbl val="0"/>
      </c:catAx>
      <c:valAx>
        <c:axId val="-66796112"/>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x-none" sz="900" b="0" i="0" u="none" strike="noStrike" kern="1200" baseline="0">
                <a:solidFill>
                  <a:schemeClr val="lt1">
                    <a:lumMod val="85000"/>
                  </a:schemeClr>
                </a:solidFill>
                <a:latin typeface="+mn-lt"/>
                <a:ea typeface="+mn-ea"/>
                <a:cs typeface="+mn-cs"/>
              </a:defRPr>
            </a:pPr>
            <a:endParaRPr lang="en-US"/>
          </a:p>
        </c:txPr>
        <c:crossAx val="-66796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x-none"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lang="x-none"/>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ink/ink1.xml><?xml version="1.0" encoding="utf-8"?>
<inkml:ink xmlns:inkml="http://www.w3.org/2003/InkML">
  <inkml:definitions>
    <inkml:context xml:id="ctx0">
      <inkml:inkSource xml:id="inkSrc0">
        <inkml:traceFormat>
          <inkml:channel name="X" type="integer" min="-2" max="2" units="cm"/>
          <inkml:channel name="Y" type="integer" min="-2" max="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4:07:37"/>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 max="2" units="cm"/>
          <inkml:channel name="Y" type="integer" min="-2" max="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4:07:37"/>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 max="2" units="cm"/>
          <inkml:channel name="Y" type="integer" min="-2" max="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4:07:3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 max="2" units="cm"/>
          <inkml:channel name="Y" type="integer" min="-2" max="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4:08:55"/>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C196DC7E-41A5-4B9D-880B-D24EEF9EF13B}">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73</Pages>
  <Words>21424</Words>
  <Characters>122117</Characters>
  <Application>Microsoft Office Word</Application>
  <DocSecurity>0</DocSecurity>
  <Lines>1017</Lines>
  <Paragraphs>286</Paragraphs>
  <ScaleCrop>false</ScaleCrop>
  <Company/>
  <LinksUpToDate>false</LinksUpToDate>
  <CharactersWithSpaces>143255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26</cp:revision>
  <dcterms:created xsi:type="dcterms:W3CDTF">2026-09-19T14:02:00Z</dcterms:created>
  <dcterms:modified xsi:type="dcterms:W3CDTF">2026-09-24T07:22:00Z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a1dcb5a2-d61a-4c5d-b88f-29bb8875816a</vt:lpwstr>
  </property>
  <property fmtid="{D5CDD505-2E9C-101B-9397-08002B2CF9AE}" pid="3" name="ICV">
    <vt:lpwstr>5F5704466D510ABC46908C6AF4C6664D_31</vt:lpwstr>
  </property>
  <property fmtid="{D5CDD505-2E9C-101B-9397-08002B2CF9AE}" pid="4" name="KSOProductBuildVer">
    <vt:lpwstr>3081-26.9.0</vt:lpwstr>
  </property>
</Properties>
</file>