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3E438" w14:textId="1E1D1AB2" w:rsidR="00E303DE" w:rsidRPr="00A76094" w:rsidRDefault="00E303DE" w:rsidP="00E303DE">
      <w:pPr>
        <w:jc w:val="center"/>
        <w:rPr>
          <w:rFonts w:cstheme="minorHAnsi"/>
          <w:b/>
          <w:bCs/>
          <w:sz w:val="32"/>
          <w:szCs w:val="32"/>
          <w:u w:val="single"/>
        </w:rPr>
      </w:pPr>
      <w:r w:rsidRPr="00A76094">
        <w:rPr>
          <w:rFonts w:cstheme="minorHAnsi"/>
          <w:b/>
          <w:bCs/>
          <w:sz w:val="32"/>
          <w:szCs w:val="32"/>
          <w:u w:val="single"/>
        </w:rPr>
        <w:t>ECED7003 Assessment 2</w:t>
      </w:r>
      <w:r w:rsidR="00A76094">
        <w:rPr>
          <w:rFonts w:cstheme="minorHAnsi"/>
          <w:b/>
          <w:bCs/>
          <w:sz w:val="32"/>
          <w:szCs w:val="32"/>
          <w:u w:val="single"/>
        </w:rPr>
        <w:t>: 3 Blogs - Resit</w:t>
      </w:r>
    </w:p>
    <w:p w14:paraId="745B4BC3" w14:textId="20E275DF" w:rsidR="00A76094" w:rsidRPr="00927B80" w:rsidRDefault="00A76094" w:rsidP="00A76094">
      <w:pPr>
        <w:rPr>
          <w:rFonts w:cstheme="minorHAnsi"/>
          <w:b/>
          <w:bCs/>
          <w:sz w:val="28"/>
          <w:szCs w:val="28"/>
        </w:rPr>
      </w:pPr>
      <w:r w:rsidRPr="00927B80">
        <w:rPr>
          <w:rFonts w:cstheme="minorHAnsi"/>
          <w:b/>
          <w:bCs/>
          <w:sz w:val="28"/>
          <w:szCs w:val="28"/>
        </w:rPr>
        <w:t>Name: Alexander Bryant-Evans</w:t>
      </w:r>
    </w:p>
    <w:p w14:paraId="073B4F60" w14:textId="18F72A0C" w:rsidR="00E303DE" w:rsidRPr="00A76094" w:rsidRDefault="00E303DE" w:rsidP="00A76094">
      <w:pPr>
        <w:rPr>
          <w:rFonts w:cstheme="minorHAnsi"/>
          <w:b/>
          <w:bCs/>
          <w:sz w:val="28"/>
          <w:szCs w:val="28"/>
          <w:u w:val="single"/>
        </w:rPr>
      </w:pPr>
      <w:r w:rsidRPr="00927B80">
        <w:rPr>
          <w:rFonts w:cstheme="minorHAnsi"/>
          <w:b/>
          <w:bCs/>
          <w:sz w:val="28"/>
          <w:szCs w:val="28"/>
        </w:rPr>
        <w:t>Student Number:</w:t>
      </w:r>
      <w:r w:rsidR="00A76094" w:rsidRPr="00927B80">
        <w:rPr>
          <w:rFonts w:cstheme="minorHAnsi"/>
          <w:b/>
          <w:bCs/>
          <w:sz w:val="28"/>
          <w:szCs w:val="28"/>
        </w:rPr>
        <w:t xml:space="preserve"> 1907657</w:t>
      </w:r>
    </w:p>
    <w:p w14:paraId="08BD314A" w14:textId="5F472F94" w:rsidR="00E303DE" w:rsidRPr="00A76094" w:rsidRDefault="00E303DE" w:rsidP="00E303DE">
      <w:pPr>
        <w:jc w:val="center"/>
        <w:rPr>
          <w:rFonts w:cstheme="minorHAnsi"/>
          <w:b/>
          <w:bCs/>
          <w:i/>
          <w:iCs/>
          <w:sz w:val="32"/>
          <w:szCs w:val="32"/>
          <w:u w:val="single"/>
        </w:rPr>
      </w:pPr>
    </w:p>
    <w:p w14:paraId="6C36B0E4" w14:textId="1CFC3D8B" w:rsidR="00E303DE" w:rsidRPr="00A76094" w:rsidRDefault="00E303DE" w:rsidP="00E303DE">
      <w:pPr>
        <w:rPr>
          <w:rFonts w:cstheme="minorHAnsi"/>
          <w:i/>
          <w:iCs/>
          <w:sz w:val="24"/>
          <w:szCs w:val="24"/>
        </w:rPr>
      </w:pPr>
      <w:r w:rsidRPr="00A76094">
        <w:rPr>
          <w:rFonts w:cstheme="minorHAnsi"/>
          <w:sz w:val="24"/>
          <w:szCs w:val="24"/>
        </w:rPr>
        <w:t xml:space="preserve">Blog 1: </w:t>
      </w:r>
      <w:r w:rsidR="0068541E">
        <w:rPr>
          <w:rFonts w:cstheme="minorHAnsi"/>
          <w:i/>
          <w:iCs/>
          <w:sz w:val="24"/>
          <w:szCs w:val="24"/>
        </w:rPr>
        <w:t>Functionalism: A Human Rights Perspective.</w:t>
      </w:r>
    </w:p>
    <w:p w14:paraId="71672518" w14:textId="77777777" w:rsidR="00D709AA" w:rsidRDefault="00A76094" w:rsidP="00E303DE">
      <w:pPr>
        <w:rPr>
          <w:rFonts w:cstheme="minorHAnsi"/>
          <w:sz w:val="24"/>
          <w:szCs w:val="24"/>
        </w:rPr>
      </w:pPr>
      <w:r>
        <w:rPr>
          <w:rFonts w:cstheme="minorHAnsi"/>
          <w:sz w:val="24"/>
          <w:szCs w:val="24"/>
        </w:rPr>
        <w:t>In a short answer and on basic principle, yes human rights are indeed universal. They are universal as they are inherent to all human beings upon birth. This is evident by the very first article, Article 1, which states “All human beings are born free and equal in dignity and rights”</w:t>
      </w:r>
      <w:r w:rsidR="00927B80">
        <w:rPr>
          <w:rFonts w:cstheme="minorHAnsi"/>
          <w:sz w:val="24"/>
          <w:szCs w:val="24"/>
        </w:rPr>
        <w:t xml:space="preserve"> (DIFM, 2020)</w:t>
      </w:r>
      <w:r>
        <w:rPr>
          <w:rFonts w:cstheme="minorHAnsi"/>
          <w:sz w:val="24"/>
          <w:szCs w:val="24"/>
        </w:rPr>
        <w:t xml:space="preserve">. However, this is simply rhetoric because in practice, the rights are not universal. An example of this would the right to food and water. It is a right to have access to these resources, but not everyone </w:t>
      </w:r>
      <w:proofErr w:type="gramStart"/>
      <w:r>
        <w:rPr>
          <w:rFonts w:cstheme="minorHAnsi"/>
          <w:sz w:val="24"/>
          <w:szCs w:val="24"/>
        </w:rPr>
        <w:t>does</w:t>
      </w:r>
      <w:proofErr w:type="gramEnd"/>
      <w:r>
        <w:rPr>
          <w:rFonts w:cstheme="minorHAnsi"/>
          <w:sz w:val="24"/>
          <w:szCs w:val="24"/>
        </w:rPr>
        <w:t xml:space="preserve"> and some are left to starve or be malnourished</w:t>
      </w:r>
      <w:r w:rsidR="00927B80">
        <w:rPr>
          <w:rFonts w:cstheme="minorHAnsi"/>
          <w:sz w:val="24"/>
          <w:szCs w:val="24"/>
        </w:rPr>
        <w:t xml:space="preserve"> (Freeman, 2011). </w:t>
      </w:r>
    </w:p>
    <w:p w14:paraId="2D90E879" w14:textId="543C1246" w:rsidR="00D709AA" w:rsidRDefault="00927B80" w:rsidP="00E303DE">
      <w:pPr>
        <w:rPr>
          <w:rFonts w:cstheme="minorHAnsi"/>
          <w:sz w:val="24"/>
          <w:szCs w:val="24"/>
        </w:rPr>
      </w:pPr>
      <w:r>
        <w:rPr>
          <w:rFonts w:cstheme="minorHAnsi"/>
          <w:sz w:val="24"/>
          <w:szCs w:val="24"/>
        </w:rPr>
        <w:t xml:space="preserve">However, these rights are constantly under attack. </w:t>
      </w:r>
      <w:proofErr w:type="spellStart"/>
      <w:r>
        <w:rPr>
          <w:rFonts w:cstheme="minorHAnsi"/>
          <w:sz w:val="24"/>
          <w:szCs w:val="24"/>
        </w:rPr>
        <w:t>Shami</w:t>
      </w:r>
      <w:proofErr w:type="spellEnd"/>
      <w:r>
        <w:rPr>
          <w:rFonts w:cstheme="minorHAnsi"/>
          <w:sz w:val="24"/>
          <w:szCs w:val="24"/>
        </w:rPr>
        <w:t xml:space="preserve"> </w:t>
      </w:r>
      <w:proofErr w:type="spellStart"/>
      <w:r>
        <w:rPr>
          <w:rFonts w:cstheme="minorHAnsi"/>
          <w:sz w:val="24"/>
          <w:szCs w:val="24"/>
        </w:rPr>
        <w:t>Chakrabati</w:t>
      </w:r>
      <w:proofErr w:type="spellEnd"/>
      <w:r>
        <w:rPr>
          <w:rFonts w:cstheme="minorHAnsi"/>
          <w:sz w:val="24"/>
          <w:szCs w:val="24"/>
        </w:rPr>
        <w:t xml:space="preserve">, in her TED talk spoke about how little by little the state tries to encroach upon our rights. </w:t>
      </w:r>
      <w:proofErr w:type="spellStart"/>
      <w:r>
        <w:rPr>
          <w:rFonts w:cstheme="minorHAnsi"/>
          <w:sz w:val="24"/>
          <w:szCs w:val="24"/>
        </w:rPr>
        <w:t>Chakrabati</w:t>
      </w:r>
      <w:proofErr w:type="spellEnd"/>
      <w:r>
        <w:rPr>
          <w:rFonts w:cstheme="minorHAnsi"/>
          <w:sz w:val="24"/>
          <w:szCs w:val="24"/>
        </w:rPr>
        <w:t xml:space="preserve"> (2016) </w:t>
      </w:r>
      <w:proofErr w:type="gramStart"/>
      <w:r>
        <w:rPr>
          <w:rFonts w:cstheme="minorHAnsi"/>
          <w:sz w:val="24"/>
          <w:szCs w:val="24"/>
        </w:rPr>
        <w:t>in particular focusses</w:t>
      </w:r>
      <w:proofErr w:type="gramEnd"/>
      <w:r>
        <w:rPr>
          <w:rFonts w:cstheme="minorHAnsi"/>
          <w:sz w:val="24"/>
          <w:szCs w:val="24"/>
        </w:rPr>
        <w:t xml:space="preserve"> on our rights for privacy, freedom of speech and thought and how easily these rights can be swept away, under the guise of public benefit and security. This creates a very unwelcome and unsavoury picture of how society could be without these rights. A very Orwellian, 1984-esque, totalitarian, all knowing state</w:t>
      </w:r>
      <w:r w:rsidR="00DD1655">
        <w:rPr>
          <w:rFonts w:cstheme="minorHAnsi"/>
          <w:sz w:val="24"/>
          <w:szCs w:val="24"/>
        </w:rPr>
        <w:t>.</w:t>
      </w:r>
    </w:p>
    <w:p w14:paraId="27D785CF" w14:textId="4961A016" w:rsidR="00E303DE" w:rsidRDefault="00D709AA" w:rsidP="00E303DE">
      <w:pPr>
        <w:rPr>
          <w:rFonts w:cstheme="minorHAnsi"/>
          <w:sz w:val="24"/>
          <w:szCs w:val="24"/>
        </w:rPr>
      </w:pPr>
      <w:r>
        <w:rPr>
          <w:rFonts w:cstheme="minorHAnsi"/>
          <w:sz w:val="24"/>
          <w:szCs w:val="24"/>
        </w:rPr>
        <w:t>Human rights are important for a variety of reasons. They ensure that everyone is born free and equal. They ensure that people have their basic needs met, such as somewhere to live and access to enough food and water. Human rights ensure the protection of vulnerable groups and minorities from abuse and discrimination. Human rights allow people to stand up to corruption and challenge it. They allow for free speech without fear of persecution. They allow people to love whoever they please without facing negative consequences and finally, they hold governments to account and protect populations. These are why human rights are important (</w:t>
      </w:r>
      <w:proofErr w:type="spellStart"/>
      <w:r>
        <w:rPr>
          <w:rFonts w:cstheme="minorHAnsi"/>
          <w:sz w:val="24"/>
          <w:szCs w:val="24"/>
        </w:rPr>
        <w:t>Soken-Huberty</w:t>
      </w:r>
      <w:proofErr w:type="spellEnd"/>
      <w:r>
        <w:rPr>
          <w:rFonts w:cstheme="minorHAnsi"/>
          <w:sz w:val="24"/>
          <w:szCs w:val="24"/>
        </w:rPr>
        <w:t xml:space="preserve">, </w:t>
      </w:r>
      <w:proofErr w:type="spellStart"/>
      <w:r>
        <w:rPr>
          <w:rFonts w:cstheme="minorHAnsi"/>
          <w:sz w:val="24"/>
          <w:szCs w:val="24"/>
        </w:rPr>
        <w:t>n.d</w:t>
      </w:r>
      <w:proofErr w:type="spellEnd"/>
      <w:r>
        <w:rPr>
          <w:rFonts w:cstheme="minorHAnsi"/>
          <w:sz w:val="24"/>
          <w:szCs w:val="24"/>
        </w:rPr>
        <w:t>).</w:t>
      </w:r>
    </w:p>
    <w:p w14:paraId="0D287741" w14:textId="77777777" w:rsidR="00741F48" w:rsidRDefault="002D47E8" w:rsidP="002D47E8">
      <w:pPr>
        <w:rPr>
          <w:rFonts w:cstheme="minorHAnsi"/>
          <w:sz w:val="24"/>
          <w:szCs w:val="24"/>
        </w:rPr>
      </w:pPr>
      <w:r>
        <w:rPr>
          <w:rFonts w:cstheme="minorHAnsi"/>
          <w:sz w:val="24"/>
          <w:szCs w:val="24"/>
        </w:rPr>
        <w:t xml:space="preserve">The first blog will look at the functionalist perspective of gender identity and purpose of those identities. Particularly the view of Talcott Parsons. Parsons believed that gender identity and the roles ascribed to those identities were linked to biological sex (Conway </w:t>
      </w:r>
      <w:r w:rsidRPr="002D47E8">
        <w:rPr>
          <w:rFonts w:cstheme="minorHAnsi"/>
          <w:i/>
          <w:iCs/>
          <w:sz w:val="24"/>
          <w:szCs w:val="24"/>
        </w:rPr>
        <w:t>et al</w:t>
      </w:r>
      <w:r>
        <w:rPr>
          <w:rFonts w:cstheme="minorHAnsi"/>
          <w:sz w:val="24"/>
          <w:szCs w:val="24"/>
        </w:rPr>
        <w:t xml:space="preserve">, 1987). For this reason, Parson believed the man and woman of the household to undertake different roles for the correct functioning of the family and wider society (Conway </w:t>
      </w:r>
      <w:r w:rsidRPr="002D47E8">
        <w:rPr>
          <w:rFonts w:cstheme="minorHAnsi"/>
          <w:i/>
          <w:iCs/>
          <w:sz w:val="24"/>
          <w:szCs w:val="24"/>
        </w:rPr>
        <w:t>et al</w:t>
      </w:r>
      <w:r>
        <w:rPr>
          <w:rFonts w:cstheme="minorHAnsi"/>
          <w:sz w:val="24"/>
          <w:szCs w:val="24"/>
        </w:rPr>
        <w:t xml:space="preserve">, 1987). In short, women would be feminine and men masculine and that is how society needed them to be (Thorpe </w:t>
      </w:r>
      <w:r w:rsidRPr="002D47E8">
        <w:rPr>
          <w:rFonts w:cstheme="minorHAnsi"/>
          <w:i/>
          <w:iCs/>
          <w:sz w:val="24"/>
          <w:szCs w:val="24"/>
        </w:rPr>
        <w:t>et al</w:t>
      </w:r>
      <w:r>
        <w:rPr>
          <w:rFonts w:cstheme="minorHAnsi"/>
          <w:sz w:val="24"/>
          <w:szCs w:val="24"/>
        </w:rPr>
        <w:t xml:space="preserve">, 2015). </w:t>
      </w:r>
      <w:r w:rsidRPr="002D47E8">
        <w:rPr>
          <w:rFonts w:cstheme="minorHAnsi"/>
          <w:sz w:val="24"/>
          <w:szCs w:val="24"/>
        </w:rPr>
        <w:t xml:space="preserve">As a means of socialisation, the children would develop traits of the parent of the same sex, with boys becoming masculine and girls feminine. </w:t>
      </w:r>
      <w:proofErr w:type="gramStart"/>
      <w:r w:rsidRPr="002D47E8">
        <w:rPr>
          <w:rFonts w:cstheme="minorHAnsi"/>
          <w:sz w:val="24"/>
          <w:szCs w:val="24"/>
        </w:rPr>
        <w:t>Thus</w:t>
      </w:r>
      <w:proofErr w:type="gramEnd"/>
      <w:r w:rsidRPr="002D47E8">
        <w:rPr>
          <w:rFonts w:cstheme="minorHAnsi"/>
          <w:sz w:val="24"/>
          <w:szCs w:val="24"/>
        </w:rPr>
        <w:t xml:space="preserve"> the cycle continues with the children eventually influencing their own offspring in the social norms and gender roles, perpetuating social stability (Thorpe </w:t>
      </w:r>
      <w:r w:rsidRPr="002D47E8">
        <w:rPr>
          <w:rFonts w:cstheme="minorHAnsi"/>
          <w:i/>
          <w:iCs/>
          <w:sz w:val="24"/>
          <w:szCs w:val="24"/>
        </w:rPr>
        <w:t>et al,</w:t>
      </w:r>
      <w:r w:rsidRPr="002D47E8">
        <w:rPr>
          <w:rFonts w:cstheme="minorHAnsi"/>
          <w:sz w:val="24"/>
          <w:szCs w:val="24"/>
        </w:rPr>
        <w:t xml:space="preserve"> 2015).</w:t>
      </w:r>
    </w:p>
    <w:p w14:paraId="164ABA59" w14:textId="05BF0B7D" w:rsidR="002D47E8" w:rsidRPr="002D47E8" w:rsidRDefault="002D47E8" w:rsidP="002D47E8">
      <w:pPr>
        <w:rPr>
          <w:rFonts w:cstheme="minorHAnsi"/>
          <w:sz w:val="24"/>
          <w:szCs w:val="24"/>
        </w:rPr>
      </w:pPr>
      <w:r w:rsidRPr="002D47E8">
        <w:rPr>
          <w:rFonts w:cstheme="minorHAnsi"/>
          <w:sz w:val="24"/>
          <w:szCs w:val="24"/>
        </w:rPr>
        <w:lastRenderedPageBreak/>
        <w:t>With regards to Human Rights</w:t>
      </w:r>
      <w:r>
        <w:rPr>
          <w:rFonts w:cstheme="minorHAnsi"/>
          <w:sz w:val="24"/>
          <w:szCs w:val="24"/>
        </w:rPr>
        <w:t>,</w:t>
      </w:r>
      <w:r w:rsidRPr="002D47E8">
        <w:rPr>
          <w:rFonts w:cstheme="minorHAnsi"/>
          <w:sz w:val="24"/>
          <w:szCs w:val="24"/>
        </w:rPr>
        <w:t xml:space="preserve"> </w:t>
      </w:r>
      <w:r>
        <w:rPr>
          <w:rFonts w:cstheme="minorHAnsi"/>
          <w:sz w:val="24"/>
          <w:szCs w:val="24"/>
        </w:rPr>
        <w:t>f</w:t>
      </w:r>
      <w:r w:rsidRPr="002D47E8">
        <w:rPr>
          <w:rFonts w:cstheme="minorHAnsi"/>
          <w:sz w:val="24"/>
          <w:szCs w:val="24"/>
        </w:rPr>
        <w:t xml:space="preserve">unctionalism </w:t>
      </w:r>
      <w:proofErr w:type="gramStart"/>
      <w:r w:rsidRPr="002D47E8">
        <w:rPr>
          <w:rFonts w:cstheme="minorHAnsi"/>
          <w:sz w:val="24"/>
          <w:szCs w:val="24"/>
        </w:rPr>
        <w:t>actually infring</w:t>
      </w:r>
      <w:r>
        <w:rPr>
          <w:rFonts w:cstheme="minorHAnsi"/>
          <w:sz w:val="24"/>
          <w:szCs w:val="24"/>
        </w:rPr>
        <w:t>es</w:t>
      </w:r>
      <w:proofErr w:type="gramEnd"/>
      <w:r w:rsidRPr="002D47E8">
        <w:rPr>
          <w:rFonts w:cstheme="minorHAnsi"/>
          <w:sz w:val="24"/>
          <w:szCs w:val="24"/>
        </w:rPr>
        <w:t xml:space="preserve"> upon some of these rights due to its perpetuating of inequality.</w:t>
      </w:r>
    </w:p>
    <w:p w14:paraId="748CB9B4" w14:textId="77777777" w:rsidR="00741F48" w:rsidRPr="00741F48" w:rsidRDefault="002D47E8" w:rsidP="00741F48">
      <w:pPr>
        <w:rPr>
          <w:rFonts w:cstheme="minorHAnsi"/>
          <w:sz w:val="24"/>
          <w:szCs w:val="24"/>
        </w:rPr>
      </w:pPr>
      <w:r w:rsidRPr="002D47E8">
        <w:rPr>
          <w:rFonts w:cstheme="minorHAnsi"/>
          <w:sz w:val="24"/>
          <w:szCs w:val="24"/>
        </w:rPr>
        <w:t xml:space="preserve">In particular, </w:t>
      </w:r>
      <w:r>
        <w:rPr>
          <w:rFonts w:cstheme="minorHAnsi"/>
          <w:sz w:val="24"/>
          <w:szCs w:val="24"/>
        </w:rPr>
        <w:t>f</w:t>
      </w:r>
      <w:r w:rsidRPr="002D47E8">
        <w:rPr>
          <w:rFonts w:cstheme="minorHAnsi"/>
          <w:sz w:val="24"/>
          <w:szCs w:val="24"/>
        </w:rPr>
        <w:t xml:space="preserve">unctionalism, by </w:t>
      </w:r>
      <w:proofErr w:type="spellStart"/>
      <w:proofErr w:type="gramStart"/>
      <w:r w:rsidRPr="002D47E8">
        <w:rPr>
          <w:rFonts w:cstheme="minorHAnsi"/>
          <w:sz w:val="24"/>
          <w:szCs w:val="24"/>
        </w:rPr>
        <w:t>it’s</w:t>
      </w:r>
      <w:proofErr w:type="spellEnd"/>
      <w:proofErr w:type="gramEnd"/>
      <w:r w:rsidRPr="002D47E8">
        <w:rPr>
          <w:rFonts w:cstheme="minorHAnsi"/>
          <w:sz w:val="24"/>
          <w:szCs w:val="24"/>
        </w:rPr>
        <w:t xml:space="preserve"> nature and insistence of the division of labour between men and women actually contravenes Article 3 of the Convention on the Elimination of Discrimination against Women. </w:t>
      </w:r>
      <w:proofErr w:type="gramStart"/>
      <w:r w:rsidRPr="002D47E8">
        <w:rPr>
          <w:rFonts w:cstheme="minorHAnsi"/>
          <w:sz w:val="24"/>
          <w:szCs w:val="24"/>
        </w:rPr>
        <w:t>This Article,</w:t>
      </w:r>
      <w:proofErr w:type="gramEnd"/>
      <w:r w:rsidRPr="002D47E8">
        <w:rPr>
          <w:rFonts w:cstheme="minorHAnsi"/>
          <w:sz w:val="24"/>
          <w:szCs w:val="24"/>
        </w:rPr>
        <w:t xml:space="preserve"> specifically states that women should be guaranteed the same social freedoms and rights as men (CEDAW, 2011), which is directly opposite to the propositions of</w:t>
      </w:r>
      <w:r>
        <w:rPr>
          <w:rFonts w:cstheme="minorHAnsi"/>
          <w:sz w:val="24"/>
          <w:szCs w:val="24"/>
        </w:rPr>
        <w:t xml:space="preserve"> f</w:t>
      </w:r>
      <w:r w:rsidRPr="002D47E8">
        <w:rPr>
          <w:rFonts w:cstheme="minorHAnsi"/>
          <w:sz w:val="24"/>
          <w:szCs w:val="24"/>
        </w:rPr>
        <w:t>unctionalism</w:t>
      </w:r>
      <w:r>
        <w:rPr>
          <w:rFonts w:cstheme="minorHAnsi"/>
          <w:sz w:val="24"/>
          <w:szCs w:val="24"/>
        </w:rPr>
        <w:t xml:space="preserve"> and the ideas of Parsons.</w:t>
      </w:r>
      <w:r w:rsidR="00741F48">
        <w:rPr>
          <w:rFonts w:cstheme="minorHAnsi"/>
          <w:sz w:val="24"/>
          <w:szCs w:val="24"/>
        </w:rPr>
        <w:t xml:space="preserve"> </w:t>
      </w:r>
      <w:r w:rsidR="00741F48" w:rsidRPr="00741F48">
        <w:rPr>
          <w:rFonts w:cstheme="minorHAnsi"/>
          <w:sz w:val="24"/>
          <w:szCs w:val="24"/>
        </w:rPr>
        <w:t xml:space="preserve">In short, Functionalism has an outdated view of gender roles and how gender identity is formed. It does not account for people who identify as a gender beyond the heteronormative binary and actively promotes inequality in society through </w:t>
      </w:r>
      <w:proofErr w:type="spellStart"/>
      <w:proofErr w:type="gramStart"/>
      <w:r w:rsidR="00741F48" w:rsidRPr="00741F48">
        <w:rPr>
          <w:rFonts w:cstheme="minorHAnsi"/>
          <w:sz w:val="24"/>
          <w:szCs w:val="24"/>
        </w:rPr>
        <w:t>it’s</w:t>
      </w:r>
      <w:proofErr w:type="spellEnd"/>
      <w:proofErr w:type="gramEnd"/>
      <w:r w:rsidR="00741F48" w:rsidRPr="00741F48">
        <w:rPr>
          <w:rFonts w:cstheme="minorHAnsi"/>
          <w:sz w:val="24"/>
          <w:szCs w:val="24"/>
        </w:rPr>
        <w:t xml:space="preserve"> gender stereotypes and the division of labour. It classifies gender as a social construct but on very rigid and limited terms.</w:t>
      </w:r>
    </w:p>
    <w:p w14:paraId="4BDBB32F" w14:textId="55BD16C4" w:rsidR="002D47E8" w:rsidRDefault="002D47E8" w:rsidP="002D47E8">
      <w:pPr>
        <w:rPr>
          <w:rFonts w:cstheme="minorHAnsi"/>
          <w:sz w:val="24"/>
          <w:szCs w:val="24"/>
        </w:rPr>
      </w:pPr>
    </w:p>
    <w:p w14:paraId="0ED736FA" w14:textId="12B7B0DC" w:rsidR="00E303DE" w:rsidRDefault="00E303DE" w:rsidP="00E303DE">
      <w:pPr>
        <w:rPr>
          <w:rFonts w:cstheme="minorHAnsi"/>
          <w:sz w:val="24"/>
          <w:szCs w:val="24"/>
        </w:rPr>
      </w:pPr>
      <w:r w:rsidRPr="00A76094">
        <w:rPr>
          <w:rFonts w:cstheme="minorHAnsi"/>
          <w:sz w:val="24"/>
          <w:szCs w:val="24"/>
        </w:rPr>
        <w:t>Reference List</w:t>
      </w:r>
    </w:p>
    <w:p w14:paraId="7A734C59" w14:textId="4380A627" w:rsidR="00741F48" w:rsidRDefault="00741F48" w:rsidP="00741F48">
      <w:pPr>
        <w:pStyle w:val="ListParagraph"/>
        <w:numPr>
          <w:ilvl w:val="0"/>
          <w:numId w:val="1"/>
        </w:numPr>
        <w:rPr>
          <w:rFonts w:cstheme="minorHAnsi"/>
          <w:sz w:val="24"/>
          <w:szCs w:val="24"/>
        </w:rPr>
      </w:pPr>
      <w:bookmarkStart w:id="0" w:name="_Hlk41587696"/>
      <w:r w:rsidRPr="00741F48">
        <w:rPr>
          <w:rFonts w:cstheme="minorHAnsi"/>
          <w:i/>
          <w:iCs/>
          <w:sz w:val="24"/>
          <w:szCs w:val="24"/>
        </w:rPr>
        <w:t>Convention on the Elimination of All Forms of Discrimination Against Women (CEDAW) Articles, Article 3 2011</w:t>
      </w:r>
      <w:r w:rsidRPr="00741F48">
        <w:rPr>
          <w:rFonts w:cstheme="minorHAnsi"/>
          <w:sz w:val="24"/>
          <w:szCs w:val="24"/>
        </w:rPr>
        <w:t xml:space="preserve">. Available at: </w:t>
      </w:r>
      <w:hyperlink r:id="rId5" w:history="1">
        <w:r w:rsidRPr="00741F48">
          <w:rPr>
            <w:rStyle w:val="Hyperlink"/>
            <w:rFonts w:cstheme="minorHAnsi"/>
            <w:sz w:val="24"/>
            <w:szCs w:val="24"/>
          </w:rPr>
          <w:t>https://www.gov.uk/government/publications/</w:t>
        </w:r>
        <w:r w:rsidRPr="00741F48">
          <w:rPr>
            <w:rStyle w:val="Hyperlink"/>
            <w:rFonts w:cstheme="minorHAnsi"/>
            <w:sz w:val="24"/>
            <w:szCs w:val="24"/>
          </w:rPr>
          <w:t>c</w:t>
        </w:r>
        <w:r w:rsidRPr="00741F48">
          <w:rPr>
            <w:rStyle w:val="Hyperlink"/>
            <w:rFonts w:cstheme="minorHAnsi"/>
            <w:sz w:val="24"/>
            <w:szCs w:val="24"/>
          </w:rPr>
          <w:t>o</w:t>
        </w:r>
        <w:r w:rsidRPr="00741F48">
          <w:rPr>
            <w:rStyle w:val="Hyperlink"/>
            <w:rFonts w:cstheme="minorHAnsi"/>
            <w:sz w:val="24"/>
            <w:szCs w:val="24"/>
          </w:rPr>
          <w:t>n</w:t>
        </w:r>
        <w:r w:rsidRPr="00741F48">
          <w:rPr>
            <w:rStyle w:val="Hyperlink"/>
            <w:rFonts w:cstheme="minorHAnsi"/>
            <w:sz w:val="24"/>
            <w:szCs w:val="24"/>
          </w:rPr>
          <w:t>vention-on-the-elimination-of-all-forms-of-discrim</w:t>
        </w:r>
        <w:r w:rsidRPr="00741F48">
          <w:rPr>
            <w:rStyle w:val="Hyperlink"/>
            <w:rFonts w:cstheme="minorHAnsi"/>
            <w:sz w:val="24"/>
            <w:szCs w:val="24"/>
          </w:rPr>
          <w:t>i</w:t>
        </w:r>
        <w:r w:rsidRPr="00741F48">
          <w:rPr>
            <w:rStyle w:val="Hyperlink"/>
            <w:rFonts w:cstheme="minorHAnsi"/>
            <w:sz w:val="24"/>
            <w:szCs w:val="24"/>
          </w:rPr>
          <w:t>nation-against-women-cedaw-articles</w:t>
        </w:r>
      </w:hyperlink>
      <w:r w:rsidRPr="00741F48">
        <w:rPr>
          <w:rFonts w:cstheme="minorHAnsi"/>
          <w:sz w:val="24"/>
          <w:szCs w:val="24"/>
        </w:rPr>
        <w:t xml:space="preserve"> (Accessed:</w:t>
      </w:r>
      <w:r>
        <w:rPr>
          <w:rFonts w:cstheme="minorHAnsi"/>
          <w:sz w:val="24"/>
          <w:szCs w:val="24"/>
        </w:rPr>
        <w:t xml:space="preserve"> 28 May</w:t>
      </w:r>
      <w:r w:rsidRPr="00741F48">
        <w:rPr>
          <w:rFonts w:cstheme="minorHAnsi"/>
          <w:sz w:val="24"/>
          <w:szCs w:val="24"/>
        </w:rPr>
        <w:t xml:space="preserve"> 2020).</w:t>
      </w:r>
    </w:p>
    <w:bookmarkEnd w:id="0"/>
    <w:p w14:paraId="3972EC74" w14:textId="3DC2C4EA" w:rsidR="00D54202" w:rsidRDefault="00D54202" w:rsidP="00741F48">
      <w:pPr>
        <w:pStyle w:val="ListParagraph"/>
        <w:numPr>
          <w:ilvl w:val="0"/>
          <w:numId w:val="1"/>
        </w:numPr>
        <w:rPr>
          <w:rFonts w:cstheme="minorHAnsi"/>
          <w:sz w:val="24"/>
          <w:szCs w:val="24"/>
        </w:rPr>
      </w:pPr>
      <w:proofErr w:type="spellStart"/>
      <w:r>
        <w:rPr>
          <w:rFonts w:cstheme="minorHAnsi"/>
          <w:sz w:val="24"/>
          <w:szCs w:val="24"/>
        </w:rPr>
        <w:t>Chakrabati</w:t>
      </w:r>
      <w:proofErr w:type="spellEnd"/>
      <w:r>
        <w:rPr>
          <w:rFonts w:cstheme="minorHAnsi"/>
          <w:sz w:val="24"/>
          <w:szCs w:val="24"/>
        </w:rPr>
        <w:t xml:space="preserve">, S. (2016) </w:t>
      </w:r>
      <w:r w:rsidRPr="00D54202">
        <w:rPr>
          <w:rFonts w:cstheme="minorHAnsi"/>
          <w:sz w:val="24"/>
          <w:szCs w:val="24"/>
        </w:rPr>
        <w:t>‘Human Rights in the 21</w:t>
      </w:r>
      <w:r w:rsidRPr="00D54202">
        <w:rPr>
          <w:rFonts w:cstheme="minorHAnsi"/>
          <w:sz w:val="24"/>
          <w:szCs w:val="24"/>
          <w:vertAlign w:val="superscript"/>
        </w:rPr>
        <w:t>st</w:t>
      </w:r>
      <w:r w:rsidRPr="00D54202">
        <w:rPr>
          <w:rFonts w:cstheme="minorHAnsi"/>
          <w:sz w:val="24"/>
          <w:szCs w:val="24"/>
        </w:rPr>
        <w:t> Century’ 2 February. TED Talk [Online]. Available</w:t>
      </w:r>
      <w:r>
        <w:rPr>
          <w:rFonts w:cstheme="minorHAnsi"/>
          <w:sz w:val="24"/>
          <w:szCs w:val="24"/>
        </w:rPr>
        <w:t xml:space="preserve"> </w:t>
      </w:r>
      <w:r w:rsidRPr="00D54202">
        <w:rPr>
          <w:rFonts w:cstheme="minorHAnsi"/>
          <w:sz w:val="24"/>
          <w:szCs w:val="24"/>
        </w:rPr>
        <w:t>at: </w:t>
      </w:r>
      <w:hyperlink r:id="rId6" w:history="1">
        <w:r w:rsidRPr="001950CF">
          <w:rPr>
            <w:rStyle w:val="Hyperlink"/>
            <w:rFonts w:cstheme="minorHAnsi"/>
            <w:sz w:val="24"/>
            <w:szCs w:val="24"/>
          </w:rPr>
          <w:t>https://www.youtube.com/watch?time_continue=9&amp;v=21hYFWDGdhI&amp;feature=emb_title</w:t>
        </w:r>
      </w:hyperlink>
      <w:r>
        <w:rPr>
          <w:rFonts w:cstheme="minorHAnsi"/>
          <w:sz w:val="24"/>
          <w:szCs w:val="24"/>
        </w:rPr>
        <w:t xml:space="preserve"> (Accessed: 28 May 2020).</w:t>
      </w:r>
    </w:p>
    <w:p w14:paraId="74090931" w14:textId="3CB74A51" w:rsidR="00D54202" w:rsidRPr="00741F48" w:rsidRDefault="00D54202" w:rsidP="00741F48">
      <w:pPr>
        <w:pStyle w:val="ListParagraph"/>
        <w:numPr>
          <w:ilvl w:val="0"/>
          <w:numId w:val="1"/>
        </w:numPr>
        <w:rPr>
          <w:rFonts w:cstheme="minorHAnsi"/>
          <w:sz w:val="24"/>
          <w:szCs w:val="24"/>
        </w:rPr>
      </w:pPr>
      <w:r>
        <w:rPr>
          <w:rFonts w:cstheme="minorHAnsi"/>
          <w:sz w:val="24"/>
          <w:szCs w:val="24"/>
        </w:rPr>
        <w:t xml:space="preserve">Conway, J.K., Bourque, S.C., Scott, J.W. (1987) ‘Introduction: The Concept of Gender’, </w:t>
      </w:r>
      <w:r>
        <w:rPr>
          <w:rFonts w:cstheme="minorHAnsi"/>
          <w:i/>
          <w:iCs/>
          <w:sz w:val="24"/>
          <w:szCs w:val="24"/>
        </w:rPr>
        <w:t xml:space="preserve">Daedalus, </w:t>
      </w:r>
      <w:r>
        <w:rPr>
          <w:rFonts w:cstheme="minorHAnsi"/>
          <w:sz w:val="24"/>
          <w:szCs w:val="24"/>
        </w:rPr>
        <w:t xml:space="preserve">116 (4), pp. 21-30. Available at: </w:t>
      </w:r>
      <w:hyperlink r:id="rId7" w:history="1">
        <w:r w:rsidRPr="001950CF">
          <w:rPr>
            <w:rStyle w:val="Hyperlink"/>
            <w:rFonts w:cstheme="minorHAnsi"/>
            <w:sz w:val="24"/>
            <w:szCs w:val="24"/>
          </w:rPr>
          <w:t>https://www.jstor.org/stable/pdf/20025120.pdf?seq=1</w:t>
        </w:r>
      </w:hyperlink>
      <w:r>
        <w:rPr>
          <w:rFonts w:cstheme="minorHAnsi"/>
          <w:sz w:val="24"/>
          <w:szCs w:val="24"/>
        </w:rPr>
        <w:t xml:space="preserve"> (Accessed: 28 May 2020).</w:t>
      </w:r>
    </w:p>
    <w:p w14:paraId="2C08ADFB" w14:textId="5A3429B8" w:rsidR="00741F48" w:rsidRDefault="00741F48" w:rsidP="00741F48">
      <w:pPr>
        <w:pStyle w:val="ListParagraph"/>
        <w:numPr>
          <w:ilvl w:val="0"/>
          <w:numId w:val="1"/>
        </w:numPr>
        <w:rPr>
          <w:rFonts w:cstheme="minorHAnsi"/>
          <w:sz w:val="24"/>
          <w:szCs w:val="24"/>
        </w:rPr>
      </w:pPr>
      <w:proofErr w:type="spellStart"/>
      <w:r>
        <w:rPr>
          <w:rFonts w:cstheme="minorHAnsi"/>
          <w:sz w:val="24"/>
          <w:szCs w:val="24"/>
        </w:rPr>
        <w:t>Deutsches</w:t>
      </w:r>
      <w:proofErr w:type="spellEnd"/>
      <w:r>
        <w:rPr>
          <w:rFonts w:cstheme="minorHAnsi"/>
          <w:sz w:val="24"/>
          <w:szCs w:val="24"/>
        </w:rPr>
        <w:t xml:space="preserve"> </w:t>
      </w:r>
      <w:proofErr w:type="spellStart"/>
      <w:r>
        <w:rPr>
          <w:rFonts w:cstheme="minorHAnsi"/>
          <w:sz w:val="24"/>
          <w:szCs w:val="24"/>
        </w:rPr>
        <w:t>Institut</w:t>
      </w:r>
      <w:proofErr w:type="spellEnd"/>
      <w:r>
        <w:rPr>
          <w:rFonts w:cstheme="minorHAnsi"/>
          <w:sz w:val="24"/>
          <w:szCs w:val="24"/>
        </w:rPr>
        <w:t xml:space="preserve"> Fur </w:t>
      </w:r>
      <w:proofErr w:type="spellStart"/>
      <w:r>
        <w:rPr>
          <w:rFonts w:cstheme="minorHAnsi"/>
          <w:sz w:val="24"/>
          <w:szCs w:val="24"/>
        </w:rPr>
        <w:t>Menshenrechte</w:t>
      </w:r>
      <w:proofErr w:type="spellEnd"/>
      <w:r>
        <w:rPr>
          <w:rFonts w:cstheme="minorHAnsi"/>
          <w:sz w:val="24"/>
          <w:szCs w:val="24"/>
        </w:rPr>
        <w:t xml:space="preserve"> (DIFM) </w:t>
      </w:r>
      <w:r>
        <w:rPr>
          <w:rFonts w:cstheme="minorHAnsi"/>
          <w:i/>
          <w:iCs/>
          <w:sz w:val="24"/>
          <w:szCs w:val="24"/>
        </w:rPr>
        <w:t>Are Human Rights Universal?</w:t>
      </w:r>
      <w:r>
        <w:rPr>
          <w:rFonts w:cstheme="minorHAnsi"/>
          <w:sz w:val="24"/>
          <w:szCs w:val="24"/>
        </w:rPr>
        <w:t xml:space="preserve"> Available at: </w:t>
      </w:r>
      <w:hyperlink r:id="rId8" w:history="1">
        <w:r w:rsidRPr="001950CF">
          <w:rPr>
            <w:rStyle w:val="Hyperlink"/>
            <w:rFonts w:cstheme="minorHAnsi"/>
            <w:sz w:val="24"/>
            <w:szCs w:val="24"/>
          </w:rPr>
          <w:t>https://www.institut-fuer-menschenrechte.de/en/topics/development/frequently-asked-questions/1-are-human-rights-universal/</w:t>
        </w:r>
      </w:hyperlink>
      <w:r>
        <w:rPr>
          <w:rFonts w:cstheme="minorHAnsi"/>
          <w:sz w:val="24"/>
          <w:szCs w:val="24"/>
        </w:rPr>
        <w:t xml:space="preserve"> </w:t>
      </w:r>
      <w:r w:rsidR="00D54202">
        <w:rPr>
          <w:rFonts w:cstheme="minorHAnsi"/>
          <w:sz w:val="24"/>
          <w:szCs w:val="24"/>
        </w:rPr>
        <w:t>(Accessed: 28 May 2020).</w:t>
      </w:r>
    </w:p>
    <w:p w14:paraId="1E315F53" w14:textId="2A2C40D2" w:rsidR="00D54202" w:rsidRDefault="00D54202" w:rsidP="00741F48">
      <w:pPr>
        <w:pStyle w:val="ListParagraph"/>
        <w:numPr>
          <w:ilvl w:val="0"/>
          <w:numId w:val="1"/>
        </w:numPr>
        <w:rPr>
          <w:rFonts w:cstheme="minorHAnsi"/>
          <w:sz w:val="24"/>
          <w:szCs w:val="24"/>
        </w:rPr>
      </w:pPr>
      <w:r w:rsidRPr="00D54202">
        <w:rPr>
          <w:rFonts w:cstheme="minorHAnsi"/>
          <w:sz w:val="24"/>
          <w:szCs w:val="24"/>
        </w:rPr>
        <w:t>Freeman, M. (2011) ‘</w:t>
      </w:r>
      <w:r w:rsidRPr="00D54202">
        <w:rPr>
          <w:rFonts w:cstheme="minorHAnsi"/>
          <w:i/>
          <w:iCs/>
          <w:sz w:val="24"/>
          <w:szCs w:val="24"/>
        </w:rPr>
        <w:t>Human Rights</w:t>
      </w:r>
      <w:r w:rsidRPr="00D54202">
        <w:rPr>
          <w:rFonts w:cstheme="minorHAnsi"/>
          <w:sz w:val="24"/>
          <w:szCs w:val="24"/>
        </w:rPr>
        <w:t>’. (2</w:t>
      </w:r>
      <w:r w:rsidRPr="00D54202">
        <w:rPr>
          <w:rFonts w:cstheme="minorHAnsi"/>
          <w:sz w:val="24"/>
          <w:szCs w:val="24"/>
          <w:vertAlign w:val="superscript"/>
        </w:rPr>
        <w:t>nd</w:t>
      </w:r>
      <w:r w:rsidRPr="00D54202">
        <w:rPr>
          <w:rFonts w:cstheme="minorHAnsi"/>
          <w:sz w:val="24"/>
          <w:szCs w:val="24"/>
        </w:rPr>
        <w:t> Ed) Cambridge: Polity.</w:t>
      </w:r>
    </w:p>
    <w:p w14:paraId="7EBF7BF2" w14:textId="6CE41E3B" w:rsidR="001548EB" w:rsidRDefault="001548EB" w:rsidP="00741F48">
      <w:pPr>
        <w:pStyle w:val="ListParagraph"/>
        <w:numPr>
          <w:ilvl w:val="0"/>
          <w:numId w:val="1"/>
        </w:numPr>
        <w:rPr>
          <w:rFonts w:cstheme="minorHAnsi"/>
          <w:sz w:val="24"/>
          <w:szCs w:val="24"/>
        </w:rPr>
      </w:pPr>
      <w:proofErr w:type="spellStart"/>
      <w:r>
        <w:rPr>
          <w:rFonts w:cstheme="minorHAnsi"/>
          <w:sz w:val="24"/>
          <w:szCs w:val="24"/>
        </w:rPr>
        <w:t>Soken-Huberty</w:t>
      </w:r>
      <w:proofErr w:type="spellEnd"/>
      <w:r w:rsidR="00CE7214">
        <w:rPr>
          <w:rFonts w:cstheme="minorHAnsi"/>
          <w:sz w:val="24"/>
          <w:szCs w:val="24"/>
        </w:rPr>
        <w:t>, E</w:t>
      </w:r>
      <w:r>
        <w:rPr>
          <w:rFonts w:cstheme="minorHAnsi"/>
          <w:sz w:val="24"/>
          <w:szCs w:val="24"/>
        </w:rPr>
        <w:t>. (</w:t>
      </w:r>
      <w:proofErr w:type="spellStart"/>
      <w:r>
        <w:rPr>
          <w:rFonts w:cstheme="minorHAnsi"/>
          <w:sz w:val="24"/>
          <w:szCs w:val="24"/>
        </w:rPr>
        <w:t>n.d</w:t>
      </w:r>
      <w:proofErr w:type="spellEnd"/>
      <w:r>
        <w:rPr>
          <w:rFonts w:cstheme="minorHAnsi"/>
          <w:sz w:val="24"/>
          <w:szCs w:val="24"/>
        </w:rPr>
        <w:t xml:space="preserve">) </w:t>
      </w:r>
      <w:r>
        <w:rPr>
          <w:rFonts w:cstheme="minorHAnsi"/>
          <w:i/>
          <w:iCs/>
          <w:sz w:val="24"/>
          <w:szCs w:val="24"/>
        </w:rPr>
        <w:t>10 Reasons Why Human Rights Are Important</w:t>
      </w:r>
      <w:r>
        <w:rPr>
          <w:rFonts w:cstheme="minorHAnsi"/>
          <w:sz w:val="24"/>
          <w:szCs w:val="24"/>
        </w:rPr>
        <w:t xml:space="preserve">. Available at: </w:t>
      </w:r>
      <w:hyperlink r:id="rId9" w:history="1">
        <w:r w:rsidRPr="001950CF">
          <w:rPr>
            <w:rStyle w:val="Hyperlink"/>
            <w:rFonts w:cstheme="minorHAnsi"/>
            <w:sz w:val="24"/>
            <w:szCs w:val="24"/>
          </w:rPr>
          <w:t>https://www.humanrightscareers.com/issues/10-reasons-why-human-rights-are-important/</w:t>
        </w:r>
      </w:hyperlink>
      <w:r>
        <w:rPr>
          <w:rFonts w:cstheme="minorHAnsi"/>
          <w:sz w:val="24"/>
          <w:szCs w:val="24"/>
        </w:rPr>
        <w:t xml:space="preserve"> (Accessed: 28 May 2020).</w:t>
      </w:r>
    </w:p>
    <w:p w14:paraId="291C54A5" w14:textId="77777777" w:rsidR="001548EB" w:rsidRPr="001548EB" w:rsidRDefault="001548EB" w:rsidP="001548EB">
      <w:pPr>
        <w:pStyle w:val="ListParagraph"/>
        <w:numPr>
          <w:ilvl w:val="0"/>
          <w:numId w:val="1"/>
        </w:numPr>
        <w:rPr>
          <w:rFonts w:cstheme="minorHAnsi"/>
          <w:sz w:val="24"/>
          <w:szCs w:val="24"/>
        </w:rPr>
      </w:pPr>
      <w:r w:rsidRPr="001548EB">
        <w:rPr>
          <w:rFonts w:cstheme="minorHAnsi"/>
          <w:sz w:val="24"/>
          <w:szCs w:val="24"/>
        </w:rPr>
        <w:t xml:space="preserve">Thorpe, C., Yuill, C., Hobbs, M., Todd, M., </w:t>
      </w:r>
      <w:proofErr w:type="spellStart"/>
      <w:r w:rsidRPr="001548EB">
        <w:rPr>
          <w:rFonts w:cstheme="minorHAnsi"/>
          <w:sz w:val="24"/>
          <w:szCs w:val="24"/>
        </w:rPr>
        <w:t>Tomley</w:t>
      </w:r>
      <w:proofErr w:type="spellEnd"/>
      <w:r w:rsidRPr="001548EB">
        <w:rPr>
          <w:rFonts w:cstheme="minorHAnsi"/>
          <w:sz w:val="24"/>
          <w:szCs w:val="24"/>
        </w:rPr>
        <w:t xml:space="preserve">, S., Weeks, M. (2015) </w:t>
      </w:r>
      <w:r w:rsidRPr="001548EB">
        <w:rPr>
          <w:rFonts w:cstheme="minorHAnsi"/>
          <w:i/>
          <w:iCs/>
          <w:sz w:val="24"/>
          <w:szCs w:val="24"/>
        </w:rPr>
        <w:t xml:space="preserve">The Sociology Book. </w:t>
      </w:r>
      <w:r w:rsidRPr="001548EB">
        <w:rPr>
          <w:rFonts w:cstheme="minorHAnsi"/>
          <w:sz w:val="24"/>
          <w:szCs w:val="24"/>
        </w:rPr>
        <w:t>London: Dorling Kindersley Limited.</w:t>
      </w:r>
    </w:p>
    <w:p w14:paraId="33E0B0D7" w14:textId="77777777" w:rsidR="001548EB" w:rsidRPr="00741F48" w:rsidRDefault="001548EB" w:rsidP="001548EB">
      <w:pPr>
        <w:pStyle w:val="ListParagraph"/>
        <w:rPr>
          <w:rFonts w:cstheme="minorHAnsi"/>
          <w:sz w:val="24"/>
          <w:szCs w:val="24"/>
        </w:rPr>
      </w:pPr>
    </w:p>
    <w:p w14:paraId="564D8312" w14:textId="77777777" w:rsidR="00E303DE" w:rsidRPr="00A76094" w:rsidRDefault="00E303DE" w:rsidP="00E303DE">
      <w:pPr>
        <w:rPr>
          <w:rFonts w:cstheme="minorHAnsi"/>
          <w:sz w:val="24"/>
          <w:szCs w:val="24"/>
        </w:rPr>
      </w:pPr>
    </w:p>
    <w:p w14:paraId="6F924E68" w14:textId="6DB49266" w:rsidR="00E303DE" w:rsidRPr="0097392A" w:rsidRDefault="00E303DE" w:rsidP="00E303DE">
      <w:pPr>
        <w:rPr>
          <w:rFonts w:cstheme="minorHAnsi"/>
          <w:i/>
          <w:iCs/>
          <w:sz w:val="24"/>
          <w:szCs w:val="24"/>
        </w:rPr>
      </w:pPr>
      <w:r w:rsidRPr="00A76094">
        <w:rPr>
          <w:rFonts w:cstheme="minorHAnsi"/>
          <w:sz w:val="24"/>
          <w:szCs w:val="24"/>
        </w:rPr>
        <w:t xml:space="preserve">Blog 2: </w:t>
      </w:r>
      <w:r w:rsidR="0097392A">
        <w:rPr>
          <w:rFonts w:cstheme="minorHAnsi"/>
          <w:i/>
          <w:iCs/>
          <w:sz w:val="24"/>
          <w:szCs w:val="24"/>
        </w:rPr>
        <w:t>Feminism: Gender, a tool of the Patriarchy?</w:t>
      </w:r>
    </w:p>
    <w:p w14:paraId="00A02EB2" w14:textId="0EC063C2" w:rsidR="004F30C8" w:rsidRDefault="004F30C8" w:rsidP="00E303DE">
      <w:pPr>
        <w:rPr>
          <w:rFonts w:cstheme="minorHAnsi"/>
          <w:sz w:val="24"/>
          <w:szCs w:val="24"/>
        </w:rPr>
      </w:pPr>
      <w:r>
        <w:rPr>
          <w:rFonts w:cstheme="minorHAnsi"/>
          <w:sz w:val="24"/>
          <w:szCs w:val="24"/>
        </w:rPr>
        <w:t>Women are treated differently from men because of the persistence of gender inequality in our society (Ridgeway, 2013)</w:t>
      </w:r>
      <w:r w:rsidR="009462D3">
        <w:rPr>
          <w:rFonts w:cstheme="minorHAnsi"/>
          <w:sz w:val="24"/>
          <w:szCs w:val="24"/>
        </w:rPr>
        <w:t xml:space="preserve">. Society is inherently biased towards being advantageous for men. In </w:t>
      </w:r>
      <w:proofErr w:type="gramStart"/>
      <w:r w:rsidR="009462D3">
        <w:rPr>
          <w:rFonts w:cstheme="minorHAnsi"/>
          <w:sz w:val="24"/>
          <w:szCs w:val="24"/>
        </w:rPr>
        <w:t>short</w:t>
      </w:r>
      <w:proofErr w:type="gramEnd"/>
      <w:r w:rsidR="009462D3">
        <w:rPr>
          <w:rFonts w:cstheme="minorHAnsi"/>
          <w:sz w:val="24"/>
          <w:szCs w:val="24"/>
        </w:rPr>
        <w:t xml:space="preserve"> it’s patriarchal. This constant reproduction of male dominance in society leads </w:t>
      </w:r>
      <w:r w:rsidR="009462D3">
        <w:rPr>
          <w:rFonts w:cstheme="minorHAnsi"/>
          <w:sz w:val="24"/>
          <w:szCs w:val="24"/>
        </w:rPr>
        <w:lastRenderedPageBreak/>
        <w:t xml:space="preserve">to women being treated less favourably than men (Ridgeway, 2013). Ultimately, </w:t>
      </w:r>
      <w:proofErr w:type="gramStart"/>
      <w:r w:rsidR="009462D3">
        <w:rPr>
          <w:rFonts w:cstheme="minorHAnsi"/>
          <w:sz w:val="24"/>
          <w:szCs w:val="24"/>
        </w:rPr>
        <w:t>it’s</w:t>
      </w:r>
      <w:proofErr w:type="gramEnd"/>
      <w:r w:rsidR="009462D3">
        <w:rPr>
          <w:rFonts w:cstheme="minorHAnsi"/>
          <w:sz w:val="24"/>
          <w:szCs w:val="24"/>
        </w:rPr>
        <w:t xml:space="preserve"> down to how gender biases and stereotypes </w:t>
      </w:r>
      <w:r w:rsidR="00524773">
        <w:rPr>
          <w:rFonts w:cstheme="minorHAnsi"/>
          <w:sz w:val="24"/>
          <w:szCs w:val="24"/>
        </w:rPr>
        <w:t xml:space="preserve">are formed, as to why women are treated differently from men. Ridgeway (2013) sums this up with her ‘Cultural Framework’, whereby we form perceptions of people subconsciously via specific characteristics. Gender is one of those characteristics (Ridgeway, 2013). This can lead people to form biases in favour of males and against females with whom they interact with. This can be especially evident when appointing people as leaders, whereby </w:t>
      </w:r>
      <w:proofErr w:type="gramStart"/>
      <w:r w:rsidR="00524773">
        <w:rPr>
          <w:rFonts w:cstheme="minorHAnsi"/>
          <w:sz w:val="24"/>
          <w:szCs w:val="24"/>
        </w:rPr>
        <w:t>we as a society</w:t>
      </w:r>
      <w:proofErr w:type="gramEnd"/>
      <w:r w:rsidR="00524773">
        <w:rPr>
          <w:rFonts w:cstheme="minorHAnsi"/>
          <w:sz w:val="24"/>
          <w:szCs w:val="24"/>
        </w:rPr>
        <w:t xml:space="preserve"> subconsciously gravitate towards men as being better leader, based purely on bias (Ridgeway, 2013). </w:t>
      </w:r>
      <w:proofErr w:type="gramStart"/>
      <w:r w:rsidR="00524773">
        <w:rPr>
          <w:rFonts w:cstheme="minorHAnsi"/>
          <w:sz w:val="24"/>
          <w:szCs w:val="24"/>
        </w:rPr>
        <w:t>This is why</w:t>
      </w:r>
      <w:proofErr w:type="gramEnd"/>
      <w:r w:rsidR="00524773">
        <w:rPr>
          <w:rFonts w:cstheme="minorHAnsi"/>
          <w:sz w:val="24"/>
          <w:szCs w:val="24"/>
        </w:rPr>
        <w:t xml:space="preserve"> men and women are treated differently in society.</w:t>
      </w:r>
    </w:p>
    <w:p w14:paraId="05BFBD8E" w14:textId="1690A462" w:rsidR="00524773" w:rsidRDefault="00524773" w:rsidP="00E303DE">
      <w:pPr>
        <w:rPr>
          <w:rFonts w:cstheme="minorHAnsi"/>
          <w:sz w:val="24"/>
          <w:szCs w:val="24"/>
        </w:rPr>
      </w:pPr>
      <w:r>
        <w:rPr>
          <w:rFonts w:cstheme="minorHAnsi"/>
          <w:sz w:val="24"/>
          <w:szCs w:val="24"/>
        </w:rPr>
        <w:t xml:space="preserve">I think Sue Lloyd Roberts is simply referring to the fact that even though women have fought for equal rights, society still </w:t>
      </w:r>
      <w:proofErr w:type="gramStart"/>
      <w:r>
        <w:rPr>
          <w:rFonts w:cstheme="minorHAnsi"/>
          <w:sz w:val="24"/>
          <w:szCs w:val="24"/>
        </w:rPr>
        <w:t>isn’t</w:t>
      </w:r>
      <w:proofErr w:type="gramEnd"/>
      <w:r>
        <w:rPr>
          <w:rFonts w:cstheme="minorHAnsi"/>
          <w:sz w:val="24"/>
          <w:szCs w:val="24"/>
        </w:rPr>
        <w:t xml:space="preserve"> equal. In the short term, a huge amount of effort is given by women to challenge this, for seemingly </w:t>
      </w:r>
      <w:proofErr w:type="gramStart"/>
      <w:r>
        <w:rPr>
          <w:rFonts w:cstheme="minorHAnsi"/>
          <w:sz w:val="24"/>
          <w:szCs w:val="24"/>
        </w:rPr>
        <w:t>very little</w:t>
      </w:r>
      <w:proofErr w:type="gramEnd"/>
      <w:r>
        <w:rPr>
          <w:rFonts w:cstheme="minorHAnsi"/>
          <w:sz w:val="24"/>
          <w:szCs w:val="24"/>
        </w:rPr>
        <w:t xml:space="preserve"> gain.</w:t>
      </w:r>
    </w:p>
    <w:p w14:paraId="2A769006" w14:textId="30AC7696" w:rsidR="00E303DE" w:rsidRPr="00A76094" w:rsidRDefault="0011331D" w:rsidP="00E303DE">
      <w:pPr>
        <w:rPr>
          <w:rFonts w:cstheme="minorHAnsi"/>
          <w:sz w:val="24"/>
          <w:szCs w:val="24"/>
        </w:rPr>
      </w:pPr>
      <w:r>
        <w:rPr>
          <w:rFonts w:cstheme="minorHAnsi"/>
          <w:sz w:val="24"/>
          <w:szCs w:val="24"/>
        </w:rPr>
        <w:t>We should all be feminists because society will be more equal because of it, simply put (Cavanagh, 2014). Feminists believe that all people, regardless of sex or gender should have equal rights and opportunities. That they should not be oppressed by a dominant and hegemonic masculine society (Cavanagh, 2014). Hegemonic patriarchal societies are not just damaging to women, but also men. Especially men who do not embody the hegemonic masculine characteristics. And those who do, often only embody them because they are forced to through conforming to societal masculine norms (Cavanagh, 201</w:t>
      </w:r>
      <w:r w:rsidR="00A054DB">
        <w:rPr>
          <w:rFonts w:cstheme="minorHAnsi"/>
          <w:sz w:val="24"/>
          <w:szCs w:val="24"/>
        </w:rPr>
        <w:t>4</w:t>
      </w:r>
      <w:r>
        <w:rPr>
          <w:rFonts w:cstheme="minorHAnsi"/>
          <w:sz w:val="24"/>
          <w:szCs w:val="24"/>
        </w:rPr>
        <w:t xml:space="preserve">). A society driven by feminism would allow for people to be viewed </w:t>
      </w:r>
      <w:proofErr w:type="gramStart"/>
      <w:r>
        <w:rPr>
          <w:rFonts w:cstheme="minorHAnsi"/>
          <w:sz w:val="24"/>
          <w:szCs w:val="24"/>
        </w:rPr>
        <w:t>on the basis of</w:t>
      </w:r>
      <w:proofErr w:type="gramEnd"/>
      <w:r>
        <w:rPr>
          <w:rFonts w:cstheme="minorHAnsi"/>
          <w:sz w:val="24"/>
          <w:szCs w:val="24"/>
        </w:rPr>
        <w:t xml:space="preserve"> their individual strengths, what they can offer society as a whole and not purely down to their gender</w:t>
      </w:r>
      <w:r w:rsidR="004F30C8">
        <w:rPr>
          <w:rFonts w:cstheme="minorHAnsi"/>
          <w:sz w:val="24"/>
          <w:szCs w:val="24"/>
        </w:rPr>
        <w:t xml:space="preserve"> </w:t>
      </w:r>
      <w:r>
        <w:rPr>
          <w:rFonts w:cstheme="minorHAnsi"/>
          <w:sz w:val="24"/>
          <w:szCs w:val="24"/>
        </w:rPr>
        <w:t xml:space="preserve">identity (Cavanagh, 2014). This would ultimately benefit society as a whole and that can </w:t>
      </w:r>
      <w:r w:rsidR="004F30C8">
        <w:rPr>
          <w:rFonts w:cstheme="minorHAnsi"/>
          <w:sz w:val="24"/>
          <w:szCs w:val="24"/>
        </w:rPr>
        <w:t>only be regarded as a positive (Cavanagh, 2014).</w:t>
      </w:r>
    </w:p>
    <w:p w14:paraId="7EDC9BB9" w14:textId="22185811" w:rsidR="00EA3738" w:rsidRDefault="00EA3738" w:rsidP="00EA3738">
      <w:pPr>
        <w:rPr>
          <w:rFonts w:cstheme="minorHAnsi"/>
          <w:sz w:val="24"/>
          <w:szCs w:val="24"/>
        </w:rPr>
      </w:pPr>
      <w:r w:rsidRPr="00EA3738">
        <w:rPr>
          <w:rFonts w:cstheme="minorHAnsi"/>
          <w:sz w:val="24"/>
          <w:szCs w:val="24"/>
        </w:rPr>
        <w:t xml:space="preserve">Feminism can take many forms but mainly agree that when it comes to the issue of gender, it is a social construct. Feminists also believe that gender identity is a tool implemented by the patriarchal society in which we live as a means of </w:t>
      </w:r>
      <w:proofErr w:type="spellStart"/>
      <w:r w:rsidRPr="00EA3738">
        <w:rPr>
          <w:rFonts w:cstheme="minorHAnsi"/>
          <w:sz w:val="24"/>
          <w:szCs w:val="24"/>
        </w:rPr>
        <w:t>self perpetuating</w:t>
      </w:r>
      <w:proofErr w:type="spellEnd"/>
      <w:r w:rsidRPr="00EA3738">
        <w:rPr>
          <w:rFonts w:cstheme="minorHAnsi"/>
          <w:sz w:val="24"/>
          <w:szCs w:val="24"/>
        </w:rPr>
        <w:t xml:space="preserve"> itself </w:t>
      </w:r>
      <w:proofErr w:type="spellStart"/>
      <w:r w:rsidRPr="00EA3738">
        <w:rPr>
          <w:rFonts w:cstheme="minorHAnsi"/>
          <w:sz w:val="24"/>
          <w:szCs w:val="24"/>
        </w:rPr>
        <w:t>ie</w:t>
      </w:r>
      <w:proofErr w:type="spellEnd"/>
      <w:r w:rsidRPr="00EA3738">
        <w:rPr>
          <w:rFonts w:cstheme="minorHAnsi"/>
          <w:sz w:val="24"/>
          <w:szCs w:val="24"/>
        </w:rPr>
        <w:t xml:space="preserve"> keep heteronormative hegemonic masculinity at the top of the social ladder.</w:t>
      </w:r>
      <w:r w:rsidR="009C6D4E">
        <w:rPr>
          <w:rFonts w:cstheme="minorHAnsi"/>
          <w:sz w:val="24"/>
          <w:szCs w:val="24"/>
        </w:rPr>
        <w:t xml:space="preserve"> (Ridgeway, 2013)</w:t>
      </w:r>
      <w:r>
        <w:rPr>
          <w:rFonts w:cstheme="minorHAnsi"/>
          <w:sz w:val="24"/>
          <w:szCs w:val="24"/>
        </w:rPr>
        <w:t xml:space="preserve"> </w:t>
      </w:r>
      <w:r w:rsidRPr="00EA3738">
        <w:rPr>
          <w:rFonts w:cstheme="minorHAnsi"/>
          <w:sz w:val="24"/>
          <w:szCs w:val="24"/>
        </w:rPr>
        <w:t>Feminists believe that society forms gender identities through a process called 'socialisation'.</w:t>
      </w:r>
    </w:p>
    <w:p w14:paraId="539E55CE" w14:textId="617DB7F5" w:rsidR="00E303DE" w:rsidRDefault="009C6D4E" w:rsidP="00E303DE">
      <w:pPr>
        <w:rPr>
          <w:rFonts w:cstheme="minorHAnsi"/>
          <w:sz w:val="24"/>
          <w:szCs w:val="24"/>
        </w:rPr>
      </w:pPr>
      <w:r>
        <w:rPr>
          <w:rFonts w:cstheme="minorHAnsi"/>
          <w:sz w:val="24"/>
          <w:szCs w:val="24"/>
        </w:rPr>
        <w:t xml:space="preserve">This was echoed by Connell. </w:t>
      </w:r>
      <w:r w:rsidRPr="009C6D4E">
        <w:rPr>
          <w:rFonts w:cstheme="minorHAnsi"/>
          <w:sz w:val="24"/>
          <w:szCs w:val="24"/>
        </w:rPr>
        <w:t xml:space="preserve">Connell stated that masculinity is viewed as superior to femininity and as such is the reason that patriarchal societies socialise males and females differently. Connell believed that males are socialised for a masculine gender </w:t>
      </w:r>
      <w:proofErr w:type="gramStart"/>
      <w:r w:rsidRPr="009C6D4E">
        <w:rPr>
          <w:rFonts w:cstheme="minorHAnsi"/>
          <w:sz w:val="24"/>
          <w:szCs w:val="24"/>
        </w:rPr>
        <w:t>so as to</w:t>
      </w:r>
      <w:proofErr w:type="gramEnd"/>
      <w:r w:rsidRPr="009C6D4E">
        <w:rPr>
          <w:rFonts w:cstheme="minorHAnsi"/>
          <w:sz w:val="24"/>
          <w:szCs w:val="24"/>
        </w:rPr>
        <w:t xml:space="preserve"> perpetuate the hegemonic masculinity of a society (Thorpe </w:t>
      </w:r>
      <w:r w:rsidRPr="009C6D4E">
        <w:rPr>
          <w:rFonts w:cstheme="minorHAnsi"/>
          <w:i/>
          <w:iCs/>
          <w:sz w:val="24"/>
          <w:szCs w:val="24"/>
        </w:rPr>
        <w:t>et al</w:t>
      </w:r>
      <w:r w:rsidRPr="009C6D4E">
        <w:rPr>
          <w:rFonts w:cstheme="minorHAnsi"/>
          <w:sz w:val="24"/>
          <w:szCs w:val="24"/>
        </w:rPr>
        <w:t xml:space="preserve">, 2017). Keeping the males at the top and the females at the bottom or 'subservient' (Thorpe </w:t>
      </w:r>
      <w:r w:rsidRPr="009C6D4E">
        <w:rPr>
          <w:rFonts w:cstheme="minorHAnsi"/>
          <w:i/>
          <w:iCs/>
          <w:sz w:val="24"/>
          <w:szCs w:val="24"/>
        </w:rPr>
        <w:t>et al</w:t>
      </w:r>
      <w:r w:rsidRPr="009C6D4E">
        <w:rPr>
          <w:rFonts w:cstheme="minorHAnsi"/>
          <w:sz w:val="24"/>
          <w:szCs w:val="24"/>
        </w:rPr>
        <w:t>, 2017</w:t>
      </w:r>
      <w:r>
        <w:rPr>
          <w:rFonts w:cstheme="minorHAnsi"/>
          <w:sz w:val="24"/>
          <w:szCs w:val="24"/>
        </w:rPr>
        <w:t>)</w:t>
      </w:r>
    </w:p>
    <w:p w14:paraId="3328F048" w14:textId="7D0BB869" w:rsidR="009C6D4E" w:rsidRPr="009C6D4E" w:rsidRDefault="009C6D4E" w:rsidP="009C6D4E">
      <w:pPr>
        <w:rPr>
          <w:rFonts w:cstheme="minorHAnsi"/>
          <w:sz w:val="24"/>
          <w:szCs w:val="24"/>
        </w:rPr>
      </w:pPr>
      <w:r>
        <w:rPr>
          <w:rFonts w:cstheme="minorHAnsi"/>
          <w:sz w:val="24"/>
          <w:szCs w:val="24"/>
        </w:rPr>
        <w:t>H</w:t>
      </w:r>
      <w:r w:rsidRPr="009C6D4E">
        <w:rPr>
          <w:rFonts w:cstheme="minorHAnsi"/>
          <w:sz w:val="24"/>
          <w:szCs w:val="24"/>
        </w:rPr>
        <w:t>ere we will focus more on the specific</w:t>
      </w:r>
      <w:r>
        <w:rPr>
          <w:rFonts w:cstheme="minorHAnsi"/>
          <w:sz w:val="24"/>
          <w:szCs w:val="24"/>
        </w:rPr>
        <w:t xml:space="preserve"> human</w:t>
      </w:r>
      <w:r w:rsidRPr="009C6D4E">
        <w:rPr>
          <w:rFonts w:cstheme="minorHAnsi"/>
          <w:sz w:val="24"/>
          <w:szCs w:val="24"/>
        </w:rPr>
        <w:t xml:space="preserve"> rights afforded to women or those who identify as female. For this we will reference the 'Convention on the Elimination of all forms of Discrimination against Women'.</w:t>
      </w:r>
    </w:p>
    <w:p w14:paraId="4496CF0D" w14:textId="77777777" w:rsidR="009C6D4E" w:rsidRPr="009C6D4E" w:rsidRDefault="009C6D4E" w:rsidP="009C6D4E">
      <w:pPr>
        <w:rPr>
          <w:rFonts w:cstheme="minorHAnsi"/>
          <w:sz w:val="24"/>
          <w:szCs w:val="24"/>
        </w:rPr>
      </w:pPr>
      <w:proofErr w:type="gramStart"/>
      <w:r w:rsidRPr="009C6D4E">
        <w:rPr>
          <w:rFonts w:cstheme="minorHAnsi"/>
          <w:sz w:val="24"/>
          <w:szCs w:val="24"/>
        </w:rPr>
        <w:t>In particular we</w:t>
      </w:r>
      <w:proofErr w:type="gramEnd"/>
      <w:r w:rsidRPr="009C6D4E">
        <w:rPr>
          <w:rFonts w:cstheme="minorHAnsi"/>
          <w:sz w:val="24"/>
          <w:szCs w:val="24"/>
        </w:rPr>
        <w:t xml:space="preserve"> shall reference Article 1 which outlines what exactly is considered as discrimination against anyone who identifies as a woman. The Article states as follows: </w:t>
      </w:r>
    </w:p>
    <w:p w14:paraId="6891F7D8" w14:textId="77777777" w:rsidR="009C6D4E" w:rsidRPr="009C6D4E" w:rsidRDefault="009C6D4E" w:rsidP="009C6D4E">
      <w:pPr>
        <w:rPr>
          <w:rFonts w:cstheme="minorHAnsi"/>
          <w:sz w:val="24"/>
          <w:szCs w:val="24"/>
        </w:rPr>
      </w:pPr>
    </w:p>
    <w:p w14:paraId="42DDF64E" w14:textId="77777777" w:rsidR="009C6D4E" w:rsidRPr="009C6D4E" w:rsidRDefault="009C6D4E" w:rsidP="009C6D4E">
      <w:pPr>
        <w:rPr>
          <w:rFonts w:cstheme="minorHAnsi"/>
          <w:i/>
          <w:sz w:val="24"/>
          <w:szCs w:val="24"/>
        </w:rPr>
      </w:pPr>
      <w:r w:rsidRPr="009C6D4E">
        <w:rPr>
          <w:rFonts w:cstheme="minorHAnsi"/>
          <w:i/>
          <w:iCs/>
          <w:sz w:val="24"/>
          <w:szCs w:val="24"/>
        </w:rPr>
        <w:lastRenderedPageBreak/>
        <w:t xml:space="preserve">Discrimination against women includes any distinction, exclusion or restriction made on the basis of sex that has the effect or purpose of impairing or nullifying women’s enjoyment of human rights and fundamental freedoms in the political, economic, social, cultural, civil or any other field. This is irrespective of their marital status, on a basis of equality of men and women </w:t>
      </w:r>
      <w:r w:rsidRPr="009C6D4E">
        <w:rPr>
          <w:rFonts w:cstheme="minorHAnsi"/>
          <w:sz w:val="24"/>
          <w:szCs w:val="24"/>
        </w:rPr>
        <w:t>(CEDAW, 2011).</w:t>
      </w:r>
    </w:p>
    <w:p w14:paraId="2F072159" w14:textId="77777777" w:rsidR="009C6D4E" w:rsidRDefault="009C6D4E" w:rsidP="00E303DE">
      <w:pPr>
        <w:rPr>
          <w:rFonts w:cstheme="minorHAnsi"/>
          <w:sz w:val="24"/>
          <w:szCs w:val="24"/>
        </w:rPr>
      </w:pPr>
    </w:p>
    <w:p w14:paraId="7164C765" w14:textId="1316EA58" w:rsidR="00E303DE" w:rsidRDefault="00E303DE" w:rsidP="00E303DE">
      <w:pPr>
        <w:rPr>
          <w:rFonts w:cstheme="minorHAnsi"/>
          <w:sz w:val="24"/>
          <w:szCs w:val="24"/>
        </w:rPr>
      </w:pPr>
      <w:r w:rsidRPr="00A76094">
        <w:rPr>
          <w:rFonts w:cstheme="minorHAnsi"/>
          <w:sz w:val="24"/>
          <w:szCs w:val="24"/>
        </w:rPr>
        <w:t>Reference List</w:t>
      </w:r>
    </w:p>
    <w:p w14:paraId="7128F0AE" w14:textId="1FC8C05B" w:rsidR="00A054DB" w:rsidRDefault="00A054DB" w:rsidP="00A054DB">
      <w:pPr>
        <w:pStyle w:val="ListParagraph"/>
        <w:numPr>
          <w:ilvl w:val="0"/>
          <w:numId w:val="3"/>
        </w:numPr>
        <w:rPr>
          <w:rFonts w:cstheme="minorHAnsi"/>
          <w:sz w:val="24"/>
          <w:szCs w:val="24"/>
        </w:rPr>
      </w:pPr>
      <w:r>
        <w:rPr>
          <w:rFonts w:cstheme="minorHAnsi"/>
          <w:sz w:val="24"/>
          <w:szCs w:val="24"/>
        </w:rPr>
        <w:t xml:space="preserve">Cavanagh, C. (2014) ‘Why We Still Need Feminism’, </w:t>
      </w:r>
      <w:r>
        <w:rPr>
          <w:rFonts w:cstheme="minorHAnsi"/>
          <w:i/>
          <w:iCs/>
          <w:sz w:val="24"/>
          <w:szCs w:val="24"/>
        </w:rPr>
        <w:t>HuffPost</w:t>
      </w:r>
      <w:r>
        <w:rPr>
          <w:rFonts w:cstheme="minorHAnsi"/>
          <w:sz w:val="24"/>
          <w:szCs w:val="24"/>
        </w:rPr>
        <w:t>, 18</w:t>
      </w:r>
      <w:r w:rsidRPr="00A054DB">
        <w:rPr>
          <w:rFonts w:cstheme="minorHAnsi"/>
          <w:sz w:val="24"/>
          <w:szCs w:val="24"/>
          <w:vertAlign w:val="superscript"/>
        </w:rPr>
        <w:t>th</w:t>
      </w:r>
      <w:r>
        <w:rPr>
          <w:rFonts w:cstheme="minorHAnsi"/>
          <w:sz w:val="24"/>
          <w:szCs w:val="24"/>
        </w:rPr>
        <w:t xml:space="preserve"> September. Available at: </w:t>
      </w:r>
      <w:hyperlink r:id="rId10" w:history="1">
        <w:r w:rsidRPr="001950CF">
          <w:rPr>
            <w:rStyle w:val="Hyperlink"/>
            <w:rFonts w:cstheme="minorHAnsi"/>
            <w:sz w:val="24"/>
            <w:szCs w:val="24"/>
          </w:rPr>
          <w:t>https://www.huffpost.com/entry/why-we-still-need-feminism_b_5837366</w:t>
        </w:r>
      </w:hyperlink>
      <w:r>
        <w:rPr>
          <w:rFonts w:cstheme="minorHAnsi"/>
          <w:sz w:val="24"/>
          <w:szCs w:val="24"/>
        </w:rPr>
        <w:t xml:space="preserve"> (Accessed: 28 May 2020).</w:t>
      </w:r>
    </w:p>
    <w:p w14:paraId="5EF824DE" w14:textId="1C230ACE" w:rsidR="00A054DB" w:rsidRDefault="00A054DB" w:rsidP="00A054DB">
      <w:pPr>
        <w:pStyle w:val="ListParagraph"/>
        <w:numPr>
          <w:ilvl w:val="0"/>
          <w:numId w:val="3"/>
        </w:numPr>
        <w:rPr>
          <w:rFonts w:cstheme="minorHAnsi"/>
          <w:sz w:val="24"/>
          <w:szCs w:val="24"/>
        </w:rPr>
      </w:pPr>
      <w:r w:rsidRPr="00741F48">
        <w:rPr>
          <w:rFonts w:cstheme="minorHAnsi"/>
          <w:i/>
          <w:iCs/>
          <w:sz w:val="24"/>
          <w:szCs w:val="24"/>
        </w:rPr>
        <w:t>Convention on the Elimination of All Forms of Discrimination Against Women (CEDAW) Articles, Article 3 2011</w:t>
      </w:r>
      <w:r w:rsidRPr="00741F48">
        <w:rPr>
          <w:rFonts w:cstheme="minorHAnsi"/>
          <w:sz w:val="24"/>
          <w:szCs w:val="24"/>
        </w:rPr>
        <w:t xml:space="preserve">. Available at: </w:t>
      </w:r>
      <w:hyperlink r:id="rId11" w:history="1">
        <w:r w:rsidRPr="00741F48">
          <w:rPr>
            <w:rStyle w:val="Hyperlink"/>
            <w:rFonts w:cstheme="minorHAnsi"/>
            <w:sz w:val="24"/>
            <w:szCs w:val="24"/>
          </w:rPr>
          <w:t>https://www.gov.uk/government/publications/convention-on-the-elimination-of-all-forms-of-discrimination-against-women-cedaw-articles</w:t>
        </w:r>
      </w:hyperlink>
      <w:r w:rsidRPr="00741F48">
        <w:rPr>
          <w:rFonts w:cstheme="minorHAnsi"/>
          <w:sz w:val="24"/>
          <w:szCs w:val="24"/>
        </w:rPr>
        <w:t xml:space="preserve"> (Accessed:</w:t>
      </w:r>
      <w:r>
        <w:rPr>
          <w:rFonts w:cstheme="minorHAnsi"/>
          <w:sz w:val="24"/>
          <w:szCs w:val="24"/>
        </w:rPr>
        <w:t xml:space="preserve"> 28 May</w:t>
      </w:r>
      <w:r w:rsidRPr="00741F48">
        <w:rPr>
          <w:rFonts w:cstheme="minorHAnsi"/>
          <w:sz w:val="24"/>
          <w:szCs w:val="24"/>
        </w:rPr>
        <w:t xml:space="preserve"> 2020).</w:t>
      </w:r>
    </w:p>
    <w:p w14:paraId="07622EFF" w14:textId="609A6C3A" w:rsidR="00A054DB" w:rsidRPr="00A054DB" w:rsidRDefault="00A054DB" w:rsidP="00A054DB">
      <w:pPr>
        <w:pStyle w:val="ListParagraph"/>
        <w:numPr>
          <w:ilvl w:val="0"/>
          <w:numId w:val="3"/>
        </w:numPr>
        <w:rPr>
          <w:sz w:val="24"/>
          <w:szCs w:val="24"/>
        </w:rPr>
      </w:pPr>
      <w:r>
        <w:rPr>
          <w:sz w:val="24"/>
          <w:szCs w:val="24"/>
        </w:rPr>
        <w:t xml:space="preserve">Ridgeway, C.L. (2013) </w:t>
      </w:r>
      <w:r>
        <w:rPr>
          <w:i/>
          <w:iCs/>
          <w:sz w:val="24"/>
          <w:szCs w:val="24"/>
        </w:rPr>
        <w:t xml:space="preserve">How Gender Inequality Persists </w:t>
      </w:r>
      <w:proofErr w:type="gramStart"/>
      <w:r>
        <w:rPr>
          <w:i/>
          <w:iCs/>
          <w:sz w:val="24"/>
          <w:szCs w:val="24"/>
        </w:rPr>
        <w:t>In</w:t>
      </w:r>
      <w:proofErr w:type="gramEnd"/>
      <w:r>
        <w:rPr>
          <w:i/>
          <w:iCs/>
          <w:sz w:val="24"/>
          <w:szCs w:val="24"/>
        </w:rPr>
        <w:t xml:space="preserve"> The Modern World</w:t>
      </w:r>
      <w:r>
        <w:rPr>
          <w:sz w:val="24"/>
          <w:szCs w:val="24"/>
        </w:rPr>
        <w:t xml:space="preserve">. Available at: </w:t>
      </w:r>
      <w:hyperlink r:id="rId12" w:history="1">
        <w:r w:rsidRPr="00022506">
          <w:rPr>
            <w:rStyle w:val="Hyperlink"/>
            <w:sz w:val="24"/>
            <w:szCs w:val="24"/>
          </w:rPr>
          <w:t>https://scholars.org/contribution/how-gender-inequality-persists-modern-world</w:t>
        </w:r>
      </w:hyperlink>
      <w:r>
        <w:rPr>
          <w:sz w:val="24"/>
          <w:szCs w:val="24"/>
        </w:rPr>
        <w:t xml:space="preserve"> (Accessed: 2</w:t>
      </w:r>
      <w:r w:rsidR="004B08DB">
        <w:rPr>
          <w:sz w:val="24"/>
          <w:szCs w:val="24"/>
        </w:rPr>
        <w:t>8</w:t>
      </w:r>
      <w:r>
        <w:rPr>
          <w:sz w:val="24"/>
          <w:szCs w:val="24"/>
        </w:rPr>
        <w:t xml:space="preserve"> May 2020).</w:t>
      </w:r>
    </w:p>
    <w:p w14:paraId="70489674" w14:textId="77777777" w:rsidR="00A054DB" w:rsidRPr="00A054DB" w:rsidRDefault="00A054DB" w:rsidP="00A054DB">
      <w:pPr>
        <w:pStyle w:val="ListParagraph"/>
        <w:numPr>
          <w:ilvl w:val="0"/>
          <w:numId w:val="3"/>
        </w:numPr>
        <w:rPr>
          <w:rFonts w:cstheme="minorHAnsi"/>
          <w:sz w:val="24"/>
          <w:szCs w:val="24"/>
        </w:rPr>
      </w:pPr>
      <w:r w:rsidRPr="00A054DB">
        <w:rPr>
          <w:rFonts w:cstheme="minorHAnsi"/>
          <w:sz w:val="24"/>
          <w:szCs w:val="24"/>
        </w:rPr>
        <w:t xml:space="preserve">Thorpe, C., Yuill, C. (2017) </w:t>
      </w:r>
      <w:r w:rsidRPr="00A054DB">
        <w:rPr>
          <w:rFonts w:cstheme="minorHAnsi"/>
          <w:i/>
          <w:iCs/>
          <w:sz w:val="24"/>
          <w:szCs w:val="24"/>
        </w:rPr>
        <w:t>Heads Up Sociology.</w:t>
      </w:r>
      <w:r w:rsidRPr="00A054DB">
        <w:rPr>
          <w:rFonts w:cstheme="minorHAnsi"/>
          <w:sz w:val="24"/>
          <w:szCs w:val="24"/>
        </w:rPr>
        <w:t xml:space="preserve"> London: Dorling Kindersley Limited.</w:t>
      </w:r>
    </w:p>
    <w:p w14:paraId="7388303B" w14:textId="77777777" w:rsidR="00A054DB" w:rsidRPr="00A054DB" w:rsidRDefault="00A054DB" w:rsidP="00A054DB">
      <w:pPr>
        <w:pStyle w:val="ListParagraph"/>
        <w:rPr>
          <w:rFonts w:cstheme="minorHAnsi"/>
          <w:sz w:val="24"/>
          <w:szCs w:val="24"/>
        </w:rPr>
      </w:pPr>
    </w:p>
    <w:p w14:paraId="42425ED5" w14:textId="77777777" w:rsidR="00E303DE" w:rsidRPr="00A76094" w:rsidRDefault="00E303DE" w:rsidP="00E303DE">
      <w:pPr>
        <w:rPr>
          <w:rFonts w:cstheme="minorHAnsi"/>
          <w:sz w:val="24"/>
          <w:szCs w:val="24"/>
        </w:rPr>
      </w:pPr>
      <w:r w:rsidRPr="00A76094">
        <w:rPr>
          <w:rFonts w:cstheme="minorHAnsi"/>
          <w:sz w:val="24"/>
          <w:szCs w:val="24"/>
        </w:rPr>
        <w:t xml:space="preserve"> </w:t>
      </w:r>
    </w:p>
    <w:p w14:paraId="041EF10D" w14:textId="7CE3BD3A" w:rsidR="00E303DE" w:rsidRPr="00A76094" w:rsidRDefault="00E303DE" w:rsidP="00E303DE">
      <w:pPr>
        <w:rPr>
          <w:rFonts w:cstheme="minorHAnsi"/>
          <w:i/>
          <w:iCs/>
          <w:sz w:val="24"/>
          <w:szCs w:val="24"/>
        </w:rPr>
      </w:pPr>
      <w:r w:rsidRPr="00A76094">
        <w:rPr>
          <w:rFonts w:cstheme="minorHAnsi"/>
          <w:sz w:val="24"/>
          <w:szCs w:val="24"/>
        </w:rPr>
        <w:t xml:space="preserve">Blog 3: </w:t>
      </w:r>
      <w:r w:rsidR="00707F7B">
        <w:rPr>
          <w:rFonts w:cstheme="minorHAnsi"/>
          <w:i/>
          <w:iCs/>
          <w:sz w:val="24"/>
          <w:szCs w:val="24"/>
        </w:rPr>
        <w:t>Queer Theory: Pride and Rights</w:t>
      </w:r>
    </w:p>
    <w:p w14:paraId="19C623E7" w14:textId="6B60D03B" w:rsidR="00D8387E" w:rsidRDefault="00D8387E" w:rsidP="00E303DE">
      <w:pPr>
        <w:rPr>
          <w:rFonts w:cstheme="minorHAnsi"/>
          <w:sz w:val="24"/>
          <w:szCs w:val="24"/>
        </w:rPr>
      </w:pPr>
      <w:r>
        <w:rPr>
          <w:rFonts w:cstheme="minorHAnsi"/>
          <w:sz w:val="24"/>
          <w:szCs w:val="24"/>
        </w:rPr>
        <w:t xml:space="preserve">I believe LGBTQ+ people to be treated differently simply because of social bias as to what constitutes normative sexual and gender identities. Some of the identities on the LGBTQ+ spectrum can dramatically challenge people’s perceptions as to what is ‘normal’. This, they may find uncomfortable or disagreeable and thus treat people identifying as LGBTQ+ as different. Often this can have negative consequences for the LGBTQ+ person and they may be subject to discrimination or hate crime. The guardian reported on a rise in hate crimes towards LGBTQ+ people over the period 2017-2018, with 11,600 crimes being recorded by police across the UK in the period (Marsh </w:t>
      </w:r>
      <w:r w:rsidRPr="00D8387E">
        <w:rPr>
          <w:rFonts w:cstheme="minorHAnsi"/>
          <w:i/>
          <w:iCs/>
          <w:sz w:val="24"/>
          <w:szCs w:val="24"/>
        </w:rPr>
        <w:t>et al</w:t>
      </w:r>
      <w:r>
        <w:rPr>
          <w:rFonts w:cstheme="minorHAnsi"/>
          <w:sz w:val="24"/>
          <w:szCs w:val="24"/>
        </w:rPr>
        <w:t>, 2019).</w:t>
      </w:r>
      <w:r w:rsidR="00985029">
        <w:rPr>
          <w:rFonts w:cstheme="minorHAnsi"/>
          <w:sz w:val="24"/>
          <w:szCs w:val="24"/>
        </w:rPr>
        <w:t xml:space="preserve"> This increased to 14,491 recorded incidents in the following year, 2018-2019 (Stewart, 2019). Increased LGBTQ+ relationship and identities education in schools is believed to potentially have a positive effect on how the LGBTQ+ community will be viewed (Marsh </w:t>
      </w:r>
      <w:r w:rsidR="00985029" w:rsidRPr="00985029">
        <w:rPr>
          <w:rFonts w:cstheme="minorHAnsi"/>
          <w:i/>
          <w:iCs/>
          <w:sz w:val="24"/>
          <w:szCs w:val="24"/>
        </w:rPr>
        <w:t>et al</w:t>
      </w:r>
      <w:r w:rsidR="00985029">
        <w:rPr>
          <w:rFonts w:cstheme="minorHAnsi"/>
          <w:sz w:val="24"/>
          <w:szCs w:val="24"/>
        </w:rPr>
        <w:t>, 2019).</w:t>
      </w:r>
    </w:p>
    <w:p w14:paraId="12AE756C" w14:textId="7217EB18" w:rsidR="00E303DE" w:rsidRDefault="004B08DB" w:rsidP="00E303DE">
      <w:pPr>
        <w:rPr>
          <w:rFonts w:cstheme="minorHAnsi"/>
          <w:sz w:val="24"/>
          <w:szCs w:val="24"/>
        </w:rPr>
      </w:pPr>
      <w:r>
        <w:rPr>
          <w:rFonts w:cstheme="minorHAnsi"/>
          <w:sz w:val="24"/>
          <w:szCs w:val="24"/>
        </w:rPr>
        <w:t>As an openly gay man myself, I believe same sex marriage to be a good thing. Aside from the religious reasons, that same sex couples who are religious can now be recognised as married by their faith, there are numerous legal benefits to marriage which are not afforded to co-habiting couples. A couple of examples include automatically inheriting property or land if your partner dies. This would have to be decided by a court if the couple were simply co-habiting (Citizens Advice, 2019). You can gain the right to be supported financially by your partner, in law, if married. This again does not apply to co-habiting couples (Citizens Advice, 2019)</w:t>
      </w:r>
      <w:r w:rsidR="00D8387E">
        <w:rPr>
          <w:rFonts w:cstheme="minorHAnsi"/>
          <w:sz w:val="24"/>
          <w:szCs w:val="24"/>
        </w:rPr>
        <w:t>.</w:t>
      </w:r>
    </w:p>
    <w:p w14:paraId="521806C0" w14:textId="5C947676" w:rsidR="00614A93" w:rsidRDefault="00614A93" w:rsidP="00614A93">
      <w:pPr>
        <w:rPr>
          <w:rFonts w:cstheme="minorHAnsi"/>
          <w:sz w:val="24"/>
          <w:szCs w:val="24"/>
        </w:rPr>
      </w:pPr>
      <w:r w:rsidRPr="00614A93">
        <w:rPr>
          <w:rFonts w:cstheme="minorHAnsi"/>
          <w:sz w:val="24"/>
          <w:szCs w:val="24"/>
        </w:rPr>
        <w:lastRenderedPageBreak/>
        <w:t>Queer Theory</w:t>
      </w:r>
      <w:r>
        <w:rPr>
          <w:rFonts w:cstheme="minorHAnsi"/>
          <w:sz w:val="24"/>
          <w:szCs w:val="24"/>
        </w:rPr>
        <w:t xml:space="preserve"> states</w:t>
      </w:r>
      <w:r w:rsidRPr="00614A93">
        <w:rPr>
          <w:rFonts w:cstheme="minorHAnsi"/>
          <w:sz w:val="24"/>
          <w:szCs w:val="24"/>
        </w:rPr>
        <w:t xml:space="preserve"> that there is no such thing as normal “sexuality” or gender</w:t>
      </w:r>
      <w:r>
        <w:rPr>
          <w:rFonts w:cstheme="minorHAnsi"/>
          <w:sz w:val="24"/>
          <w:szCs w:val="24"/>
        </w:rPr>
        <w:t xml:space="preserve"> and that gender is a construct of society</w:t>
      </w:r>
      <w:r w:rsidRPr="00614A93">
        <w:rPr>
          <w:rFonts w:cstheme="minorHAnsi"/>
          <w:sz w:val="24"/>
          <w:szCs w:val="24"/>
        </w:rPr>
        <w:t xml:space="preserve"> (Thorpe </w:t>
      </w:r>
      <w:r w:rsidRPr="00614A93">
        <w:rPr>
          <w:rFonts w:cstheme="minorHAnsi"/>
          <w:i/>
          <w:iCs/>
          <w:sz w:val="24"/>
          <w:szCs w:val="24"/>
        </w:rPr>
        <w:t>et al,</w:t>
      </w:r>
      <w:r w:rsidRPr="00614A93">
        <w:rPr>
          <w:rFonts w:cstheme="minorHAnsi"/>
          <w:sz w:val="24"/>
          <w:szCs w:val="24"/>
        </w:rPr>
        <w:t xml:space="preserve"> 2015).</w:t>
      </w:r>
      <w:r>
        <w:rPr>
          <w:rFonts w:cstheme="minorHAnsi"/>
          <w:sz w:val="24"/>
          <w:szCs w:val="24"/>
        </w:rPr>
        <w:t xml:space="preserve"> </w:t>
      </w:r>
      <w:proofErr w:type="gramStart"/>
      <w:r w:rsidRPr="00614A93">
        <w:rPr>
          <w:rFonts w:cstheme="minorHAnsi"/>
          <w:sz w:val="24"/>
          <w:szCs w:val="24"/>
        </w:rPr>
        <w:t>A</w:t>
      </w:r>
      <w:proofErr w:type="gramEnd"/>
      <w:r w:rsidRPr="00614A93">
        <w:rPr>
          <w:rFonts w:cstheme="minorHAnsi"/>
          <w:sz w:val="24"/>
          <w:szCs w:val="24"/>
        </w:rPr>
        <w:t xml:space="preserve"> prominent 'Queer Theorist' is Judith Butler. Butler</w:t>
      </w:r>
      <w:r>
        <w:rPr>
          <w:rFonts w:cstheme="minorHAnsi"/>
          <w:sz w:val="24"/>
          <w:szCs w:val="24"/>
        </w:rPr>
        <w:t xml:space="preserve"> </w:t>
      </w:r>
      <w:r w:rsidRPr="00614A93">
        <w:rPr>
          <w:rFonts w:cstheme="minorHAnsi"/>
          <w:sz w:val="24"/>
          <w:szCs w:val="24"/>
        </w:rPr>
        <w:t>argues that the gender of a person is totally socially constructed. This social construction is derived from the constant repetition of actions and behaviours</w:t>
      </w:r>
      <w:r>
        <w:rPr>
          <w:rFonts w:cstheme="minorHAnsi"/>
          <w:sz w:val="24"/>
          <w:szCs w:val="24"/>
        </w:rPr>
        <w:t xml:space="preserve">, which she coined as ‘performance theory’ (Butler, 1988).  </w:t>
      </w:r>
      <w:r w:rsidRPr="00614A93">
        <w:rPr>
          <w:rFonts w:cstheme="minorHAnsi"/>
          <w:sz w:val="24"/>
          <w:szCs w:val="24"/>
        </w:rPr>
        <w:t xml:space="preserve">Butler argues that there are certain traditional expectations of gender in all societies and cultures. This is how men and women are expected to act or behave. That expectation then influences how people perform in society </w:t>
      </w:r>
      <w:proofErr w:type="spellStart"/>
      <w:r w:rsidRPr="00614A93">
        <w:rPr>
          <w:rFonts w:cstheme="minorHAnsi"/>
          <w:sz w:val="24"/>
          <w:szCs w:val="24"/>
        </w:rPr>
        <w:t>ie</w:t>
      </w:r>
      <w:proofErr w:type="spellEnd"/>
      <w:r w:rsidRPr="00614A93">
        <w:rPr>
          <w:rFonts w:cstheme="minorHAnsi"/>
          <w:sz w:val="24"/>
          <w:szCs w:val="24"/>
        </w:rPr>
        <w:t xml:space="preserve"> the masculine or feminine characteristics they display. This performance of certain behaviours becomes the norm and thus reinforces the traditional expectations of gender held by that society or culture. </w:t>
      </w:r>
      <w:proofErr w:type="gramStart"/>
      <w:r w:rsidRPr="00614A93">
        <w:rPr>
          <w:rFonts w:cstheme="minorHAnsi"/>
          <w:sz w:val="24"/>
          <w:szCs w:val="24"/>
        </w:rPr>
        <w:t>It’s</w:t>
      </w:r>
      <w:proofErr w:type="gramEnd"/>
      <w:r w:rsidRPr="00614A93">
        <w:rPr>
          <w:rFonts w:cstheme="minorHAnsi"/>
          <w:sz w:val="24"/>
          <w:szCs w:val="24"/>
        </w:rPr>
        <w:t xml:space="preserve"> a cycle (Thorpe </w:t>
      </w:r>
      <w:r w:rsidRPr="00614A93">
        <w:rPr>
          <w:rFonts w:cstheme="minorHAnsi"/>
          <w:i/>
          <w:iCs/>
          <w:sz w:val="24"/>
          <w:szCs w:val="24"/>
        </w:rPr>
        <w:t>et al</w:t>
      </w:r>
      <w:r w:rsidRPr="00614A93">
        <w:rPr>
          <w:rFonts w:cstheme="minorHAnsi"/>
          <w:sz w:val="24"/>
          <w:szCs w:val="24"/>
        </w:rPr>
        <w:t>, 2015).</w:t>
      </w:r>
      <w:r>
        <w:rPr>
          <w:rFonts w:cstheme="minorHAnsi"/>
          <w:sz w:val="24"/>
          <w:szCs w:val="24"/>
        </w:rPr>
        <w:t xml:space="preserve"> </w:t>
      </w:r>
      <w:r w:rsidRPr="00614A93">
        <w:rPr>
          <w:rFonts w:cstheme="minorHAnsi"/>
          <w:sz w:val="24"/>
          <w:szCs w:val="24"/>
        </w:rPr>
        <w:t xml:space="preserve">This theory has led Judith Butler and other Queer Theorists to conclude that gender is nothing more than what you do or how you behave in a social sense, rather than a biological notion of who you are. Gender, they argue is indeed, a social construction (Thorpe </w:t>
      </w:r>
      <w:r w:rsidRPr="00614A93">
        <w:rPr>
          <w:rFonts w:cstheme="minorHAnsi"/>
          <w:i/>
          <w:iCs/>
          <w:sz w:val="24"/>
          <w:szCs w:val="24"/>
        </w:rPr>
        <w:t>et al</w:t>
      </w:r>
      <w:r w:rsidRPr="00614A93">
        <w:rPr>
          <w:rFonts w:cstheme="minorHAnsi"/>
          <w:sz w:val="24"/>
          <w:szCs w:val="24"/>
        </w:rPr>
        <w:t>, 2015).</w:t>
      </w:r>
    </w:p>
    <w:p w14:paraId="7EEA0631" w14:textId="77777777" w:rsidR="00614A93" w:rsidRPr="00614A93" w:rsidRDefault="00614A93" w:rsidP="00614A93">
      <w:pPr>
        <w:rPr>
          <w:rFonts w:cstheme="minorHAnsi"/>
          <w:sz w:val="24"/>
          <w:szCs w:val="24"/>
        </w:rPr>
      </w:pPr>
      <w:r w:rsidRPr="00614A93">
        <w:rPr>
          <w:rFonts w:cstheme="minorHAnsi"/>
          <w:sz w:val="24"/>
          <w:szCs w:val="24"/>
        </w:rPr>
        <w:t>With relation to Human Rights, there are a set of principles which relate to gender and the rights associated with gender identity. These principles are known as the Yogyakarta Principles. Aside from Principle 1 which refers to the right of all humans to enjoy Human Rights in every aspect of their life, the Principles two and three bear significance to those who identify as non-heteronormative gender.</w:t>
      </w:r>
    </w:p>
    <w:p w14:paraId="298FFF19" w14:textId="4F3ED384" w:rsidR="00614A93" w:rsidRPr="00614A93" w:rsidRDefault="00614A93" w:rsidP="00614A93">
      <w:pPr>
        <w:rPr>
          <w:rFonts w:cstheme="minorHAnsi"/>
          <w:sz w:val="24"/>
          <w:szCs w:val="24"/>
        </w:rPr>
      </w:pPr>
      <w:r w:rsidRPr="00614A93">
        <w:rPr>
          <w:rFonts w:cstheme="minorHAnsi"/>
          <w:sz w:val="24"/>
          <w:szCs w:val="24"/>
        </w:rPr>
        <w:t>Principle 2 refers specifically to equality and discrimination. It makes a clear statement that people, regardless of sexual orientation and gender should be able to live their lives free from discrimination and unequal treatment</w:t>
      </w:r>
      <w:r w:rsidR="0079287C">
        <w:rPr>
          <w:rFonts w:cstheme="minorHAnsi"/>
          <w:sz w:val="24"/>
          <w:szCs w:val="24"/>
        </w:rPr>
        <w:t xml:space="preserve"> (Yogyakarta Principles, 2007).</w:t>
      </w:r>
      <w:r w:rsidR="00707F7B">
        <w:rPr>
          <w:rFonts w:cstheme="minorHAnsi"/>
          <w:sz w:val="24"/>
          <w:szCs w:val="24"/>
        </w:rPr>
        <w:t xml:space="preserve"> </w:t>
      </w:r>
      <w:r w:rsidRPr="00614A93">
        <w:rPr>
          <w:rFonts w:cstheme="minorHAnsi"/>
          <w:sz w:val="24"/>
          <w:szCs w:val="24"/>
        </w:rPr>
        <w:t xml:space="preserve">Principle 3 of the Yogyakarta Principles </w:t>
      </w:r>
      <w:proofErr w:type="gramStart"/>
      <w:r w:rsidRPr="00614A93">
        <w:rPr>
          <w:rFonts w:cstheme="minorHAnsi"/>
          <w:sz w:val="24"/>
          <w:szCs w:val="24"/>
        </w:rPr>
        <w:t>makes reference</w:t>
      </w:r>
      <w:proofErr w:type="gramEnd"/>
      <w:r w:rsidRPr="00614A93">
        <w:rPr>
          <w:rFonts w:cstheme="minorHAnsi"/>
          <w:sz w:val="24"/>
          <w:szCs w:val="24"/>
        </w:rPr>
        <w:t xml:space="preserve"> to the right of all individuals regardless of sexual orientation or gender to be recognised by law. The principle makes a clear statement that regardless of gender or sexual orientation, each person must be recognised by state law and that however that person identifies must be respected. The principle states that each person’s sexual orientation and gender identity is integral to self</w:t>
      </w:r>
      <w:r w:rsidR="0079287C">
        <w:rPr>
          <w:rFonts w:cstheme="minorHAnsi"/>
          <w:sz w:val="24"/>
          <w:szCs w:val="24"/>
        </w:rPr>
        <w:t>-</w:t>
      </w:r>
      <w:r w:rsidRPr="00614A93">
        <w:rPr>
          <w:rFonts w:cstheme="minorHAnsi"/>
          <w:sz w:val="24"/>
          <w:szCs w:val="24"/>
        </w:rPr>
        <w:t>determination and personal freedom</w:t>
      </w:r>
      <w:r w:rsidR="0079287C">
        <w:rPr>
          <w:rFonts w:cstheme="minorHAnsi"/>
          <w:sz w:val="24"/>
          <w:szCs w:val="24"/>
        </w:rPr>
        <w:t xml:space="preserve"> (Yogyakarta Principles, 2007).</w:t>
      </w:r>
    </w:p>
    <w:p w14:paraId="46917CE3" w14:textId="77777777" w:rsidR="00614A93" w:rsidRPr="00614A93" w:rsidRDefault="00614A93" w:rsidP="00614A93">
      <w:pPr>
        <w:rPr>
          <w:rFonts w:cstheme="minorHAnsi"/>
          <w:sz w:val="24"/>
          <w:szCs w:val="24"/>
        </w:rPr>
      </w:pPr>
    </w:p>
    <w:p w14:paraId="073CF603" w14:textId="007CD058" w:rsidR="00E303DE" w:rsidRDefault="00E303DE" w:rsidP="00E303DE">
      <w:pPr>
        <w:rPr>
          <w:rFonts w:cstheme="minorHAnsi"/>
          <w:sz w:val="24"/>
          <w:szCs w:val="24"/>
        </w:rPr>
      </w:pPr>
      <w:r w:rsidRPr="00A76094">
        <w:rPr>
          <w:rFonts w:cstheme="minorHAnsi"/>
          <w:sz w:val="24"/>
          <w:szCs w:val="24"/>
        </w:rPr>
        <w:t>Reference List</w:t>
      </w:r>
    </w:p>
    <w:p w14:paraId="6A1210F4" w14:textId="77777777" w:rsidR="00785762" w:rsidRDefault="00785762" w:rsidP="00785762">
      <w:pPr>
        <w:pStyle w:val="ListParagraph"/>
        <w:numPr>
          <w:ilvl w:val="0"/>
          <w:numId w:val="6"/>
        </w:numPr>
        <w:rPr>
          <w:sz w:val="24"/>
          <w:szCs w:val="24"/>
        </w:rPr>
      </w:pPr>
      <w:r>
        <w:rPr>
          <w:sz w:val="24"/>
          <w:szCs w:val="24"/>
        </w:rPr>
        <w:t xml:space="preserve">Butler, J. (1988) ‘Performative Acts and Gender Constitution: An Essay in Phenomenology and Feminist Theory’, </w:t>
      </w:r>
      <w:r>
        <w:rPr>
          <w:i/>
          <w:iCs/>
          <w:sz w:val="24"/>
          <w:szCs w:val="24"/>
        </w:rPr>
        <w:t>Theatre Journal</w:t>
      </w:r>
      <w:r>
        <w:rPr>
          <w:sz w:val="24"/>
          <w:szCs w:val="24"/>
        </w:rPr>
        <w:t xml:space="preserve">, 40(4), pp. 519 – 531. Available at: </w:t>
      </w:r>
      <w:hyperlink r:id="rId13" w:history="1">
        <w:r w:rsidRPr="003D5A05">
          <w:rPr>
            <w:rStyle w:val="Hyperlink"/>
            <w:sz w:val="24"/>
            <w:szCs w:val="24"/>
          </w:rPr>
          <w:t>https://www.jstor.org/stable/3207893?seq=1</w:t>
        </w:r>
      </w:hyperlink>
      <w:r>
        <w:rPr>
          <w:sz w:val="24"/>
          <w:szCs w:val="24"/>
        </w:rPr>
        <w:t xml:space="preserve"> (Accessed: 28 May 2020).</w:t>
      </w:r>
    </w:p>
    <w:p w14:paraId="4F518367" w14:textId="116C8613" w:rsidR="00785762" w:rsidRDefault="00785762" w:rsidP="00785762">
      <w:pPr>
        <w:pStyle w:val="ListParagraph"/>
        <w:numPr>
          <w:ilvl w:val="0"/>
          <w:numId w:val="6"/>
        </w:numPr>
        <w:rPr>
          <w:rFonts w:cstheme="minorHAnsi"/>
          <w:sz w:val="24"/>
          <w:szCs w:val="24"/>
        </w:rPr>
      </w:pPr>
      <w:r>
        <w:rPr>
          <w:rFonts w:cstheme="minorHAnsi"/>
          <w:sz w:val="24"/>
          <w:szCs w:val="24"/>
        </w:rPr>
        <w:t xml:space="preserve">Citizens Advice (2019) </w:t>
      </w:r>
      <w:r>
        <w:rPr>
          <w:rFonts w:cstheme="minorHAnsi"/>
          <w:i/>
          <w:iCs/>
          <w:sz w:val="24"/>
          <w:szCs w:val="24"/>
        </w:rPr>
        <w:t>Living Together and Marriage: Legal Differences</w:t>
      </w:r>
      <w:r>
        <w:rPr>
          <w:rFonts w:cstheme="minorHAnsi"/>
          <w:sz w:val="24"/>
          <w:szCs w:val="24"/>
        </w:rPr>
        <w:t xml:space="preserve">. Available at: </w:t>
      </w:r>
      <w:hyperlink r:id="rId14" w:history="1">
        <w:r w:rsidRPr="001950CF">
          <w:rPr>
            <w:rStyle w:val="Hyperlink"/>
            <w:rFonts w:cstheme="minorHAnsi"/>
            <w:sz w:val="24"/>
            <w:szCs w:val="24"/>
          </w:rPr>
          <w:t>https://www.citizensadvice.org.uk/family/living-together-marriage-and-civil-partnership/living-together-and-marriage-legal-differences/</w:t>
        </w:r>
      </w:hyperlink>
      <w:r>
        <w:rPr>
          <w:rFonts w:cstheme="minorHAnsi"/>
          <w:sz w:val="24"/>
          <w:szCs w:val="24"/>
        </w:rPr>
        <w:t xml:space="preserve"> (Accessed: 28 May 2020).</w:t>
      </w:r>
    </w:p>
    <w:p w14:paraId="0B60349D" w14:textId="29AA0DF0" w:rsidR="0075335D" w:rsidRPr="0075335D" w:rsidRDefault="0075335D" w:rsidP="0075335D">
      <w:pPr>
        <w:pStyle w:val="ListParagraph"/>
        <w:numPr>
          <w:ilvl w:val="0"/>
          <w:numId w:val="6"/>
        </w:numPr>
        <w:rPr>
          <w:rFonts w:cstheme="minorHAnsi"/>
          <w:sz w:val="24"/>
          <w:szCs w:val="24"/>
        </w:rPr>
      </w:pPr>
      <w:r>
        <w:rPr>
          <w:rFonts w:cstheme="minorHAnsi"/>
          <w:sz w:val="24"/>
          <w:szCs w:val="24"/>
        </w:rPr>
        <w:t xml:space="preserve">Marsh, S., </w:t>
      </w:r>
      <w:proofErr w:type="spellStart"/>
      <w:r>
        <w:rPr>
          <w:rFonts w:cstheme="minorHAnsi"/>
          <w:sz w:val="24"/>
          <w:szCs w:val="24"/>
        </w:rPr>
        <w:t>Mohdin</w:t>
      </w:r>
      <w:proofErr w:type="spellEnd"/>
      <w:r>
        <w:rPr>
          <w:rFonts w:cstheme="minorHAnsi"/>
          <w:sz w:val="24"/>
          <w:szCs w:val="24"/>
        </w:rPr>
        <w:t xml:space="preserve">, A., McIntyre, N. (2019) ‘Homophobic and transphobic hate crimes surge in England and Wales’, </w:t>
      </w:r>
      <w:r>
        <w:rPr>
          <w:rFonts w:cstheme="minorHAnsi"/>
          <w:i/>
          <w:iCs/>
          <w:sz w:val="24"/>
          <w:szCs w:val="24"/>
        </w:rPr>
        <w:t>The Guardian</w:t>
      </w:r>
      <w:r>
        <w:rPr>
          <w:rFonts w:cstheme="minorHAnsi"/>
          <w:sz w:val="24"/>
          <w:szCs w:val="24"/>
        </w:rPr>
        <w:t xml:space="preserve">, 14 June. Available at:  </w:t>
      </w:r>
      <w:r w:rsidRPr="0075335D">
        <w:rPr>
          <w:rFonts w:cstheme="minorHAnsi"/>
          <w:sz w:val="24"/>
          <w:szCs w:val="24"/>
        </w:rPr>
        <w:t xml:space="preserve"> </w:t>
      </w:r>
      <w:hyperlink r:id="rId15" w:history="1">
        <w:r w:rsidRPr="001950CF">
          <w:rPr>
            <w:rStyle w:val="Hyperlink"/>
            <w:rFonts w:cstheme="minorHAnsi"/>
            <w:sz w:val="24"/>
            <w:szCs w:val="24"/>
          </w:rPr>
          <w:t>https://www.theguardian.com/world/2019/jun/14/homophobic-and-transphobic-hate-crimes-surge-in-england-and-wales</w:t>
        </w:r>
      </w:hyperlink>
      <w:r>
        <w:rPr>
          <w:rFonts w:cstheme="minorHAnsi"/>
          <w:sz w:val="24"/>
          <w:szCs w:val="24"/>
        </w:rPr>
        <w:t xml:space="preserve"> (Accessed: 28 May 2020).</w:t>
      </w:r>
    </w:p>
    <w:p w14:paraId="7159CBD3" w14:textId="3FF56919" w:rsidR="00785762" w:rsidRDefault="00785762" w:rsidP="00785762">
      <w:pPr>
        <w:pStyle w:val="ListParagraph"/>
        <w:numPr>
          <w:ilvl w:val="0"/>
          <w:numId w:val="6"/>
        </w:numPr>
        <w:rPr>
          <w:rFonts w:cstheme="minorHAnsi"/>
          <w:sz w:val="24"/>
          <w:szCs w:val="24"/>
        </w:rPr>
      </w:pPr>
      <w:r>
        <w:rPr>
          <w:rFonts w:cstheme="minorHAnsi"/>
          <w:sz w:val="24"/>
          <w:szCs w:val="24"/>
        </w:rPr>
        <w:lastRenderedPageBreak/>
        <w:t xml:space="preserve">Stewart, P.H. (2019) ‘UK LGBT Hate Crimes Stats Make Shocking Reading’, </w:t>
      </w:r>
      <w:r>
        <w:rPr>
          <w:rFonts w:cstheme="minorHAnsi"/>
          <w:i/>
          <w:iCs/>
          <w:sz w:val="24"/>
          <w:szCs w:val="24"/>
        </w:rPr>
        <w:t>Human Rights Watch</w:t>
      </w:r>
      <w:r>
        <w:rPr>
          <w:rFonts w:cstheme="minorHAnsi"/>
          <w:sz w:val="24"/>
          <w:szCs w:val="24"/>
        </w:rPr>
        <w:t xml:space="preserve">, 23 October. Available at: </w:t>
      </w:r>
      <w:hyperlink r:id="rId16" w:history="1">
        <w:r w:rsidRPr="001950CF">
          <w:rPr>
            <w:rStyle w:val="Hyperlink"/>
            <w:rFonts w:cstheme="minorHAnsi"/>
            <w:sz w:val="24"/>
            <w:szCs w:val="24"/>
          </w:rPr>
          <w:t>https://www.hrw.org/news/2019/10/23/uk-lgbt-hate-crimes-stats-make-shocking-reading</w:t>
        </w:r>
      </w:hyperlink>
      <w:r>
        <w:rPr>
          <w:rFonts w:cstheme="minorHAnsi"/>
          <w:sz w:val="24"/>
          <w:szCs w:val="24"/>
        </w:rPr>
        <w:t xml:space="preserve"> (Accessed: 28 May 2020).</w:t>
      </w:r>
    </w:p>
    <w:p w14:paraId="179BCD0E" w14:textId="77777777" w:rsidR="0075335D" w:rsidRDefault="0075335D" w:rsidP="0075335D">
      <w:pPr>
        <w:pStyle w:val="ListParagraph"/>
        <w:numPr>
          <w:ilvl w:val="0"/>
          <w:numId w:val="6"/>
        </w:numPr>
        <w:spacing w:line="240" w:lineRule="auto"/>
      </w:pPr>
      <w:r>
        <w:t xml:space="preserve">Thorpe, C., Yuill, C., Hobbs, M., Todd, M., </w:t>
      </w:r>
      <w:proofErr w:type="spellStart"/>
      <w:r>
        <w:t>Tomley</w:t>
      </w:r>
      <w:proofErr w:type="spellEnd"/>
      <w:r>
        <w:t>, S., Weeks, M. (2015) The Sociology Book. London: Dorling Kindersley Limited.</w:t>
      </w:r>
    </w:p>
    <w:p w14:paraId="4F164051" w14:textId="4757E156" w:rsidR="0075335D" w:rsidRDefault="0075335D" w:rsidP="0075335D">
      <w:pPr>
        <w:pStyle w:val="ListParagraph"/>
        <w:numPr>
          <w:ilvl w:val="0"/>
          <w:numId w:val="6"/>
        </w:numPr>
        <w:spacing w:line="240" w:lineRule="auto"/>
      </w:pPr>
      <w:r>
        <w:t xml:space="preserve">Yogyakarta Principles (2007). Available at: </w:t>
      </w:r>
      <w:hyperlink r:id="rId17" w:history="1">
        <w:r w:rsidRPr="001950CF">
          <w:rPr>
            <w:rStyle w:val="Hyperlink"/>
          </w:rPr>
          <w:t>http://data.unaids.org/pub/manual/2007/070517_yogyakarta_principles_en.pdf</w:t>
        </w:r>
      </w:hyperlink>
      <w:r>
        <w:t xml:space="preserve"> </w:t>
      </w:r>
      <w:r>
        <w:t xml:space="preserve">  (Accessed: </w:t>
      </w:r>
      <w:r>
        <w:t>28 May</w:t>
      </w:r>
      <w:r>
        <w:t xml:space="preserve"> 2020).</w:t>
      </w:r>
    </w:p>
    <w:p w14:paraId="5ED8CBB1" w14:textId="7BE58AB3" w:rsidR="0014153B" w:rsidRPr="00A76094" w:rsidRDefault="0014153B">
      <w:pPr>
        <w:rPr>
          <w:rFonts w:cstheme="minorHAnsi"/>
          <w:sz w:val="24"/>
          <w:szCs w:val="24"/>
        </w:rPr>
      </w:pPr>
    </w:p>
    <w:sectPr w:rsidR="0014153B" w:rsidRPr="00A760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5363C"/>
    <w:multiLevelType w:val="hybridMultilevel"/>
    <w:tmpl w:val="9EDCCA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D2C8D"/>
    <w:multiLevelType w:val="hybridMultilevel"/>
    <w:tmpl w:val="FFFFFFFF"/>
    <w:lvl w:ilvl="0" w:tplc="C0BEB1F8">
      <w:start w:val="1"/>
      <w:numFmt w:val="decimal"/>
      <w:lvlText w:val="%1."/>
      <w:lvlJc w:val="left"/>
      <w:pPr>
        <w:ind w:left="720" w:hanging="360"/>
      </w:pPr>
    </w:lvl>
    <w:lvl w:ilvl="1" w:tplc="2B2CC64C">
      <w:start w:val="1"/>
      <w:numFmt w:val="lowerLetter"/>
      <w:lvlText w:val="%2."/>
      <w:lvlJc w:val="left"/>
      <w:pPr>
        <w:ind w:left="1440" w:hanging="360"/>
      </w:pPr>
    </w:lvl>
    <w:lvl w:ilvl="2" w:tplc="FF1C8122">
      <w:start w:val="1"/>
      <w:numFmt w:val="lowerRoman"/>
      <w:lvlText w:val="%3."/>
      <w:lvlJc w:val="right"/>
      <w:pPr>
        <w:ind w:left="2160" w:hanging="180"/>
      </w:pPr>
    </w:lvl>
    <w:lvl w:ilvl="3" w:tplc="7456925C">
      <w:start w:val="1"/>
      <w:numFmt w:val="decimal"/>
      <w:lvlText w:val="%4."/>
      <w:lvlJc w:val="left"/>
      <w:pPr>
        <w:ind w:left="2880" w:hanging="360"/>
      </w:pPr>
    </w:lvl>
    <w:lvl w:ilvl="4" w:tplc="4DCE2E38">
      <w:start w:val="1"/>
      <w:numFmt w:val="lowerLetter"/>
      <w:lvlText w:val="%5."/>
      <w:lvlJc w:val="left"/>
      <w:pPr>
        <w:ind w:left="3600" w:hanging="360"/>
      </w:pPr>
    </w:lvl>
    <w:lvl w:ilvl="5" w:tplc="720259C6">
      <w:start w:val="1"/>
      <w:numFmt w:val="lowerRoman"/>
      <w:lvlText w:val="%6."/>
      <w:lvlJc w:val="right"/>
      <w:pPr>
        <w:ind w:left="4320" w:hanging="180"/>
      </w:pPr>
    </w:lvl>
    <w:lvl w:ilvl="6" w:tplc="735649F2">
      <w:start w:val="1"/>
      <w:numFmt w:val="decimal"/>
      <w:lvlText w:val="%7."/>
      <w:lvlJc w:val="left"/>
      <w:pPr>
        <w:ind w:left="5040" w:hanging="360"/>
      </w:pPr>
    </w:lvl>
    <w:lvl w:ilvl="7" w:tplc="27A2BE9C">
      <w:start w:val="1"/>
      <w:numFmt w:val="lowerLetter"/>
      <w:lvlText w:val="%8."/>
      <w:lvlJc w:val="left"/>
      <w:pPr>
        <w:ind w:left="5760" w:hanging="360"/>
      </w:pPr>
    </w:lvl>
    <w:lvl w:ilvl="8" w:tplc="1B9EFF0E">
      <w:start w:val="1"/>
      <w:numFmt w:val="lowerRoman"/>
      <w:lvlText w:val="%9."/>
      <w:lvlJc w:val="right"/>
      <w:pPr>
        <w:ind w:left="6480" w:hanging="180"/>
      </w:pPr>
    </w:lvl>
  </w:abstractNum>
  <w:abstractNum w:abstractNumId="2" w15:restartNumberingAfterBreak="0">
    <w:nsid w:val="1BD73707"/>
    <w:multiLevelType w:val="hybridMultilevel"/>
    <w:tmpl w:val="FC0C1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B84931"/>
    <w:multiLevelType w:val="hybridMultilevel"/>
    <w:tmpl w:val="CA28D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AE28F5"/>
    <w:multiLevelType w:val="hybridMultilevel"/>
    <w:tmpl w:val="B0C2A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2761C2"/>
    <w:multiLevelType w:val="hybridMultilevel"/>
    <w:tmpl w:val="FFFFFFFF"/>
    <w:lvl w:ilvl="0" w:tplc="59741242">
      <w:start w:val="1"/>
      <w:numFmt w:val="decimal"/>
      <w:lvlText w:val="%1."/>
      <w:lvlJc w:val="left"/>
      <w:pPr>
        <w:ind w:left="720" w:hanging="360"/>
      </w:pPr>
    </w:lvl>
    <w:lvl w:ilvl="1" w:tplc="E452C904">
      <w:start w:val="1"/>
      <w:numFmt w:val="lowerLetter"/>
      <w:lvlText w:val="%2."/>
      <w:lvlJc w:val="left"/>
      <w:pPr>
        <w:ind w:left="1440" w:hanging="360"/>
      </w:pPr>
    </w:lvl>
    <w:lvl w:ilvl="2" w:tplc="3D8A5A48">
      <w:start w:val="1"/>
      <w:numFmt w:val="lowerRoman"/>
      <w:lvlText w:val="%3."/>
      <w:lvlJc w:val="right"/>
      <w:pPr>
        <w:ind w:left="2160" w:hanging="180"/>
      </w:pPr>
    </w:lvl>
    <w:lvl w:ilvl="3" w:tplc="FB7A396A">
      <w:start w:val="1"/>
      <w:numFmt w:val="decimal"/>
      <w:lvlText w:val="%4."/>
      <w:lvlJc w:val="left"/>
      <w:pPr>
        <w:ind w:left="2880" w:hanging="360"/>
      </w:pPr>
    </w:lvl>
    <w:lvl w:ilvl="4" w:tplc="288E4582">
      <w:start w:val="1"/>
      <w:numFmt w:val="lowerLetter"/>
      <w:lvlText w:val="%5."/>
      <w:lvlJc w:val="left"/>
      <w:pPr>
        <w:ind w:left="3600" w:hanging="360"/>
      </w:pPr>
    </w:lvl>
    <w:lvl w:ilvl="5" w:tplc="DE60AE4C">
      <w:start w:val="1"/>
      <w:numFmt w:val="lowerRoman"/>
      <w:lvlText w:val="%6."/>
      <w:lvlJc w:val="right"/>
      <w:pPr>
        <w:ind w:left="4320" w:hanging="180"/>
      </w:pPr>
    </w:lvl>
    <w:lvl w:ilvl="6" w:tplc="1F242A6A">
      <w:start w:val="1"/>
      <w:numFmt w:val="decimal"/>
      <w:lvlText w:val="%7."/>
      <w:lvlJc w:val="left"/>
      <w:pPr>
        <w:ind w:left="5040" w:hanging="360"/>
      </w:pPr>
    </w:lvl>
    <w:lvl w:ilvl="7" w:tplc="9094EE46">
      <w:start w:val="1"/>
      <w:numFmt w:val="lowerLetter"/>
      <w:lvlText w:val="%8."/>
      <w:lvlJc w:val="left"/>
      <w:pPr>
        <w:ind w:left="5760" w:hanging="360"/>
      </w:pPr>
    </w:lvl>
    <w:lvl w:ilvl="8" w:tplc="B93CC60A">
      <w:start w:val="1"/>
      <w:numFmt w:val="lowerRoman"/>
      <w:lvlText w:val="%9."/>
      <w:lvlJc w:val="right"/>
      <w:pPr>
        <w:ind w:left="6480" w:hanging="180"/>
      </w:pPr>
    </w:lvl>
  </w:abstractNum>
  <w:abstractNum w:abstractNumId="6" w15:restartNumberingAfterBreak="0">
    <w:nsid w:val="724E6A6A"/>
    <w:multiLevelType w:val="hybridMultilevel"/>
    <w:tmpl w:val="FFFFFFFF"/>
    <w:lvl w:ilvl="0" w:tplc="61A6AA82">
      <w:start w:val="1"/>
      <w:numFmt w:val="decimal"/>
      <w:lvlText w:val="%1."/>
      <w:lvlJc w:val="left"/>
      <w:pPr>
        <w:ind w:left="720" w:hanging="360"/>
      </w:pPr>
    </w:lvl>
    <w:lvl w:ilvl="1" w:tplc="DEC270F0">
      <w:start w:val="1"/>
      <w:numFmt w:val="lowerLetter"/>
      <w:lvlText w:val="%2."/>
      <w:lvlJc w:val="left"/>
      <w:pPr>
        <w:ind w:left="1440" w:hanging="360"/>
      </w:pPr>
    </w:lvl>
    <w:lvl w:ilvl="2" w:tplc="3E9EA9FA">
      <w:start w:val="1"/>
      <w:numFmt w:val="lowerRoman"/>
      <w:lvlText w:val="%3."/>
      <w:lvlJc w:val="right"/>
      <w:pPr>
        <w:ind w:left="2160" w:hanging="180"/>
      </w:pPr>
    </w:lvl>
    <w:lvl w:ilvl="3" w:tplc="6EF409E4">
      <w:start w:val="1"/>
      <w:numFmt w:val="decimal"/>
      <w:lvlText w:val="%4."/>
      <w:lvlJc w:val="left"/>
      <w:pPr>
        <w:ind w:left="2880" w:hanging="360"/>
      </w:pPr>
    </w:lvl>
    <w:lvl w:ilvl="4" w:tplc="F0BAC086">
      <w:start w:val="1"/>
      <w:numFmt w:val="lowerLetter"/>
      <w:lvlText w:val="%5."/>
      <w:lvlJc w:val="left"/>
      <w:pPr>
        <w:ind w:left="3600" w:hanging="360"/>
      </w:pPr>
    </w:lvl>
    <w:lvl w:ilvl="5" w:tplc="648A8092">
      <w:start w:val="1"/>
      <w:numFmt w:val="lowerRoman"/>
      <w:lvlText w:val="%6."/>
      <w:lvlJc w:val="right"/>
      <w:pPr>
        <w:ind w:left="4320" w:hanging="180"/>
      </w:pPr>
    </w:lvl>
    <w:lvl w:ilvl="6" w:tplc="BF72EEFE">
      <w:start w:val="1"/>
      <w:numFmt w:val="decimal"/>
      <w:lvlText w:val="%7."/>
      <w:lvlJc w:val="left"/>
      <w:pPr>
        <w:ind w:left="5040" w:hanging="360"/>
      </w:pPr>
    </w:lvl>
    <w:lvl w:ilvl="7" w:tplc="094A9B0E">
      <w:start w:val="1"/>
      <w:numFmt w:val="lowerLetter"/>
      <w:lvlText w:val="%8."/>
      <w:lvlJc w:val="left"/>
      <w:pPr>
        <w:ind w:left="5760" w:hanging="360"/>
      </w:pPr>
    </w:lvl>
    <w:lvl w:ilvl="8" w:tplc="E9C26320">
      <w:start w:val="1"/>
      <w:numFmt w:val="lowerRoman"/>
      <w:lvlText w:val="%9."/>
      <w:lvlJc w:val="right"/>
      <w:pPr>
        <w:ind w:left="6480" w:hanging="180"/>
      </w:pPr>
    </w:lvl>
  </w:abstractNum>
  <w:abstractNum w:abstractNumId="7" w15:restartNumberingAfterBreak="0">
    <w:nsid w:val="7A1E1DA0"/>
    <w:multiLevelType w:val="hybridMultilevel"/>
    <w:tmpl w:val="F78E9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3"/>
  </w:num>
  <w:num w:numId="7">
    <w:abstractNumId w:val="4"/>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DE"/>
    <w:rsid w:val="0011331D"/>
    <w:rsid w:val="0014153B"/>
    <w:rsid w:val="001548EB"/>
    <w:rsid w:val="002D47E8"/>
    <w:rsid w:val="004B08DB"/>
    <w:rsid w:val="004F30C8"/>
    <w:rsid w:val="00524773"/>
    <w:rsid w:val="005A76F1"/>
    <w:rsid w:val="00614A93"/>
    <w:rsid w:val="0068541E"/>
    <w:rsid w:val="00707F7B"/>
    <w:rsid w:val="00741F48"/>
    <w:rsid w:val="0075335D"/>
    <w:rsid w:val="00785762"/>
    <w:rsid w:val="0079287C"/>
    <w:rsid w:val="00927B80"/>
    <w:rsid w:val="009462D3"/>
    <w:rsid w:val="0097392A"/>
    <w:rsid w:val="00985029"/>
    <w:rsid w:val="009C6D4E"/>
    <w:rsid w:val="00A054DB"/>
    <w:rsid w:val="00A76094"/>
    <w:rsid w:val="00CE7214"/>
    <w:rsid w:val="00D54202"/>
    <w:rsid w:val="00D709AA"/>
    <w:rsid w:val="00D8387E"/>
    <w:rsid w:val="00DD1655"/>
    <w:rsid w:val="00E303DE"/>
    <w:rsid w:val="00E43C88"/>
    <w:rsid w:val="00EA3738"/>
    <w:rsid w:val="00FA3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EFFA"/>
  <w15:chartTrackingRefBased/>
  <w15:docId w15:val="{EFBBEF46-1CEE-49BB-900D-1D5FE744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1F48"/>
    <w:pPr>
      <w:ind w:left="720"/>
      <w:contextualSpacing/>
    </w:pPr>
  </w:style>
  <w:style w:type="character" w:styleId="Hyperlink">
    <w:name w:val="Hyperlink"/>
    <w:basedOn w:val="DefaultParagraphFont"/>
    <w:uiPriority w:val="99"/>
    <w:unhideWhenUsed/>
    <w:rsid w:val="00741F48"/>
    <w:rPr>
      <w:color w:val="0563C1" w:themeColor="hyperlink"/>
      <w:u w:val="single"/>
    </w:rPr>
  </w:style>
  <w:style w:type="character" w:styleId="UnresolvedMention">
    <w:name w:val="Unresolved Mention"/>
    <w:basedOn w:val="DefaultParagraphFont"/>
    <w:uiPriority w:val="99"/>
    <w:semiHidden/>
    <w:unhideWhenUsed/>
    <w:rsid w:val="00741F48"/>
    <w:rPr>
      <w:color w:val="605E5C"/>
      <w:shd w:val="clear" w:color="auto" w:fill="E1DFDD"/>
    </w:rPr>
  </w:style>
  <w:style w:type="character" w:styleId="FollowedHyperlink">
    <w:name w:val="FollowedHyperlink"/>
    <w:basedOn w:val="DefaultParagraphFont"/>
    <w:uiPriority w:val="99"/>
    <w:semiHidden/>
    <w:unhideWhenUsed/>
    <w:rsid w:val="00741F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92124">
      <w:bodyDiv w:val="1"/>
      <w:marLeft w:val="0"/>
      <w:marRight w:val="0"/>
      <w:marTop w:val="0"/>
      <w:marBottom w:val="0"/>
      <w:divBdr>
        <w:top w:val="none" w:sz="0" w:space="0" w:color="auto"/>
        <w:left w:val="none" w:sz="0" w:space="0" w:color="auto"/>
        <w:bottom w:val="none" w:sz="0" w:space="0" w:color="auto"/>
        <w:right w:val="none" w:sz="0" w:space="0" w:color="auto"/>
      </w:divBdr>
    </w:div>
    <w:div w:id="275842287">
      <w:bodyDiv w:val="1"/>
      <w:marLeft w:val="0"/>
      <w:marRight w:val="0"/>
      <w:marTop w:val="0"/>
      <w:marBottom w:val="0"/>
      <w:divBdr>
        <w:top w:val="none" w:sz="0" w:space="0" w:color="auto"/>
        <w:left w:val="none" w:sz="0" w:space="0" w:color="auto"/>
        <w:bottom w:val="none" w:sz="0" w:space="0" w:color="auto"/>
        <w:right w:val="none" w:sz="0" w:space="0" w:color="auto"/>
      </w:divBdr>
    </w:div>
    <w:div w:id="354118926">
      <w:bodyDiv w:val="1"/>
      <w:marLeft w:val="0"/>
      <w:marRight w:val="0"/>
      <w:marTop w:val="0"/>
      <w:marBottom w:val="0"/>
      <w:divBdr>
        <w:top w:val="none" w:sz="0" w:space="0" w:color="auto"/>
        <w:left w:val="none" w:sz="0" w:space="0" w:color="auto"/>
        <w:bottom w:val="none" w:sz="0" w:space="0" w:color="auto"/>
        <w:right w:val="none" w:sz="0" w:space="0" w:color="auto"/>
      </w:divBdr>
    </w:div>
    <w:div w:id="636422040">
      <w:bodyDiv w:val="1"/>
      <w:marLeft w:val="0"/>
      <w:marRight w:val="0"/>
      <w:marTop w:val="0"/>
      <w:marBottom w:val="0"/>
      <w:divBdr>
        <w:top w:val="none" w:sz="0" w:space="0" w:color="auto"/>
        <w:left w:val="none" w:sz="0" w:space="0" w:color="auto"/>
        <w:bottom w:val="none" w:sz="0" w:space="0" w:color="auto"/>
        <w:right w:val="none" w:sz="0" w:space="0" w:color="auto"/>
      </w:divBdr>
    </w:div>
    <w:div w:id="668488917">
      <w:bodyDiv w:val="1"/>
      <w:marLeft w:val="0"/>
      <w:marRight w:val="0"/>
      <w:marTop w:val="0"/>
      <w:marBottom w:val="0"/>
      <w:divBdr>
        <w:top w:val="none" w:sz="0" w:space="0" w:color="auto"/>
        <w:left w:val="none" w:sz="0" w:space="0" w:color="auto"/>
        <w:bottom w:val="none" w:sz="0" w:space="0" w:color="auto"/>
        <w:right w:val="none" w:sz="0" w:space="0" w:color="auto"/>
      </w:divBdr>
    </w:div>
    <w:div w:id="821044514">
      <w:bodyDiv w:val="1"/>
      <w:marLeft w:val="0"/>
      <w:marRight w:val="0"/>
      <w:marTop w:val="0"/>
      <w:marBottom w:val="0"/>
      <w:divBdr>
        <w:top w:val="none" w:sz="0" w:space="0" w:color="auto"/>
        <w:left w:val="none" w:sz="0" w:space="0" w:color="auto"/>
        <w:bottom w:val="none" w:sz="0" w:space="0" w:color="auto"/>
        <w:right w:val="none" w:sz="0" w:space="0" w:color="auto"/>
      </w:divBdr>
    </w:div>
    <w:div w:id="1266352268">
      <w:bodyDiv w:val="1"/>
      <w:marLeft w:val="0"/>
      <w:marRight w:val="0"/>
      <w:marTop w:val="0"/>
      <w:marBottom w:val="0"/>
      <w:divBdr>
        <w:top w:val="none" w:sz="0" w:space="0" w:color="auto"/>
        <w:left w:val="none" w:sz="0" w:space="0" w:color="auto"/>
        <w:bottom w:val="none" w:sz="0" w:space="0" w:color="auto"/>
        <w:right w:val="none" w:sz="0" w:space="0" w:color="auto"/>
      </w:divBdr>
    </w:div>
    <w:div w:id="1814980263">
      <w:bodyDiv w:val="1"/>
      <w:marLeft w:val="0"/>
      <w:marRight w:val="0"/>
      <w:marTop w:val="0"/>
      <w:marBottom w:val="0"/>
      <w:divBdr>
        <w:top w:val="none" w:sz="0" w:space="0" w:color="auto"/>
        <w:left w:val="none" w:sz="0" w:space="0" w:color="auto"/>
        <w:bottom w:val="none" w:sz="0" w:space="0" w:color="auto"/>
        <w:right w:val="none" w:sz="0" w:space="0" w:color="auto"/>
      </w:divBdr>
    </w:div>
    <w:div w:id="1846361963">
      <w:bodyDiv w:val="1"/>
      <w:marLeft w:val="0"/>
      <w:marRight w:val="0"/>
      <w:marTop w:val="0"/>
      <w:marBottom w:val="0"/>
      <w:divBdr>
        <w:top w:val="none" w:sz="0" w:space="0" w:color="auto"/>
        <w:left w:val="none" w:sz="0" w:space="0" w:color="auto"/>
        <w:bottom w:val="none" w:sz="0" w:space="0" w:color="auto"/>
        <w:right w:val="none" w:sz="0" w:space="0" w:color="auto"/>
      </w:divBdr>
    </w:div>
    <w:div w:id="1855874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fuer-menschenrechte.de/en/topics/development/frequently-asked-questions/1-are-human-rights-universal/" TargetMode="External"/><Relationship Id="rId13" Type="http://schemas.openxmlformats.org/officeDocument/2006/relationships/hyperlink" Target="https://www.jstor.org/stable/3207893?seq=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stor.org/stable/pdf/20025120.pdf?seq=1" TargetMode="External"/><Relationship Id="rId12" Type="http://schemas.openxmlformats.org/officeDocument/2006/relationships/hyperlink" Target="https://scholars.org/contribution/how-gender-inequality-persists-modern-world" TargetMode="External"/><Relationship Id="rId17" Type="http://schemas.openxmlformats.org/officeDocument/2006/relationships/hyperlink" Target="http://data.unaids.org/pub/manual/2007/070517_yogyakarta_principles_en.pdf" TargetMode="External"/><Relationship Id="rId2" Type="http://schemas.openxmlformats.org/officeDocument/2006/relationships/styles" Target="styles.xml"/><Relationship Id="rId16" Type="http://schemas.openxmlformats.org/officeDocument/2006/relationships/hyperlink" Target="https://www.hrw.org/news/2019/10/23/uk-lgbt-hate-crimes-stats-make-shocking-reading" TargetMode="External"/><Relationship Id="rId1" Type="http://schemas.openxmlformats.org/officeDocument/2006/relationships/numbering" Target="numbering.xml"/><Relationship Id="rId6" Type="http://schemas.openxmlformats.org/officeDocument/2006/relationships/hyperlink" Target="https://www.youtube.com/watch?time_continue=9&amp;v=21hYFWDGdhI&amp;feature=emb_title" TargetMode="External"/><Relationship Id="rId11" Type="http://schemas.openxmlformats.org/officeDocument/2006/relationships/hyperlink" Target="https://www.gov.uk/government/publications/convention-on-the-elimination-of-all-forms-of-discrimination-against-women-cedaw-articles" TargetMode="External"/><Relationship Id="rId5" Type="http://schemas.openxmlformats.org/officeDocument/2006/relationships/hyperlink" Target="https://www.gov.uk/government/publications/convention-on-the-elimination-of-all-forms-of-discrimination-against-women-cedaw-articles" TargetMode="External"/><Relationship Id="rId15" Type="http://schemas.openxmlformats.org/officeDocument/2006/relationships/hyperlink" Target="https://www.theguardian.com/world/2019/jun/14/homophobic-and-transphobic-hate-crimes-surge-in-england-and-wales" TargetMode="External"/><Relationship Id="rId10" Type="http://schemas.openxmlformats.org/officeDocument/2006/relationships/hyperlink" Target="https://www.huffpost.com/entry/why-we-still-need-feminism_b_583736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umanrightscareers.com/issues/10-reasons-why-human-rights-are-important/" TargetMode="External"/><Relationship Id="rId14" Type="http://schemas.openxmlformats.org/officeDocument/2006/relationships/hyperlink" Target="https://www.citizensadvice.org.uk/family/living-together-marriage-and-civil-partnership/living-together-and-marriage-legal-differ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6</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Williams (1601525)</dc:creator>
  <cp:keywords/>
  <dc:description/>
  <cp:lastModifiedBy>Alex Brynt-Evans</cp:lastModifiedBy>
  <cp:revision>23</cp:revision>
  <dcterms:created xsi:type="dcterms:W3CDTF">2020-05-28T16:20:00Z</dcterms:created>
  <dcterms:modified xsi:type="dcterms:W3CDTF">2020-05-28T20:01:00Z</dcterms:modified>
</cp:coreProperties>
</file>