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B32B4" w:rsidRPr="000B32B4" w:rsidRDefault="000B32B4" w:rsidP="000B32B4">
      <w:pPr>
        <w:spacing w:before="100" w:beforeAutospacing="1" w:after="100" w:afterAutospacing="1" w:line="360" w:lineRule="atLeast"/>
        <w:outlineLvl w:val="1"/>
        <w:rPr>
          <w:rFonts w:ascii="Arial" w:eastAsia="Times New Roman" w:hAnsi="Arial" w:cs="Arial"/>
          <w:b/>
          <w:bCs/>
          <w:color w:val="808000"/>
          <w:sz w:val="36"/>
          <w:szCs w:val="36"/>
          <w:lang w:eastAsia="en-GB"/>
        </w:rPr>
      </w:pPr>
      <w:bookmarkStart w:id="0" w:name="suffixes"/>
      <w:r w:rsidRPr="000B32B4">
        <w:rPr>
          <w:rFonts w:ascii="Arial" w:eastAsia="Times New Roman" w:hAnsi="Arial" w:cs="Arial"/>
          <w:b/>
          <w:bCs/>
          <w:color w:val="808000"/>
          <w:sz w:val="36"/>
          <w:szCs w:val="36"/>
          <w:lang w:eastAsia="en-GB"/>
        </w:rPr>
        <w:t>Learning Prefixes and Suffixes</w:t>
      </w:r>
    </w:p>
    <w:p w:rsidR="000B32B4" w:rsidRPr="000B32B4" w:rsidRDefault="000B32B4" w:rsidP="00AE35A7">
      <w:pPr>
        <w:spacing w:before="100" w:beforeAutospacing="1" w:after="100" w:afterAutospacing="1" w:line="312" w:lineRule="auto"/>
        <w:ind w:firstLine="480"/>
        <w:jc w:val="both"/>
        <w:rPr>
          <w:rFonts w:ascii="Times" w:eastAsia="Times New Roman" w:hAnsi="Times" w:cs="Times"/>
          <w:color w:val="000000"/>
          <w:sz w:val="24"/>
          <w:szCs w:val="24"/>
          <w:lang w:eastAsia="en-GB"/>
        </w:rPr>
      </w:pP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Knowing the Greek and Latin roots of several prefixes and suffixes (beginning and endings attached to words) can also help us determine the meaning of words. </w:t>
      </w:r>
      <w:r w:rsidRPr="000B32B4">
        <w:rPr>
          <w:rFonts w:ascii="Times" w:eastAsia="Times New Roman" w:hAnsi="Times" w:cs="Times"/>
          <w:i/>
          <w:iCs/>
          <w:color w:val="000000"/>
          <w:sz w:val="24"/>
          <w:szCs w:val="24"/>
          <w:lang w:eastAsia="en-GB"/>
        </w:rPr>
        <w:t>Ante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, for instance, means </w:t>
      </w:r>
      <w:r w:rsidRPr="000B32B4">
        <w:rPr>
          <w:rFonts w:ascii="Times" w:eastAsia="Times New Roman" w:hAnsi="Times" w:cs="Times"/>
          <w:i/>
          <w:iCs/>
          <w:color w:val="000000"/>
          <w:sz w:val="24"/>
          <w:szCs w:val="24"/>
          <w:lang w:eastAsia="en-GB"/>
        </w:rPr>
        <w:t>before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, and if we connect </w:t>
      </w:r>
      <w:r w:rsidRPr="000B32B4">
        <w:rPr>
          <w:rFonts w:ascii="Times" w:eastAsia="Times New Roman" w:hAnsi="Times" w:cs="Times"/>
          <w:i/>
          <w:iCs/>
          <w:color w:val="000000"/>
          <w:sz w:val="24"/>
          <w:szCs w:val="24"/>
          <w:lang w:eastAsia="en-GB"/>
        </w:rPr>
        <w:t>bellum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 with </w:t>
      </w:r>
      <w:r w:rsidRPr="000B32B4">
        <w:rPr>
          <w:rFonts w:ascii="Times" w:eastAsia="Times New Roman" w:hAnsi="Times" w:cs="Times"/>
          <w:i/>
          <w:iCs/>
          <w:color w:val="000000"/>
          <w:sz w:val="24"/>
          <w:szCs w:val="24"/>
          <w:lang w:eastAsia="en-GB"/>
        </w:rPr>
        <w:t>belligerant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 to figure out the connection with </w:t>
      </w:r>
      <w:r w:rsidRPr="000B32B4">
        <w:rPr>
          <w:rFonts w:ascii="Times" w:eastAsia="Times New Roman" w:hAnsi="Times" w:cs="Times"/>
          <w:i/>
          <w:iCs/>
          <w:color w:val="000000"/>
          <w:sz w:val="24"/>
          <w:szCs w:val="24"/>
          <w:lang w:eastAsia="en-GB"/>
        </w:rPr>
        <w:t>war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, we'll know that </w:t>
      </w:r>
      <w:r w:rsidRPr="000B32B4">
        <w:rPr>
          <w:rFonts w:ascii="Times" w:eastAsia="Times New Roman" w:hAnsi="Times" w:cs="Times"/>
          <w:i/>
          <w:iCs/>
          <w:color w:val="000000"/>
          <w:sz w:val="24"/>
          <w:szCs w:val="24"/>
          <w:lang w:eastAsia="en-GB"/>
        </w:rPr>
        <w:t>antebellum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 refers to the period before war. (In the United States, the </w:t>
      </w:r>
      <w:r w:rsidRPr="000B32B4">
        <w:rPr>
          <w:rFonts w:ascii="Times" w:eastAsia="Times New Roman" w:hAnsi="Times" w:cs="Times"/>
          <w:color w:val="000000"/>
          <w:sz w:val="24"/>
          <w:szCs w:val="24"/>
          <w:u w:val="single"/>
          <w:lang w:eastAsia="en-GB"/>
        </w:rPr>
        <w:t>antebellum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 period is our history </w:t>
      </w:r>
      <w:r w:rsidRPr="000B32B4">
        <w:rPr>
          <w:rFonts w:ascii="Times" w:eastAsia="Times New Roman" w:hAnsi="Times" w:cs="Times"/>
          <w:color w:val="000000"/>
          <w:sz w:val="24"/>
          <w:szCs w:val="24"/>
          <w:u w:val="single"/>
          <w:lang w:eastAsia="en-GB"/>
        </w:rPr>
        <w:t>before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 the Civil War.)</w:t>
      </w:r>
    </w:p>
    <w:tbl>
      <w:tblPr>
        <w:tblW w:w="0" w:type="auto"/>
        <w:tblCellSpacing w:w="15" w:type="dxa"/>
        <w:tblCellMar>
          <w:top w:w="45" w:type="dxa"/>
          <w:left w:w="45" w:type="dxa"/>
          <w:bottom w:w="45" w:type="dxa"/>
          <w:right w:w="45" w:type="dxa"/>
        </w:tblCellMar>
        <w:tblLook w:val="04A0"/>
      </w:tblPr>
      <w:tblGrid>
        <w:gridCol w:w="360"/>
        <w:gridCol w:w="1530"/>
        <w:gridCol w:w="4545"/>
      </w:tblGrid>
      <w:tr w:rsidR="000B32B4" w:rsidRPr="000B32B4" w:rsidTr="000B32B4">
        <w:trPr>
          <w:tblCellSpacing w:w="15" w:type="dxa"/>
        </w:trPr>
        <w:tc>
          <w:tcPr>
            <w:tcW w:w="0" w:type="auto"/>
            <w:gridSpan w:val="3"/>
            <w:shd w:val="clear" w:color="auto" w:fill="B9F4F8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Prefixes showing quantity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1" name="Picture 1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b/>
                <w:bCs/>
                <w:color w:val="0000FF"/>
                <w:sz w:val="24"/>
                <w:szCs w:val="24"/>
                <w:lang w:eastAsia="en-GB"/>
              </w:rPr>
              <w:t>Meaning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b/>
                <w:bCs/>
                <w:color w:val="0000FF"/>
                <w:sz w:val="24"/>
                <w:szCs w:val="24"/>
                <w:lang w:eastAsia="en-GB"/>
              </w:rPr>
              <w:t>Prefixes in English Words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2" name="Picture 2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half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semi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annual,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hemi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sphere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3" name="Picture 3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one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uni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cycle,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mon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archy,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mono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rail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4" name="Picture 4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two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bi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nary,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bi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monthly,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di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lemma,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di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chotomy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5" name="Picture 5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hundred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cent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ury,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centi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meter,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hecto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liter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6" name="Picture 6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thousand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milli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meter,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kilo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meter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gridSpan w:val="3"/>
            <w:shd w:val="clear" w:color="auto" w:fill="B9F4F8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Prefixes showing negation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7" name="Picture 7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without, no, not</w:t>
            </w:r>
          </w:p>
        </w:tc>
        <w:tc>
          <w:tcPr>
            <w:tcW w:w="4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a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sexual,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a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nonymous,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il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legal,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im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moral,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in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valid,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ir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reverent,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un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skilled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8" name="Picture 8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not, absence of, opposing, against</w:t>
            </w:r>
          </w:p>
        </w:tc>
        <w:tc>
          <w:tcPr>
            <w:tcW w:w="4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non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breakable,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ant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acid,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anti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pathy,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contra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dict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9" name="Picture 9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opposite to, complement to</w:t>
            </w:r>
          </w:p>
        </w:tc>
        <w:tc>
          <w:tcPr>
            <w:tcW w:w="4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counter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clockwise,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counter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weight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10" name="Picture 10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 the opposite of, remove, reduce</w:t>
            </w:r>
          </w:p>
        </w:tc>
        <w:tc>
          <w:tcPr>
            <w:tcW w:w="4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de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horn,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de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vitalize,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de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value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11" name="Picture 11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 the opposite of, deprive of</w:t>
            </w:r>
          </w:p>
        </w:tc>
        <w:tc>
          <w:tcPr>
            <w:tcW w:w="4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dis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establish,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dis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arm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12" name="Picture 12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wrongly, bad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mis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judge,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mis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deed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gridSpan w:val="3"/>
            <w:shd w:val="clear" w:color="auto" w:fill="B9F4F8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Prefixes showing time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13" name="Picture 13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before</w:t>
            </w:r>
          </w:p>
        </w:tc>
        <w:tc>
          <w:tcPr>
            <w:tcW w:w="4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ante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cedent,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fore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cast,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pre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cede,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pro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logue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14" name="Picture 14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after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post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war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lastRenderedPageBreak/>
              <w:drawing>
                <wp:inline distT="0" distB="0" distL="0" distR="0">
                  <wp:extent cx="142875" cy="9525"/>
                  <wp:effectExtent l="0" t="0" r="0" b="0"/>
                  <wp:docPr id="15" name="Picture 15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again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re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write,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re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dundant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gridSpan w:val="3"/>
            <w:shd w:val="clear" w:color="auto" w:fill="B9F4F8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Prefixes showing direction or position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16" name="Picture 16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above, over</w:t>
            </w:r>
          </w:p>
        </w:tc>
        <w:tc>
          <w:tcPr>
            <w:tcW w:w="4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super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vise,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super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erogatory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17" name="Picture 17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across, over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trans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port,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trans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late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18" name="Picture 18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below, under</w:t>
            </w:r>
          </w:p>
        </w:tc>
        <w:tc>
          <w:tcPr>
            <w:tcW w:w="4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infra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sonic,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infra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structure,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sub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terranean,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hypo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dermic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19" name="Picture 19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 front of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pro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ceed,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pre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fix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20" name="Picture 20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0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behind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re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cede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21" name="Picture 21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1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out of</w:t>
            </w:r>
          </w:p>
        </w:tc>
        <w:tc>
          <w:tcPr>
            <w:tcW w:w="4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e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rupt,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ex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plicit,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ec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stasy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22" name="Picture 22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into</w:t>
            </w:r>
          </w:p>
        </w:tc>
        <w:tc>
          <w:tcPr>
            <w:tcW w:w="4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in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jection,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im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merse,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en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courage,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em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power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23" name="Picture 23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around</w:t>
            </w:r>
          </w:p>
        </w:tc>
        <w:tc>
          <w:tcPr>
            <w:tcW w:w="4500" w:type="dxa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circum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navigate,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peri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meter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42875" cy="9525"/>
                  <wp:effectExtent l="0" t="0" r="0" b="0"/>
                  <wp:docPr id="24" name="Picture 24" descr="http://grammar.ccc.commnet.edu/grammar/gif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" descr="http://grammar.ccc.commnet.edu/grammar/gif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87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with</w:t>
            </w:r>
          </w:p>
        </w:tc>
        <w:tc>
          <w:tcPr>
            <w:tcW w:w="4500" w:type="dxa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co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exist,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col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loquy,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com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municate,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con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sequence,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cor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respond,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sym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pathy, 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u w:val="single"/>
                <w:lang w:eastAsia="en-GB"/>
              </w:rPr>
              <w:t>syn</w:t>
            </w:r>
            <w:r w:rsidRPr="000B32B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chronize</w:t>
            </w:r>
          </w:p>
        </w:tc>
      </w:tr>
      <w:tr w:rsidR="000B32B4" w:rsidRPr="000B32B4" w:rsidTr="000B32B4">
        <w:trPr>
          <w:tblCellSpacing w:w="15" w:type="dxa"/>
        </w:trPr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:rsidR="000B32B4" w:rsidRPr="000B32B4" w:rsidRDefault="000B32B4" w:rsidP="000B32B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:rsidR="000B32B4" w:rsidRPr="000B32B4" w:rsidRDefault="000B32B4" w:rsidP="000B32B4">
      <w:pPr>
        <w:spacing w:before="100" w:beforeAutospacing="1" w:after="100" w:afterAutospacing="1" w:line="312" w:lineRule="auto"/>
        <w:rPr>
          <w:rFonts w:ascii="Times" w:eastAsia="Times New Roman" w:hAnsi="Times" w:cs="Times"/>
          <w:color w:val="000000"/>
          <w:sz w:val="24"/>
          <w:szCs w:val="24"/>
          <w:lang w:eastAsia="en-GB"/>
        </w:rPr>
      </w:pPr>
      <w:r w:rsidRPr="000B32B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 xml:space="preserve">Authority for this table: </w:t>
      </w:r>
      <w:r w:rsidRPr="000B32B4">
        <w:rPr>
          <w:rFonts w:ascii="Arial" w:eastAsia="Times New Roman" w:hAnsi="Arial" w:cs="Arial"/>
          <w:i/>
          <w:iCs/>
          <w:color w:val="000000"/>
          <w:sz w:val="19"/>
          <w:szCs w:val="19"/>
          <w:lang w:eastAsia="en-GB"/>
        </w:rPr>
        <w:t>The Little, Brown Handbook</w:t>
      </w:r>
      <w:r w:rsidRPr="000B32B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 xml:space="preserve"> by H. Ramsay Fowler and Jane E. Aaron, &amp; Kay Limburg. 6th ed. HarperCollins: New York. 1995. By permission of Addison-Wesley Educational Publishers Inc.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 </w:t>
      </w:r>
    </w:p>
    <w:p w:rsidR="000B32B4" w:rsidRPr="000B32B4" w:rsidRDefault="000B32B4" w:rsidP="000B32B4">
      <w:pPr>
        <w:spacing w:before="100" w:beforeAutospacing="1" w:after="100" w:afterAutospacing="1" w:line="312" w:lineRule="auto"/>
        <w:ind w:firstLine="480"/>
        <w:rPr>
          <w:rFonts w:ascii="Times" w:eastAsia="Times New Roman" w:hAnsi="Times" w:cs="Times"/>
          <w:color w:val="000000"/>
          <w:sz w:val="24"/>
          <w:szCs w:val="24"/>
          <w:lang w:eastAsia="en-GB"/>
        </w:rPr>
      </w:pP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Suffixes, on the other hand, modify the meaning of a word and frequently determine its function within a sentence. Take the noun </w:t>
      </w:r>
      <w:r w:rsidRPr="000B32B4">
        <w:rPr>
          <w:rFonts w:ascii="Times" w:eastAsia="Times New Roman" w:hAnsi="Times" w:cs="Times"/>
          <w:i/>
          <w:iCs/>
          <w:color w:val="000000"/>
          <w:sz w:val="24"/>
          <w:szCs w:val="24"/>
          <w:lang w:eastAsia="en-GB"/>
        </w:rPr>
        <w:t>nation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, for example. With suffixes, the word becomes the adjective </w:t>
      </w:r>
      <w:r w:rsidRPr="000B32B4">
        <w:rPr>
          <w:rFonts w:ascii="Times" w:eastAsia="Times New Roman" w:hAnsi="Times" w:cs="Times"/>
          <w:i/>
          <w:iCs/>
          <w:color w:val="000000"/>
          <w:sz w:val="24"/>
          <w:szCs w:val="24"/>
          <w:lang w:eastAsia="en-GB"/>
        </w:rPr>
        <w:t>national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, the adverb </w:t>
      </w:r>
      <w:r w:rsidRPr="000B32B4">
        <w:rPr>
          <w:rFonts w:ascii="Times" w:eastAsia="Times New Roman" w:hAnsi="Times" w:cs="Times"/>
          <w:i/>
          <w:iCs/>
          <w:color w:val="000000"/>
          <w:sz w:val="24"/>
          <w:szCs w:val="24"/>
          <w:lang w:eastAsia="en-GB"/>
        </w:rPr>
        <w:t>nationally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, and the verb </w:t>
      </w:r>
      <w:r w:rsidRPr="000B32B4">
        <w:rPr>
          <w:rFonts w:ascii="Times" w:eastAsia="Times New Roman" w:hAnsi="Times" w:cs="Times"/>
          <w:i/>
          <w:iCs/>
          <w:color w:val="000000"/>
          <w:sz w:val="24"/>
          <w:szCs w:val="24"/>
          <w:lang w:eastAsia="en-GB"/>
        </w:rPr>
        <w:t>nationalize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. </w:t>
      </w:r>
    </w:p>
    <w:p w:rsidR="000B32B4" w:rsidRPr="000B32B4" w:rsidRDefault="000B32B4" w:rsidP="000B32B4">
      <w:pPr>
        <w:spacing w:before="100" w:beforeAutospacing="1" w:after="100" w:afterAutospacing="1" w:line="312" w:lineRule="auto"/>
        <w:ind w:firstLine="480"/>
        <w:rPr>
          <w:rFonts w:ascii="Times" w:eastAsia="Times New Roman" w:hAnsi="Times" w:cs="Times"/>
          <w:color w:val="000000"/>
          <w:sz w:val="24"/>
          <w:szCs w:val="24"/>
          <w:lang w:eastAsia="en-GB"/>
        </w:rPr>
      </w:pP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>See what words you can come up with that use the following suffixes.</w:t>
      </w:r>
    </w:p>
    <w:p w:rsidR="000B32B4" w:rsidRPr="000B32B4" w:rsidRDefault="000B32B4" w:rsidP="000B32B4">
      <w:pPr>
        <w:numPr>
          <w:ilvl w:val="0"/>
          <w:numId w:val="1"/>
        </w:numPr>
        <w:spacing w:before="100" w:beforeAutospacing="1" w:after="100" w:afterAutospacing="1"/>
        <w:ind w:left="1260"/>
        <w:rPr>
          <w:rFonts w:ascii="Times" w:eastAsia="Times New Roman" w:hAnsi="Times" w:cs="Times"/>
          <w:color w:val="000000"/>
          <w:sz w:val="24"/>
          <w:szCs w:val="24"/>
          <w:lang w:eastAsia="en-GB"/>
        </w:rPr>
      </w:pP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Typical </w:t>
      </w:r>
      <w:r w:rsidRPr="000B32B4">
        <w:rPr>
          <w:rFonts w:ascii="Times" w:eastAsia="Times New Roman" w:hAnsi="Times" w:cs="Times"/>
          <w:b/>
          <w:bCs/>
          <w:color w:val="000000"/>
          <w:sz w:val="24"/>
          <w:szCs w:val="24"/>
          <w:lang w:eastAsia="en-GB"/>
        </w:rPr>
        <w:t>noun suffixes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 are -ence, -ance, -or, -er, -ment, -list, -ism, -ship, -ency, -sion, -tion, -ness, -hood, -dom</w:t>
      </w:r>
    </w:p>
    <w:p w:rsidR="000B32B4" w:rsidRPr="000B32B4" w:rsidRDefault="000B32B4" w:rsidP="000B32B4">
      <w:pPr>
        <w:numPr>
          <w:ilvl w:val="0"/>
          <w:numId w:val="1"/>
        </w:numPr>
        <w:spacing w:before="100" w:beforeAutospacing="1" w:after="100" w:afterAutospacing="1"/>
        <w:ind w:left="1260"/>
        <w:rPr>
          <w:rFonts w:ascii="Times" w:eastAsia="Times New Roman" w:hAnsi="Times" w:cs="Times"/>
          <w:color w:val="000000"/>
          <w:sz w:val="24"/>
          <w:szCs w:val="24"/>
          <w:lang w:eastAsia="en-GB"/>
        </w:rPr>
      </w:pP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Typical </w:t>
      </w:r>
      <w:r w:rsidRPr="000B32B4">
        <w:rPr>
          <w:rFonts w:ascii="Times" w:eastAsia="Times New Roman" w:hAnsi="Times" w:cs="Times"/>
          <w:b/>
          <w:bCs/>
          <w:color w:val="000000"/>
          <w:sz w:val="24"/>
          <w:szCs w:val="24"/>
          <w:lang w:eastAsia="en-GB"/>
        </w:rPr>
        <w:t>verb suffixes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 are -en, -ify, -ize, -ate</w:t>
      </w:r>
    </w:p>
    <w:p w:rsidR="000B32B4" w:rsidRPr="000B32B4" w:rsidRDefault="000B32B4" w:rsidP="000B32B4">
      <w:pPr>
        <w:numPr>
          <w:ilvl w:val="0"/>
          <w:numId w:val="1"/>
        </w:numPr>
        <w:spacing w:before="100" w:beforeAutospacing="1" w:after="100" w:afterAutospacing="1"/>
        <w:ind w:left="1260"/>
        <w:rPr>
          <w:rFonts w:ascii="Times" w:eastAsia="Times New Roman" w:hAnsi="Times" w:cs="Times"/>
          <w:color w:val="000000"/>
          <w:sz w:val="24"/>
          <w:szCs w:val="24"/>
          <w:lang w:eastAsia="en-GB"/>
        </w:rPr>
      </w:pP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Typical </w:t>
      </w:r>
      <w:r w:rsidRPr="000B32B4">
        <w:rPr>
          <w:rFonts w:ascii="Times" w:eastAsia="Times New Roman" w:hAnsi="Times" w:cs="Times"/>
          <w:b/>
          <w:bCs/>
          <w:color w:val="000000"/>
          <w:sz w:val="24"/>
          <w:szCs w:val="24"/>
          <w:lang w:eastAsia="en-GB"/>
        </w:rPr>
        <w:t>adjective suffixes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 are -able, -ible, -al, -tial, -tic, -ly, -ful, -ous, -tive, -less, -ish, -ulent </w:t>
      </w:r>
    </w:p>
    <w:p w:rsidR="000B32B4" w:rsidRPr="000B32B4" w:rsidRDefault="000B32B4" w:rsidP="000B32B4">
      <w:pPr>
        <w:numPr>
          <w:ilvl w:val="0"/>
          <w:numId w:val="1"/>
        </w:numPr>
        <w:spacing w:before="100" w:beforeAutospacing="1" w:after="100" w:afterAutospacing="1"/>
        <w:ind w:left="1260"/>
        <w:rPr>
          <w:rFonts w:ascii="Times" w:eastAsia="Times New Roman" w:hAnsi="Times" w:cs="Times"/>
          <w:color w:val="000000"/>
          <w:sz w:val="24"/>
          <w:szCs w:val="24"/>
          <w:lang w:eastAsia="en-GB"/>
        </w:rPr>
      </w:pP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The </w:t>
      </w:r>
      <w:r w:rsidRPr="000B32B4">
        <w:rPr>
          <w:rFonts w:ascii="Times" w:eastAsia="Times New Roman" w:hAnsi="Times" w:cs="Times"/>
          <w:b/>
          <w:bCs/>
          <w:color w:val="000000"/>
          <w:sz w:val="24"/>
          <w:szCs w:val="24"/>
          <w:lang w:eastAsia="en-GB"/>
        </w:rPr>
        <w:t>adverb suffix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 is -ly (although not all words that end in </w:t>
      </w:r>
      <w:r w:rsidRPr="000B32B4">
        <w:rPr>
          <w:rFonts w:ascii="Times" w:eastAsia="Times New Roman" w:hAnsi="Times" w:cs="Times"/>
          <w:i/>
          <w:iCs/>
          <w:color w:val="000000"/>
          <w:sz w:val="24"/>
          <w:szCs w:val="24"/>
          <w:lang w:eastAsia="en-GB"/>
        </w:rPr>
        <w:t>-ly</w:t>
      </w:r>
      <w:r w:rsidRPr="000B32B4">
        <w:rPr>
          <w:rFonts w:ascii="Times" w:eastAsia="Times New Roman" w:hAnsi="Times" w:cs="Times"/>
          <w:color w:val="000000"/>
          <w:sz w:val="24"/>
          <w:szCs w:val="24"/>
          <w:lang w:eastAsia="en-GB"/>
        </w:rPr>
        <w:t xml:space="preserve"> are adverbs—like friendly) </w:t>
      </w:r>
    </w:p>
    <w:bookmarkEnd w:id="0"/>
    <w:p w:rsidR="000B32B4" w:rsidRDefault="000B32B4"/>
    <w:sectPr w:rsidR="000B32B4" w:rsidSect="005A6A3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7188D" w:rsidRDefault="00A7188D" w:rsidP="00603FAE">
      <w:pPr>
        <w:spacing w:after="0" w:line="240" w:lineRule="auto"/>
      </w:pPr>
      <w:r>
        <w:separator/>
      </w:r>
    </w:p>
  </w:endnote>
  <w:endnote w:type="continuationSeparator" w:id="0">
    <w:p w:rsidR="00A7188D" w:rsidRDefault="00A7188D" w:rsidP="00603F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imes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07BA3" w:rsidRDefault="00507BA3">
    <w:pPr>
      <w:pStyle w:val="Footer"/>
    </w:pPr>
  </w:p>
  <w:p w:rsidR="00507BA3" w:rsidRDefault="00507BA3">
    <w:pPr>
      <w:pStyle w:val="Footer"/>
    </w:pPr>
  </w:p>
  <w:p w:rsidR="00507BA3" w:rsidRDefault="00507BA3">
    <w:pPr>
      <w:pStyle w:val="Footer"/>
    </w:pPr>
  </w:p>
  <w:p w:rsidR="00507BA3" w:rsidRDefault="00507BA3">
    <w:pPr>
      <w:pStyle w:val="Footer"/>
    </w:pPr>
  </w:p>
  <w:p w:rsidR="00603FAE" w:rsidRDefault="00507BA3">
    <w:pPr>
      <w:pStyle w:val="Footer"/>
    </w:pPr>
    <w:r>
      <w:t xml:space="preserve">                                                                      </w:t>
    </w:r>
    <w:r>
      <w:tab/>
    </w:r>
    <w:hyperlink r:id="rId1" w:anchor="prefix" w:history="1">
      <w:r w:rsidR="00603FAE" w:rsidRPr="00C1219D">
        <w:rPr>
          <w:rStyle w:val="Hyperlink"/>
        </w:rPr>
        <w:t>http://grammar.ccc.commnet.edu/grammar/vocabulary.htm#prefix</w:t>
      </w:r>
    </w:hyperlink>
  </w:p>
  <w:p w:rsidR="00603FAE" w:rsidRDefault="00603FAE">
    <w:pPr>
      <w:pStyle w:val="Footer"/>
    </w:pPr>
  </w:p>
  <w:p w:rsidR="00603FAE" w:rsidRDefault="00603FAE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7188D" w:rsidRDefault="00A7188D" w:rsidP="00603FAE">
      <w:pPr>
        <w:spacing w:after="0" w:line="240" w:lineRule="auto"/>
      </w:pPr>
      <w:r>
        <w:separator/>
      </w:r>
    </w:p>
  </w:footnote>
  <w:footnote w:type="continuationSeparator" w:id="0">
    <w:p w:rsidR="00A7188D" w:rsidRDefault="00A7188D" w:rsidP="00603F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7090E9F"/>
    <w:multiLevelType w:val="multilevel"/>
    <w:tmpl w:val="45960F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B32B4"/>
    <w:rsid w:val="000B32B4"/>
    <w:rsid w:val="00341C4F"/>
    <w:rsid w:val="00377639"/>
    <w:rsid w:val="0049450E"/>
    <w:rsid w:val="00507BA3"/>
    <w:rsid w:val="005A6A33"/>
    <w:rsid w:val="00603FAE"/>
    <w:rsid w:val="00A7188D"/>
    <w:rsid w:val="00AE35A7"/>
    <w:rsid w:val="00C40211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paragraph" w:styleId="Heading2">
    <w:name w:val="heading 2"/>
    <w:basedOn w:val="Normal"/>
    <w:link w:val="Heading2Char"/>
    <w:uiPriority w:val="9"/>
    <w:qFormat/>
    <w:rsid w:val="000B32B4"/>
    <w:pPr>
      <w:spacing w:before="100" w:beforeAutospacing="1" w:after="100" w:afterAutospacing="1" w:line="360" w:lineRule="atLeast"/>
      <w:outlineLvl w:val="1"/>
    </w:pPr>
    <w:rPr>
      <w:rFonts w:ascii="Arial" w:eastAsia="Times New Roman" w:hAnsi="Arial" w:cs="Arial"/>
      <w:b/>
      <w:bCs/>
      <w:color w:val="808000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0B32B4"/>
    <w:rPr>
      <w:rFonts w:ascii="Arial" w:eastAsia="Times New Roman" w:hAnsi="Arial" w:cs="Arial"/>
      <w:b/>
      <w:bCs/>
      <w:color w:val="808000"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B32B4"/>
    <w:pPr>
      <w:spacing w:before="100" w:beforeAutospacing="1" w:after="100" w:afterAutospacing="1" w:line="312" w:lineRule="auto"/>
      <w:ind w:firstLine="480"/>
    </w:pPr>
    <w:rPr>
      <w:rFonts w:ascii="Times" w:eastAsia="Times New Roman" w:hAnsi="Times" w:cs="Times"/>
      <w:color w:val="000000"/>
      <w:sz w:val="24"/>
      <w:szCs w:val="24"/>
      <w:lang w:eastAsia="en-GB"/>
    </w:rPr>
  </w:style>
  <w:style w:type="paragraph" w:customStyle="1" w:styleId="noindent">
    <w:name w:val="noindent"/>
    <w:basedOn w:val="Normal"/>
    <w:rsid w:val="000B32B4"/>
    <w:pPr>
      <w:spacing w:before="100" w:beforeAutospacing="1" w:after="100" w:afterAutospacing="1" w:line="312" w:lineRule="auto"/>
    </w:pPr>
    <w:rPr>
      <w:rFonts w:ascii="Times" w:eastAsia="Times New Roman" w:hAnsi="Times" w:cs="Times"/>
      <w:color w:val="000000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B32B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32B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603F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03FAE"/>
  </w:style>
  <w:style w:type="paragraph" w:styleId="Footer">
    <w:name w:val="footer"/>
    <w:basedOn w:val="Normal"/>
    <w:link w:val="FooterChar"/>
    <w:uiPriority w:val="99"/>
    <w:unhideWhenUsed/>
    <w:rsid w:val="00603F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3FAE"/>
  </w:style>
  <w:style w:type="character" w:styleId="Hyperlink">
    <w:name w:val="Hyperlink"/>
    <w:basedOn w:val="DefaultParagraphFont"/>
    <w:uiPriority w:val="99"/>
    <w:unhideWhenUsed/>
    <w:rsid w:val="00603FAE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0777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884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grammar.ccc.commnet.edu/grammar/vocabulary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384</Words>
  <Characters>2193</Characters>
  <Application>Microsoft Office Word</Application>
  <DocSecurity>0</DocSecurity>
  <Lines>18</Lines>
  <Paragraphs>5</Paragraphs>
  <ScaleCrop>false</ScaleCrop>
  <Company>Swansea Metropolitan University</Company>
  <LinksUpToDate>false</LinksUpToDate>
  <CharactersWithSpaces>2572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2013-03-21T16:12:00Z</dcterms:created>
  <dcterms:modified xsi:type="dcterms:W3CDTF">2013-03-21T16:12:00Z</dcterms:modified>
</cp:coreProperties>
</file>