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B9894" w14:textId="77777777" w:rsidR="00907EB0" w:rsidRDefault="00907EB0" w:rsidP="00907EB0">
      <w:pPr>
        <w:spacing w:line="480" w:lineRule="auto"/>
        <w:rPr>
          <w:rFonts w:ascii="Times New Roman" w:hAnsi="Times New Roman" w:cs="Times New Roman"/>
          <w:sz w:val="24"/>
          <w:szCs w:val="24"/>
        </w:rPr>
      </w:pPr>
    </w:p>
    <w:p w14:paraId="44F93B69" w14:textId="77777777" w:rsidR="00907EB0" w:rsidRDefault="00907EB0" w:rsidP="00907EB0">
      <w:pPr>
        <w:spacing w:line="480" w:lineRule="auto"/>
        <w:rPr>
          <w:rFonts w:ascii="Times New Roman" w:hAnsi="Times New Roman" w:cs="Times New Roman"/>
          <w:sz w:val="24"/>
          <w:szCs w:val="24"/>
        </w:rPr>
      </w:pPr>
    </w:p>
    <w:p w14:paraId="2868F639" w14:textId="77777777" w:rsidR="00907EB0" w:rsidRDefault="00907EB0" w:rsidP="00907EB0">
      <w:pPr>
        <w:spacing w:line="480" w:lineRule="auto"/>
        <w:rPr>
          <w:rFonts w:ascii="Times New Roman" w:hAnsi="Times New Roman" w:cs="Times New Roman"/>
          <w:sz w:val="24"/>
          <w:szCs w:val="24"/>
        </w:rPr>
      </w:pPr>
    </w:p>
    <w:p w14:paraId="5DBAC2B2" w14:textId="77777777" w:rsidR="00907EB0" w:rsidRDefault="00907EB0" w:rsidP="00907EB0">
      <w:pPr>
        <w:spacing w:line="480" w:lineRule="auto"/>
        <w:rPr>
          <w:rFonts w:ascii="Times New Roman" w:hAnsi="Times New Roman" w:cs="Times New Roman"/>
          <w:sz w:val="24"/>
          <w:szCs w:val="24"/>
        </w:rPr>
      </w:pPr>
    </w:p>
    <w:p w14:paraId="60CC0645" w14:textId="77777777" w:rsidR="00907EB0" w:rsidRDefault="00907EB0" w:rsidP="00907EB0">
      <w:pPr>
        <w:spacing w:line="480" w:lineRule="auto"/>
        <w:rPr>
          <w:rFonts w:ascii="Times New Roman" w:hAnsi="Times New Roman" w:cs="Times New Roman"/>
          <w:sz w:val="24"/>
          <w:szCs w:val="24"/>
        </w:rPr>
      </w:pPr>
    </w:p>
    <w:p w14:paraId="0E197C95" w14:textId="77777777" w:rsidR="00907EB0" w:rsidRDefault="00907EB0" w:rsidP="00907EB0">
      <w:pPr>
        <w:spacing w:line="480" w:lineRule="auto"/>
        <w:rPr>
          <w:rFonts w:ascii="Times New Roman" w:hAnsi="Times New Roman" w:cs="Times New Roman"/>
          <w:sz w:val="24"/>
          <w:szCs w:val="24"/>
        </w:rPr>
      </w:pPr>
    </w:p>
    <w:p w14:paraId="02CD08BE" w14:textId="3EF74037" w:rsidR="00907EB0" w:rsidRPr="00E8388E" w:rsidRDefault="00A44B56" w:rsidP="00907EB0">
      <w:pPr>
        <w:spacing w:line="480" w:lineRule="auto"/>
        <w:jc w:val="center"/>
        <w:rPr>
          <w:rFonts w:ascii="Times New Roman" w:hAnsi="Times New Roman" w:cs="Times New Roman"/>
          <w:b/>
          <w:sz w:val="36"/>
          <w:szCs w:val="36"/>
        </w:rPr>
      </w:pPr>
      <w:r>
        <w:rPr>
          <w:rFonts w:ascii="Times New Roman" w:hAnsi="Times New Roman" w:cs="Times New Roman"/>
          <w:b/>
          <w:bCs/>
          <w:color w:val="222222"/>
          <w:sz w:val="36"/>
          <w:szCs w:val="36"/>
          <w:shd w:val="clear" w:color="auto" w:fill="FFFFFF"/>
        </w:rPr>
        <w:t xml:space="preserve">  </w:t>
      </w:r>
      <w:r w:rsidR="00907EB0" w:rsidRPr="00E8388E">
        <w:rPr>
          <w:rFonts w:ascii="Times New Roman" w:hAnsi="Times New Roman" w:cs="Times New Roman"/>
          <w:b/>
          <w:bCs/>
          <w:color w:val="222222"/>
          <w:sz w:val="36"/>
          <w:szCs w:val="36"/>
          <w:shd w:val="clear" w:color="auto" w:fill="FFFFFF"/>
        </w:rPr>
        <w:t>Procter and Gamble</w:t>
      </w:r>
    </w:p>
    <w:p w14:paraId="0ED525BC" w14:textId="77777777" w:rsidR="00907EB0" w:rsidRDefault="00907EB0" w:rsidP="00907EB0">
      <w:pPr>
        <w:spacing w:line="480" w:lineRule="auto"/>
        <w:jc w:val="center"/>
        <w:rPr>
          <w:rFonts w:ascii="Times New Roman" w:hAnsi="Times New Roman" w:cs="Times New Roman"/>
          <w:sz w:val="24"/>
          <w:szCs w:val="24"/>
        </w:rPr>
      </w:pPr>
    </w:p>
    <w:p w14:paraId="46DCC0FC" w14:textId="77777777" w:rsidR="00E8388E" w:rsidRPr="00E8388E" w:rsidRDefault="00E8388E" w:rsidP="00E8388E">
      <w:pPr>
        <w:jc w:val="center"/>
        <w:rPr>
          <w:rFonts w:ascii="Times New Roman" w:hAnsi="Times New Roman" w:cs="Times New Roman"/>
          <w:sz w:val="24"/>
          <w:szCs w:val="24"/>
        </w:rPr>
      </w:pPr>
      <w:r w:rsidRPr="00E8388E">
        <w:rPr>
          <w:rFonts w:ascii="Times New Roman" w:hAnsi="Times New Roman" w:cs="Times New Roman"/>
          <w:sz w:val="24"/>
          <w:szCs w:val="24"/>
        </w:rPr>
        <w:t>Student name: Doru-Sorin Stavru</w:t>
      </w:r>
    </w:p>
    <w:p w14:paraId="1DE46AA7" w14:textId="77777777" w:rsidR="00E8388E" w:rsidRPr="00E8388E" w:rsidRDefault="00E8388E" w:rsidP="00E8388E">
      <w:pPr>
        <w:jc w:val="center"/>
        <w:rPr>
          <w:rFonts w:ascii="Times New Roman" w:hAnsi="Times New Roman" w:cs="Times New Roman"/>
          <w:sz w:val="24"/>
          <w:szCs w:val="24"/>
        </w:rPr>
      </w:pPr>
      <w:r w:rsidRPr="00E8388E">
        <w:rPr>
          <w:rFonts w:ascii="Times New Roman" w:hAnsi="Times New Roman" w:cs="Times New Roman"/>
          <w:sz w:val="24"/>
          <w:szCs w:val="24"/>
        </w:rPr>
        <w:t>ID Number: 1922008</w:t>
      </w:r>
    </w:p>
    <w:p w14:paraId="5EDC39BF" w14:textId="60B34FF8" w:rsidR="00E8388E" w:rsidRPr="00E8388E" w:rsidRDefault="00E8388E" w:rsidP="00E8388E">
      <w:pPr>
        <w:jc w:val="center"/>
        <w:rPr>
          <w:rFonts w:ascii="Times New Roman" w:hAnsi="Times New Roman" w:cs="Times New Roman"/>
          <w:sz w:val="24"/>
          <w:szCs w:val="24"/>
        </w:rPr>
      </w:pPr>
      <w:r w:rsidRPr="00E8388E">
        <w:rPr>
          <w:rFonts w:ascii="Times New Roman" w:hAnsi="Times New Roman" w:cs="Times New Roman"/>
          <w:sz w:val="24"/>
          <w:szCs w:val="24"/>
        </w:rPr>
        <w:t>Module Title: International Financial Management</w:t>
      </w:r>
      <w:r>
        <w:rPr>
          <w:rFonts w:ascii="Times New Roman" w:hAnsi="Times New Roman" w:cs="Times New Roman"/>
          <w:sz w:val="24"/>
          <w:szCs w:val="24"/>
        </w:rPr>
        <w:t xml:space="preserve"> </w:t>
      </w:r>
      <w:r w:rsidRPr="00E8388E">
        <w:rPr>
          <w:rFonts w:ascii="Times New Roman" w:hAnsi="Times New Roman" w:cs="Times New Roman"/>
          <w:sz w:val="24"/>
          <w:szCs w:val="24"/>
        </w:rPr>
        <w:t>LCBB6002</w:t>
      </w:r>
    </w:p>
    <w:p w14:paraId="2A075F3B" w14:textId="3710F669" w:rsidR="00907EB0" w:rsidRDefault="00907EB0" w:rsidP="00907EB0">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877385990"/>
        <w:docPartObj>
          <w:docPartGallery w:val="Table of Contents"/>
          <w:docPartUnique/>
        </w:docPartObj>
      </w:sdtPr>
      <w:sdtEndPr>
        <w:rPr>
          <w:b/>
          <w:bCs/>
          <w:noProof/>
        </w:rPr>
      </w:sdtEndPr>
      <w:sdtContent>
        <w:p w14:paraId="77DD2908" w14:textId="77777777" w:rsidR="00907EB0" w:rsidRPr="00DF0DDE" w:rsidRDefault="00907EB0" w:rsidP="00907EB0">
          <w:pPr>
            <w:pStyle w:val="TOCHeading"/>
            <w:rPr>
              <w:rFonts w:ascii="Times New Roman" w:hAnsi="Times New Roman" w:cs="Times New Roman"/>
              <w:b/>
              <w:color w:val="000000" w:themeColor="text1"/>
            </w:rPr>
          </w:pPr>
          <w:r w:rsidRPr="00DF0DDE">
            <w:rPr>
              <w:rFonts w:ascii="Times New Roman" w:hAnsi="Times New Roman" w:cs="Times New Roman"/>
              <w:b/>
              <w:color w:val="000000" w:themeColor="text1"/>
            </w:rPr>
            <w:t>Table of Contents</w:t>
          </w:r>
        </w:p>
        <w:p w14:paraId="7A7C067F" w14:textId="6088AF57" w:rsidR="00907EB0" w:rsidRDefault="00907EB0" w:rsidP="00907EB0">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09214620" w:history="1">
            <w:r w:rsidRPr="00A61E27">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_Toc109214620 \h </w:instrText>
            </w:r>
            <w:r>
              <w:rPr>
                <w:noProof/>
                <w:webHidden/>
              </w:rPr>
            </w:r>
            <w:r>
              <w:rPr>
                <w:noProof/>
                <w:webHidden/>
              </w:rPr>
              <w:fldChar w:fldCharType="separate"/>
            </w:r>
            <w:r w:rsidR="00C5162C">
              <w:rPr>
                <w:noProof/>
                <w:webHidden/>
              </w:rPr>
              <w:t>1</w:t>
            </w:r>
            <w:r>
              <w:rPr>
                <w:noProof/>
                <w:webHidden/>
              </w:rPr>
              <w:fldChar w:fldCharType="end"/>
            </w:r>
          </w:hyperlink>
        </w:p>
        <w:p w14:paraId="03123A3D" w14:textId="13CC81C8" w:rsidR="00907EB0" w:rsidRDefault="00000000" w:rsidP="00907EB0">
          <w:pPr>
            <w:pStyle w:val="TOC1"/>
            <w:tabs>
              <w:tab w:val="right" w:leader="dot" w:pos="9350"/>
            </w:tabs>
            <w:rPr>
              <w:rFonts w:eastAsiaTheme="minorEastAsia"/>
              <w:noProof/>
            </w:rPr>
          </w:pPr>
          <w:hyperlink w:anchor="_Toc109214621" w:history="1">
            <w:r w:rsidR="00907EB0" w:rsidRPr="00A61E27">
              <w:rPr>
                <w:rStyle w:val="Hyperlink"/>
                <w:rFonts w:ascii="Times New Roman" w:hAnsi="Times New Roman" w:cs="Times New Roman"/>
                <w:b/>
                <w:noProof/>
              </w:rPr>
              <w:t>Importance of International Financial Management to Procter and Gamble</w:t>
            </w:r>
            <w:r w:rsidR="00907EB0">
              <w:rPr>
                <w:noProof/>
                <w:webHidden/>
              </w:rPr>
              <w:tab/>
            </w:r>
            <w:r w:rsidR="00907EB0">
              <w:rPr>
                <w:noProof/>
                <w:webHidden/>
              </w:rPr>
              <w:fldChar w:fldCharType="begin"/>
            </w:r>
            <w:r w:rsidR="00907EB0">
              <w:rPr>
                <w:noProof/>
                <w:webHidden/>
              </w:rPr>
              <w:instrText xml:space="preserve"> PAGEREF _Toc109214621 \h </w:instrText>
            </w:r>
            <w:r w:rsidR="00907EB0">
              <w:rPr>
                <w:noProof/>
                <w:webHidden/>
              </w:rPr>
            </w:r>
            <w:r w:rsidR="00907EB0">
              <w:rPr>
                <w:noProof/>
                <w:webHidden/>
              </w:rPr>
              <w:fldChar w:fldCharType="separate"/>
            </w:r>
            <w:r w:rsidR="00C5162C">
              <w:rPr>
                <w:noProof/>
                <w:webHidden/>
              </w:rPr>
              <w:t>1</w:t>
            </w:r>
            <w:r w:rsidR="00907EB0">
              <w:rPr>
                <w:noProof/>
                <w:webHidden/>
              </w:rPr>
              <w:fldChar w:fldCharType="end"/>
            </w:r>
          </w:hyperlink>
        </w:p>
        <w:p w14:paraId="6D50F2A0" w14:textId="18BA030E" w:rsidR="00907EB0" w:rsidRDefault="00000000" w:rsidP="00907EB0">
          <w:pPr>
            <w:pStyle w:val="TOC1"/>
            <w:tabs>
              <w:tab w:val="right" w:leader="dot" w:pos="9350"/>
            </w:tabs>
            <w:rPr>
              <w:rFonts w:eastAsiaTheme="minorEastAsia"/>
              <w:noProof/>
            </w:rPr>
          </w:pPr>
          <w:hyperlink w:anchor="_Toc109214622" w:history="1">
            <w:r w:rsidR="00907EB0" w:rsidRPr="00A61E27">
              <w:rPr>
                <w:rStyle w:val="Hyperlink"/>
                <w:rFonts w:ascii="Times New Roman" w:hAnsi="Times New Roman" w:cs="Times New Roman"/>
                <w:b/>
                <w:noProof/>
              </w:rPr>
              <w:t>Dividend Distribution Policy of Procter and Gamble</w:t>
            </w:r>
            <w:r w:rsidR="00907EB0">
              <w:rPr>
                <w:noProof/>
                <w:webHidden/>
              </w:rPr>
              <w:tab/>
            </w:r>
            <w:r w:rsidR="00907EB0">
              <w:rPr>
                <w:noProof/>
                <w:webHidden/>
              </w:rPr>
              <w:fldChar w:fldCharType="begin"/>
            </w:r>
            <w:r w:rsidR="00907EB0">
              <w:rPr>
                <w:noProof/>
                <w:webHidden/>
              </w:rPr>
              <w:instrText xml:space="preserve"> PAGEREF _Toc109214622 \h </w:instrText>
            </w:r>
            <w:r w:rsidR="00907EB0">
              <w:rPr>
                <w:noProof/>
                <w:webHidden/>
              </w:rPr>
            </w:r>
            <w:r w:rsidR="00907EB0">
              <w:rPr>
                <w:noProof/>
                <w:webHidden/>
              </w:rPr>
              <w:fldChar w:fldCharType="separate"/>
            </w:r>
            <w:r w:rsidR="00C5162C">
              <w:rPr>
                <w:noProof/>
                <w:webHidden/>
              </w:rPr>
              <w:t>2</w:t>
            </w:r>
            <w:r w:rsidR="00907EB0">
              <w:rPr>
                <w:noProof/>
                <w:webHidden/>
              </w:rPr>
              <w:fldChar w:fldCharType="end"/>
            </w:r>
          </w:hyperlink>
        </w:p>
        <w:p w14:paraId="5578D45E" w14:textId="1FB9FE35" w:rsidR="00907EB0" w:rsidRDefault="00000000" w:rsidP="00907EB0">
          <w:pPr>
            <w:pStyle w:val="TOC1"/>
            <w:tabs>
              <w:tab w:val="right" w:leader="dot" w:pos="9350"/>
            </w:tabs>
            <w:rPr>
              <w:rFonts w:eastAsiaTheme="minorEastAsia"/>
              <w:noProof/>
            </w:rPr>
          </w:pPr>
          <w:hyperlink w:anchor="_Toc109214623" w:history="1">
            <w:r w:rsidR="00907EB0" w:rsidRPr="00A61E27">
              <w:rPr>
                <w:rStyle w:val="Hyperlink"/>
                <w:rFonts w:ascii="Times New Roman" w:hAnsi="Times New Roman" w:cs="Times New Roman"/>
                <w:b/>
                <w:noProof/>
              </w:rPr>
              <w:t>Efficient Market Hypothesis Theory</w:t>
            </w:r>
            <w:r w:rsidR="00907EB0">
              <w:rPr>
                <w:noProof/>
                <w:webHidden/>
              </w:rPr>
              <w:tab/>
            </w:r>
            <w:r w:rsidR="00907EB0">
              <w:rPr>
                <w:noProof/>
                <w:webHidden/>
              </w:rPr>
              <w:fldChar w:fldCharType="begin"/>
            </w:r>
            <w:r w:rsidR="00907EB0">
              <w:rPr>
                <w:noProof/>
                <w:webHidden/>
              </w:rPr>
              <w:instrText xml:space="preserve"> PAGEREF _Toc109214623 \h </w:instrText>
            </w:r>
            <w:r w:rsidR="00907EB0">
              <w:rPr>
                <w:noProof/>
                <w:webHidden/>
              </w:rPr>
            </w:r>
            <w:r w:rsidR="00907EB0">
              <w:rPr>
                <w:noProof/>
                <w:webHidden/>
              </w:rPr>
              <w:fldChar w:fldCharType="separate"/>
            </w:r>
            <w:r w:rsidR="00C5162C">
              <w:rPr>
                <w:noProof/>
                <w:webHidden/>
              </w:rPr>
              <w:t>3</w:t>
            </w:r>
            <w:r w:rsidR="00907EB0">
              <w:rPr>
                <w:noProof/>
                <w:webHidden/>
              </w:rPr>
              <w:fldChar w:fldCharType="end"/>
            </w:r>
          </w:hyperlink>
        </w:p>
        <w:p w14:paraId="17780ED1" w14:textId="3FFBBDAC" w:rsidR="00907EB0" w:rsidRDefault="00000000" w:rsidP="00907EB0">
          <w:pPr>
            <w:pStyle w:val="TOC1"/>
            <w:tabs>
              <w:tab w:val="right" w:leader="dot" w:pos="9350"/>
            </w:tabs>
            <w:rPr>
              <w:rFonts w:eastAsiaTheme="minorEastAsia"/>
              <w:noProof/>
            </w:rPr>
          </w:pPr>
          <w:hyperlink w:anchor="_Toc109214624" w:history="1">
            <w:r w:rsidR="00907EB0" w:rsidRPr="00A61E27">
              <w:rPr>
                <w:rStyle w:val="Hyperlink"/>
                <w:rFonts w:ascii="Times New Roman" w:hAnsi="Times New Roman" w:cs="Times New Roman"/>
                <w:b/>
                <w:noProof/>
              </w:rPr>
              <w:t>Methods of Appraising Projects</w:t>
            </w:r>
            <w:r w:rsidR="00907EB0">
              <w:rPr>
                <w:noProof/>
                <w:webHidden/>
              </w:rPr>
              <w:tab/>
            </w:r>
            <w:r w:rsidR="00907EB0">
              <w:rPr>
                <w:noProof/>
                <w:webHidden/>
              </w:rPr>
              <w:fldChar w:fldCharType="begin"/>
            </w:r>
            <w:r w:rsidR="00907EB0">
              <w:rPr>
                <w:noProof/>
                <w:webHidden/>
              </w:rPr>
              <w:instrText xml:space="preserve"> PAGEREF _Toc109214624 \h </w:instrText>
            </w:r>
            <w:r w:rsidR="00907EB0">
              <w:rPr>
                <w:noProof/>
                <w:webHidden/>
              </w:rPr>
            </w:r>
            <w:r w:rsidR="00907EB0">
              <w:rPr>
                <w:noProof/>
                <w:webHidden/>
              </w:rPr>
              <w:fldChar w:fldCharType="separate"/>
            </w:r>
            <w:r w:rsidR="00C5162C">
              <w:rPr>
                <w:noProof/>
                <w:webHidden/>
              </w:rPr>
              <w:t>3</w:t>
            </w:r>
            <w:r w:rsidR="00907EB0">
              <w:rPr>
                <w:noProof/>
                <w:webHidden/>
              </w:rPr>
              <w:fldChar w:fldCharType="end"/>
            </w:r>
          </w:hyperlink>
        </w:p>
        <w:p w14:paraId="73DD1448" w14:textId="4CD5950D" w:rsidR="00907EB0" w:rsidRDefault="00000000" w:rsidP="00907EB0">
          <w:pPr>
            <w:pStyle w:val="TOC1"/>
            <w:tabs>
              <w:tab w:val="right" w:leader="dot" w:pos="9350"/>
            </w:tabs>
            <w:rPr>
              <w:rFonts w:eastAsiaTheme="minorEastAsia"/>
              <w:noProof/>
            </w:rPr>
          </w:pPr>
          <w:hyperlink w:anchor="_Toc109214625" w:history="1">
            <w:r w:rsidR="00907EB0" w:rsidRPr="00A61E27">
              <w:rPr>
                <w:rStyle w:val="Hyperlink"/>
                <w:rFonts w:ascii="Times New Roman" w:hAnsi="Times New Roman" w:cs="Times New Roman"/>
                <w:b/>
                <w:noProof/>
              </w:rPr>
              <w:t>Challenges That Procter and Gamble is Experiencing in Different Financial Markets</w:t>
            </w:r>
            <w:r w:rsidR="00907EB0">
              <w:rPr>
                <w:noProof/>
                <w:webHidden/>
              </w:rPr>
              <w:tab/>
            </w:r>
            <w:r w:rsidR="00907EB0">
              <w:rPr>
                <w:noProof/>
                <w:webHidden/>
              </w:rPr>
              <w:fldChar w:fldCharType="begin"/>
            </w:r>
            <w:r w:rsidR="00907EB0">
              <w:rPr>
                <w:noProof/>
                <w:webHidden/>
              </w:rPr>
              <w:instrText xml:space="preserve"> PAGEREF _Toc109214625 \h </w:instrText>
            </w:r>
            <w:r w:rsidR="00907EB0">
              <w:rPr>
                <w:noProof/>
                <w:webHidden/>
              </w:rPr>
            </w:r>
            <w:r w:rsidR="00907EB0">
              <w:rPr>
                <w:noProof/>
                <w:webHidden/>
              </w:rPr>
              <w:fldChar w:fldCharType="separate"/>
            </w:r>
            <w:r w:rsidR="00C5162C">
              <w:rPr>
                <w:noProof/>
                <w:webHidden/>
              </w:rPr>
              <w:t>4</w:t>
            </w:r>
            <w:r w:rsidR="00907EB0">
              <w:rPr>
                <w:noProof/>
                <w:webHidden/>
              </w:rPr>
              <w:fldChar w:fldCharType="end"/>
            </w:r>
          </w:hyperlink>
        </w:p>
        <w:p w14:paraId="035FFC61" w14:textId="4E5E0BEB" w:rsidR="00907EB0" w:rsidRDefault="00000000" w:rsidP="00907EB0">
          <w:pPr>
            <w:pStyle w:val="TOC1"/>
            <w:tabs>
              <w:tab w:val="right" w:leader="dot" w:pos="9350"/>
            </w:tabs>
            <w:rPr>
              <w:rFonts w:eastAsiaTheme="minorEastAsia"/>
              <w:noProof/>
            </w:rPr>
          </w:pPr>
          <w:hyperlink w:anchor="_Toc109214626" w:history="1">
            <w:r w:rsidR="00907EB0" w:rsidRPr="00A61E27">
              <w:rPr>
                <w:rStyle w:val="Hyperlink"/>
                <w:rFonts w:ascii="Times New Roman" w:hAnsi="Times New Roman" w:cs="Times New Roman"/>
                <w:b/>
                <w:noProof/>
              </w:rPr>
              <w:t>Conclusion</w:t>
            </w:r>
            <w:r w:rsidR="00907EB0">
              <w:rPr>
                <w:noProof/>
                <w:webHidden/>
              </w:rPr>
              <w:tab/>
            </w:r>
            <w:r w:rsidR="00907EB0">
              <w:rPr>
                <w:noProof/>
                <w:webHidden/>
              </w:rPr>
              <w:fldChar w:fldCharType="begin"/>
            </w:r>
            <w:r w:rsidR="00907EB0">
              <w:rPr>
                <w:noProof/>
                <w:webHidden/>
              </w:rPr>
              <w:instrText xml:space="preserve"> PAGEREF _Toc109214626 \h </w:instrText>
            </w:r>
            <w:r w:rsidR="00907EB0">
              <w:rPr>
                <w:noProof/>
                <w:webHidden/>
              </w:rPr>
            </w:r>
            <w:r w:rsidR="00907EB0">
              <w:rPr>
                <w:noProof/>
                <w:webHidden/>
              </w:rPr>
              <w:fldChar w:fldCharType="separate"/>
            </w:r>
            <w:r w:rsidR="00C5162C">
              <w:rPr>
                <w:noProof/>
                <w:webHidden/>
              </w:rPr>
              <w:t>4</w:t>
            </w:r>
            <w:r w:rsidR="00907EB0">
              <w:rPr>
                <w:noProof/>
                <w:webHidden/>
              </w:rPr>
              <w:fldChar w:fldCharType="end"/>
            </w:r>
          </w:hyperlink>
        </w:p>
        <w:p w14:paraId="1461D036" w14:textId="477A0B23" w:rsidR="00907EB0" w:rsidRDefault="00000000" w:rsidP="00907EB0">
          <w:pPr>
            <w:pStyle w:val="TOC1"/>
            <w:tabs>
              <w:tab w:val="right" w:leader="dot" w:pos="9350"/>
            </w:tabs>
            <w:rPr>
              <w:rFonts w:eastAsiaTheme="minorEastAsia"/>
              <w:noProof/>
            </w:rPr>
          </w:pPr>
          <w:hyperlink w:anchor="_Toc109214627" w:history="1">
            <w:r w:rsidR="00907EB0" w:rsidRPr="00A61E27">
              <w:rPr>
                <w:rStyle w:val="Hyperlink"/>
                <w:rFonts w:ascii="Times New Roman" w:hAnsi="Times New Roman" w:cs="Times New Roman"/>
                <w:b/>
                <w:noProof/>
              </w:rPr>
              <w:t>References</w:t>
            </w:r>
            <w:r w:rsidR="00907EB0">
              <w:rPr>
                <w:noProof/>
                <w:webHidden/>
              </w:rPr>
              <w:tab/>
            </w:r>
            <w:r w:rsidR="00907EB0">
              <w:rPr>
                <w:noProof/>
                <w:webHidden/>
              </w:rPr>
              <w:fldChar w:fldCharType="begin"/>
            </w:r>
            <w:r w:rsidR="00907EB0">
              <w:rPr>
                <w:noProof/>
                <w:webHidden/>
              </w:rPr>
              <w:instrText xml:space="preserve"> PAGEREF _Toc109214627 \h </w:instrText>
            </w:r>
            <w:r w:rsidR="00907EB0">
              <w:rPr>
                <w:noProof/>
                <w:webHidden/>
              </w:rPr>
            </w:r>
            <w:r w:rsidR="00907EB0">
              <w:rPr>
                <w:noProof/>
                <w:webHidden/>
              </w:rPr>
              <w:fldChar w:fldCharType="separate"/>
            </w:r>
            <w:r w:rsidR="00C5162C">
              <w:rPr>
                <w:noProof/>
                <w:webHidden/>
              </w:rPr>
              <w:t>6</w:t>
            </w:r>
            <w:r w:rsidR="00907EB0">
              <w:rPr>
                <w:noProof/>
                <w:webHidden/>
              </w:rPr>
              <w:fldChar w:fldCharType="end"/>
            </w:r>
          </w:hyperlink>
        </w:p>
        <w:p w14:paraId="077D5939" w14:textId="77777777" w:rsidR="00907EB0" w:rsidRDefault="00907EB0" w:rsidP="00907EB0">
          <w:r>
            <w:rPr>
              <w:b/>
              <w:bCs/>
              <w:noProof/>
            </w:rPr>
            <w:fldChar w:fldCharType="end"/>
          </w:r>
        </w:p>
      </w:sdtContent>
    </w:sdt>
    <w:p w14:paraId="6ED49C9F" w14:textId="77777777" w:rsidR="00907EB0" w:rsidRDefault="00907EB0" w:rsidP="00907EB0">
      <w:pPr>
        <w:rPr>
          <w:rFonts w:ascii="Times New Roman" w:hAnsi="Times New Roman" w:cs="Times New Roman"/>
          <w:b/>
          <w:color w:val="000000" w:themeColor="text1"/>
        </w:rPr>
        <w:sectPr w:rsidR="00907EB0" w:rsidSect="00907EB0">
          <w:headerReference w:type="default" r:id="rId7"/>
          <w:footerReference w:type="default" r:id="rId8"/>
          <w:pgSz w:w="12240" w:h="15840"/>
          <w:pgMar w:top="1440" w:right="1440" w:bottom="1440" w:left="1440" w:header="720" w:footer="720" w:gutter="0"/>
          <w:cols w:space="720"/>
          <w:docGrid w:linePitch="360"/>
        </w:sectPr>
      </w:pPr>
    </w:p>
    <w:p w14:paraId="6D897373"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0" w:name="_Toc109214620"/>
      <w:r w:rsidRPr="00907EB0">
        <w:rPr>
          <w:rFonts w:ascii="Times New Roman" w:hAnsi="Times New Roman" w:cs="Times New Roman"/>
          <w:b/>
          <w:color w:val="000000" w:themeColor="text1"/>
          <w:sz w:val="24"/>
          <w:szCs w:val="24"/>
        </w:rPr>
        <w:lastRenderedPageBreak/>
        <w:t>Introduction</w:t>
      </w:r>
      <w:bookmarkEnd w:id="0"/>
    </w:p>
    <w:p w14:paraId="369D4D24" w14:textId="64A69A0B" w:rsidR="00907EB0" w:rsidRDefault="00907EB0" w:rsidP="00C5162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multinational corporation of choice is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one of the largest consumer goods companies globally and based in the United States. Procter and Gamble manufactures cleaning and laundry products and personal care and cosmetics products. As a result, it deals with a wide range of consumer products. Primarily,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is known to value its consumers by putting them first, which enables the company to focus its production on satisfying consumers (</w:t>
      </w:r>
      <w:r w:rsidRPr="00DF0DDE">
        <w:rPr>
          <w:rFonts w:ascii="Times New Roman" w:hAnsi="Times New Roman" w:cs="Times New Roman"/>
          <w:color w:val="222222"/>
          <w:sz w:val="24"/>
          <w:szCs w:val="24"/>
          <w:shd w:val="clear" w:color="auto" w:fill="FFFFFF"/>
        </w:rPr>
        <w:t>Hussain</w:t>
      </w:r>
      <w:r>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rPr>
        <w:t xml:space="preserve">). it has over 65 brands that focus on about 10 product categories ranging from fabric care, home care, and others. Specifically, some of the products that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sell include Gillette, Always, Pampers, Downy, Crest and Oral-B, Olay, and Vicks, among others. Its name is obtained from its founders, brothers-in-law William Procter and James Gamble, who were initially a candlemaker and a soap maker, respectively. Internationally,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operates in over 80 countries, with its brands selling in over 160 countries. This improves the overall competitiveness of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while making its financial management difficult. The current net worth of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is $ 392 billion, and its total revenue in 2021 was $ 77.13 billion. Its total assets as of 2021 were $ 120 billion, and its net income the same year was $21,102 million (Procter and Gamble, n.d). Generally,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is a large retailer with significant financial figures that require effective financial management to avoid losses or lack transparency and trustworthiness. As a result, international financial management has been playing an active role in managing the financial success of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and will continue being involved as the company keeps growing. </w:t>
      </w:r>
    </w:p>
    <w:p w14:paraId="4BA5416F"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1" w:name="_Toc109214621"/>
      <w:r w:rsidRPr="00907EB0">
        <w:rPr>
          <w:rFonts w:ascii="Times New Roman" w:hAnsi="Times New Roman" w:cs="Times New Roman"/>
          <w:b/>
          <w:color w:val="000000" w:themeColor="text1"/>
          <w:sz w:val="24"/>
          <w:szCs w:val="24"/>
        </w:rPr>
        <w:t>Importance of International Financial Management to Procter and Gamble</w:t>
      </w:r>
      <w:bookmarkEnd w:id="1"/>
    </w:p>
    <w:p w14:paraId="39197B80" w14:textId="0FFE01DA" w:rsidR="00907EB0" w:rsidRDefault="00907EB0" w:rsidP="00EF6B6C">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International financial management deals with the management of money in a global business environment. In this case, it facilitates the management of funds for corporations operating internationally or in more than one country. Notably, international financial management is applicable to multinational companies such as </w:t>
      </w:r>
      <w:r w:rsidRPr="00067DCF">
        <w:rPr>
          <w:rFonts w:ascii="Times New Roman" w:hAnsi="Times New Roman" w:cs="Times New Roman"/>
          <w:sz w:val="24"/>
          <w:szCs w:val="24"/>
        </w:rPr>
        <w:t>Procter and Gamble</w:t>
      </w:r>
      <w:r>
        <w:rPr>
          <w:rFonts w:ascii="Times New Roman" w:hAnsi="Times New Roman" w:cs="Times New Roman"/>
          <w:sz w:val="24"/>
          <w:szCs w:val="24"/>
        </w:rPr>
        <w:t>. It is used to manage finance for companies dealing with foreign currency and promotes shareholder wealth in an international company (</w:t>
      </w:r>
      <w:r w:rsidRPr="00DF0DDE">
        <w:rPr>
          <w:rFonts w:ascii="Times New Roman" w:hAnsi="Times New Roman" w:cs="Times New Roman"/>
          <w:color w:val="222222"/>
          <w:sz w:val="24"/>
          <w:szCs w:val="24"/>
          <w:shd w:val="clear" w:color="auto" w:fill="FFFFFF"/>
        </w:rPr>
        <w:t>Shapiro &amp; Hanouna</w:t>
      </w:r>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rPr>
        <w:t xml:space="preserve">). Every large company has shareholders who, in one stage of the organization’s growth, provide support or continue to support the company's growth. </w:t>
      </w:r>
      <w:r w:rsidRPr="00067DCF">
        <w:rPr>
          <w:rFonts w:ascii="Times New Roman" w:hAnsi="Times New Roman" w:cs="Times New Roman"/>
          <w:sz w:val="24"/>
          <w:szCs w:val="24"/>
        </w:rPr>
        <w:t>Procter and Gamble</w:t>
      </w:r>
      <w:r>
        <w:rPr>
          <w:rFonts w:ascii="Times New Roman" w:hAnsi="Times New Roman" w:cs="Times New Roman"/>
          <w:sz w:val="24"/>
          <w:szCs w:val="24"/>
        </w:rPr>
        <w:t xml:space="preserve"> operates in more than 80 countries, which means that it has many investors in the United States and other countries. International financial management is an important </w:t>
      </w:r>
      <w:r>
        <w:rPr>
          <w:rFonts w:ascii="Times New Roman" w:hAnsi="Times New Roman" w:cs="Times New Roman"/>
          <w:sz w:val="24"/>
          <w:szCs w:val="24"/>
        </w:rPr>
        <w:lastRenderedPageBreak/>
        <w:t>concept to be applied in every multinational company, and it facilitates effective management of funds despite the broad scope of shareholders and financial markets (</w:t>
      </w:r>
      <w:r w:rsidRPr="00DF0DDE">
        <w:rPr>
          <w:rFonts w:ascii="Times New Roman" w:hAnsi="Times New Roman" w:cs="Times New Roman"/>
          <w:color w:val="222222"/>
          <w:sz w:val="24"/>
          <w:szCs w:val="24"/>
          <w:shd w:val="clear" w:color="auto" w:fill="FFFFFF"/>
        </w:rPr>
        <w:t>Shapiro &amp; Hanouna</w:t>
      </w:r>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rPr>
        <w:t>). Given that Procter and Gamble operates in various financial markets, it is exposed to multiple challenges and opportunities that need to be addressed by international financial management. While operating in different countries, international financial management has helped Procter and Gamble analyze the relative worth of every country it has invested in, helping the country avoid unnecessary losses. This has also helped the company identify the potential target audience in every country it has invested in, making marketing easy. Due to shifting economies in different countries, international financial management has helped Procter and Gamble to compare inflation rates and know when to change the prices of its products or increase the salaries of its employees (</w:t>
      </w:r>
      <w:r w:rsidRPr="00DF0DDE">
        <w:rPr>
          <w:rFonts w:ascii="Times New Roman" w:hAnsi="Times New Roman" w:cs="Times New Roman"/>
          <w:color w:val="222222"/>
          <w:sz w:val="24"/>
          <w:szCs w:val="24"/>
          <w:shd w:val="clear" w:color="auto" w:fill="FFFFFF"/>
        </w:rPr>
        <w:t>Shapiro &amp; Hanouna</w:t>
      </w:r>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rPr>
        <w:t xml:space="preserve">). International financial management has also helped the company to invest based on global debt in the countries it invests in. Generally, being on the top of the chart of the most successful multinational retailer companies, Procter and Gamble are utilizing international financial management to remain competitive and productive. </w:t>
      </w:r>
    </w:p>
    <w:p w14:paraId="21A3B4F2"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2" w:name="_Toc109214622"/>
      <w:r w:rsidRPr="00907EB0">
        <w:rPr>
          <w:rFonts w:ascii="Times New Roman" w:hAnsi="Times New Roman" w:cs="Times New Roman"/>
          <w:b/>
          <w:color w:val="000000" w:themeColor="text1"/>
          <w:sz w:val="24"/>
          <w:szCs w:val="24"/>
        </w:rPr>
        <w:t>Dividend Distribution Policy of Procter and Gamble</w:t>
      </w:r>
      <w:bookmarkEnd w:id="2"/>
    </w:p>
    <w:p w14:paraId="62BACE4C" w14:textId="66707FEB" w:rsidR="00907EB0" w:rsidRDefault="00907EB0" w:rsidP="00EF6B6C">
      <w:pPr>
        <w:spacing w:line="360" w:lineRule="auto"/>
        <w:rPr>
          <w:rFonts w:ascii="Times New Roman" w:hAnsi="Times New Roman" w:cs="Times New Roman"/>
          <w:sz w:val="24"/>
          <w:szCs w:val="24"/>
        </w:rPr>
      </w:pPr>
      <w:r>
        <w:rPr>
          <w:rFonts w:ascii="Times New Roman" w:hAnsi="Times New Roman" w:cs="Times New Roman"/>
          <w:sz w:val="24"/>
          <w:szCs w:val="24"/>
        </w:rPr>
        <w:t xml:space="preserve">One of the significant importance of international financial management for Procter and Gamble is the dividend distribution. In this case, effective global financial management facilitates a fair distribution of dividends among the shareholders. At Procter and Gamble, the dividend distribution policy seeks to give the shareholders sustainable returns and retain sufficient capital for business exploration (Procter and Gamble, n.d.). Mainly, the dividend distribution to the shareholders is based on these two policies such that each shareholder rets sustainable return while the company retains enough capital to facilitate its growth. The policy seeks to utilize three significant provisions: periodicity, accounting year, and disclosure. Through international financial management, Procter and Gamble resolved to utilize periodicity, where decision-making concerning dividend distribution is only done at the company’s annual general meeting. This will use the recommendations of the Board of Directors. Moreover, it utilizes an “accounting year,” which implies that the dividend distribution is done while accounting for the dividend distribution tax and annual interim dividend. This is done based on the regulatory requirements of the company (Procter and Gamble, n.d.). Moreover, international financial management has enabled Procter and Gamble to identify a safe disclosure policy, where the </w:t>
      </w:r>
      <w:r>
        <w:rPr>
          <w:rFonts w:ascii="Times New Roman" w:hAnsi="Times New Roman" w:cs="Times New Roman"/>
          <w:sz w:val="24"/>
          <w:szCs w:val="24"/>
        </w:rPr>
        <w:lastRenderedPageBreak/>
        <w:t xml:space="preserve">policy is only disclosed through the company website. The dividend distribution policy that Procter and Gamble uses is established through effective international financial management, which the company has achieved. </w:t>
      </w:r>
    </w:p>
    <w:p w14:paraId="2CC6C1D0"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3" w:name="_Toc109214623"/>
      <w:r w:rsidRPr="00907EB0">
        <w:rPr>
          <w:rFonts w:ascii="Times New Roman" w:hAnsi="Times New Roman" w:cs="Times New Roman"/>
          <w:b/>
          <w:color w:val="000000" w:themeColor="text1"/>
          <w:sz w:val="24"/>
          <w:szCs w:val="24"/>
        </w:rPr>
        <w:t>Efficient Market Hypothesis Theory</w:t>
      </w:r>
      <w:bookmarkEnd w:id="3"/>
    </w:p>
    <w:p w14:paraId="63EA378A" w14:textId="406E5B05" w:rsidR="00907EB0" w:rsidRDefault="00907EB0" w:rsidP="00C5162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The efficient market hypothesis theory claims that all information is reflected through share prices. It hypothesizes that trade on stocks happens at their average market value, at which it is fair on exchanges. As a result, investors mount the most significant benefits when they invest in a passive and low-cost portfolio. Moreover, the efficient market hypothesis theory claims that the market is primarily efficient, which means that the ability of a company to make profits or losses depends on its tactics and strategies (</w:t>
      </w:r>
      <w:r w:rsidRPr="00DF0DDE">
        <w:rPr>
          <w:rFonts w:ascii="Times New Roman" w:hAnsi="Times New Roman" w:cs="Times New Roman"/>
          <w:color w:val="222222"/>
          <w:sz w:val="24"/>
          <w:szCs w:val="24"/>
          <w:shd w:val="clear" w:color="auto" w:fill="FFFFFF"/>
        </w:rPr>
        <w:t>Rossi &amp; Gunardi</w:t>
      </w:r>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rPr>
        <w:t>). The theory can be divided into three versions, strong, semi-strong, and weak. However, it provides various assumptions for a perfect market such that information costs nothing, no transaction costs exist, every investor has homogeneous expectations, markets are efficient, and every investor is rational. Based on Procter and Gamble believes that its markets are efficient given that it is operating in 80 countries globally and becoming very competitive. Primarily, given the way Procter and Gamble started from a humble beginning, the investors showed their rationality and their steady growth as proven that markets are efficient and that only the tactics matter (</w:t>
      </w:r>
      <w:r w:rsidRPr="00DF0DDE">
        <w:rPr>
          <w:rFonts w:ascii="Times New Roman" w:hAnsi="Times New Roman" w:cs="Times New Roman"/>
          <w:color w:val="222222"/>
          <w:sz w:val="24"/>
          <w:szCs w:val="24"/>
          <w:shd w:val="clear" w:color="auto" w:fill="FFFFFF"/>
        </w:rPr>
        <w:t>Rossi &amp; Gunardi</w:t>
      </w:r>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rPr>
        <w:t xml:space="preserve">). Many other companies are dealing with similar products and have not been as successful as Procter and Gamble. Given that the company is utilizing the same international markets to become the best retailer in its category, it implies that markets are efficient, and the company is using the efficiency of the global markets to exploit its potential. </w:t>
      </w:r>
    </w:p>
    <w:p w14:paraId="2B619ACD"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4" w:name="_Toc109214624"/>
      <w:r w:rsidRPr="00907EB0">
        <w:rPr>
          <w:rFonts w:ascii="Times New Roman" w:hAnsi="Times New Roman" w:cs="Times New Roman"/>
          <w:b/>
          <w:color w:val="000000" w:themeColor="text1"/>
          <w:sz w:val="24"/>
          <w:szCs w:val="24"/>
        </w:rPr>
        <w:t>Methods of Appraising Projects</w:t>
      </w:r>
      <w:bookmarkEnd w:id="4"/>
      <w:r w:rsidRPr="00907EB0">
        <w:rPr>
          <w:rFonts w:ascii="Times New Roman" w:hAnsi="Times New Roman" w:cs="Times New Roman"/>
          <w:b/>
          <w:color w:val="000000" w:themeColor="text1"/>
          <w:sz w:val="24"/>
          <w:szCs w:val="24"/>
        </w:rPr>
        <w:t xml:space="preserve"> </w:t>
      </w:r>
    </w:p>
    <w:p w14:paraId="5A7C7301" w14:textId="0FC06A28" w:rsidR="00907EB0" w:rsidRDefault="00907EB0" w:rsidP="00EF6B6C">
      <w:pPr>
        <w:spacing w:line="360" w:lineRule="auto"/>
        <w:rPr>
          <w:rFonts w:ascii="Times New Roman" w:hAnsi="Times New Roman" w:cs="Times New Roman"/>
          <w:sz w:val="24"/>
          <w:szCs w:val="24"/>
        </w:rPr>
      </w:pPr>
      <w:r>
        <w:rPr>
          <w:rFonts w:ascii="Times New Roman" w:hAnsi="Times New Roman" w:cs="Times New Roman"/>
          <w:sz w:val="24"/>
          <w:szCs w:val="24"/>
        </w:rPr>
        <w:t>Procter and Gamble have been utilizing various methods of appraising its projects globally, with most of its projects centered on the development of the company and improvement of its performance. Some of the techniques that the company is using to appraise its projects include economic analysis, financial analysis, market analysis, and technical feasibility, among others (</w:t>
      </w:r>
      <w:r w:rsidRPr="00DF0DDE">
        <w:rPr>
          <w:rFonts w:ascii="Times New Roman" w:hAnsi="Times New Roman" w:cs="Times New Roman"/>
          <w:sz w:val="24"/>
          <w:szCs w:val="24"/>
        </w:rPr>
        <w:t>BusinessEssay</w:t>
      </w:r>
      <w:r>
        <w:rPr>
          <w:rFonts w:ascii="Times New Roman" w:hAnsi="Times New Roman" w:cs="Times New Roman"/>
          <w:sz w:val="24"/>
          <w:szCs w:val="24"/>
        </w:rPr>
        <w:t xml:space="preserve">, 2022). In this case, the company considers its financial ability to manage the project to make it successful. In some cases, projects tend to be too expensive with little returns to the company. In such cases, it is difficult to manage the projects, and the company may opt to </w:t>
      </w:r>
      <w:r>
        <w:rPr>
          <w:rFonts w:ascii="Times New Roman" w:hAnsi="Times New Roman" w:cs="Times New Roman"/>
          <w:sz w:val="24"/>
          <w:szCs w:val="24"/>
        </w:rPr>
        <w:lastRenderedPageBreak/>
        <w:t>drop them. On the other hand, economic times dictate the kind of projects that may succeed or fail (</w:t>
      </w:r>
      <w:r w:rsidRPr="00DF0DDE">
        <w:rPr>
          <w:rFonts w:ascii="Times New Roman" w:hAnsi="Times New Roman" w:cs="Times New Roman"/>
          <w:sz w:val="24"/>
          <w:szCs w:val="24"/>
        </w:rPr>
        <w:t>BusinessEssay</w:t>
      </w:r>
      <w:r>
        <w:rPr>
          <w:rFonts w:ascii="Times New Roman" w:hAnsi="Times New Roman" w:cs="Times New Roman"/>
          <w:sz w:val="24"/>
          <w:szCs w:val="24"/>
        </w:rPr>
        <w:t xml:space="preserve">, 2022). This is because a country's economy affects the company's financial capability to manage a given project. Moreover, the market and the technicality of the project, and the availability of technical support in the company plays a vital role in appraising a project. </w:t>
      </w:r>
    </w:p>
    <w:p w14:paraId="7354C09B"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5" w:name="_Toc109214625"/>
      <w:r w:rsidRPr="00907EB0">
        <w:rPr>
          <w:rFonts w:ascii="Times New Roman" w:hAnsi="Times New Roman" w:cs="Times New Roman"/>
          <w:b/>
          <w:color w:val="000000" w:themeColor="text1"/>
          <w:sz w:val="24"/>
          <w:szCs w:val="24"/>
        </w:rPr>
        <w:t>Challenges That Procter and Gamble is Experiencing in Different Financial Markets</w:t>
      </w:r>
      <w:bookmarkEnd w:id="5"/>
    </w:p>
    <w:p w14:paraId="156DF2F2" w14:textId="77777777" w:rsidR="00907EB0" w:rsidRDefault="00907EB0" w:rsidP="00EF6B6C">
      <w:pPr>
        <w:spacing w:line="360" w:lineRule="auto"/>
        <w:rPr>
          <w:rFonts w:ascii="Times New Roman" w:hAnsi="Times New Roman" w:cs="Times New Roman"/>
          <w:sz w:val="24"/>
          <w:szCs w:val="24"/>
        </w:rPr>
      </w:pPr>
      <w:r>
        <w:rPr>
          <w:rFonts w:ascii="Times New Roman" w:hAnsi="Times New Roman" w:cs="Times New Roman"/>
          <w:sz w:val="24"/>
          <w:szCs w:val="24"/>
        </w:rPr>
        <w:t>Internationalization is a broad topic and encompasses a variety of challenges to every company that attempts to explore international markets. Some of the significant challenges include political, cultural, economic, and social difficulties within foreign countries. Since Procter and Gamble started in the United States, it is well adapted to the country, and the investors have a better understanding and adaptation of its economic, political, social, and cultural factors (</w:t>
      </w:r>
      <w:r w:rsidRPr="00DF0DDE">
        <w:rPr>
          <w:rFonts w:ascii="Times New Roman" w:hAnsi="Times New Roman" w:cs="Times New Roman"/>
          <w:color w:val="222222"/>
          <w:sz w:val="24"/>
          <w:szCs w:val="24"/>
          <w:shd w:val="clear" w:color="auto" w:fill="FFFFFF"/>
        </w:rPr>
        <w:t>Gu</w:t>
      </w:r>
      <w:r>
        <w:rPr>
          <w:rFonts w:ascii="Times New Roman" w:hAnsi="Times New Roman" w:cs="Times New Roman"/>
          <w:color w:val="222222"/>
          <w:sz w:val="24"/>
          <w:szCs w:val="24"/>
          <w:shd w:val="clear" w:color="auto" w:fill="FFFFFF"/>
        </w:rPr>
        <w:t>, 2022</w:t>
      </w:r>
      <w:r>
        <w:rPr>
          <w:rFonts w:ascii="Times New Roman" w:hAnsi="Times New Roman" w:cs="Times New Roman"/>
          <w:sz w:val="24"/>
          <w:szCs w:val="24"/>
        </w:rPr>
        <w:t xml:space="preserve">). However, the company has established branches in various countries, including India, whose political, social, cultural, and economic factors are quite different. In this case, although the company is using international financial management to monitor various aspects of the markets in every country, some countries have complex cultural systems that are difficult to crack. Moreover, some countries have actively shifted economic trends, making project appraisal and market analysis difficult. </w:t>
      </w:r>
    </w:p>
    <w:p w14:paraId="360DF279"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6" w:name="_Toc109214626"/>
      <w:r w:rsidRPr="00907EB0">
        <w:rPr>
          <w:rFonts w:ascii="Times New Roman" w:hAnsi="Times New Roman" w:cs="Times New Roman"/>
          <w:b/>
          <w:color w:val="000000" w:themeColor="text1"/>
          <w:sz w:val="24"/>
          <w:szCs w:val="24"/>
        </w:rPr>
        <w:t>Conclusion</w:t>
      </w:r>
      <w:bookmarkEnd w:id="6"/>
    </w:p>
    <w:p w14:paraId="501BED83" w14:textId="05157D92" w:rsidR="00907EB0" w:rsidRPr="00FF34D4" w:rsidRDefault="00907EB0" w:rsidP="00EF6B6C">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Procter and Gamble is one of the largest multinational retailers of cleaning and laundry products. Its approach to internationalization is reasonably practical and has pushed the company to become very successful in various international markets. International financial management has helped Procter and Gambler compute the exchange rates for more than 80 countries where it has based its operations. Originally, the headquarters of the company was based in the United States, but the company has branches in different countries all over the globe. As a result, it is dealing with various currencies that may be difficult to compute. However, through international financial management, Procter and Gamble has been able to compute all the exchange rates to come up with precise figures for transparency and trustworthiness by shareholders. However, it experiences various challenges due to differing global political, social, economic, and cultural factors. Despite these challenges, the company is </w:t>
      </w:r>
      <w:r>
        <w:rPr>
          <w:rFonts w:ascii="Times New Roman" w:hAnsi="Times New Roman" w:cs="Times New Roman"/>
          <w:sz w:val="24"/>
          <w:szCs w:val="24"/>
        </w:rPr>
        <w:lastRenderedPageBreak/>
        <w:t>still growing through effective market hypothesis and successful methods of appraising its projects.</w:t>
      </w:r>
    </w:p>
    <w:p w14:paraId="5A73A776" w14:textId="77777777" w:rsidR="00907EB0" w:rsidRDefault="00907EB0" w:rsidP="00907EB0">
      <w:pPr>
        <w:rPr>
          <w:rFonts w:ascii="Times New Roman" w:hAnsi="Times New Roman" w:cs="Times New Roman"/>
          <w:sz w:val="24"/>
          <w:szCs w:val="24"/>
        </w:rPr>
      </w:pPr>
      <w:r>
        <w:rPr>
          <w:rFonts w:ascii="Times New Roman" w:hAnsi="Times New Roman" w:cs="Times New Roman"/>
          <w:sz w:val="24"/>
          <w:szCs w:val="24"/>
        </w:rPr>
        <w:br w:type="page"/>
      </w:r>
    </w:p>
    <w:p w14:paraId="21EC30C9" w14:textId="77777777" w:rsidR="00907EB0" w:rsidRPr="00907EB0" w:rsidRDefault="00907EB0" w:rsidP="00907EB0">
      <w:pPr>
        <w:pStyle w:val="Heading1"/>
        <w:spacing w:line="480" w:lineRule="auto"/>
        <w:rPr>
          <w:rFonts w:ascii="Times New Roman" w:hAnsi="Times New Roman" w:cs="Times New Roman"/>
          <w:b/>
          <w:color w:val="000000" w:themeColor="text1"/>
          <w:sz w:val="24"/>
          <w:szCs w:val="24"/>
        </w:rPr>
      </w:pPr>
      <w:bookmarkStart w:id="7" w:name="_Toc109214627"/>
      <w:r w:rsidRPr="00907EB0">
        <w:rPr>
          <w:rFonts w:ascii="Times New Roman" w:hAnsi="Times New Roman" w:cs="Times New Roman"/>
          <w:b/>
          <w:color w:val="000000" w:themeColor="text1"/>
          <w:sz w:val="24"/>
          <w:szCs w:val="24"/>
        </w:rPr>
        <w:lastRenderedPageBreak/>
        <w:t>References</w:t>
      </w:r>
      <w:bookmarkEnd w:id="7"/>
    </w:p>
    <w:p w14:paraId="7D185D77" w14:textId="77777777" w:rsidR="00907EB0" w:rsidRPr="00DF0DDE" w:rsidRDefault="00907EB0" w:rsidP="00907EB0">
      <w:pPr>
        <w:spacing w:line="480" w:lineRule="auto"/>
        <w:ind w:left="720" w:hanging="720"/>
        <w:rPr>
          <w:rFonts w:ascii="Times New Roman" w:hAnsi="Times New Roman" w:cs="Times New Roman"/>
          <w:sz w:val="24"/>
          <w:szCs w:val="24"/>
        </w:rPr>
      </w:pPr>
      <w:r w:rsidRPr="00DF0DDE">
        <w:rPr>
          <w:rFonts w:ascii="Times New Roman" w:hAnsi="Times New Roman" w:cs="Times New Roman"/>
          <w:sz w:val="24"/>
          <w:szCs w:val="24"/>
        </w:rPr>
        <w:t xml:space="preserve">BusinessEssay. (2022) </w:t>
      </w:r>
      <w:r>
        <w:rPr>
          <w:rFonts w:ascii="Times New Roman" w:hAnsi="Times New Roman" w:cs="Times New Roman"/>
          <w:sz w:val="24"/>
          <w:szCs w:val="24"/>
        </w:rPr>
        <w:t>‘</w:t>
      </w:r>
      <w:r w:rsidRPr="00DF0DDE">
        <w:rPr>
          <w:rFonts w:ascii="Times New Roman" w:hAnsi="Times New Roman" w:cs="Times New Roman"/>
          <w:sz w:val="24"/>
          <w:szCs w:val="24"/>
        </w:rPr>
        <w:t>Procter and Gamble Company</w:t>
      </w:r>
      <w:r>
        <w:rPr>
          <w:rFonts w:ascii="Times New Roman" w:hAnsi="Times New Roman" w:cs="Times New Roman"/>
          <w:sz w:val="24"/>
          <w:szCs w:val="24"/>
        </w:rPr>
        <w:t>’</w:t>
      </w:r>
      <w:r w:rsidRPr="00DF0DDE">
        <w:rPr>
          <w:rFonts w:ascii="Times New Roman" w:hAnsi="Times New Roman" w:cs="Times New Roman"/>
          <w:sz w:val="24"/>
          <w:szCs w:val="24"/>
        </w:rPr>
        <w:t>s Performance Appraisal</w:t>
      </w:r>
      <w:r>
        <w:rPr>
          <w:rFonts w:ascii="Times New Roman" w:hAnsi="Times New Roman" w:cs="Times New Roman"/>
          <w:sz w:val="24"/>
          <w:szCs w:val="24"/>
        </w:rPr>
        <w:t>.’</w:t>
      </w:r>
      <w:r w:rsidRPr="00DF0DDE">
        <w:rPr>
          <w:rFonts w:ascii="Times New Roman" w:hAnsi="Times New Roman" w:cs="Times New Roman"/>
          <w:sz w:val="24"/>
          <w:szCs w:val="24"/>
        </w:rPr>
        <w:t xml:space="preserve"> 7 January. (Accessed: 20 July 2022).</w:t>
      </w:r>
    </w:p>
    <w:p w14:paraId="2AC6A541" w14:textId="77777777" w:rsidR="00907EB0" w:rsidRPr="00DF0DDE" w:rsidRDefault="00907EB0" w:rsidP="00907EB0">
      <w:pPr>
        <w:spacing w:line="480" w:lineRule="auto"/>
        <w:ind w:left="720" w:hanging="720"/>
        <w:rPr>
          <w:rFonts w:ascii="Times New Roman" w:hAnsi="Times New Roman" w:cs="Times New Roman"/>
          <w:color w:val="222222"/>
          <w:sz w:val="24"/>
          <w:szCs w:val="24"/>
          <w:shd w:val="clear" w:color="auto" w:fill="FFFFFF"/>
        </w:rPr>
      </w:pPr>
      <w:r w:rsidRPr="00DF0DDE">
        <w:rPr>
          <w:rFonts w:ascii="Times New Roman" w:hAnsi="Times New Roman" w:cs="Times New Roman"/>
          <w:color w:val="222222"/>
          <w:sz w:val="24"/>
          <w:szCs w:val="24"/>
          <w:shd w:val="clear" w:color="auto" w:fill="FFFFFF"/>
        </w:rPr>
        <w:t>Gu, T. (2022). Research on Proctor and Gamble Marketing Strategy during Covid-19 in the US. In </w:t>
      </w:r>
      <w:r w:rsidRPr="00DF0DDE">
        <w:rPr>
          <w:rFonts w:ascii="Times New Roman" w:hAnsi="Times New Roman" w:cs="Times New Roman"/>
          <w:i/>
          <w:iCs/>
          <w:color w:val="222222"/>
          <w:sz w:val="24"/>
          <w:szCs w:val="24"/>
          <w:shd w:val="clear" w:color="auto" w:fill="FFFFFF"/>
        </w:rPr>
        <w:t>2022 7th International Conference on Social Sciences and Economic Development (ICSSED 2022)</w:t>
      </w:r>
      <w:r w:rsidRPr="00DF0DDE">
        <w:rPr>
          <w:rFonts w:ascii="Times New Roman" w:hAnsi="Times New Roman" w:cs="Times New Roman"/>
          <w:color w:val="222222"/>
          <w:sz w:val="24"/>
          <w:szCs w:val="24"/>
          <w:shd w:val="clear" w:color="auto" w:fill="FFFFFF"/>
        </w:rPr>
        <w:t> (pp. 765-770). Atlantis Press.</w:t>
      </w:r>
    </w:p>
    <w:p w14:paraId="21BE6E61" w14:textId="77777777" w:rsidR="00907EB0" w:rsidRPr="00DF0DDE" w:rsidRDefault="00907EB0" w:rsidP="00907EB0">
      <w:pPr>
        <w:spacing w:line="480" w:lineRule="auto"/>
        <w:ind w:left="720" w:hanging="720"/>
        <w:rPr>
          <w:rFonts w:ascii="Times New Roman" w:hAnsi="Times New Roman" w:cs="Times New Roman"/>
          <w:color w:val="222222"/>
          <w:sz w:val="24"/>
          <w:szCs w:val="24"/>
          <w:shd w:val="clear" w:color="auto" w:fill="FFFFFF"/>
        </w:rPr>
      </w:pPr>
      <w:r w:rsidRPr="00DF0DDE">
        <w:rPr>
          <w:rFonts w:ascii="Times New Roman" w:hAnsi="Times New Roman" w:cs="Times New Roman"/>
          <w:color w:val="222222"/>
          <w:sz w:val="24"/>
          <w:szCs w:val="24"/>
          <w:shd w:val="clear" w:color="auto" w:fill="FFFFFF"/>
        </w:rPr>
        <w:t>Hussain, S. W., Qureshi, J. A., Mubeen, M., &amp; Asrar, Z. (2020). Local players giving a run for the share to a global giant: A case study of Pampers brand of Proctor and Gamble Pakistan. </w:t>
      </w:r>
      <w:r w:rsidRPr="00DF0DDE">
        <w:rPr>
          <w:rFonts w:ascii="Times New Roman" w:hAnsi="Times New Roman" w:cs="Times New Roman"/>
          <w:i/>
          <w:iCs/>
          <w:color w:val="222222"/>
          <w:sz w:val="24"/>
          <w:szCs w:val="24"/>
          <w:shd w:val="clear" w:color="auto" w:fill="FFFFFF"/>
        </w:rPr>
        <w:t>International Journal of Experiential Learning &amp; Case Studies</w:t>
      </w:r>
      <w:r w:rsidRPr="00DF0DDE">
        <w:rPr>
          <w:rFonts w:ascii="Times New Roman" w:hAnsi="Times New Roman" w:cs="Times New Roman"/>
          <w:color w:val="222222"/>
          <w:sz w:val="24"/>
          <w:szCs w:val="24"/>
          <w:shd w:val="clear" w:color="auto" w:fill="FFFFFF"/>
        </w:rPr>
        <w:t>, </w:t>
      </w:r>
      <w:r w:rsidRPr="00DF0DDE">
        <w:rPr>
          <w:rFonts w:ascii="Times New Roman" w:hAnsi="Times New Roman" w:cs="Times New Roman"/>
          <w:i/>
          <w:iCs/>
          <w:color w:val="222222"/>
          <w:sz w:val="24"/>
          <w:szCs w:val="24"/>
          <w:shd w:val="clear" w:color="auto" w:fill="FFFFFF"/>
        </w:rPr>
        <w:t>5</w:t>
      </w:r>
      <w:r w:rsidRPr="00DF0DDE">
        <w:rPr>
          <w:rFonts w:ascii="Times New Roman" w:hAnsi="Times New Roman" w:cs="Times New Roman"/>
          <w:color w:val="222222"/>
          <w:sz w:val="24"/>
          <w:szCs w:val="24"/>
          <w:shd w:val="clear" w:color="auto" w:fill="FFFFFF"/>
        </w:rPr>
        <w:t>(1), 122-134.</w:t>
      </w:r>
    </w:p>
    <w:p w14:paraId="219D48D2" w14:textId="77777777" w:rsidR="00907EB0" w:rsidRPr="00DF0DDE" w:rsidRDefault="00907EB0" w:rsidP="00907EB0">
      <w:pPr>
        <w:spacing w:line="480" w:lineRule="auto"/>
        <w:ind w:left="720" w:hanging="720"/>
        <w:rPr>
          <w:rFonts w:ascii="Times New Roman" w:hAnsi="Times New Roman" w:cs="Times New Roman"/>
          <w:sz w:val="24"/>
          <w:szCs w:val="24"/>
        </w:rPr>
      </w:pPr>
      <w:r w:rsidRPr="00DF0DDE">
        <w:rPr>
          <w:rFonts w:ascii="Times New Roman" w:hAnsi="Times New Roman" w:cs="Times New Roman"/>
          <w:sz w:val="24"/>
          <w:szCs w:val="24"/>
        </w:rPr>
        <w:t xml:space="preserve">Procter and Gamble. (n.d). Procter and Gamble. </w:t>
      </w:r>
      <w:hyperlink r:id="rId9" w:history="1">
        <w:r w:rsidRPr="00DF0DDE">
          <w:rPr>
            <w:rStyle w:val="Hyperlink"/>
            <w:rFonts w:ascii="Times New Roman" w:hAnsi="Times New Roman" w:cs="Times New Roman"/>
            <w:sz w:val="24"/>
            <w:szCs w:val="24"/>
          </w:rPr>
          <w:t>https://us.pg.com/</w:t>
        </w:r>
      </w:hyperlink>
    </w:p>
    <w:p w14:paraId="29FF6201" w14:textId="77777777" w:rsidR="00907EB0" w:rsidRPr="00DF0DDE" w:rsidRDefault="00907EB0" w:rsidP="00907EB0">
      <w:pPr>
        <w:spacing w:line="480" w:lineRule="auto"/>
        <w:ind w:left="720" w:hanging="720"/>
        <w:rPr>
          <w:rFonts w:ascii="Times New Roman" w:hAnsi="Times New Roman" w:cs="Times New Roman"/>
          <w:color w:val="222222"/>
          <w:sz w:val="24"/>
          <w:szCs w:val="24"/>
          <w:shd w:val="clear" w:color="auto" w:fill="FFFFFF"/>
        </w:rPr>
      </w:pPr>
      <w:r w:rsidRPr="00DF0DDE">
        <w:rPr>
          <w:rFonts w:ascii="Times New Roman" w:hAnsi="Times New Roman" w:cs="Times New Roman"/>
          <w:color w:val="222222"/>
          <w:sz w:val="24"/>
          <w:szCs w:val="24"/>
          <w:shd w:val="clear" w:color="auto" w:fill="FFFFFF"/>
        </w:rPr>
        <w:t>Rossi, M., &amp; Gunardi, A. (2018). Efficient market hypothesis and stock market anomalies: Empirical evidence in four European countries. </w:t>
      </w:r>
      <w:r w:rsidRPr="00DF0DDE">
        <w:rPr>
          <w:rFonts w:ascii="Times New Roman" w:hAnsi="Times New Roman" w:cs="Times New Roman"/>
          <w:i/>
          <w:iCs/>
          <w:color w:val="222222"/>
          <w:sz w:val="24"/>
          <w:szCs w:val="24"/>
          <w:shd w:val="clear" w:color="auto" w:fill="FFFFFF"/>
        </w:rPr>
        <w:t>Journal of Applied Business Research (JABR)</w:t>
      </w:r>
      <w:r w:rsidRPr="00DF0DDE">
        <w:rPr>
          <w:rFonts w:ascii="Times New Roman" w:hAnsi="Times New Roman" w:cs="Times New Roman"/>
          <w:color w:val="222222"/>
          <w:sz w:val="24"/>
          <w:szCs w:val="24"/>
          <w:shd w:val="clear" w:color="auto" w:fill="FFFFFF"/>
        </w:rPr>
        <w:t>, </w:t>
      </w:r>
      <w:r w:rsidRPr="00DF0DDE">
        <w:rPr>
          <w:rFonts w:ascii="Times New Roman" w:hAnsi="Times New Roman" w:cs="Times New Roman"/>
          <w:i/>
          <w:iCs/>
          <w:color w:val="222222"/>
          <w:sz w:val="24"/>
          <w:szCs w:val="24"/>
          <w:shd w:val="clear" w:color="auto" w:fill="FFFFFF"/>
        </w:rPr>
        <w:t>34</w:t>
      </w:r>
      <w:r w:rsidRPr="00DF0DDE">
        <w:rPr>
          <w:rFonts w:ascii="Times New Roman" w:hAnsi="Times New Roman" w:cs="Times New Roman"/>
          <w:color w:val="222222"/>
          <w:sz w:val="24"/>
          <w:szCs w:val="24"/>
          <w:shd w:val="clear" w:color="auto" w:fill="FFFFFF"/>
        </w:rPr>
        <w:t>(1), 183-192.</w:t>
      </w:r>
    </w:p>
    <w:p w14:paraId="455F7F4E" w14:textId="77777777" w:rsidR="00907EB0" w:rsidRPr="00DF0DDE" w:rsidRDefault="00907EB0" w:rsidP="00907EB0">
      <w:pPr>
        <w:spacing w:line="480" w:lineRule="auto"/>
        <w:ind w:left="720" w:hanging="720"/>
        <w:rPr>
          <w:rFonts w:ascii="Times New Roman" w:hAnsi="Times New Roman" w:cs="Times New Roman"/>
          <w:color w:val="222222"/>
          <w:sz w:val="24"/>
          <w:szCs w:val="24"/>
          <w:shd w:val="clear" w:color="auto" w:fill="FFFFFF"/>
        </w:rPr>
      </w:pPr>
      <w:r w:rsidRPr="00DF0DDE">
        <w:rPr>
          <w:rFonts w:ascii="Times New Roman" w:hAnsi="Times New Roman" w:cs="Times New Roman"/>
          <w:color w:val="222222"/>
          <w:sz w:val="24"/>
          <w:szCs w:val="24"/>
          <w:shd w:val="clear" w:color="auto" w:fill="FFFFFF"/>
        </w:rPr>
        <w:t>Shapiro, A. C., &amp; Hanouna, P. (2019). </w:t>
      </w:r>
      <w:r w:rsidRPr="00DF0DDE">
        <w:rPr>
          <w:rFonts w:ascii="Times New Roman" w:hAnsi="Times New Roman" w:cs="Times New Roman"/>
          <w:i/>
          <w:iCs/>
          <w:color w:val="222222"/>
          <w:sz w:val="24"/>
          <w:szCs w:val="24"/>
          <w:shd w:val="clear" w:color="auto" w:fill="FFFFFF"/>
        </w:rPr>
        <w:t>Multinational financial management</w:t>
      </w:r>
      <w:r w:rsidRPr="00DF0DDE">
        <w:rPr>
          <w:rFonts w:ascii="Times New Roman" w:hAnsi="Times New Roman" w:cs="Times New Roman"/>
          <w:color w:val="222222"/>
          <w:sz w:val="24"/>
          <w:szCs w:val="24"/>
          <w:shd w:val="clear" w:color="auto" w:fill="FFFFFF"/>
        </w:rPr>
        <w:t>. John Wiley &amp; Sons.\</w:t>
      </w:r>
    </w:p>
    <w:p w14:paraId="7BA39CFD" w14:textId="77777777" w:rsidR="00907EB0" w:rsidRPr="00FF34D4" w:rsidRDefault="00907EB0" w:rsidP="00907EB0">
      <w:pPr>
        <w:spacing w:line="480" w:lineRule="auto"/>
        <w:rPr>
          <w:rFonts w:ascii="Times New Roman" w:hAnsi="Times New Roman" w:cs="Times New Roman"/>
          <w:sz w:val="24"/>
          <w:szCs w:val="24"/>
        </w:rPr>
      </w:pPr>
    </w:p>
    <w:p w14:paraId="03EA219D" w14:textId="74AEBD78" w:rsidR="0002171F" w:rsidRPr="00907EB0" w:rsidRDefault="0002171F" w:rsidP="00907EB0"/>
    <w:sectPr w:rsidR="0002171F" w:rsidRPr="00907EB0" w:rsidSect="00DF0DD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F2076" w14:textId="77777777" w:rsidR="004C300B" w:rsidRDefault="004C300B" w:rsidP="00907EB0">
      <w:pPr>
        <w:spacing w:after="0" w:line="240" w:lineRule="auto"/>
      </w:pPr>
      <w:r>
        <w:separator/>
      </w:r>
    </w:p>
  </w:endnote>
  <w:endnote w:type="continuationSeparator" w:id="0">
    <w:p w14:paraId="795A360F" w14:textId="77777777" w:rsidR="004C300B" w:rsidRDefault="004C300B" w:rsidP="00907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278521"/>
      <w:docPartObj>
        <w:docPartGallery w:val="Page Numbers (Bottom of Page)"/>
        <w:docPartUnique/>
      </w:docPartObj>
    </w:sdtPr>
    <w:sdtEndPr>
      <w:rPr>
        <w:noProof/>
      </w:rPr>
    </w:sdtEndPr>
    <w:sdtContent>
      <w:p w14:paraId="1C45D770" w14:textId="05372497" w:rsidR="00907EB0" w:rsidRDefault="00907E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82FA72" w14:textId="77777777" w:rsidR="00907EB0" w:rsidRDefault="00907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4B748" w14:textId="77777777" w:rsidR="004C300B" w:rsidRDefault="004C300B" w:rsidP="00907EB0">
      <w:pPr>
        <w:spacing w:after="0" w:line="240" w:lineRule="auto"/>
      </w:pPr>
      <w:r>
        <w:separator/>
      </w:r>
    </w:p>
  </w:footnote>
  <w:footnote w:type="continuationSeparator" w:id="0">
    <w:p w14:paraId="467D0E7F" w14:textId="77777777" w:rsidR="004C300B" w:rsidRDefault="004C300B" w:rsidP="00907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3346E" w14:textId="61A14B2D" w:rsidR="00A44B56" w:rsidRDefault="00A44B56">
    <w:pPr>
      <w:pStyle w:val="Header"/>
    </w:pPr>
    <w:r>
      <w:rPr>
        <w:rFonts w:ascii="Times New Roman" w:hAnsi="Times New Roman" w:cs="Times New Roman"/>
        <w:sz w:val="24"/>
        <w:szCs w:val="24"/>
      </w:rPr>
      <w:t xml:space="preserve">Student ID </w:t>
    </w:r>
    <w:r w:rsidRPr="00E8388E">
      <w:rPr>
        <w:rFonts w:ascii="Times New Roman" w:hAnsi="Times New Roman" w:cs="Times New Roman"/>
        <w:sz w:val="24"/>
        <w:szCs w:val="24"/>
      </w:rPr>
      <w:t>1922008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0F2"/>
    <w:rsid w:val="000042E5"/>
    <w:rsid w:val="0002171F"/>
    <w:rsid w:val="000A3EFB"/>
    <w:rsid w:val="00106082"/>
    <w:rsid w:val="003012BB"/>
    <w:rsid w:val="004604EC"/>
    <w:rsid w:val="004C300B"/>
    <w:rsid w:val="00535939"/>
    <w:rsid w:val="00687BEF"/>
    <w:rsid w:val="00701528"/>
    <w:rsid w:val="00907EB0"/>
    <w:rsid w:val="00964696"/>
    <w:rsid w:val="00A21A50"/>
    <w:rsid w:val="00A44B56"/>
    <w:rsid w:val="00AA0954"/>
    <w:rsid w:val="00AE6643"/>
    <w:rsid w:val="00B130F2"/>
    <w:rsid w:val="00C5162C"/>
    <w:rsid w:val="00DF1222"/>
    <w:rsid w:val="00E8388E"/>
    <w:rsid w:val="00EF6B6C"/>
    <w:rsid w:val="00FA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3945C"/>
  <w15:chartTrackingRefBased/>
  <w15:docId w15:val="{991667F1-4340-4E3A-B1C8-8A0CA85A0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EB0"/>
    <w:rPr>
      <w:lang w:val="en-US"/>
    </w:rPr>
  </w:style>
  <w:style w:type="paragraph" w:styleId="Heading1">
    <w:name w:val="heading 1"/>
    <w:basedOn w:val="Normal"/>
    <w:next w:val="Normal"/>
    <w:link w:val="Heading1Char"/>
    <w:uiPriority w:val="9"/>
    <w:qFormat/>
    <w:rsid w:val="00907E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EB0"/>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907E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7EB0"/>
    <w:rPr>
      <w:lang w:val="en-US"/>
    </w:rPr>
  </w:style>
  <w:style w:type="character" w:styleId="Hyperlink">
    <w:name w:val="Hyperlink"/>
    <w:basedOn w:val="DefaultParagraphFont"/>
    <w:uiPriority w:val="99"/>
    <w:unhideWhenUsed/>
    <w:rsid w:val="00907EB0"/>
    <w:rPr>
      <w:color w:val="0563C1" w:themeColor="hyperlink"/>
      <w:u w:val="single"/>
    </w:rPr>
  </w:style>
  <w:style w:type="paragraph" w:styleId="TOCHeading">
    <w:name w:val="TOC Heading"/>
    <w:basedOn w:val="Heading1"/>
    <w:next w:val="Normal"/>
    <w:uiPriority w:val="39"/>
    <w:unhideWhenUsed/>
    <w:qFormat/>
    <w:rsid w:val="00907EB0"/>
    <w:pPr>
      <w:outlineLvl w:val="9"/>
    </w:pPr>
  </w:style>
  <w:style w:type="paragraph" w:styleId="TOC1">
    <w:name w:val="toc 1"/>
    <w:basedOn w:val="Normal"/>
    <w:next w:val="Normal"/>
    <w:autoRedefine/>
    <w:uiPriority w:val="39"/>
    <w:unhideWhenUsed/>
    <w:rsid w:val="00907EB0"/>
    <w:pPr>
      <w:spacing w:after="100"/>
    </w:pPr>
  </w:style>
  <w:style w:type="paragraph" w:styleId="Footer">
    <w:name w:val="footer"/>
    <w:basedOn w:val="Normal"/>
    <w:link w:val="FooterChar"/>
    <w:uiPriority w:val="99"/>
    <w:unhideWhenUsed/>
    <w:rsid w:val="00907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EB0"/>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s.p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41410-AB2E-4564-8910-6D20843DC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8</Pages>
  <Words>1882</Words>
  <Characters>10729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doru.sorin doru</dc:creator>
  <cp:keywords/>
  <dc:description/>
  <cp:lastModifiedBy>doru.sorin doru</cp:lastModifiedBy>
  <cp:revision>9</cp:revision>
  <dcterms:created xsi:type="dcterms:W3CDTF">2022-07-19T16:26:00Z</dcterms:created>
  <dcterms:modified xsi:type="dcterms:W3CDTF">2022-07-28T18:17:00Z</dcterms:modified>
</cp:coreProperties>
</file>