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1069A" w14:textId="77777777" w:rsidR="00037AED" w:rsidRDefault="00037AED" w:rsidP="00037AED">
      <w:pPr>
        <w:spacing w:line="360" w:lineRule="auto"/>
        <w:rPr>
          <w:rFonts w:asciiTheme="majorHAnsi" w:hAnsiTheme="majorHAnsi" w:cstheme="majorHAnsi"/>
          <w:u w:val="single"/>
        </w:rPr>
      </w:pPr>
      <w:r w:rsidRPr="002C66C2">
        <w:rPr>
          <w:rFonts w:asciiTheme="majorHAnsi" w:hAnsiTheme="majorHAnsi" w:cstheme="majorHAnsi"/>
          <w:u w:val="single"/>
        </w:rPr>
        <w:t>Abstract.</w:t>
      </w:r>
    </w:p>
    <w:p w14:paraId="3547223B" w14:textId="77777777" w:rsidR="00037AED" w:rsidRPr="000F6DDE" w:rsidRDefault="00037AED" w:rsidP="00037AED">
      <w:pPr>
        <w:spacing w:line="360" w:lineRule="auto"/>
        <w:rPr>
          <w:rFonts w:asciiTheme="majorHAnsi" w:hAnsiTheme="majorHAnsi" w:cstheme="majorHAnsi"/>
          <w:sz w:val="22"/>
          <w:szCs w:val="22"/>
        </w:rPr>
      </w:pPr>
      <w:r w:rsidRPr="000F6DDE">
        <w:rPr>
          <w:rFonts w:asciiTheme="majorHAnsi" w:hAnsiTheme="majorHAnsi" w:cstheme="majorHAnsi"/>
          <w:sz w:val="22"/>
          <w:szCs w:val="22"/>
        </w:rPr>
        <w:t xml:space="preserve">The purpose of the study is to determine whether reading proficiency discrepancies exist among children from low-income homes and what may be done to reduce the gap. Reading proficiency was evaluated in two nursery settings in South Wales, </w:t>
      </w:r>
      <w:r>
        <w:rPr>
          <w:rFonts w:asciiTheme="majorHAnsi" w:hAnsiTheme="majorHAnsi" w:cstheme="majorHAnsi"/>
          <w:sz w:val="22"/>
          <w:szCs w:val="22"/>
        </w:rPr>
        <w:t xml:space="preserve">with children aged three and four, </w:t>
      </w:r>
      <w:r w:rsidRPr="000F6DDE">
        <w:rPr>
          <w:rFonts w:asciiTheme="majorHAnsi" w:hAnsiTheme="majorHAnsi" w:cstheme="majorHAnsi"/>
          <w:sz w:val="22"/>
          <w:szCs w:val="22"/>
        </w:rPr>
        <w:t xml:space="preserve">and an intervention was implemented </w:t>
      </w:r>
      <w:r>
        <w:rPr>
          <w:rFonts w:asciiTheme="majorHAnsi" w:hAnsiTheme="majorHAnsi" w:cstheme="majorHAnsi"/>
          <w:sz w:val="22"/>
          <w:szCs w:val="22"/>
        </w:rPr>
        <w:t xml:space="preserve">for the children and parents </w:t>
      </w:r>
      <w:r w:rsidRPr="000F6DDE">
        <w:rPr>
          <w:rFonts w:asciiTheme="majorHAnsi" w:hAnsiTheme="majorHAnsi" w:cstheme="majorHAnsi"/>
          <w:sz w:val="22"/>
          <w:szCs w:val="22"/>
        </w:rPr>
        <w:t>in the school with the highest number of students receiving free school meals</w:t>
      </w:r>
      <w:r>
        <w:rPr>
          <w:rFonts w:asciiTheme="majorHAnsi" w:hAnsiTheme="majorHAnsi" w:cstheme="majorHAnsi"/>
          <w:sz w:val="22"/>
          <w:szCs w:val="22"/>
        </w:rPr>
        <w:t xml:space="preserve">, so lower income. </w:t>
      </w:r>
      <w:r w:rsidRPr="000F6DDE">
        <w:rPr>
          <w:rFonts w:asciiTheme="majorHAnsi" w:hAnsiTheme="majorHAnsi" w:cstheme="majorHAnsi"/>
          <w:sz w:val="22"/>
          <w:szCs w:val="22"/>
        </w:rPr>
        <w:t>Parents received tools and training to help with the intervention.</w:t>
      </w:r>
      <w:r w:rsidRPr="002C3757">
        <w:t xml:space="preserve"> </w:t>
      </w:r>
      <w:r w:rsidRPr="002C3757">
        <w:rPr>
          <w:rFonts w:asciiTheme="majorHAnsi" w:hAnsiTheme="majorHAnsi" w:cstheme="majorHAnsi"/>
          <w:sz w:val="22"/>
          <w:szCs w:val="22"/>
        </w:rPr>
        <w:t xml:space="preserve">The questions for the parent questionnaire were developed using information from staff interviews regarding the skills and requirements of children and their families. The researcher's questionnaire was used to collect quantitative information. The researcher gained more qualitative information and a deeper understanding of the families through a focus group of parents that was held at the school. </w:t>
      </w:r>
      <w:r>
        <w:rPr>
          <w:rFonts w:asciiTheme="majorHAnsi" w:hAnsiTheme="majorHAnsi" w:cstheme="majorHAnsi"/>
          <w:sz w:val="22"/>
          <w:szCs w:val="22"/>
        </w:rPr>
        <w:t xml:space="preserve"> </w:t>
      </w:r>
      <w:r w:rsidRPr="00E970E6">
        <w:rPr>
          <w:rFonts w:asciiTheme="majorHAnsi" w:hAnsiTheme="majorHAnsi" w:cstheme="majorHAnsi"/>
          <w:sz w:val="22"/>
          <w:szCs w:val="22"/>
        </w:rPr>
        <w:t>The majority of children who took part in the reading interventions improved their reading abilities were tested at the conclusion of the twelve-week period as a result of the study. Through support for the classroom teachers' training and development, parents improved their own literacy abilities. Children kept up this level as they progressed through the school because their parents continued to read to them at home and they continued t</w:t>
      </w:r>
      <w:r>
        <w:rPr>
          <w:rFonts w:asciiTheme="majorHAnsi" w:hAnsiTheme="majorHAnsi" w:cstheme="majorHAnsi"/>
          <w:sz w:val="22"/>
          <w:szCs w:val="22"/>
        </w:rPr>
        <w:t>o</w:t>
      </w:r>
      <w:r w:rsidRPr="00E970E6">
        <w:rPr>
          <w:rFonts w:asciiTheme="majorHAnsi" w:hAnsiTheme="majorHAnsi" w:cstheme="majorHAnsi"/>
          <w:sz w:val="22"/>
          <w:szCs w:val="22"/>
        </w:rPr>
        <w:t xml:space="preserve"> have shared reading in school with staff and peers.</w:t>
      </w:r>
      <w:r>
        <w:rPr>
          <w:rFonts w:asciiTheme="majorHAnsi" w:hAnsiTheme="majorHAnsi" w:cstheme="majorHAnsi"/>
          <w:sz w:val="22"/>
          <w:szCs w:val="22"/>
        </w:rPr>
        <w:t xml:space="preserve"> </w:t>
      </w:r>
      <w:r w:rsidRPr="00765A73">
        <w:rPr>
          <w:rFonts w:asciiTheme="majorHAnsi" w:hAnsiTheme="majorHAnsi" w:cstheme="majorHAnsi"/>
          <w:sz w:val="22"/>
          <w:szCs w:val="22"/>
        </w:rPr>
        <w:t>This study adds to the body of research showing how preschool reading programmes can improve language development in children from low-income homes.</w:t>
      </w:r>
    </w:p>
    <w:p w14:paraId="04F8F493" w14:textId="77777777" w:rsidR="00037AED" w:rsidRDefault="00037AED" w:rsidP="00037AED">
      <w:pPr>
        <w:spacing w:line="360" w:lineRule="auto"/>
        <w:rPr>
          <w:rFonts w:asciiTheme="majorHAnsi" w:hAnsiTheme="majorHAnsi" w:cstheme="majorHAnsi"/>
          <w:u w:val="single"/>
        </w:rPr>
      </w:pPr>
    </w:p>
    <w:p w14:paraId="5DCB5549" w14:textId="77777777" w:rsidR="00037AED" w:rsidRPr="002C66C2" w:rsidRDefault="00037AED" w:rsidP="00037AED">
      <w:pPr>
        <w:spacing w:line="360" w:lineRule="auto"/>
        <w:rPr>
          <w:rFonts w:asciiTheme="majorHAnsi" w:hAnsiTheme="majorHAnsi" w:cstheme="majorHAnsi"/>
          <w:u w:val="single"/>
        </w:rPr>
      </w:pPr>
      <w:r w:rsidRPr="002C66C2">
        <w:rPr>
          <w:rFonts w:asciiTheme="majorHAnsi" w:hAnsiTheme="majorHAnsi" w:cstheme="majorHAnsi"/>
          <w:u w:val="single"/>
        </w:rPr>
        <w:t>Literature Review.</w:t>
      </w:r>
    </w:p>
    <w:p w14:paraId="5C93BFF6" w14:textId="77777777" w:rsidR="00037AED" w:rsidRPr="00255D6D" w:rsidRDefault="00037AED" w:rsidP="00037AED">
      <w:pPr>
        <w:spacing w:line="360" w:lineRule="auto"/>
        <w:rPr>
          <w:color w:val="000000" w:themeColor="text1"/>
        </w:rPr>
      </w:pPr>
      <w:r w:rsidRPr="0065659B">
        <w:rPr>
          <w:rFonts w:asciiTheme="majorHAnsi" w:hAnsiTheme="majorHAnsi" w:cstheme="majorHAnsi"/>
          <w:sz w:val="22"/>
          <w:szCs w:val="22"/>
        </w:rPr>
        <w:t xml:space="preserve">When it comes to reading research and pedagogical recommendations, there has always been and probably will always be a contentious topic. However, there is one topic on which all areas of the sector fundamentally agree: reading to </w:t>
      </w:r>
      <w:r>
        <w:rPr>
          <w:rFonts w:asciiTheme="majorHAnsi" w:hAnsiTheme="majorHAnsi" w:cstheme="majorHAnsi"/>
          <w:sz w:val="22"/>
          <w:szCs w:val="22"/>
        </w:rPr>
        <w:t xml:space="preserve">young children </w:t>
      </w:r>
      <w:r w:rsidRPr="0065659B">
        <w:rPr>
          <w:rFonts w:asciiTheme="majorHAnsi" w:hAnsiTheme="majorHAnsi" w:cstheme="majorHAnsi"/>
          <w:sz w:val="22"/>
          <w:szCs w:val="22"/>
        </w:rPr>
        <w:t xml:space="preserve">is a good thing because it is an activity through which children can develop interest and literacy abilities. </w:t>
      </w:r>
      <w:r w:rsidRPr="00D87C93">
        <w:rPr>
          <w:rFonts w:asciiTheme="majorHAnsi" w:hAnsiTheme="majorHAnsi" w:cstheme="majorHAnsi"/>
          <w:color w:val="000000" w:themeColor="text1"/>
          <w:sz w:val="22"/>
          <w:szCs w:val="22"/>
        </w:rPr>
        <w:t xml:space="preserve">(Teale, 1981). </w:t>
      </w:r>
      <w:r w:rsidRPr="0065659B">
        <w:rPr>
          <w:rFonts w:asciiTheme="majorHAnsi" w:hAnsiTheme="majorHAnsi" w:cstheme="majorHAnsi"/>
          <w:sz w:val="22"/>
          <w:szCs w:val="22"/>
        </w:rPr>
        <w:t>Reading at home with adults has a good association that can support both written and spoken language in a variety of ways. It can be claimed that Huey's statement from over 75 years ago still accurately captures the usefulness of this practise today. "The secret of it all lies in the parents' reading aloud to and with the child.</w:t>
      </w:r>
      <w:r>
        <w:rPr>
          <w:rFonts w:asciiTheme="majorHAnsi" w:hAnsiTheme="majorHAnsi" w:cstheme="majorHAnsi"/>
          <w:sz w:val="22"/>
          <w:szCs w:val="22"/>
        </w:rPr>
        <w:t xml:space="preserve"> </w:t>
      </w:r>
      <w:r w:rsidRPr="0065659B">
        <w:rPr>
          <w:rFonts w:asciiTheme="majorHAnsi" w:hAnsiTheme="majorHAnsi" w:cstheme="majorHAnsi"/>
          <w:sz w:val="22"/>
          <w:szCs w:val="22"/>
        </w:rPr>
        <w:t>"</w:t>
      </w:r>
      <w:r w:rsidRPr="00AB1A61">
        <w:rPr>
          <w:rFonts w:asciiTheme="majorHAnsi" w:hAnsiTheme="majorHAnsi" w:cstheme="majorHAnsi"/>
          <w:color w:val="000000" w:themeColor="text1"/>
          <w:sz w:val="22"/>
          <w:szCs w:val="22"/>
        </w:rPr>
        <w:t xml:space="preserve">E. B. Huey (1908, p. 332) </w:t>
      </w:r>
      <w:r w:rsidRPr="0065659B">
        <w:rPr>
          <w:rFonts w:asciiTheme="majorHAnsi" w:hAnsiTheme="majorHAnsi" w:cstheme="majorHAnsi"/>
          <w:sz w:val="22"/>
          <w:szCs w:val="22"/>
        </w:rPr>
        <w:t xml:space="preserve">Through the language interactions that take place during the book reading sessions, shared book reading gives parents the chance to instruct and scaffold the development of their children while also passing down their own experience </w:t>
      </w:r>
      <w:r w:rsidRPr="00AB1A61">
        <w:rPr>
          <w:rFonts w:asciiTheme="majorHAnsi" w:hAnsiTheme="majorHAnsi" w:cstheme="majorHAnsi"/>
          <w:color w:val="000000" w:themeColor="text1"/>
          <w:sz w:val="22"/>
          <w:szCs w:val="22"/>
        </w:rPr>
        <w:t xml:space="preserve">(Mol, Bus, de Jong, &amp; Smeets, 2008) </w:t>
      </w:r>
      <w:r w:rsidRPr="0065659B">
        <w:rPr>
          <w:rFonts w:asciiTheme="majorHAnsi" w:hAnsiTheme="majorHAnsi" w:cstheme="majorHAnsi"/>
          <w:sz w:val="22"/>
          <w:szCs w:val="22"/>
        </w:rPr>
        <w:t xml:space="preserve">Sharing a book with a child can give carers an opportunity to connect with them on a warm and sensitive level while also offering affective and emotional support.  The picture of a youngster contentedly curled up close to the carer during parent-child shared book reading during the preschool years is the iconic one. The executive function and emotion regulation skills of children are supported by this supportive emotional environment, which is important for learning and </w:t>
      </w:r>
      <w:r w:rsidRPr="0065659B">
        <w:rPr>
          <w:rFonts w:asciiTheme="majorHAnsi" w:hAnsiTheme="majorHAnsi" w:cstheme="majorHAnsi"/>
          <w:sz w:val="22"/>
          <w:szCs w:val="22"/>
        </w:rPr>
        <w:lastRenderedPageBreak/>
        <w:t xml:space="preserve">achievement </w:t>
      </w:r>
      <w:r w:rsidRPr="00EA5791">
        <w:rPr>
          <w:rFonts w:asciiTheme="majorHAnsi" w:hAnsiTheme="majorHAnsi" w:cstheme="majorHAnsi"/>
          <w:color w:val="000000" w:themeColor="text1"/>
          <w:sz w:val="22"/>
          <w:szCs w:val="22"/>
        </w:rPr>
        <w:t xml:space="preserve">(Shonkoff et al, 2012).  </w:t>
      </w:r>
      <w:r w:rsidRPr="00756C6F">
        <w:rPr>
          <w:rFonts w:asciiTheme="majorHAnsi" w:hAnsiTheme="majorHAnsi" w:cstheme="majorHAnsi"/>
          <w:sz w:val="22"/>
          <w:szCs w:val="22"/>
        </w:rPr>
        <w:t xml:space="preserve">The fact that some low-income parents are unable to participate in their children’s schooling can have a detrimental effect on how well </w:t>
      </w:r>
      <w:r>
        <w:rPr>
          <w:rFonts w:asciiTheme="majorHAnsi" w:hAnsiTheme="majorHAnsi" w:cstheme="majorHAnsi"/>
          <w:sz w:val="22"/>
          <w:szCs w:val="22"/>
        </w:rPr>
        <w:t xml:space="preserve">children </w:t>
      </w:r>
      <w:r w:rsidRPr="00756C6F">
        <w:rPr>
          <w:rFonts w:asciiTheme="majorHAnsi" w:hAnsiTheme="majorHAnsi" w:cstheme="majorHAnsi"/>
          <w:sz w:val="22"/>
          <w:szCs w:val="22"/>
        </w:rPr>
        <w:t>learn to read</w:t>
      </w:r>
      <w:r>
        <w:rPr>
          <w:rFonts w:asciiTheme="majorHAnsi" w:hAnsiTheme="majorHAnsi" w:cstheme="majorHAnsi"/>
          <w:sz w:val="22"/>
          <w:szCs w:val="22"/>
        </w:rPr>
        <w:t>.</w:t>
      </w:r>
      <w:r>
        <w:t xml:space="preserve"> </w:t>
      </w:r>
      <w:r w:rsidRPr="00B3538B">
        <w:rPr>
          <w:rFonts w:asciiTheme="majorHAnsi" w:hAnsiTheme="majorHAnsi" w:cstheme="majorHAnsi"/>
          <w:sz w:val="22"/>
          <w:szCs w:val="22"/>
        </w:rPr>
        <w:t>Children from lower-income households typically performed worse on reading exams than children from households with a moderate income</w:t>
      </w:r>
      <w:r>
        <w:rPr>
          <w:rFonts w:asciiTheme="majorHAnsi" w:hAnsiTheme="majorHAnsi" w:cstheme="majorHAnsi"/>
          <w:sz w:val="22"/>
          <w:szCs w:val="22"/>
        </w:rPr>
        <w:t xml:space="preserve"> </w:t>
      </w:r>
      <w:r w:rsidRPr="00547FDB">
        <w:rPr>
          <w:rFonts w:asciiTheme="majorHAnsi" w:hAnsiTheme="majorHAnsi" w:cstheme="majorHAnsi"/>
          <w:color w:val="000000" w:themeColor="text1"/>
          <w:sz w:val="22"/>
          <w:szCs w:val="22"/>
        </w:rPr>
        <w:t xml:space="preserve">(Gay et al, 2020) </w:t>
      </w:r>
      <w:r w:rsidRPr="00AE7B79">
        <w:rPr>
          <w:rFonts w:asciiTheme="majorHAnsi" w:hAnsiTheme="majorHAnsi" w:cstheme="majorHAnsi"/>
          <w:sz w:val="22"/>
          <w:szCs w:val="22"/>
        </w:rPr>
        <w:t>Income-based disparities in children's reading abilities can be attributed to the quantity and quality of interactions children experience at home and at school. Before formal education even starts, reading proficiency differences depending on income are obvious. and frequently persist or grow as children advance through school</w:t>
      </w:r>
      <w:r>
        <w:rPr>
          <w:rFonts w:asciiTheme="majorHAnsi" w:hAnsiTheme="majorHAnsi" w:cstheme="majorHAnsi"/>
          <w:sz w:val="22"/>
          <w:szCs w:val="22"/>
        </w:rPr>
        <w:t xml:space="preserve"> </w:t>
      </w:r>
      <w:r w:rsidRPr="00541152">
        <w:rPr>
          <w:rFonts w:asciiTheme="majorHAnsi" w:hAnsiTheme="majorHAnsi" w:cstheme="majorHAnsi"/>
          <w:color w:val="000000" w:themeColor="text1"/>
          <w:sz w:val="22"/>
          <w:szCs w:val="22"/>
        </w:rPr>
        <w:t xml:space="preserve">(Duncan et al, 2014).  </w:t>
      </w:r>
      <w:r w:rsidRPr="006D0652">
        <w:rPr>
          <w:rFonts w:asciiTheme="majorHAnsi" w:hAnsiTheme="majorHAnsi" w:cstheme="majorHAnsi"/>
          <w:sz w:val="22"/>
          <w:szCs w:val="22"/>
        </w:rPr>
        <w:t xml:space="preserve">Parents who are having financial difficulties might not be able to provide their children with reading-related resources or engage in reading-related </w:t>
      </w:r>
      <w:r w:rsidRPr="009702DD">
        <w:rPr>
          <w:rFonts w:asciiTheme="majorHAnsi" w:hAnsiTheme="majorHAnsi" w:cstheme="majorHAnsi"/>
          <w:color w:val="000000" w:themeColor="text1"/>
          <w:sz w:val="22"/>
          <w:szCs w:val="22"/>
        </w:rPr>
        <w:t>activities (Guo &amp; Harris, 2000)</w:t>
      </w:r>
      <w:r w:rsidRPr="009702DD">
        <w:rPr>
          <w:rStyle w:val="ref-lnk"/>
          <w:color w:val="000000" w:themeColor="text1"/>
        </w:rPr>
        <w:t xml:space="preserve">. </w:t>
      </w:r>
      <w:r w:rsidRPr="00A1573C">
        <w:rPr>
          <w:rFonts w:asciiTheme="majorHAnsi" w:hAnsiTheme="majorHAnsi" w:cstheme="majorHAnsi"/>
          <w:sz w:val="22"/>
          <w:szCs w:val="22"/>
        </w:rPr>
        <w:t>In other words, to some extent, the amount of money families have available to support such investments determines the degree to which they can "invest" in the education of their children. Due to the difficulty of accessing libraries in deprived communities, providing reading materials to low-income households might become even more challenging</w:t>
      </w:r>
      <w:r>
        <w:rPr>
          <w:rFonts w:asciiTheme="majorHAnsi" w:hAnsiTheme="majorHAnsi" w:cstheme="majorHAnsi"/>
          <w:sz w:val="22"/>
          <w:szCs w:val="22"/>
        </w:rPr>
        <w:t xml:space="preserve"> </w:t>
      </w:r>
      <w:r w:rsidRPr="009702DD">
        <w:rPr>
          <w:rFonts w:asciiTheme="majorHAnsi" w:hAnsiTheme="majorHAnsi" w:cstheme="majorHAnsi"/>
          <w:color w:val="000000" w:themeColor="text1"/>
          <w:sz w:val="22"/>
          <w:szCs w:val="22"/>
        </w:rPr>
        <w:t xml:space="preserve">(Thorne -Wallington, 2013) </w:t>
      </w:r>
      <w:r w:rsidRPr="00A14936">
        <w:rPr>
          <w:rFonts w:asciiTheme="majorHAnsi" w:hAnsiTheme="majorHAnsi" w:cstheme="majorHAnsi"/>
          <w:color w:val="000000" w:themeColor="text1"/>
          <w:sz w:val="22"/>
          <w:szCs w:val="22"/>
        </w:rPr>
        <w:t xml:space="preserve">Despite the fact that parent involvement in school is crucial for children's reading abilities, not all parents are able to be as involved as their children might require to be successful. For instance, parents from families with lower incomes frequently </w:t>
      </w:r>
      <w:r w:rsidRPr="009044A4">
        <w:rPr>
          <w:rFonts w:asciiTheme="majorHAnsi" w:hAnsiTheme="majorHAnsi" w:cstheme="majorHAnsi"/>
          <w:color w:val="000000" w:themeColor="text1"/>
          <w:sz w:val="22"/>
          <w:szCs w:val="22"/>
        </w:rPr>
        <w:t>participate less than those from higher-income homes (Sonnenschein, Stapleton and Metzger, 2014)</w:t>
      </w:r>
      <w:r>
        <w:rPr>
          <w:rFonts w:asciiTheme="majorHAnsi" w:hAnsiTheme="majorHAnsi" w:cstheme="majorHAnsi"/>
          <w:color w:val="000000" w:themeColor="text1"/>
          <w:sz w:val="22"/>
          <w:szCs w:val="22"/>
        </w:rPr>
        <w:t xml:space="preserve">. </w:t>
      </w:r>
      <w:r w:rsidRPr="00453894">
        <w:rPr>
          <w:rFonts w:asciiTheme="majorHAnsi" w:hAnsiTheme="majorHAnsi" w:cstheme="majorHAnsi"/>
          <w:color w:val="000000" w:themeColor="text1"/>
          <w:sz w:val="22"/>
          <w:szCs w:val="22"/>
        </w:rPr>
        <w:t xml:space="preserve">Income may act as a stand-in for other factors even though it is unlikely that it will directly influence why parents are </w:t>
      </w:r>
      <w:r w:rsidRPr="00881222">
        <w:rPr>
          <w:rFonts w:asciiTheme="majorHAnsi" w:hAnsiTheme="majorHAnsi" w:cstheme="majorHAnsi"/>
          <w:color w:val="000000" w:themeColor="text1"/>
          <w:sz w:val="22"/>
          <w:szCs w:val="22"/>
        </w:rPr>
        <w:t>participating. Low-income parents confront various obstacles that may limit their involvement in their children's education, including time, transportation, and the capacity to buy educational materials</w:t>
      </w:r>
      <w:r>
        <w:rPr>
          <w:rFonts w:asciiTheme="majorHAnsi" w:hAnsiTheme="majorHAnsi" w:cstheme="majorHAnsi"/>
          <w:color w:val="000000" w:themeColor="text1"/>
          <w:sz w:val="22"/>
          <w:szCs w:val="22"/>
        </w:rPr>
        <w:t xml:space="preserve"> </w:t>
      </w:r>
      <w:r w:rsidRPr="009702DD">
        <w:rPr>
          <w:rFonts w:asciiTheme="majorHAnsi" w:hAnsiTheme="majorHAnsi" w:cstheme="majorHAnsi"/>
          <w:color w:val="000000" w:themeColor="text1"/>
          <w:sz w:val="22"/>
          <w:szCs w:val="22"/>
        </w:rPr>
        <w:t xml:space="preserve">(Hornby &amp; Lafaele, 2011). </w:t>
      </w:r>
      <w:r w:rsidRPr="00255D6D">
        <w:rPr>
          <w:rFonts w:asciiTheme="majorHAnsi" w:hAnsiTheme="majorHAnsi" w:cstheme="majorHAnsi"/>
          <w:color w:val="000000" w:themeColor="text1"/>
          <w:sz w:val="22"/>
          <w:szCs w:val="22"/>
        </w:rPr>
        <w:t>Children from low-income households may require more outside assistance when learning to read than children from higher-income households due to potential limitations to parental participation.</w:t>
      </w:r>
      <w:r>
        <w:rPr>
          <w:rFonts w:asciiTheme="majorHAnsi" w:hAnsiTheme="majorHAnsi" w:cstheme="majorHAnsi"/>
          <w:color w:val="000000" w:themeColor="text1"/>
          <w:sz w:val="22"/>
          <w:szCs w:val="22"/>
        </w:rPr>
        <w:t xml:space="preserve"> </w:t>
      </w:r>
      <w:r w:rsidRPr="00114071">
        <w:rPr>
          <w:rFonts w:asciiTheme="majorHAnsi" w:hAnsiTheme="majorHAnsi" w:cstheme="majorHAnsi"/>
          <w:color w:val="000000" w:themeColor="text1"/>
          <w:sz w:val="22"/>
          <w:szCs w:val="22"/>
        </w:rPr>
        <w:t>An accurate picture of children's literacy experiences at home should be obtained given the established link between book reading frequency and children's language and literacy development. This need is especially urgent for low-income children who frequently begin preschool with minimal exposure to print and less variety in their linguistic experiences</w:t>
      </w:r>
      <w:r>
        <w:rPr>
          <w:rFonts w:asciiTheme="majorHAnsi" w:hAnsiTheme="majorHAnsi" w:cstheme="majorHAnsi"/>
          <w:color w:val="000000" w:themeColor="text1"/>
          <w:sz w:val="22"/>
          <w:szCs w:val="22"/>
        </w:rPr>
        <w:t xml:space="preserve"> </w:t>
      </w:r>
      <w:r w:rsidRPr="00FD3C83">
        <w:rPr>
          <w:rFonts w:asciiTheme="majorHAnsi" w:hAnsiTheme="majorHAnsi" w:cstheme="majorHAnsi"/>
          <w:color w:val="000000" w:themeColor="text1"/>
          <w:sz w:val="22"/>
          <w:szCs w:val="22"/>
        </w:rPr>
        <w:t xml:space="preserve">(Vernon‐Feagans, et al 2012). </w:t>
      </w:r>
      <w:r w:rsidRPr="006774FC">
        <w:rPr>
          <w:rFonts w:asciiTheme="majorHAnsi" w:hAnsiTheme="majorHAnsi" w:cstheme="majorHAnsi"/>
          <w:color w:val="333333"/>
          <w:sz w:val="22"/>
          <w:szCs w:val="22"/>
        </w:rPr>
        <w:t xml:space="preserve">In contrast to some earlier findings on the frequency of book reading in low-income families, numerous mothers and fathers read to their young children during the </w:t>
      </w:r>
      <w:r w:rsidRPr="00283D45">
        <w:rPr>
          <w:rFonts w:asciiTheme="majorHAnsi" w:hAnsiTheme="majorHAnsi" w:cstheme="majorHAnsi"/>
          <w:color w:val="000000" w:themeColor="text1"/>
          <w:sz w:val="22"/>
          <w:szCs w:val="22"/>
        </w:rPr>
        <w:t xml:space="preserve">Duurmsa, Pan and Raiks(2008) </w:t>
      </w:r>
      <w:r w:rsidRPr="006774FC">
        <w:rPr>
          <w:rFonts w:asciiTheme="majorHAnsi" w:hAnsiTheme="majorHAnsi" w:cstheme="majorHAnsi"/>
          <w:color w:val="333333"/>
          <w:sz w:val="22"/>
          <w:szCs w:val="22"/>
        </w:rPr>
        <w:t>study.</w:t>
      </w:r>
      <w:r>
        <w:rPr>
          <w:rFonts w:asciiTheme="majorHAnsi" w:hAnsiTheme="majorHAnsi" w:cstheme="majorHAnsi"/>
          <w:color w:val="333333"/>
          <w:sz w:val="22"/>
          <w:szCs w:val="22"/>
        </w:rPr>
        <w:t xml:space="preserve"> Sukhram and Heu (2012) believe that c</w:t>
      </w:r>
      <w:r w:rsidRPr="00D16FB3">
        <w:rPr>
          <w:rFonts w:asciiTheme="majorHAnsi" w:hAnsiTheme="majorHAnsi" w:cstheme="majorHAnsi"/>
          <w:color w:val="333333"/>
          <w:sz w:val="22"/>
          <w:szCs w:val="22"/>
        </w:rPr>
        <w:t>hildren's early exposure to and engagement in literacy activities with parents in rich home literacy environments is one of the most important variables in the promotion of reading success and the development of emergent literacy in children. Parents must therefore play a significant role in their children's early literacy development. Parents can focus on making the most of this time by picking outstanding books and engaging in meaningful conversations with their children about the stories.</w:t>
      </w:r>
    </w:p>
    <w:p w14:paraId="2B383688" w14:textId="77777777" w:rsidR="00037AED" w:rsidRPr="00F8741D" w:rsidRDefault="00037AED" w:rsidP="00037AED">
      <w:pPr>
        <w:pStyle w:val="NormalWeb"/>
        <w:spacing w:line="360" w:lineRule="auto"/>
      </w:pPr>
    </w:p>
    <w:p w14:paraId="2690C40B" w14:textId="77777777" w:rsidR="00037AED" w:rsidRPr="00705873" w:rsidRDefault="00037AED" w:rsidP="00037AED">
      <w:pPr>
        <w:spacing w:line="360" w:lineRule="auto"/>
        <w:rPr>
          <w:rFonts w:asciiTheme="majorHAnsi" w:hAnsiTheme="majorHAnsi" w:cstheme="majorHAnsi"/>
          <w:sz w:val="22"/>
          <w:szCs w:val="22"/>
        </w:rPr>
      </w:pPr>
      <w:r w:rsidRPr="00705873">
        <w:rPr>
          <w:rFonts w:asciiTheme="majorHAnsi" w:hAnsiTheme="majorHAnsi" w:cstheme="majorHAnsi"/>
          <w:sz w:val="22"/>
          <w:szCs w:val="22"/>
        </w:rPr>
        <w:t xml:space="preserve">Methodology </w:t>
      </w:r>
    </w:p>
    <w:p w14:paraId="1ABD9C29" w14:textId="77777777" w:rsidR="00037AED" w:rsidRPr="002C66C2" w:rsidRDefault="00037AED" w:rsidP="00037AED">
      <w:pPr>
        <w:spacing w:line="360" w:lineRule="auto"/>
        <w:rPr>
          <w:rFonts w:asciiTheme="majorHAnsi" w:hAnsiTheme="majorHAnsi" w:cstheme="majorHAnsi"/>
          <w:sz w:val="22"/>
          <w:szCs w:val="22"/>
        </w:rPr>
      </w:pPr>
    </w:p>
    <w:p w14:paraId="771C9347" w14:textId="77777777" w:rsidR="00037AED" w:rsidRPr="002C66C2" w:rsidRDefault="00037AED" w:rsidP="00037AED">
      <w:pPr>
        <w:spacing w:line="360" w:lineRule="auto"/>
        <w:rPr>
          <w:rFonts w:ascii="Calibri Light" w:hAnsi="Calibri Light" w:cs="Calibri Light"/>
          <w:sz w:val="22"/>
          <w:szCs w:val="22"/>
        </w:rPr>
      </w:pPr>
      <w:r w:rsidRPr="002C66C2">
        <w:rPr>
          <w:rFonts w:ascii="Calibri Light" w:hAnsi="Calibri Light" w:cs="Calibri Light"/>
          <w:sz w:val="22"/>
          <w:szCs w:val="22"/>
        </w:rPr>
        <w:t>Sampling is the process of choosing a portion of the population that is relevant to the research question. A smaller group is used for data collecting in the great majority of research projects because it is impossible to recruit the involvement of the full population of interest. When compared to trying to reach every person of the population, sampling from the population is frequently more realistic and results in faster data collection (Turner, 2020). It might be feasible for a researcher to include every member of a population in a study when that population is one in which the researcher is particularly interested. Census studies are studies that are conducted in situations like these. The majority of populations, however, are too big to sample completely (Berndt, 2020). Methods for sampling are divided into probability and non-probability techniques (Omair, 2014). Random selection is a component of probability sampling techniques, ensuring that each case in the population has an equal chance of being chosen.  Random sampling, systematic sampling, stratified sampling, and cluster sampling are examples of common probability approaches (Shorten and Moorley, 2014). In contrast to random selection, non-probability sampling methods employ a method where the sample is chosen based on the researcher's subjective judgement. The most popular non-probability sampling techniques include quota sampling, purposive sampling, self-selection sampling, and snowball sampling. The use of representative samples is becoming increasingly important in contemporary social and economic research. If these samples are carefully selected, they can serve as a foundation for meaningful conclusions about the population they represent (Cantrill, 1944, p.141). For this study, the sample method of choice was purposive sampling. This non-probability sampling technique was adopted in the hopes that participants would offer rich and relevant information for the project that would assist the researcher obtain a better understanding and produce more accurate research findings. It works best to gather qualitative replies (</w:t>
      </w:r>
      <w:r w:rsidRPr="002C66C2">
        <w:rPr>
          <w:rStyle w:val="normaltextrun"/>
          <w:rFonts w:ascii="Calibri Light" w:hAnsi="Calibri Light" w:cs="Calibri Light"/>
          <w:color w:val="000000"/>
          <w:sz w:val="22"/>
          <w:szCs w:val="22"/>
          <w:bdr w:val="none" w:sz="0" w:space="0" w:color="auto" w:frame="1"/>
        </w:rPr>
        <w:t>Palinkas et al. 2015).</w:t>
      </w:r>
      <w:r w:rsidRPr="002C66C2">
        <w:rPr>
          <w:rFonts w:ascii="Calibri Light" w:hAnsi="Calibri Light" w:cs="Calibri Light"/>
          <w:sz w:val="22"/>
          <w:szCs w:val="22"/>
        </w:rPr>
        <w:t xml:space="preserve"> The parents of three to four year</w:t>
      </w:r>
      <w:r>
        <w:rPr>
          <w:rFonts w:ascii="Calibri Light" w:hAnsi="Calibri Light" w:cs="Calibri Light"/>
          <w:sz w:val="22"/>
          <w:szCs w:val="22"/>
        </w:rPr>
        <w:t xml:space="preserve"> </w:t>
      </w:r>
      <w:r w:rsidRPr="002C66C2">
        <w:rPr>
          <w:rFonts w:ascii="Calibri Light" w:hAnsi="Calibri Light" w:cs="Calibri Light"/>
          <w:sz w:val="22"/>
          <w:szCs w:val="22"/>
        </w:rPr>
        <w:t>old children in two separate school settings in South Wales were the samples that were selected. To determine whether findings were impacted by the degree of poverty, the schools were selected based on the proportion of students who received free school meals. In order to better understand how shared reading benefits children's subsequent reading ability, the sample will also include nursery staff members. To obtain more reliable results, this study project will be conducted over a twelve-week period. The researcher will be present at both schools as a result, giving the pupils a chance to get to know them and feel more at ease. hoping that the students and teachers/parents will behave as they normally would.</w:t>
      </w:r>
    </w:p>
    <w:p w14:paraId="1E4B0873" w14:textId="77777777" w:rsidR="00037AED" w:rsidRPr="002C66C2" w:rsidRDefault="00037AED" w:rsidP="00037AED">
      <w:pPr>
        <w:spacing w:line="360" w:lineRule="auto"/>
        <w:rPr>
          <w:rFonts w:ascii="Calibri Light" w:hAnsi="Calibri Light" w:cs="Calibri Light"/>
          <w:sz w:val="22"/>
          <w:szCs w:val="22"/>
        </w:rPr>
      </w:pPr>
      <w:r w:rsidRPr="002C66C2">
        <w:rPr>
          <w:rFonts w:ascii="Calibri Light" w:hAnsi="Calibri Light" w:cs="Calibri Light"/>
          <w:sz w:val="22"/>
          <w:szCs w:val="22"/>
        </w:rPr>
        <w:lastRenderedPageBreak/>
        <w:t xml:space="preserve">In diverse kinds of study, a wide range of approaches are used. It is common to consider study design, data collection, and data analysis as part of research methodology </w:t>
      </w:r>
      <w:r w:rsidRPr="002C66C2">
        <w:rPr>
          <w:rFonts w:ascii="Calibri Light" w:hAnsi="Calibri Light" w:cs="Calibri Light"/>
          <w:color w:val="000000" w:themeColor="text1"/>
          <w:sz w:val="22"/>
          <w:szCs w:val="22"/>
        </w:rPr>
        <w:t xml:space="preserve">(Nolan, Macfarlane, and Cartmel, 2013). </w:t>
      </w:r>
      <w:r w:rsidRPr="002C66C2">
        <w:rPr>
          <w:rFonts w:ascii="Calibri Light" w:hAnsi="Calibri Light" w:cs="Calibri Light"/>
          <w:sz w:val="22"/>
          <w:szCs w:val="22"/>
        </w:rPr>
        <w:t>Interviews with teacher and a focused group of parents will be conducted in addition to questionnaires that will provide quantitative data. Among the tools used to collect data, questionnaires are among the most used. People frequently encounter them in their daily lives. They appear on our computer displays as pop-up advertisements and through unsolicited mail (Newby, 2014, p.300). With the help of questionnaires, researchers can frequently get a lot of data from a lot of respondents in a short period of time. They provide the added capability of assessing and contrasting certain subgroups that may be of interest, for example, by gender or age. When the goal of the research is to identify the range of opinions on particular subjects or to capture a surface impression of how much groups of individuals agree or differ on an issue, questionnaires can also be especially helpful (Lambert, 2019, p.20-23). Given that questionnaires are often written forms of data collection, this is another crucial factor to consider in situations where the target group may experience difficulties or concerns regarding their literacy abilities and confidence. Given this restriction, this study will also give parents a chance to talk about the inquiries during a focus group and the questionnaire would mainly be questions with closed questions and using the Likert scale. As a result, the quantitative data generated should allow for relatively straightforward analysis (McCleod, 2023).</w:t>
      </w:r>
    </w:p>
    <w:p w14:paraId="3F8FEEC8" w14:textId="77777777" w:rsidR="00037AED" w:rsidRPr="002C66C2" w:rsidRDefault="00037AED" w:rsidP="00037AED">
      <w:pPr>
        <w:spacing w:line="360" w:lineRule="auto"/>
        <w:rPr>
          <w:rFonts w:ascii="Calibri Light" w:hAnsi="Calibri Light" w:cs="Calibri Light"/>
          <w:sz w:val="22"/>
          <w:szCs w:val="22"/>
        </w:rPr>
      </w:pPr>
      <w:r w:rsidRPr="002C66C2">
        <w:rPr>
          <w:rFonts w:ascii="Calibri Light" w:hAnsi="Calibri Light" w:cs="Calibri Light"/>
          <w:sz w:val="22"/>
          <w:szCs w:val="22"/>
        </w:rPr>
        <w:t>In qualitative research, interviews are frequently employed as a data collection method. Because participants are typically at ease with the interview as a communicative event, interviews are a useful strategy for gathering data</w:t>
      </w:r>
      <w:r w:rsidRPr="002C66C2">
        <w:rPr>
          <w:rFonts w:ascii="Calibri Light" w:hAnsi="Calibri Light" w:cs="Calibri Light"/>
          <w:color w:val="FF0000"/>
          <w:sz w:val="22"/>
          <w:szCs w:val="22"/>
        </w:rPr>
        <w:t xml:space="preserve"> </w:t>
      </w:r>
      <w:r w:rsidRPr="002C66C2">
        <w:rPr>
          <w:rFonts w:ascii="Calibri Light" w:hAnsi="Calibri Light" w:cs="Calibri Light"/>
          <w:color w:val="000000" w:themeColor="text1"/>
          <w:sz w:val="22"/>
          <w:szCs w:val="22"/>
        </w:rPr>
        <w:t xml:space="preserve">(Miller &amp; Crabtree, 2004) </w:t>
      </w:r>
      <w:r w:rsidRPr="002C66C2">
        <w:rPr>
          <w:rFonts w:ascii="Calibri Light" w:hAnsi="Calibri Light" w:cs="Calibri Light"/>
          <w:sz w:val="22"/>
          <w:szCs w:val="22"/>
        </w:rPr>
        <w:t xml:space="preserve">However, developing a strong connection with interviewees is crucial </w:t>
      </w:r>
      <w:r w:rsidRPr="002C66C2">
        <w:rPr>
          <w:rFonts w:ascii="Calibri Light" w:hAnsi="Calibri Light" w:cs="Calibri Light"/>
          <w:color w:val="000000" w:themeColor="text1"/>
          <w:sz w:val="22"/>
          <w:szCs w:val="22"/>
        </w:rPr>
        <w:t xml:space="preserve">(Gerson &amp; Horowitz, 2002) </w:t>
      </w:r>
      <w:r w:rsidRPr="002C66C2">
        <w:rPr>
          <w:rFonts w:ascii="Calibri Light" w:hAnsi="Calibri Light" w:cs="Calibri Light"/>
          <w:sz w:val="22"/>
          <w:szCs w:val="22"/>
        </w:rPr>
        <w:t xml:space="preserve">as doing so builds credibility and fosters a relationship of trust. There are various interview formats, and each one yields data in a unique way. Some are formally structured, while others are not. There are certain procedures that must be followed regardless of the format, including gaining participants' informed consent and considering how the participants' identities would be protected </w:t>
      </w:r>
      <w:r w:rsidRPr="002C66C2">
        <w:rPr>
          <w:rFonts w:ascii="Calibri Light" w:hAnsi="Calibri Light" w:cs="Calibri Light"/>
          <w:color w:val="000000" w:themeColor="text1"/>
          <w:sz w:val="22"/>
          <w:szCs w:val="22"/>
        </w:rPr>
        <w:t xml:space="preserve">(Nolan, Macfarlane and Cartmel, 2013). </w:t>
      </w:r>
      <w:r w:rsidRPr="002C66C2">
        <w:rPr>
          <w:rFonts w:ascii="Calibri Light" w:hAnsi="Calibri Light" w:cs="Calibri Light"/>
          <w:sz w:val="22"/>
          <w:szCs w:val="22"/>
        </w:rPr>
        <w:t xml:space="preserve">Structured interviews are somewhat comparable to questionnaires in that the interviewer asks predefined questions in a predetermined order. The interview schedule, a list of predetermined fixed questions, establishes and governs the interview's format (Denscombe, 2003). More conversation and interaction between the interviewer and the interviewee are possible in semi-structured interviews. To increase already obtained insights, interviewers can go over previous topics and offer follow-up questions (Lambert, 2019, p.33). Semi structured interviews will be used within this research, asking open ended questions to the Nursery teachers as well as the parents in the focussed group. Focus-group interviews take place with participants in a group as opposed to one-on-one.  The group of </w:t>
      </w:r>
      <w:r w:rsidRPr="002C66C2">
        <w:rPr>
          <w:rFonts w:ascii="Calibri Light" w:hAnsi="Calibri Light" w:cs="Calibri Light"/>
          <w:sz w:val="22"/>
          <w:szCs w:val="22"/>
        </w:rPr>
        <w:lastRenderedPageBreak/>
        <w:t>interviewees includes them because of their connection or interest in the subject of the study, and they may represent a variety of viewpoints or ideas about it. Researchers can encourage participants to engage in conversation and interaction by bringing them together, However the limitations of this need to be considered. When interviewing a focus group, the Halo effect could be experienced. When speaking with others about their own children, parents may be seen as biased.</w:t>
      </w:r>
    </w:p>
    <w:p w14:paraId="0FC841AE" w14:textId="77777777" w:rsidR="00037AED" w:rsidRPr="002C66C2" w:rsidRDefault="00037AED" w:rsidP="00037AED">
      <w:pPr>
        <w:spacing w:line="360" w:lineRule="auto"/>
        <w:rPr>
          <w:rFonts w:ascii="Calibri Light" w:hAnsi="Calibri Light" w:cs="Calibri Light"/>
          <w:color w:val="262626"/>
          <w:sz w:val="22"/>
          <w:szCs w:val="22"/>
          <w:shd w:val="clear" w:color="auto" w:fill="F5F5F5"/>
        </w:rPr>
      </w:pPr>
      <w:r w:rsidRPr="002C66C2">
        <w:rPr>
          <w:rFonts w:ascii="Calibri Light" w:hAnsi="Calibri Light" w:cs="Calibri Light"/>
          <w:sz w:val="22"/>
          <w:szCs w:val="22"/>
        </w:rPr>
        <w:t xml:space="preserve">When choosing which approaches to examine in this research, observations with children were considered. One of the most popular methods that early year’s researchers employ to obtain data is observation. It might take a while, though. During a participant observation session, the researcher would participate in the daily activities of the teachers and students. Participant observation requires a lot of time, which is a commonality in this type of research. The children in this survey may become anxious or vulnerable if this time cannot be given, which may cause a change in their behaviour </w:t>
      </w:r>
      <w:r w:rsidRPr="002C66C2">
        <w:rPr>
          <w:rFonts w:ascii="Calibri Light" w:hAnsi="Calibri Light" w:cs="Calibri Light"/>
          <w:color w:val="000000"/>
          <w:sz w:val="22"/>
          <w:szCs w:val="22"/>
        </w:rPr>
        <w:t xml:space="preserve">(Robert-Holmes, 2018). </w:t>
      </w:r>
      <w:r w:rsidRPr="002C66C2">
        <w:rPr>
          <w:rFonts w:ascii="Calibri Light" w:hAnsi="Calibri Light" w:cs="Calibri Light"/>
          <w:sz w:val="22"/>
          <w:szCs w:val="22"/>
        </w:rPr>
        <w:t xml:space="preserve">The Hawthorne effect, however, was thought to have the potential to bias the results.  </w:t>
      </w:r>
      <w:r w:rsidRPr="002C66C2">
        <w:rPr>
          <w:rFonts w:ascii="Calibri Light" w:hAnsi="Calibri Light" w:cs="Calibri Light"/>
          <w:color w:val="000000" w:themeColor="text1"/>
          <w:sz w:val="22"/>
          <w:szCs w:val="22"/>
        </w:rPr>
        <w:t xml:space="preserve">Nikolopoulou (2022) </w:t>
      </w:r>
      <w:r w:rsidRPr="002C66C2">
        <w:rPr>
          <w:rFonts w:ascii="Calibri Light" w:hAnsi="Calibri Light" w:cs="Calibri Light"/>
          <w:sz w:val="22"/>
          <w:szCs w:val="22"/>
        </w:rPr>
        <w:t>says the Hawthorne effect happens when a subject modifies their behaviour as a result of being watched. Hawthorne effect-related changes in behaviour can significantly skew your conclusions. A Hawthorne effect, in connection, can impair your capacity for generalisation. This compromises the study's external validity. Article 12 in the United Nations rights of a child states that every child has the right to voice their opinions and have those opinions taken into consideration in all decisions that impact them.</w:t>
      </w:r>
      <w:r w:rsidRPr="002C66C2">
        <w:rPr>
          <w:rFonts w:ascii="Calibri Light" w:hAnsi="Calibri Light" w:cs="Calibri Light"/>
          <w:color w:val="000000"/>
          <w:sz w:val="22"/>
          <w:szCs w:val="22"/>
        </w:rPr>
        <w:t xml:space="preserve"> Obtaining the child's consent may result in the child becoming aware that they are being watched and changing their behaviour.</w:t>
      </w:r>
      <w:r w:rsidRPr="002C66C2">
        <w:rPr>
          <w:rFonts w:ascii="Calibri Light" w:hAnsi="Calibri Light" w:cs="Calibri Light"/>
          <w:color w:val="262626"/>
          <w:sz w:val="22"/>
          <w:szCs w:val="22"/>
          <w:shd w:val="clear" w:color="auto" w:fill="F5F5F5"/>
        </w:rPr>
        <w:t xml:space="preserve"> (Papatheodorou, Luff and Gill, 2013)</w:t>
      </w:r>
    </w:p>
    <w:p w14:paraId="108C6D95" w14:textId="77777777" w:rsidR="00037AED" w:rsidRPr="002C66C2" w:rsidRDefault="00037AED" w:rsidP="00037AED">
      <w:pPr>
        <w:spacing w:line="360" w:lineRule="auto"/>
        <w:rPr>
          <w:rFonts w:ascii="Calibri Light" w:hAnsi="Calibri Light" w:cs="Calibri Light"/>
          <w:sz w:val="22"/>
          <w:szCs w:val="22"/>
        </w:rPr>
      </w:pPr>
      <w:r w:rsidRPr="002C66C2">
        <w:rPr>
          <w:rFonts w:ascii="Calibri Light" w:hAnsi="Calibri Light" w:cs="Calibri Light"/>
          <w:color w:val="000000"/>
          <w:sz w:val="22"/>
          <w:szCs w:val="22"/>
        </w:rPr>
        <w:t>Early childhood research increasingly employs the potent mixed methods approach, which includes both quantitative and qualitative techniques. It results in a deeper comprehension of the subject. In this study, information provided by the Nursery teachers during the initial interviews might be used to develop the questionnaire. The triangulation of multiple kinds of qualitative and quantitative data is a specific strength of the mixed approach (Robert-Holmes, 2018). Triangulation is a technique used to improve the validity and trustworthiness of study findings. Triangulation can assist in ensuring that basic biases brought on by the use of a single method or a single observer are addressed by combining theories, methods, or observers in a research study. Triangulation allows a variety of datasets to describe many elements of a phenomenon, which can enrich research. When one set of findings supports another set, it might aid in the confirmation of a hypothesis. Triangulation, in the end, can aid in the explanation of a study's findings. The idea that approaches producing the same outcomes increase confidence in the research findings is at the heart of triangulation (Noble, Heal, 2019).</w:t>
      </w:r>
      <w:r w:rsidRPr="002C66C2">
        <w:rPr>
          <w:rFonts w:ascii="Calibri Light" w:hAnsi="Calibri Light" w:cs="Calibri Light"/>
          <w:color w:val="000000"/>
          <w:sz w:val="22"/>
          <w:szCs w:val="22"/>
        </w:rPr>
        <w:br/>
      </w:r>
      <w:r w:rsidRPr="002C66C2">
        <w:rPr>
          <w:rFonts w:ascii="Calibri Light" w:hAnsi="Calibri Light" w:cs="Calibri Light"/>
          <w:color w:val="000000"/>
          <w:sz w:val="22"/>
          <w:szCs w:val="22"/>
        </w:rPr>
        <w:lastRenderedPageBreak/>
        <w:br/>
      </w:r>
      <w:r w:rsidRPr="002C66C2">
        <w:rPr>
          <w:rFonts w:ascii="Calibri Light" w:hAnsi="Calibri Light" w:cs="Calibri Light"/>
          <w:u w:val="single"/>
        </w:rPr>
        <w:t>Ethical Considerations.</w:t>
      </w:r>
    </w:p>
    <w:p w14:paraId="76549789" w14:textId="77777777" w:rsidR="00037AED" w:rsidRPr="002C66C2" w:rsidRDefault="00037AED" w:rsidP="00037AED">
      <w:pPr>
        <w:spacing w:line="360" w:lineRule="auto"/>
        <w:rPr>
          <w:rFonts w:ascii="Calibri Light" w:hAnsi="Calibri Light" w:cs="Calibri Light"/>
          <w:color w:val="70AD47" w:themeColor="accent6"/>
          <w:sz w:val="22"/>
          <w:szCs w:val="22"/>
        </w:rPr>
      </w:pPr>
    </w:p>
    <w:p w14:paraId="26465BA1" w14:textId="77777777" w:rsidR="00037AED" w:rsidRPr="002C66C2" w:rsidRDefault="00037AED" w:rsidP="00037AED">
      <w:pPr>
        <w:spacing w:line="360" w:lineRule="auto"/>
        <w:rPr>
          <w:rFonts w:ascii="Calibri Light" w:hAnsi="Calibri Light" w:cs="Calibri Light"/>
          <w:color w:val="000000" w:themeColor="text1"/>
          <w:sz w:val="22"/>
          <w:szCs w:val="22"/>
        </w:rPr>
      </w:pPr>
      <w:r w:rsidRPr="002C66C2">
        <w:rPr>
          <w:rFonts w:ascii="Calibri Light" w:hAnsi="Calibri Light" w:cs="Calibri Light"/>
          <w:color w:val="000000" w:themeColor="text1"/>
          <w:sz w:val="22"/>
          <w:szCs w:val="22"/>
        </w:rPr>
        <w:t>The British Educational Research Association (BERA) (2018) is of the opinion that educational researchers should do their work in a manner that respects all people, including themselves, who are a part of or affected by the research they are conducting. People should be treated equally, sensitively, with dignity, and without discrimination, while also being aware of their rights and any differences that may exist due to things like age, gender, sexual orientation, ethnicity, class, nationality, cultural identity, partnership status, faith, disability, political beliefs, or any other noteworthy characteristic. The University of Wales, Trinity Saint David (UWTSD) (2022) says</w:t>
      </w:r>
      <w:r w:rsidRPr="002C66C2">
        <w:rPr>
          <w:rFonts w:ascii="Calibri Light" w:hAnsi="Calibri Light" w:cs="Calibri Light"/>
          <w:sz w:val="22"/>
          <w:szCs w:val="22"/>
        </w:rPr>
        <w:t xml:space="preserve"> </w:t>
      </w:r>
      <w:r w:rsidRPr="002C66C2">
        <w:rPr>
          <w:rFonts w:ascii="Calibri Light" w:hAnsi="Calibri Light" w:cs="Calibri Light"/>
          <w:color w:val="000000" w:themeColor="text1"/>
          <w:sz w:val="22"/>
          <w:szCs w:val="22"/>
        </w:rPr>
        <w:t>when conducting research, researchers must uphold the strictest ethical standards and promote the principles of integrity, objectivity, transparency, and respect. It is the obligation of researchers to consider their duty of care in order to identify potential hazards, as well as to be ready for and able to manage any potential discomfort or dissatisfaction. To reduce any potential emotional or other harm, researchers should quickly re-evaluate any acts taken during the research process. The researcher has a stronger duty to ensure the safety of participants the more at risk they are.</w:t>
      </w:r>
    </w:p>
    <w:p w14:paraId="743608E0" w14:textId="77777777" w:rsidR="00037AED" w:rsidRPr="002C66C2" w:rsidRDefault="00037AED" w:rsidP="00037AED">
      <w:pPr>
        <w:spacing w:line="360" w:lineRule="auto"/>
        <w:rPr>
          <w:rFonts w:ascii="Calibri Light" w:hAnsi="Calibri Light" w:cs="Calibri Light"/>
          <w:sz w:val="22"/>
          <w:szCs w:val="22"/>
        </w:rPr>
      </w:pPr>
      <w:r w:rsidRPr="002C66C2">
        <w:rPr>
          <w:rFonts w:ascii="Calibri Light" w:hAnsi="Calibri Light" w:cs="Calibri Light"/>
          <w:sz w:val="22"/>
          <w:szCs w:val="22"/>
        </w:rPr>
        <w:t xml:space="preserve">Informed consent is when a research subject willingly consents to take part in a study after receiving full disclosure of all pertinent information and being made aware of it. Building trust in the connection between the researcher and the participant begins with getting their informed consent to do the study. To earn the participants' trust, a researcher must be trustworthy, honest, and open about all aspects of the research activity (Roberts-Holmes, 2018). When it comes to young children, informed consent, called assent for children, needs to be carefully considered. One may view children as immature. The researcher must consider if the knowledge imparted to children is fully grasped. With young or special needs children, verbal explanation is generally the best method to use to ensure that they are aware of all aspects of the research. Children, adolescents, and adults are all covered by the consent standards outlined by BERA (2018). However, depending on the ages and abilities of the children and adolescents they are studying, researchers may come to various conclusions. The United Nations Convention on the Rights of the Child (UNCRC) is supported by BERA (2018). According to UNICEF (no date), the best interests of the child are the main factor to take into account, and children who are mature enough to form their own opinions should have the freedom to do so in all situations that directly affect them. </w:t>
      </w:r>
    </w:p>
    <w:p w14:paraId="57FF6DF6" w14:textId="77777777" w:rsidR="00037AED" w:rsidRPr="002C66C2" w:rsidRDefault="00037AED" w:rsidP="00037AED">
      <w:pPr>
        <w:spacing w:line="360" w:lineRule="auto"/>
        <w:rPr>
          <w:rFonts w:ascii="Calibri Light" w:hAnsi="Calibri Light" w:cs="Calibri Light"/>
          <w:color w:val="000000" w:themeColor="text1"/>
          <w:sz w:val="22"/>
          <w:szCs w:val="22"/>
        </w:rPr>
      </w:pPr>
      <w:r w:rsidRPr="002C66C2">
        <w:rPr>
          <w:rFonts w:ascii="Calibri Light" w:hAnsi="Calibri Light" w:cs="Calibri Light"/>
          <w:sz w:val="22"/>
          <w:szCs w:val="22"/>
        </w:rPr>
        <w:t xml:space="preserve">In this study parents of the children and professionals will be given letters of consent to sign that include a thorough justification for the study as well as specifics about the procedures to be followed, the amount of time needed, and data protection. The parents will also be invited to a group </w:t>
      </w:r>
      <w:r w:rsidRPr="002C66C2">
        <w:rPr>
          <w:rFonts w:ascii="Calibri Light" w:hAnsi="Calibri Light" w:cs="Calibri Light"/>
          <w:sz w:val="22"/>
          <w:szCs w:val="22"/>
        </w:rPr>
        <w:lastRenderedPageBreak/>
        <w:t xml:space="preserve">discussion to ask any questions and discuss the projects. In order to confirm that participants are giving direct consent, all consent letters must be returned with a signature. Information about the ability to withdraw will be included in letters. It must be made clear that refusing to participate in research carries no negative implications and that consent can be revoked at any moment by either the child or their parent or carer. Throughout the study, there will be a need to make sure that the young participants and their families are still happy to participate </w:t>
      </w:r>
      <w:r w:rsidRPr="002C66C2">
        <w:rPr>
          <w:rFonts w:ascii="Calibri Light" w:hAnsi="Calibri Light" w:cs="Calibri Light"/>
          <w:color w:val="000000" w:themeColor="text1"/>
          <w:sz w:val="22"/>
          <w:szCs w:val="22"/>
        </w:rPr>
        <w:t xml:space="preserve">NSPCC (2023) </w:t>
      </w:r>
    </w:p>
    <w:p w14:paraId="7D2A687B" w14:textId="77777777" w:rsidR="00037AED" w:rsidRPr="002C66C2" w:rsidRDefault="00037AED" w:rsidP="00037AED">
      <w:pPr>
        <w:spacing w:line="360" w:lineRule="auto"/>
        <w:rPr>
          <w:rFonts w:ascii="Calibri Light" w:hAnsi="Calibri Light" w:cs="Calibri Light"/>
          <w:color w:val="000000" w:themeColor="text1"/>
          <w:sz w:val="22"/>
          <w:szCs w:val="22"/>
        </w:rPr>
      </w:pPr>
      <w:r w:rsidRPr="002C66C2">
        <w:rPr>
          <w:rFonts w:ascii="Calibri Light" w:hAnsi="Calibri Light" w:cs="Calibri Light"/>
          <w:color w:val="000000" w:themeColor="text1"/>
          <w:sz w:val="22"/>
          <w:szCs w:val="22"/>
        </w:rPr>
        <w:t>Risks could arise while conducting the research.</w:t>
      </w:r>
      <w:r w:rsidRPr="002C66C2">
        <w:rPr>
          <w:rFonts w:ascii="Calibri Light" w:hAnsi="Calibri Light" w:cs="Calibri Light"/>
          <w:sz w:val="22"/>
          <w:szCs w:val="22"/>
        </w:rPr>
        <w:t xml:space="preserve"> </w:t>
      </w:r>
      <w:r w:rsidRPr="002C66C2">
        <w:rPr>
          <w:rFonts w:ascii="Calibri Light" w:hAnsi="Calibri Light" w:cs="Calibri Light"/>
          <w:color w:val="000000" w:themeColor="text1"/>
          <w:sz w:val="22"/>
          <w:szCs w:val="22"/>
        </w:rPr>
        <w:t xml:space="preserve">It is generally agreed upon that participants should face no more than a minimal risk from participating in research, that researchers should evaluate any potential dangers, and that participants should be properly informed of both the risks involved in participating in research as well as its advantages (Wiles, 2013, p 55-68). It is required of researchers to take precautions to reduce dangers. University of Oregon (no date) says physical dangers include those brought on by the research's processes and methodologies, such as discomfort, pain, injury, illness, or disease. The development of negative affective states including anxiety, depression, guilt, shock, and loss of self-esteem, as well as altered behaviour, are examples of psychological dangers. Social and economic risks include changing relationships with others in a way that is harmful to the subject, such as being embarrassed, losing others' respect, being labelled in a way that will have negative effects, or otherwise lessening the opportunities and influence a person has as a result of relationships with others. Unless the researcher has the subject's express permission to do otherwise, confidentiality of identifying information is presumed in all study involving human subjects and must be upheld. Investigators should only gather personal information that is strictly necessary to the study activity in order to reduce the danger of confidentiality loss. If it is necessary to collect personal information, it should be coded as early as possible and stored securely so that only the investigator and authorised staff members have access to it. Due to the potential for regular disruption brought on by the researcher's presence, both children and professionals may experience emotional distress. The researcher will be a new presence in the environment; as a result, youngsters or professionals may feel uneasy or find it difficult to interact as efficiently as usual. The researcher can choose interview times and durations that are least obtrusive in collaboration with the setting team.  The researcher will employ a non-intrusive approach, positive body language, and knowledge of early years good practise to avoid disrupting the setting's regular routine. Individual interviews can worry practitioners since they feel like a test or a way to evaluate their practise. Distress and anxiety could result from this. The conversation prior to the interview is intended to make sure that the staff is aware that it is a dialogue rather than a test or assessment. A researcher might be at risk as they might unintentionally break one of the well-defined policies for wellbeing and safety in an early year setting, putting them at danger of allegations. The researcher would make sure they were </w:t>
      </w:r>
      <w:r w:rsidRPr="002C66C2">
        <w:rPr>
          <w:rFonts w:ascii="Calibri Light" w:hAnsi="Calibri Light" w:cs="Calibri Light"/>
          <w:color w:val="000000" w:themeColor="text1"/>
          <w:sz w:val="22"/>
          <w:szCs w:val="22"/>
        </w:rPr>
        <w:lastRenderedPageBreak/>
        <w:t xml:space="preserve">knowledgeable about best practises and prevailing policies and that their full disclosure DBS was up to date. Possibly at risk is the university If the researcher doesn't follow the rules or behaves inappropriately or unprofessionally, bad publicity could result.  As a university student, there would be bad press if the researcher failed to maintain the confidentiality and data protection of the information gathered. The researcher would make sure they were knowledgeable on best practises and policy-setting. All information will be stored securely, either on university computers with firewall protection, password access only, and encrypted personal memory space, in locked cabinets, secured rooms (when researchers are not present), or both. It is therefore improbable that the data will disappear.  </w:t>
      </w:r>
    </w:p>
    <w:p w14:paraId="5EF72906" w14:textId="77777777" w:rsidR="00037AED" w:rsidRPr="002C66C2" w:rsidRDefault="00037AED" w:rsidP="00037AED">
      <w:pPr>
        <w:spacing w:line="360" w:lineRule="auto"/>
        <w:rPr>
          <w:rFonts w:ascii="Calibri Light" w:hAnsi="Calibri Light" w:cs="Calibri Light"/>
          <w:color w:val="70AD47" w:themeColor="accent6"/>
          <w:sz w:val="22"/>
          <w:szCs w:val="22"/>
        </w:rPr>
      </w:pPr>
      <w:r w:rsidRPr="002C66C2">
        <w:rPr>
          <w:rFonts w:ascii="Calibri Light" w:hAnsi="Calibri Light" w:cs="Calibri Light"/>
          <w:color w:val="70AD47" w:themeColor="accent6"/>
          <w:sz w:val="22"/>
          <w:szCs w:val="22"/>
        </w:rPr>
        <w:t>2+ references on protecting participants in research</w:t>
      </w:r>
    </w:p>
    <w:p w14:paraId="4AEDAC36" w14:textId="77777777" w:rsidR="00037AED" w:rsidRPr="002C66C2" w:rsidRDefault="00037AED" w:rsidP="00037AED">
      <w:pPr>
        <w:spacing w:line="360" w:lineRule="auto"/>
        <w:rPr>
          <w:rFonts w:ascii="Calibri Light" w:hAnsi="Calibri Light" w:cs="Calibri Light"/>
          <w:color w:val="70AD47" w:themeColor="accent6"/>
          <w:sz w:val="22"/>
          <w:szCs w:val="22"/>
        </w:rPr>
      </w:pPr>
    </w:p>
    <w:p w14:paraId="1AF47613" w14:textId="77777777" w:rsidR="00037AED" w:rsidRPr="002C66C2" w:rsidRDefault="00037AED" w:rsidP="00037AED">
      <w:pPr>
        <w:spacing w:line="360" w:lineRule="auto"/>
        <w:rPr>
          <w:rFonts w:ascii="Calibri Light" w:hAnsi="Calibri Light" w:cs="Calibri Light"/>
          <w:color w:val="000000" w:themeColor="text1"/>
          <w:sz w:val="22"/>
          <w:szCs w:val="22"/>
        </w:rPr>
      </w:pPr>
      <w:r w:rsidRPr="002C66C2">
        <w:rPr>
          <w:rFonts w:ascii="Calibri Light" w:hAnsi="Calibri Light" w:cs="Calibri Light"/>
          <w:color w:val="000000" w:themeColor="text1"/>
          <w:sz w:val="22"/>
          <w:szCs w:val="22"/>
        </w:rPr>
        <w:t>Before any data is collected, research planners are required by the UK GDPR to consider and address data protection and privacy risks (UWTSD, 2022) maintains that if a shared platform is used for information exchange, sensitive material should be logically segregated into multiple locations so that it is only accessible by authorised people. Sensitive data must be securely stored. Only those with a clear need for access should be granted access to sensitive data for as long as it is needed. Before information is shared, it is important to have all parties understand and agree to the basis for how the data will be handled and used. Bera, 2018 agrees and says that researchers should make sure that data are kept securely and that the format of any publications, including those released online, does not directly or indirectly lead to a breach of the agreed confidentiality and anonymity. The National Foundation for Educational Research recommends a number of security measures, such as the use of secure computer networks, ensuring that data is stored on secure premises, using password protection and data encryption, avoiding the use of portable storage devices like laptops and USB sticks, using courier services or secure electronic transfers when moving data, anonymizing records, and making sure that any third-party users of the data are protected from disclosure.</w:t>
      </w:r>
      <w:r w:rsidRPr="002C66C2">
        <w:rPr>
          <w:rFonts w:ascii="Calibri Light" w:hAnsi="Calibri Light" w:cs="Calibri Light"/>
          <w:color w:val="70AD47" w:themeColor="accent6"/>
          <w:sz w:val="22"/>
          <w:szCs w:val="22"/>
        </w:rPr>
        <w:t xml:space="preserve"> </w:t>
      </w:r>
      <w:r w:rsidRPr="002C66C2">
        <w:rPr>
          <w:rFonts w:ascii="Calibri Light" w:hAnsi="Calibri Light" w:cs="Calibri Light"/>
          <w:color w:val="000000" w:themeColor="text1"/>
          <w:sz w:val="22"/>
          <w:szCs w:val="22"/>
        </w:rPr>
        <w:t>The storage location of personal data must be carefully considered because it should be handled with more care than non-personal data. As an illustration, cloud storage should be avoided whenever possible, the personal data should stay within the UK, and encryption should be used together with access restrictions to ensure that only those who need access to the personal data have access. Researchers should also extract personal data and keep it elsewhere, pseudonymise it, or anonymise it as necessary (UK Data Service, 2021).</w:t>
      </w:r>
    </w:p>
    <w:p w14:paraId="2F62844E" w14:textId="77777777" w:rsidR="00037AED" w:rsidRPr="002C66C2" w:rsidRDefault="00037AED" w:rsidP="00037AED">
      <w:pPr>
        <w:spacing w:line="360" w:lineRule="auto"/>
        <w:rPr>
          <w:rFonts w:ascii="Calibri Light" w:hAnsi="Calibri Light" w:cs="Calibri Light"/>
          <w:sz w:val="22"/>
          <w:szCs w:val="22"/>
        </w:rPr>
      </w:pPr>
    </w:p>
    <w:p w14:paraId="01935849" w14:textId="77777777" w:rsidR="00782B7E" w:rsidRDefault="00782B7E"/>
    <w:sectPr w:rsidR="00782B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AED"/>
    <w:rsid w:val="00037AED"/>
    <w:rsid w:val="001C53FC"/>
    <w:rsid w:val="006A73BC"/>
    <w:rsid w:val="00782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F6880D"/>
  <w15:chartTrackingRefBased/>
  <w15:docId w15:val="{2BCDD230-1004-8645-B65E-6A7F42738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A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037AED"/>
  </w:style>
  <w:style w:type="paragraph" w:styleId="NormalWeb">
    <w:name w:val="Normal (Web)"/>
    <w:basedOn w:val="Normal"/>
    <w:uiPriority w:val="99"/>
    <w:unhideWhenUsed/>
    <w:rsid w:val="00037AED"/>
    <w:pPr>
      <w:spacing w:before="100" w:beforeAutospacing="1" w:after="100" w:afterAutospacing="1"/>
    </w:pPr>
    <w:rPr>
      <w:rFonts w:ascii="Times New Roman" w:eastAsia="Times New Roman" w:hAnsi="Times New Roman" w:cs="Times New Roman"/>
      <w:lang w:eastAsia="en-GB"/>
    </w:rPr>
  </w:style>
  <w:style w:type="character" w:customStyle="1" w:styleId="ref-lnk">
    <w:name w:val="ref-lnk"/>
    <w:basedOn w:val="DefaultParagraphFont"/>
    <w:rsid w:val="00037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3704</Words>
  <Characters>21113</Characters>
  <Application>Microsoft Office Word</Application>
  <DocSecurity>0</DocSecurity>
  <Lines>175</Lines>
  <Paragraphs>49</Paragraphs>
  <ScaleCrop>false</ScaleCrop>
  <Company/>
  <LinksUpToDate>false</LinksUpToDate>
  <CharactersWithSpaces>24768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Beynon</dc:creator>
  <cp:keywords/>
  <dc:description/>
  <cp:lastModifiedBy>Jess Beynon</cp:lastModifiedBy>
  <cp:revision>1</cp:revision>
  <dcterms:created xsi:type="dcterms:W3CDTF">2023-05-20T12:29:00Z</dcterms:created>
  <dcterms:modified xsi:type="dcterms:W3CDTF">2023-05-20T12:30:00Z</dcterms:modified>
</cp:coreProperties>
</file>