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858225D">
      <w:pPr>
        <w:spacing w:line="360" w:lineRule="auto"/>
        <w:jc w:val="center"/>
        <w:rPr>
          <w:rFonts w:ascii="Times New Roman" w:hAnsi="Times New Roman" w:cs="Times New Roman"/>
          <w:b/>
          <w:bCs/>
          <w:color w:val="000000"/>
          <w:sz w:val="32"/>
          <w:szCs w:val="32"/>
        </w:rPr>
      </w:pPr>
      <w:r>
        <w:drawing>
          <wp:inline distT="0" distB="0" distL="0" distR="0">
            <wp:extent cx="3708400" cy="1310640"/>
            <wp:effectExtent l="0" t="0" r="6350" b="3810"/>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ifysgol Cymru Y Drindod Dewi Sant | University of Wales Trinity Saint  David - NPLD"/>
                    <pic:cNvPicPr>
                      <a:picLocks noChangeAspect="1" noChangeArrowheads="1"/>
                    </pic:cNvPicPr>
                  </pic:nvPicPr>
                  <pic:blipFill>
                    <a:blip r:embed="rId7">
                      <a:extLst>
                        <a:ext uri="{28A0092B-C50C-407E-A947-70E740481C1C}">
                          <a14:useLocalDpi xmlns:a14="http://schemas.microsoft.com/office/drawing/2010/main" val="0"/>
                        </a:ext>
                      </a:extLst>
                    </a:blip>
                    <a:srcRect t="14501" b="14793"/>
                    <a:stretch>
                      <a:fillRect/>
                    </a:stretch>
                  </pic:blipFill>
                  <pic:spPr>
                    <a:xfrm>
                      <a:off x="0" y="0"/>
                      <a:ext cx="3724391" cy="1316823"/>
                    </a:xfrm>
                    <a:prstGeom prst="rect">
                      <a:avLst/>
                    </a:prstGeom>
                    <a:noFill/>
                    <a:ln>
                      <a:noFill/>
                    </a:ln>
                  </pic:spPr>
                </pic:pic>
              </a:graphicData>
            </a:graphic>
          </wp:inline>
        </w:drawing>
      </w:r>
    </w:p>
    <w:p w14:paraId="5909F9B1">
      <w:pPr>
        <w:spacing w:line="360" w:lineRule="auto"/>
        <w:jc w:val="center"/>
        <w:rPr>
          <w:rFonts w:ascii="Times New Roman" w:hAnsi="Times New Roman" w:cs="Times New Roman"/>
          <w:b/>
          <w:bCs/>
          <w:color w:val="000000"/>
          <w:sz w:val="32"/>
          <w:szCs w:val="32"/>
        </w:rPr>
      </w:pPr>
    </w:p>
    <w:p w14:paraId="051F3CEB">
      <w:pPr>
        <w:spacing w:line="360" w:lineRule="auto"/>
        <w:rPr>
          <w:rFonts w:ascii="Times New Roman" w:hAnsi="Times New Roman" w:cs="Times New Roman"/>
          <w:b/>
          <w:bCs/>
          <w:color w:val="000000"/>
          <w:sz w:val="32"/>
          <w:szCs w:val="32"/>
        </w:rPr>
      </w:pPr>
    </w:p>
    <w:tbl>
      <w:tblPr>
        <w:tblStyle w:val="7"/>
        <w:tblW w:w="0" w:type="auto"/>
        <w:jc w:val="center"/>
        <w:tblLayout w:type="autofit"/>
        <w:tblCellMar>
          <w:top w:w="15" w:type="dxa"/>
          <w:left w:w="15" w:type="dxa"/>
          <w:bottom w:w="15" w:type="dxa"/>
          <w:right w:w="15" w:type="dxa"/>
        </w:tblCellMar>
      </w:tblPr>
      <w:tblGrid>
        <w:gridCol w:w="1895"/>
        <w:gridCol w:w="7347"/>
      </w:tblGrid>
      <w:tr w14:paraId="30F06A5A">
        <w:tblPrEx>
          <w:tblCellMar>
            <w:top w:w="15" w:type="dxa"/>
            <w:left w:w="15" w:type="dxa"/>
            <w:bottom w:w="15" w:type="dxa"/>
            <w:right w:w="15" w:type="dxa"/>
          </w:tblCellMar>
        </w:tblPrEx>
        <w:trPr>
          <w:trHeight w:val="515"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DF5949B">
            <w:pPr>
              <w:pStyle w:val="3"/>
              <w:spacing w:before="0" w:beforeAutospacing="0" w:after="160" w:afterAutospacing="0"/>
              <w:rPr>
                <w:sz w:val="32"/>
                <w:szCs w:val="32"/>
              </w:rPr>
            </w:pPr>
            <w:r>
              <w:rPr>
                <w:b/>
                <w:bCs/>
                <w:color w:val="000000"/>
                <w:sz w:val="32"/>
                <w:szCs w:val="32"/>
              </w:rPr>
              <w:t>Module Code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152CF89">
            <w:pPr>
              <w:pStyle w:val="3"/>
              <w:spacing w:before="0" w:beforeAutospacing="0" w:after="160" w:afterAutospacing="0"/>
              <w:rPr>
                <w:sz w:val="32"/>
                <w:szCs w:val="32"/>
              </w:rPr>
            </w:pPr>
            <w:r>
              <w:rPr>
                <w:color w:val="000000"/>
                <w:sz w:val="32"/>
                <w:szCs w:val="32"/>
              </w:rPr>
              <w:t>ACHA7028</w:t>
            </w:r>
          </w:p>
        </w:tc>
      </w:tr>
      <w:tr w14:paraId="476D5049">
        <w:tblPrEx>
          <w:tblCellMar>
            <w:top w:w="15" w:type="dxa"/>
            <w:left w:w="15" w:type="dxa"/>
            <w:bottom w:w="15" w:type="dxa"/>
            <w:right w:w="15" w:type="dxa"/>
          </w:tblCellMar>
        </w:tblPrEx>
        <w:trPr>
          <w:trHeight w:val="866"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22CBF49">
            <w:pPr>
              <w:pStyle w:val="3"/>
              <w:spacing w:before="0" w:beforeAutospacing="0" w:after="160" w:afterAutospacing="0"/>
              <w:rPr>
                <w:sz w:val="32"/>
                <w:szCs w:val="32"/>
              </w:rPr>
            </w:pPr>
            <w:r>
              <w:rPr>
                <w:b/>
                <w:bCs/>
                <w:color w:val="000000"/>
                <w:sz w:val="32"/>
                <w:szCs w:val="32"/>
              </w:rPr>
              <w:t>Title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9B31D06">
            <w:pPr>
              <w:pStyle w:val="3"/>
              <w:spacing w:before="0" w:beforeAutospacing="0" w:after="160" w:afterAutospacing="0"/>
              <w:rPr>
                <w:sz w:val="32"/>
                <w:szCs w:val="32"/>
              </w:rPr>
            </w:pPr>
            <w:r>
              <w:rPr>
                <w:color w:val="000000"/>
                <w:sz w:val="32"/>
                <w:szCs w:val="32"/>
              </w:rPr>
              <w:t>WRITING A REPORT ON HUMAN RESOURCES MANAGEMENT ISSUES FOR PROJECTS</w:t>
            </w:r>
          </w:p>
        </w:tc>
      </w:tr>
      <w:tr w14:paraId="4764F45E">
        <w:tblPrEx>
          <w:tblCellMar>
            <w:top w:w="15" w:type="dxa"/>
            <w:left w:w="15" w:type="dxa"/>
            <w:bottom w:w="15" w:type="dxa"/>
            <w:right w:w="15" w:type="dxa"/>
          </w:tblCellMar>
        </w:tblPrEx>
        <w:trPr>
          <w:trHeight w:val="515"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7ADE9F2">
            <w:pPr>
              <w:pStyle w:val="3"/>
              <w:spacing w:before="0" w:beforeAutospacing="0" w:after="160" w:afterAutospacing="0"/>
              <w:rPr>
                <w:sz w:val="32"/>
                <w:szCs w:val="32"/>
              </w:rPr>
            </w:pPr>
            <w:r>
              <w:rPr>
                <w:b/>
                <w:bCs/>
                <w:color w:val="000000"/>
                <w:sz w:val="32"/>
                <w:szCs w:val="32"/>
              </w:rPr>
              <w:t>Date</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75F4B231">
            <w:pPr>
              <w:pStyle w:val="3"/>
              <w:spacing w:before="0" w:beforeAutospacing="0" w:after="160" w:afterAutospacing="0"/>
              <w:rPr>
                <w:sz w:val="32"/>
                <w:szCs w:val="32"/>
              </w:rPr>
            </w:pPr>
          </w:p>
        </w:tc>
      </w:tr>
      <w:tr w14:paraId="6D8F729B">
        <w:tblPrEx>
          <w:tblCellMar>
            <w:top w:w="15" w:type="dxa"/>
            <w:left w:w="15" w:type="dxa"/>
            <w:bottom w:w="15" w:type="dxa"/>
            <w:right w:w="15" w:type="dxa"/>
          </w:tblCellMar>
        </w:tblPrEx>
        <w:trPr>
          <w:trHeight w:val="515"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6FF89A7">
            <w:pPr>
              <w:pStyle w:val="3"/>
              <w:spacing w:before="0" w:beforeAutospacing="0" w:after="160" w:afterAutospacing="0"/>
              <w:rPr>
                <w:sz w:val="32"/>
                <w:szCs w:val="32"/>
              </w:rPr>
            </w:pPr>
            <w:r>
              <w:rPr>
                <w:b/>
                <w:bCs/>
                <w:color w:val="000000"/>
                <w:sz w:val="32"/>
                <w:szCs w:val="32"/>
              </w:rPr>
              <w:t>Level</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1450746F">
            <w:pPr>
              <w:pStyle w:val="3"/>
              <w:spacing w:before="0" w:beforeAutospacing="0" w:after="160" w:afterAutospacing="0"/>
              <w:rPr>
                <w:sz w:val="32"/>
                <w:szCs w:val="32"/>
              </w:rPr>
            </w:pPr>
            <w:r>
              <w:rPr>
                <w:color w:val="000000"/>
                <w:sz w:val="32"/>
                <w:szCs w:val="32"/>
              </w:rPr>
              <w:t>7</w:t>
            </w:r>
          </w:p>
        </w:tc>
      </w:tr>
      <w:tr w14:paraId="548170E1">
        <w:tblPrEx>
          <w:tblCellMar>
            <w:top w:w="15" w:type="dxa"/>
            <w:left w:w="15" w:type="dxa"/>
            <w:bottom w:w="15" w:type="dxa"/>
            <w:right w:w="15" w:type="dxa"/>
          </w:tblCellMar>
        </w:tblPrEx>
        <w:trPr>
          <w:trHeight w:val="515"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332C8B90">
            <w:pPr>
              <w:pStyle w:val="3"/>
              <w:spacing w:before="0" w:beforeAutospacing="0" w:after="160" w:afterAutospacing="0"/>
              <w:rPr>
                <w:sz w:val="32"/>
                <w:szCs w:val="32"/>
              </w:rPr>
            </w:pPr>
            <w:r>
              <w:rPr>
                <w:b/>
                <w:bCs/>
                <w:color w:val="000000"/>
                <w:sz w:val="32"/>
                <w:szCs w:val="32"/>
              </w:rPr>
              <w:t>Credits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EF2D27A">
            <w:pPr>
              <w:pStyle w:val="3"/>
              <w:spacing w:before="0" w:beforeAutospacing="0" w:after="160" w:afterAutospacing="0"/>
              <w:rPr>
                <w:sz w:val="32"/>
                <w:szCs w:val="32"/>
              </w:rPr>
            </w:pPr>
            <w:r>
              <w:rPr>
                <w:color w:val="000000"/>
                <w:sz w:val="32"/>
                <w:szCs w:val="32"/>
              </w:rPr>
              <w:t>20</w:t>
            </w:r>
          </w:p>
        </w:tc>
      </w:tr>
      <w:tr w14:paraId="7AC71D2C">
        <w:tblPrEx>
          <w:tblCellMar>
            <w:top w:w="15" w:type="dxa"/>
            <w:left w:w="15" w:type="dxa"/>
            <w:bottom w:w="15" w:type="dxa"/>
            <w:right w:w="15" w:type="dxa"/>
          </w:tblCellMar>
        </w:tblPrEx>
        <w:trPr>
          <w:trHeight w:val="866"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04D44A6C">
            <w:pPr>
              <w:pStyle w:val="3"/>
              <w:spacing w:before="0" w:beforeAutospacing="0" w:after="160" w:afterAutospacing="0"/>
              <w:rPr>
                <w:sz w:val="32"/>
                <w:szCs w:val="32"/>
              </w:rPr>
            </w:pPr>
            <w:r>
              <w:rPr>
                <w:b/>
                <w:bCs/>
                <w:color w:val="000000"/>
                <w:sz w:val="32"/>
                <w:szCs w:val="32"/>
              </w:rPr>
              <w:t>Pre-Requisites</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5F37CD2D">
            <w:pPr>
              <w:pStyle w:val="3"/>
              <w:spacing w:before="0" w:beforeAutospacing="0" w:after="160" w:afterAutospacing="0"/>
              <w:rPr>
                <w:sz w:val="32"/>
                <w:szCs w:val="32"/>
              </w:rPr>
            </w:pPr>
            <w:r>
              <w:rPr>
                <w:color w:val="000000"/>
                <w:sz w:val="32"/>
                <w:szCs w:val="32"/>
              </w:rPr>
              <w:t>None</w:t>
            </w:r>
          </w:p>
        </w:tc>
      </w:tr>
      <w:tr w14:paraId="3BC5F1B9">
        <w:tblPrEx>
          <w:tblCellMar>
            <w:top w:w="15" w:type="dxa"/>
            <w:left w:w="15" w:type="dxa"/>
            <w:bottom w:w="15" w:type="dxa"/>
            <w:right w:w="15" w:type="dxa"/>
          </w:tblCellMar>
        </w:tblPrEx>
        <w:trPr>
          <w:trHeight w:val="983" w:hRule="atLeast"/>
          <w:jc w:val="center"/>
        </w:trPr>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43B71B6B">
            <w:pPr>
              <w:pStyle w:val="3"/>
              <w:spacing w:before="0" w:beforeAutospacing="0" w:after="160" w:afterAutospacing="0"/>
              <w:rPr>
                <w:sz w:val="32"/>
                <w:szCs w:val="32"/>
              </w:rPr>
            </w:pPr>
            <w:r>
              <w:rPr>
                <w:b/>
                <w:bCs/>
                <w:color w:val="000000"/>
                <w:sz w:val="32"/>
                <w:szCs w:val="32"/>
              </w:rPr>
              <w:t>DBS Check</w:t>
            </w:r>
          </w:p>
        </w:tc>
        <w:tc>
          <w:tcPr>
            <w:tcW w:w="0" w:type="auto"/>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tcPr>
          <w:p w14:paraId="62A3AA37">
            <w:pPr>
              <w:pStyle w:val="3"/>
              <w:spacing w:before="0" w:beforeAutospacing="0" w:after="160" w:afterAutospacing="0"/>
              <w:rPr>
                <w:sz w:val="32"/>
                <w:szCs w:val="32"/>
              </w:rPr>
            </w:pPr>
            <w:r>
              <w:rPr>
                <w:color w:val="000000"/>
                <w:sz w:val="32"/>
                <w:szCs w:val="32"/>
              </w:rPr>
              <w:t xml:space="preserve">May be required </w:t>
            </w:r>
            <w:r>
              <w:rPr>
                <w:rFonts w:ascii="Segoe UI Symbol" w:hAnsi="Segoe UI Symbol" w:cs="Segoe UI Symbol"/>
                <w:color w:val="000000"/>
                <w:sz w:val="32"/>
                <w:szCs w:val="32"/>
              </w:rPr>
              <w:t>☐</w:t>
            </w:r>
            <w:r>
              <w:rPr>
                <w:rStyle w:val="21"/>
                <w:color w:val="000000"/>
                <w:sz w:val="32"/>
                <w:szCs w:val="32"/>
              </w:rPr>
              <w:tab/>
            </w:r>
            <w:r>
              <w:rPr>
                <w:rStyle w:val="21"/>
                <w:color w:val="000000"/>
                <w:sz w:val="32"/>
                <w:szCs w:val="32"/>
              </w:rPr>
              <w:tab/>
            </w:r>
            <w:r>
              <w:rPr>
                <w:rStyle w:val="21"/>
                <w:color w:val="000000"/>
                <w:sz w:val="32"/>
                <w:szCs w:val="32"/>
              </w:rPr>
              <w:tab/>
            </w:r>
            <w:r>
              <w:rPr>
                <w:color w:val="000000"/>
                <w:sz w:val="32"/>
                <w:szCs w:val="32"/>
              </w:rPr>
              <w:t xml:space="preserve">Not required </w:t>
            </w:r>
            <w:r>
              <w:rPr>
                <w:rStyle w:val="21"/>
                <w:color w:val="000000"/>
                <w:sz w:val="32"/>
                <w:szCs w:val="32"/>
              </w:rPr>
              <w:tab/>
            </w:r>
            <w:r>
              <w:rPr>
                <w:rFonts w:ascii="Segoe UI Symbol" w:hAnsi="Segoe UI Symbol" w:cs="Segoe UI Symbol"/>
                <w:color w:val="000000"/>
                <w:sz w:val="32"/>
                <w:szCs w:val="32"/>
              </w:rPr>
              <w:t>☒</w:t>
            </w:r>
            <w:r>
              <w:rPr>
                <w:color w:val="000000"/>
                <w:sz w:val="32"/>
                <w:szCs w:val="32"/>
              </w:rPr>
              <w:t xml:space="preserve"> </w:t>
            </w:r>
            <w:r>
              <w:rPr>
                <w:color w:val="000000"/>
                <w:sz w:val="32"/>
                <w:szCs w:val="32"/>
              </w:rPr>
              <w:tab/>
            </w:r>
          </w:p>
        </w:tc>
      </w:tr>
    </w:tbl>
    <w:p w14:paraId="69CAB141">
      <w:pPr>
        <w:rPr>
          <w:rFonts w:ascii="Times New Roman" w:hAnsi="Times New Roman" w:cs="Times New Roman"/>
          <w:b/>
          <w:bCs/>
          <w:color w:val="000000"/>
          <w:sz w:val="32"/>
          <w:szCs w:val="32"/>
        </w:rPr>
      </w:pPr>
      <w:r>
        <w:rPr>
          <w:rFonts w:ascii="Times New Roman" w:hAnsi="Times New Roman" w:cs="Times New Roman"/>
          <w:b/>
          <w:bCs/>
          <w:color w:val="000000"/>
          <w:sz w:val="32"/>
          <w:szCs w:val="32"/>
        </w:rPr>
        <w:t xml:space="preserve"> </w:t>
      </w:r>
      <w:r>
        <w:rPr>
          <w:rFonts w:ascii="Times New Roman" w:hAnsi="Times New Roman" w:cs="Times New Roman"/>
          <w:b/>
          <w:bCs/>
          <w:color w:val="000000"/>
          <w:sz w:val="32"/>
          <w:szCs w:val="32"/>
        </w:rPr>
        <w:br w:type="page"/>
      </w:r>
    </w:p>
    <w:p w14:paraId="644C53FF">
      <w:pPr>
        <w:spacing w:after="0" w:line="360" w:lineRule="auto"/>
        <w:jc w:val="both"/>
        <w:rPr>
          <w:rFonts w:ascii="Times New Roman" w:hAnsi="Times New Roman" w:cs="Times New Roman"/>
          <w:b/>
          <w:bCs/>
          <w:color w:val="000000"/>
          <w:sz w:val="24"/>
          <w:szCs w:val="24"/>
        </w:rPr>
      </w:pPr>
    </w:p>
    <w:tbl>
      <w:tblPr>
        <w:tblStyle w:val="7"/>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8850"/>
      </w:tblGrid>
      <w:tr w14:paraId="695E18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781" w:type="dxa"/>
            <w:shd w:val="clear" w:color="auto" w:fill="C0C0C0"/>
          </w:tcPr>
          <w:p w14:paraId="10B0CABB">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59CD02A3">
      <w:pPr>
        <w:jc w:val="both"/>
        <w:rPr>
          <w:rFonts w:ascii="Arial" w:hAnsi="Arial" w:cs="Arial"/>
          <w:sz w:val="22"/>
          <w:szCs w:val="22"/>
        </w:rPr>
      </w:pPr>
    </w:p>
    <w:p w14:paraId="598EB386">
      <w:pPr>
        <w:jc w:val="both"/>
        <w:textAlignment w:val="baseline"/>
        <w:rPr>
          <w:rFonts w:ascii="Segoe UI" w:hAnsi="Segoe UI" w:cs="Segoe UI"/>
          <w:b/>
          <w:bCs/>
          <w:sz w:val="18"/>
          <w:szCs w:val="18"/>
          <w:lang w:eastAsia="zh-CN"/>
        </w:rPr>
      </w:pPr>
      <w:r>
        <w:rPr>
          <w:rFonts w:ascii="Arial" w:hAnsi="Arial" w:cs="Arial"/>
          <w:sz w:val="22"/>
          <w:szCs w:val="22"/>
          <w:lang w:eastAsia="zh-CN"/>
        </w:rPr>
        <w:t> </w:t>
      </w:r>
      <w:r>
        <w:rPr>
          <w:rFonts w:ascii="Arial" w:hAnsi="Arial" w:cs="Arial"/>
          <w:sz w:val="22"/>
          <w:szCs w:val="22"/>
          <w:lang w:eastAsia="zh-CN"/>
        </w:rPr>
        <w:tab/>
      </w:r>
      <w:r>
        <w:rPr>
          <w:rFonts w:ascii="Arial" w:hAnsi="Arial" w:cs="Arial"/>
          <w:b/>
          <w:bCs/>
          <w:sz w:val="22"/>
          <w:szCs w:val="22"/>
          <w:lang w:eastAsia="zh-CN"/>
        </w:rPr>
        <w:t>Use of Generative AI in Assessment </w:t>
      </w:r>
    </w:p>
    <w:p w14:paraId="1600AE6D">
      <w:pPr>
        <w:ind w:firstLine="8640"/>
        <w:textAlignment w:val="baseline"/>
        <w:rPr>
          <w:rFonts w:ascii="Segoe UI" w:hAnsi="Segoe UI" w:cs="Segoe UI"/>
          <w:sz w:val="18"/>
          <w:szCs w:val="18"/>
          <w:lang w:eastAsia="zh-CN"/>
        </w:rPr>
      </w:pPr>
      <w:r>
        <w:rPr>
          <w:lang w:eastAsia="zh-CN"/>
        </w:rPr>
        <w:t> </w:t>
      </w:r>
    </w:p>
    <w:tbl>
      <w:tblPr>
        <w:tblStyle w:val="7"/>
        <w:tblW w:w="0" w:type="dxa"/>
        <w:tblInd w:w="600" w:type="dxa"/>
        <w:tblBorders>
          <w:top w:val="outset" w:color="auto" w:sz="6" w:space="0"/>
          <w:left w:val="outset" w:color="auto" w:sz="6" w:space="0"/>
          <w:bottom w:val="outset" w:color="auto" w:sz="6" w:space="0"/>
          <w:right w:val="outset" w:color="auto" w:sz="6" w:space="0"/>
          <w:insideH w:val="none" w:color="auto" w:sz="0" w:space="0"/>
          <w:insideV w:val="none" w:color="auto" w:sz="0" w:space="0"/>
        </w:tblBorders>
        <w:tblLayout w:type="autofit"/>
        <w:tblCellMar>
          <w:top w:w="0" w:type="dxa"/>
          <w:left w:w="0" w:type="dxa"/>
          <w:bottom w:w="0" w:type="dxa"/>
          <w:right w:w="0" w:type="dxa"/>
        </w:tblCellMar>
      </w:tblPr>
      <w:tblGrid>
        <w:gridCol w:w="2192"/>
        <w:gridCol w:w="4872"/>
        <w:gridCol w:w="1370"/>
      </w:tblGrid>
      <w:tr w14:paraId="6676793F">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auto" w:sz="6" w:space="0"/>
              <w:left w:val="single" w:color="auto" w:sz="6" w:space="0"/>
              <w:bottom w:val="single" w:color="000000" w:sz="6" w:space="0"/>
              <w:right w:val="single" w:color="000000" w:sz="6" w:space="0"/>
            </w:tcBorders>
          </w:tcPr>
          <w:p w14:paraId="33303E8D">
            <w:pPr>
              <w:textAlignment w:val="baseline"/>
              <w:rPr>
                <w:sz w:val="24"/>
                <w:szCs w:val="24"/>
                <w:lang w:eastAsia="zh-CN"/>
              </w:rPr>
            </w:pPr>
            <w:r>
              <w:rPr>
                <w:rFonts w:ascii="Arial" w:hAnsi="Arial" w:cs="Arial"/>
                <w:sz w:val="22"/>
                <w:szCs w:val="22"/>
                <w:lang w:eastAsia="zh-CN"/>
              </w:rPr>
              <w:t>RESEARCH </w:t>
            </w:r>
          </w:p>
        </w:tc>
        <w:tc>
          <w:tcPr>
            <w:tcW w:w="5385" w:type="dxa"/>
            <w:tcBorders>
              <w:top w:val="single" w:color="auto" w:sz="6" w:space="0"/>
              <w:left w:val="single" w:color="000000" w:sz="6" w:space="0"/>
              <w:bottom w:val="single" w:color="000000" w:sz="6" w:space="0"/>
              <w:right w:val="single" w:color="000000" w:sz="6" w:space="0"/>
            </w:tcBorders>
          </w:tcPr>
          <w:p w14:paraId="5CDC6E7A">
            <w:pPr>
              <w:textAlignment w:val="baseline"/>
              <w:rPr>
                <w:sz w:val="24"/>
                <w:szCs w:val="24"/>
                <w:lang w:eastAsia="zh-CN"/>
              </w:rPr>
            </w:pPr>
            <w:r>
              <w:rPr>
                <w:rFonts w:ascii="Arial" w:hAnsi="Arial" w:cs="Arial"/>
                <w:sz w:val="22"/>
                <w:szCs w:val="22"/>
                <w:lang w:eastAsia="zh-CN"/>
              </w:rPr>
              <w:t>For this assessment, you can use Generative AI to support you in research, including searching for bibliography, using tools to summarise, compare and interrogate materials. </w:t>
            </w:r>
          </w:p>
        </w:tc>
        <w:tc>
          <w:tcPr>
            <w:tcW w:w="1410" w:type="dxa"/>
            <w:tcBorders>
              <w:top w:val="single" w:color="auto" w:sz="6" w:space="0"/>
              <w:left w:val="single" w:color="000000" w:sz="6" w:space="0"/>
              <w:bottom w:val="single" w:color="000000" w:sz="6" w:space="0"/>
              <w:right w:val="single" w:color="auto" w:sz="6" w:space="0"/>
            </w:tcBorders>
          </w:tcPr>
          <w:p w14:paraId="0F87348F">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50F81D8D">
            <w:pPr>
              <w:textAlignment w:val="baseline"/>
              <w:rPr>
                <w:sz w:val="24"/>
                <w:szCs w:val="24"/>
                <w:lang w:eastAsia="zh-CN"/>
              </w:rPr>
            </w:pPr>
            <w:r>
              <w:rPr>
                <w:rFonts w:ascii="Arial" w:hAnsi="Arial" w:cs="Arial"/>
                <w:sz w:val="22"/>
                <w:szCs w:val="22"/>
                <w:lang w:eastAsia="zh-CN"/>
              </w:rPr>
              <w:t> </w:t>
            </w:r>
          </w:p>
          <w:p w14:paraId="59928EA0">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r w14:paraId="595830E0">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000000" w:sz="6" w:space="0"/>
              <w:left w:val="single" w:color="auto" w:sz="6" w:space="0"/>
              <w:bottom w:val="single" w:color="000000" w:sz="6" w:space="0"/>
              <w:right w:val="single" w:color="000000" w:sz="6" w:space="0"/>
            </w:tcBorders>
          </w:tcPr>
          <w:p w14:paraId="6A166005">
            <w:pPr>
              <w:textAlignment w:val="baseline"/>
              <w:rPr>
                <w:sz w:val="24"/>
                <w:szCs w:val="24"/>
                <w:lang w:eastAsia="zh-CN"/>
              </w:rPr>
            </w:pPr>
            <w:r>
              <w:rPr>
                <w:rFonts w:ascii="Arial" w:hAnsi="Arial" w:cs="Arial"/>
                <w:sz w:val="22"/>
                <w:szCs w:val="22"/>
                <w:lang w:eastAsia="zh-CN"/>
              </w:rPr>
              <w:t>STRUCTURE </w:t>
            </w:r>
          </w:p>
        </w:tc>
        <w:tc>
          <w:tcPr>
            <w:tcW w:w="5385" w:type="dxa"/>
            <w:tcBorders>
              <w:top w:val="single" w:color="000000" w:sz="6" w:space="0"/>
              <w:left w:val="single" w:color="000000" w:sz="6" w:space="0"/>
              <w:bottom w:val="single" w:color="000000" w:sz="6" w:space="0"/>
              <w:right w:val="single" w:color="000000" w:sz="6" w:space="0"/>
            </w:tcBorders>
          </w:tcPr>
          <w:p w14:paraId="776E7C80">
            <w:pPr>
              <w:textAlignment w:val="baseline"/>
              <w:rPr>
                <w:sz w:val="24"/>
                <w:szCs w:val="24"/>
                <w:lang w:eastAsia="zh-CN"/>
              </w:rPr>
            </w:pPr>
            <w:r>
              <w:rPr>
                <w:rFonts w:ascii="Arial" w:hAnsi="Arial" w:cs="Arial"/>
                <w:sz w:val="22"/>
                <w:szCs w:val="22"/>
                <w:lang w:eastAsia="zh-CN"/>
              </w:rPr>
              <w:t>For this assessment, you can use Generative AI to support you in structuring your submission, including creating a draft argument structure, identifying parts and headings, etc. </w:t>
            </w:r>
          </w:p>
        </w:tc>
        <w:tc>
          <w:tcPr>
            <w:tcW w:w="1410" w:type="dxa"/>
            <w:tcBorders>
              <w:top w:val="single" w:color="000000" w:sz="6" w:space="0"/>
              <w:left w:val="single" w:color="000000" w:sz="6" w:space="0"/>
              <w:bottom w:val="single" w:color="000000" w:sz="6" w:space="0"/>
              <w:right w:val="single" w:color="auto" w:sz="6" w:space="0"/>
            </w:tcBorders>
          </w:tcPr>
          <w:p w14:paraId="64AB2EC9">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162ED1A1">
            <w:pPr>
              <w:textAlignment w:val="baseline"/>
              <w:rPr>
                <w:sz w:val="24"/>
                <w:szCs w:val="24"/>
                <w:lang w:eastAsia="zh-CN"/>
              </w:rPr>
            </w:pPr>
            <w:r>
              <w:rPr>
                <w:rFonts w:ascii="Arial" w:hAnsi="Arial" w:cs="Arial"/>
                <w:sz w:val="22"/>
                <w:szCs w:val="22"/>
                <w:lang w:eastAsia="zh-CN"/>
              </w:rPr>
              <w:t> </w:t>
            </w:r>
          </w:p>
          <w:p w14:paraId="1D2CC397">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r w14:paraId="3859B2C3">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000000" w:sz="6" w:space="0"/>
              <w:left w:val="single" w:color="auto" w:sz="6" w:space="0"/>
              <w:bottom w:val="single" w:color="000000" w:sz="6" w:space="0"/>
              <w:right w:val="single" w:color="000000" w:sz="6" w:space="0"/>
            </w:tcBorders>
          </w:tcPr>
          <w:p w14:paraId="2757E3FC">
            <w:pPr>
              <w:textAlignment w:val="baseline"/>
              <w:rPr>
                <w:sz w:val="24"/>
                <w:szCs w:val="24"/>
                <w:lang w:eastAsia="zh-CN"/>
              </w:rPr>
            </w:pPr>
            <w:r>
              <w:rPr>
                <w:rFonts w:ascii="Arial" w:hAnsi="Arial" w:cs="Arial"/>
                <w:sz w:val="22"/>
                <w:szCs w:val="22"/>
                <w:lang w:eastAsia="zh-CN"/>
              </w:rPr>
              <w:t>PROOFREADING </w:t>
            </w:r>
          </w:p>
        </w:tc>
        <w:tc>
          <w:tcPr>
            <w:tcW w:w="5385" w:type="dxa"/>
            <w:tcBorders>
              <w:top w:val="single" w:color="000000" w:sz="6" w:space="0"/>
              <w:left w:val="single" w:color="000000" w:sz="6" w:space="0"/>
              <w:bottom w:val="single" w:color="000000" w:sz="6" w:space="0"/>
              <w:right w:val="single" w:color="000000" w:sz="6" w:space="0"/>
            </w:tcBorders>
          </w:tcPr>
          <w:p w14:paraId="71D1EF85">
            <w:pPr>
              <w:textAlignment w:val="baseline"/>
              <w:rPr>
                <w:sz w:val="24"/>
                <w:szCs w:val="24"/>
                <w:lang w:eastAsia="zh-CN"/>
              </w:rPr>
            </w:pPr>
            <w:r>
              <w:rPr>
                <w:rFonts w:ascii="Arial" w:hAnsi="Arial" w:cs="Arial"/>
                <w:sz w:val="22"/>
                <w:szCs w:val="22"/>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color="000000" w:sz="6" w:space="0"/>
              <w:left w:val="single" w:color="000000" w:sz="6" w:space="0"/>
              <w:bottom w:val="single" w:color="000000" w:sz="6" w:space="0"/>
              <w:right w:val="single" w:color="auto" w:sz="6" w:space="0"/>
            </w:tcBorders>
          </w:tcPr>
          <w:p w14:paraId="1DDEAB44">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025D238D">
            <w:pPr>
              <w:textAlignment w:val="baseline"/>
              <w:rPr>
                <w:sz w:val="24"/>
                <w:szCs w:val="24"/>
                <w:lang w:eastAsia="zh-CN"/>
              </w:rPr>
            </w:pPr>
            <w:r>
              <w:rPr>
                <w:rFonts w:ascii="Arial" w:hAnsi="Arial" w:cs="Arial"/>
                <w:sz w:val="22"/>
                <w:szCs w:val="22"/>
                <w:lang w:eastAsia="zh-CN"/>
              </w:rPr>
              <w:t> </w:t>
            </w:r>
          </w:p>
          <w:p w14:paraId="4A299584">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r w14:paraId="6FE3032E">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000000" w:sz="6" w:space="0"/>
              <w:left w:val="single" w:color="auto" w:sz="6" w:space="0"/>
              <w:bottom w:val="single" w:color="000000" w:sz="6" w:space="0"/>
              <w:right w:val="single" w:color="000000" w:sz="6" w:space="0"/>
            </w:tcBorders>
          </w:tcPr>
          <w:p w14:paraId="642BAA18">
            <w:pPr>
              <w:textAlignment w:val="baseline"/>
              <w:rPr>
                <w:sz w:val="24"/>
                <w:szCs w:val="24"/>
                <w:lang w:eastAsia="zh-CN"/>
              </w:rPr>
            </w:pPr>
            <w:r>
              <w:rPr>
                <w:rFonts w:ascii="Arial" w:hAnsi="Arial" w:cs="Arial"/>
                <w:sz w:val="22"/>
                <w:szCs w:val="22"/>
                <w:lang w:eastAsia="zh-CN"/>
              </w:rPr>
              <w:t>WRITING </w:t>
            </w:r>
          </w:p>
        </w:tc>
        <w:tc>
          <w:tcPr>
            <w:tcW w:w="5385" w:type="dxa"/>
            <w:tcBorders>
              <w:top w:val="single" w:color="000000" w:sz="6" w:space="0"/>
              <w:left w:val="single" w:color="000000" w:sz="6" w:space="0"/>
              <w:bottom w:val="single" w:color="000000" w:sz="6" w:space="0"/>
              <w:right w:val="single" w:color="000000" w:sz="6" w:space="0"/>
            </w:tcBorders>
          </w:tcPr>
          <w:p w14:paraId="7A2950F4">
            <w:pPr>
              <w:textAlignment w:val="baseline"/>
              <w:rPr>
                <w:sz w:val="24"/>
                <w:szCs w:val="24"/>
                <w:lang w:eastAsia="zh-CN"/>
              </w:rPr>
            </w:pPr>
            <w:r>
              <w:rPr>
                <w:rFonts w:ascii="Arial" w:hAnsi="Arial" w:cs="Arial"/>
                <w:sz w:val="22"/>
                <w:szCs w:val="22"/>
                <w:lang w:eastAsia="zh-CN"/>
              </w:rPr>
              <w:t>For this assessment, you can use Generative AI to create text for submission. </w:t>
            </w:r>
          </w:p>
        </w:tc>
        <w:tc>
          <w:tcPr>
            <w:tcW w:w="1410" w:type="dxa"/>
            <w:tcBorders>
              <w:top w:val="single" w:color="000000" w:sz="6" w:space="0"/>
              <w:left w:val="single" w:color="000000" w:sz="6" w:space="0"/>
              <w:bottom w:val="single" w:color="000000" w:sz="6" w:space="0"/>
              <w:right w:val="single" w:color="auto" w:sz="6" w:space="0"/>
            </w:tcBorders>
          </w:tcPr>
          <w:p w14:paraId="1E13929C">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6FEC28C9">
            <w:pPr>
              <w:textAlignment w:val="baseline"/>
              <w:rPr>
                <w:sz w:val="24"/>
                <w:szCs w:val="24"/>
                <w:lang w:eastAsia="zh-CN"/>
              </w:rPr>
            </w:pPr>
            <w:r>
              <w:rPr>
                <w:rFonts w:ascii="Arial" w:hAnsi="Arial" w:cs="Arial"/>
                <w:sz w:val="22"/>
                <w:szCs w:val="22"/>
                <w:lang w:eastAsia="zh-CN"/>
              </w:rPr>
              <w:t> </w:t>
            </w:r>
          </w:p>
          <w:p w14:paraId="51E5971D">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r w14:paraId="3445408E">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000000" w:sz="6" w:space="0"/>
              <w:left w:val="single" w:color="auto" w:sz="6" w:space="0"/>
              <w:bottom w:val="single" w:color="000000" w:sz="6" w:space="0"/>
              <w:right w:val="single" w:color="000000" w:sz="6" w:space="0"/>
            </w:tcBorders>
          </w:tcPr>
          <w:p w14:paraId="72FDFF22">
            <w:pPr>
              <w:textAlignment w:val="baseline"/>
              <w:rPr>
                <w:sz w:val="24"/>
                <w:szCs w:val="24"/>
                <w:lang w:eastAsia="zh-CN"/>
              </w:rPr>
            </w:pPr>
            <w:r>
              <w:rPr>
                <w:rFonts w:ascii="Arial" w:hAnsi="Arial" w:cs="Arial"/>
                <w:sz w:val="22"/>
                <w:szCs w:val="22"/>
                <w:lang w:eastAsia="zh-CN"/>
              </w:rPr>
              <w:t>CREATIVE </w:t>
            </w:r>
          </w:p>
        </w:tc>
        <w:tc>
          <w:tcPr>
            <w:tcW w:w="5385" w:type="dxa"/>
            <w:tcBorders>
              <w:top w:val="single" w:color="000000" w:sz="6" w:space="0"/>
              <w:left w:val="single" w:color="000000" w:sz="6" w:space="0"/>
              <w:bottom w:val="single" w:color="000000" w:sz="6" w:space="0"/>
              <w:right w:val="single" w:color="000000" w:sz="6" w:space="0"/>
            </w:tcBorders>
          </w:tcPr>
          <w:p w14:paraId="1531AC45">
            <w:pPr>
              <w:textAlignment w:val="baseline"/>
              <w:rPr>
                <w:sz w:val="24"/>
                <w:szCs w:val="24"/>
                <w:lang w:eastAsia="zh-CN"/>
              </w:rPr>
            </w:pPr>
            <w:r>
              <w:rPr>
                <w:rFonts w:ascii="Arial" w:hAnsi="Arial" w:cs="Arial"/>
                <w:sz w:val="22"/>
                <w:szCs w:val="22"/>
                <w:lang w:eastAsia="zh-CN"/>
              </w:rPr>
              <w:t>For this assessment, you can use Generative AI to create creative materials, such as images. </w:t>
            </w:r>
          </w:p>
        </w:tc>
        <w:tc>
          <w:tcPr>
            <w:tcW w:w="1410" w:type="dxa"/>
            <w:tcBorders>
              <w:top w:val="single" w:color="000000" w:sz="6" w:space="0"/>
              <w:left w:val="single" w:color="000000" w:sz="6" w:space="0"/>
              <w:bottom w:val="single" w:color="000000" w:sz="6" w:space="0"/>
              <w:right w:val="single" w:color="auto" w:sz="6" w:space="0"/>
            </w:tcBorders>
          </w:tcPr>
          <w:p w14:paraId="2DAAA2B7">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0631238C">
            <w:pPr>
              <w:textAlignment w:val="baseline"/>
              <w:rPr>
                <w:sz w:val="24"/>
                <w:szCs w:val="24"/>
                <w:lang w:eastAsia="zh-CN"/>
              </w:rPr>
            </w:pPr>
            <w:r>
              <w:rPr>
                <w:rFonts w:ascii="Arial" w:hAnsi="Arial" w:cs="Arial"/>
                <w:sz w:val="22"/>
                <w:szCs w:val="22"/>
                <w:lang w:eastAsia="zh-CN"/>
              </w:rPr>
              <w:t> </w:t>
            </w:r>
          </w:p>
          <w:p w14:paraId="262D55E7">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r w14:paraId="76984B30">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000000" w:sz="6" w:space="0"/>
              <w:left w:val="single" w:color="auto" w:sz="6" w:space="0"/>
              <w:bottom w:val="single" w:color="000000" w:sz="6" w:space="0"/>
              <w:right w:val="single" w:color="000000" w:sz="6" w:space="0"/>
            </w:tcBorders>
          </w:tcPr>
          <w:p w14:paraId="5FCA65EB">
            <w:pPr>
              <w:textAlignment w:val="baseline"/>
              <w:rPr>
                <w:sz w:val="24"/>
                <w:szCs w:val="24"/>
                <w:lang w:eastAsia="zh-CN"/>
              </w:rPr>
            </w:pPr>
            <w:r>
              <w:rPr>
                <w:rFonts w:ascii="Arial" w:hAnsi="Arial" w:cs="Arial"/>
                <w:sz w:val="22"/>
                <w:szCs w:val="22"/>
                <w:lang w:eastAsia="zh-CN"/>
              </w:rPr>
              <w:t>PROGRAMING </w:t>
            </w:r>
          </w:p>
        </w:tc>
        <w:tc>
          <w:tcPr>
            <w:tcW w:w="5385" w:type="dxa"/>
            <w:tcBorders>
              <w:top w:val="single" w:color="000000" w:sz="6" w:space="0"/>
              <w:left w:val="single" w:color="000000" w:sz="6" w:space="0"/>
              <w:bottom w:val="single" w:color="000000" w:sz="6" w:space="0"/>
              <w:right w:val="single" w:color="000000" w:sz="6" w:space="0"/>
            </w:tcBorders>
          </w:tcPr>
          <w:p w14:paraId="72B4DC82">
            <w:pPr>
              <w:textAlignment w:val="baseline"/>
              <w:rPr>
                <w:sz w:val="24"/>
                <w:szCs w:val="24"/>
                <w:lang w:eastAsia="zh-CN"/>
              </w:rPr>
            </w:pPr>
            <w:r>
              <w:rPr>
                <w:rFonts w:ascii="Arial" w:hAnsi="Arial" w:cs="Arial"/>
                <w:sz w:val="22"/>
                <w:szCs w:val="22"/>
                <w:lang w:eastAsia="zh-CN"/>
              </w:rPr>
              <w:t>For this assessment, you can use Generative AI to create and check code. </w:t>
            </w:r>
          </w:p>
        </w:tc>
        <w:tc>
          <w:tcPr>
            <w:tcW w:w="1410" w:type="dxa"/>
            <w:tcBorders>
              <w:top w:val="single" w:color="000000" w:sz="6" w:space="0"/>
              <w:left w:val="single" w:color="000000" w:sz="6" w:space="0"/>
              <w:bottom w:val="single" w:color="000000" w:sz="6" w:space="0"/>
              <w:right w:val="single" w:color="auto" w:sz="6" w:space="0"/>
            </w:tcBorders>
          </w:tcPr>
          <w:p w14:paraId="1F7C55E6">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7FF816F7">
            <w:pPr>
              <w:textAlignment w:val="baseline"/>
              <w:rPr>
                <w:sz w:val="24"/>
                <w:szCs w:val="24"/>
                <w:lang w:eastAsia="zh-CN"/>
              </w:rPr>
            </w:pPr>
            <w:r>
              <w:rPr>
                <w:rFonts w:ascii="Arial" w:hAnsi="Arial" w:cs="Arial"/>
                <w:sz w:val="22"/>
                <w:szCs w:val="22"/>
                <w:lang w:eastAsia="zh-CN"/>
              </w:rPr>
              <w:t> </w:t>
            </w:r>
          </w:p>
          <w:p w14:paraId="6B960DB2">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r w14:paraId="6A8AF1F0">
        <w:tblPrEx>
          <w:tblBorders>
            <w:top w:val="outset" w:color="auto" w:sz="6" w:space="0"/>
            <w:left w:val="outset" w:color="auto" w:sz="6" w:space="0"/>
            <w:bottom w:val="outset" w:color="auto" w:sz="6" w:space="0"/>
            <w:right w:val="outset" w:color="auto" w:sz="6" w:space="0"/>
            <w:insideH w:val="none" w:color="auto" w:sz="0" w:space="0"/>
            <w:insideV w:val="none" w:color="auto" w:sz="0" w:space="0"/>
          </w:tblBorders>
          <w:tblCellMar>
            <w:top w:w="0" w:type="dxa"/>
            <w:left w:w="0" w:type="dxa"/>
            <w:bottom w:w="0" w:type="dxa"/>
            <w:right w:w="0" w:type="dxa"/>
          </w:tblCellMar>
        </w:tblPrEx>
        <w:trPr>
          <w:trHeight w:val="300" w:hRule="atLeast"/>
        </w:trPr>
        <w:tc>
          <w:tcPr>
            <w:tcW w:w="2250" w:type="dxa"/>
            <w:tcBorders>
              <w:top w:val="single" w:color="000000" w:sz="6" w:space="0"/>
              <w:left w:val="single" w:color="auto" w:sz="6" w:space="0"/>
              <w:bottom w:val="single" w:color="auto" w:sz="6" w:space="0"/>
              <w:right w:val="single" w:color="000000" w:sz="6" w:space="0"/>
            </w:tcBorders>
          </w:tcPr>
          <w:p w14:paraId="4B89756F">
            <w:pPr>
              <w:textAlignment w:val="baseline"/>
              <w:rPr>
                <w:sz w:val="24"/>
                <w:szCs w:val="24"/>
                <w:lang w:eastAsia="zh-CN"/>
              </w:rPr>
            </w:pPr>
            <w:r>
              <w:rPr>
                <w:rFonts w:ascii="Arial" w:hAnsi="Arial" w:cs="Arial"/>
                <w:sz w:val="22"/>
                <w:szCs w:val="22"/>
                <w:lang w:eastAsia="zh-CN"/>
              </w:rPr>
              <w:t>NONE </w:t>
            </w:r>
          </w:p>
        </w:tc>
        <w:tc>
          <w:tcPr>
            <w:tcW w:w="5385" w:type="dxa"/>
            <w:tcBorders>
              <w:top w:val="single" w:color="000000" w:sz="6" w:space="0"/>
              <w:left w:val="single" w:color="000000" w:sz="6" w:space="0"/>
              <w:bottom w:val="single" w:color="auto" w:sz="6" w:space="0"/>
              <w:right w:val="single" w:color="000000" w:sz="6" w:space="0"/>
            </w:tcBorders>
          </w:tcPr>
          <w:p w14:paraId="736B0D0C">
            <w:pPr>
              <w:textAlignment w:val="baseline"/>
              <w:rPr>
                <w:sz w:val="24"/>
                <w:szCs w:val="24"/>
                <w:lang w:eastAsia="zh-CN"/>
              </w:rPr>
            </w:pPr>
            <w:r>
              <w:rPr>
                <w:rFonts w:ascii="Arial" w:hAnsi="Arial" w:cs="Arial"/>
                <w:sz w:val="22"/>
                <w:szCs w:val="22"/>
                <w:lang w:eastAsia="zh-CN"/>
              </w:rPr>
              <w:t xml:space="preserve">For this assessment, you are not allowed to use </w:t>
            </w:r>
            <w:r>
              <w:rPr>
                <w:rFonts w:ascii="Arial" w:hAnsi="Arial" w:cs="Arial"/>
                <w:b/>
                <w:bCs/>
                <w:sz w:val="22"/>
                <w:szCs w:val="22"/>
                <w:lang w:eastAsia="zh-CN"/>
              </w:rPr>
              <w:t>any</w:t>
            </w:r>
            <w:r>
              <w:rPr>
                <w:rFonts w:ascii="Arial" w:hAnsi="Arial" w:cs="Arial"/>
                <w:sz w:val="22"/>
                <w:szCs w:val="22"/>
                <w:lang w:eastAsia="zh-CN"/>
              </w:rPr>
              <w:t xml:space="preserve"> type of Generative AI support. This includes research support, structure support, writing/proofreading support and creative support. </w:t>
            </w:r>
          </w:p>
        </w:tc>
        <w:tc>
          <w:tcPr>
            <w:tcW w:w="1410" w:type="dxa"/>
            <w:tcBorders>
              <w:top w:val="single" w:color="000000" w:sz="6" w:space="0"/>
              <w:left w:val="single" w:color="000000" w:sz="6" w:space="0"/>
              <w:bottom w:val="single" w:color="auto" w:sz="6" w:space="0"/>
              <w:right w:val="single" w:color="auto" w:sz="6" w:space="0"/>
            </w:tcBorders>
          </w:tcPr>
          <w:p w14:paraId="6CE06A83">
            <w:pPr>
              <w:textAlignment w:val="baseline"/>
              <w:rPr>
                <w:sz w:val="24"/>
                <w:szCs w:val="24"/>
                <w:lang w:eastAsia="zh-CN"/>
              </w:rPr>
            </w:pPr>
            <w:r>
              <w:rPr>
                <w:rFonts w:ascii="Arial" w:hAnsi="Arial" w:cs="Arial"/>
                <w:sz w:val="22"/>
                <w:szCs w:val="22"/>
                <w:lang w:eastAsia="zh-CN"/>
              </w:rPr>
              <w:t>Yes ​</w:t>
            </w:r>
            <w:r>
              <w:rPr>
                <w:rFonts w:hint="eastAsia" w:ascii="MS Gothic" w:hAnsi="MS Gothic" w:eastAsia="MS Gothic"/>
                <w:sz w:val="22"/>
                <w:szCs w:val="22"/>
                <w:lang w:eastAsia="zh-CN"/>
              </w:rPr>
              <w:t>☐</w:t>
            </w:r>
            <w:r>
              <w:rPr>
                <w:rFonts w:ascii="Arial" w:hAnsi="Arial" w:cs="Arial"/>
                <w:sz w:val="22"/>
                <w:szCs w:val="22"/>
                <w:lang w:eastAsia="zh-CN"/>
              </w:rPr>
              <w:t>​ </w:t>
            </w:r>
          </w:p>
          <w:p w14:paraId="786305D1">
            <w:pPr>
              <w:textAlignment w:val="baseline"/>
              <w:rPr>
                <w:sz w:val="24"/>
                <w:szCs w:val="24"/>
                <w:lang w:eastAsia="zh-CN"/>
              </w:rPr>
            </w:pPr>
            <w:r>
              <w:rPr>
                <w:rFonts w:ascii="Arial" w:hAnsi="Arial" w:cs="Arial"/>
                <w:sz w:val="22"/>
                <w:szCs w:val="22"/>
                <w:lang w:eastAsia="zh-CN"/>
              </w:rPr>
              <w:t> </w:t>
            </w:r>
          </w:p>
          <w:p w14:paraId="09E3283A">
            <w:pPr>
              <w:textAlignment w:val="baseline"/>
              <w:rPr>
                <w:sz w:val="24"/>
                <w:szCs w:val="24"/>
                <w:lang w:eastAsia="zh-CN"/>
              </w:rPr>
            </w:pPr>
            <w:r>
              <w:rPr>
                <w:rFonts w:ascii="Arial" w:hAnsi="Arial" w:cs="Arial"/>
                <w:sz w:val="22"/>
                <w:szCs w:val="22"/>
                <w:lang w:eastAsia="zh-CN"/>
              </w:rPr>
              <w:t>No  ​</w:t>
            </w:r>
            <w:r>
              <w:rPr>
                <w:rFonts w:hint="eastAsia" w:ascii="MS Gothic" w:hAnsi="MS Gothic" w:eastAsia="MS Gothic"/>
                <w:sz w:val="22"/>
                <w:szCs w:val="22"/>
                <w:lang w:eastAsia="zh-CN"/>
              </w:rPr>
              <w:t>☒</w:t>
            </w:r>
            <w:r>
              <w:rPr>
                <w:rFonts w:ascii="Arial" w:hAnsi="Arial" w:cs="Arial"/>
                <w:sz w:val="22"/>
                <w:szCs w:val="22"/>
                <w:lang w:eastAsia="zh-CN"/>
              </w:rPr>
              <w:t>​ </w:t>
            </w:r>
          </w:p>
        </w:tc>
      </w:tr>
    </w:tbl>
    <w:p w14:paraId="5C774953">
      <w:pPr>
        <w:spacing w:after="0" w:line="360" w:lineRule="auto"/>
        <w:jc w:val="both"/>
        <w:rPr>
          <w:rFonts w:ascii="Times New Roman" w:hAnsi="Times New Roman" w:cs="Times New Roman"/>
          <w:b/>
          <w:bCs/>
          <w:color w:val="000000"/>
          <w:sz w:val="24"/>
          <w:szCs w:val="24"/>
        </w:rPr>
      </w:pPr>
    </w:p>
    <w:p w14:paraId="1C094047">
      <w:pPr>
        <w:spacing w:after="0" w:line="360" w:lineRule="auto"/>
        <w:jc w:val="both"/>
        <w:rPr>
          <w:rFonts w:ascii="Times New Roman" w:hAnsi="Times New Roman" w:cs="Times New Roman"/>
          <w:b/>
          <w:bCs/>
          <w:color w:val="000000"/>
          <w:sz w:val="24"/>
          <w:szCs w:val="24"/>
        </w:rPr>
      </w:pPr>
    </w:p>
    <w:p w14:paraId="67E5CFF3">
      <w:pPr>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AI Acknowledgement</w:t>
      </w:r>
    </w:p>
    <w:p w14:paraId="3C5E63B9">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I confirm that I have not present any AI-generated materials as my own work in this portfolio. However, I acknowledge that I have used or may have used the AI in the research and proofreading of my portfolio.</w:t>
      </w:r>
    </w:p>
    <w:p w14:paraId="5CC9B055">
      <w:pPr>
        <w:spacing w:after="0" w:line="360" w:lineRule="auto"/>
        <w:jc w:val="both"/>
        <w:rPr>
          <w:rFonts w:ascii="Times New Roman" w:hAnsi="Times New Roman" w:cs="Times New Roman"/>
          <w:color w:val="000000"/>
          <w:sz w:val="24"/>
          <w:szCs w:val="24"/>
        </w:rPr>
      </w:pPr>
    </w:p>
    <w:p w14:paraId="1B7D4A53">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Name: ..</w:t>
      </w:r>
      <w:r>
        <w:rPr>
          <w:rFonts w:hint="default" w:ascii="Times New Roman" w:hAnsi="Times New Roman" w:cs="Times New Roman"/>
          <w:color w:val="000000"/>
          <w:sz w:val="24"/>
          <w:szCs w:val="24"/>
          <w:lang w:val="en-GB"/>
        </w:rPr>
        <w:t>Aminur Islam Tonmoy</w:t>
      </w:r>
      <w:r>
        <w:rPr>
          <w:rFonts w:ascii="Times New Roman" w:hAnsi="Times New Roman" w:cs="Times New Roman"/>
          <w:color w:val="000000"/>
          <w:sz w:val="24"/>
          <w:szCs w:val="24"/>
        </w:rPr>
        <w:t>.............</w:t>
      </w:r>
    </w:p>
    <w:p w14:paraId="3C35BA74">
      <w:pPr>
        <w:spacing w:after="0" w:line="360" w:lineRule="auto"/>
        <w:jc w:val="both"/>
        <w:rPr>
          <w:rFonts w:ascii="Times New Roman" w:hAnsi="Times New Roman" w:cs="Times New Roman"/>
          <w:b/>
          <w:bCs/>
          <w:color w:val="000000"/>
          <w:sz w:val="24"/>
          <w:szCs w:val="24"/>
        </w:rPr>
      </w:pPr>
      <w:r>
        <w:rPr>
          <w:rFonts w:ascii="Times New Roman" w:hAnsi="Times New Roman" w:cs="Times New Roman"/>
          <w:color w:val="000000"/>
          <w:sz w:val="24"/>
          <w:szCs w:val="24"/>
        </w:rPr>
        <w:t>Student ID......</w:t>
      </w:r>
      <w:r>
        <w:rPr>
          <w:rFonts w:hint="default" w:ascii="Times New Roman" w:hAnsi="Times New Roman" w:cs="Times New Roman"/>
          <w:color w:val="000000"/>
          <w:sz w:val="24"/>
          <w:szCs w:val="24"/>
          <w:lang w:val="en-GB"/>
        </w:rPr>
        <w:t>2522779</w:t>
      </w:r>
      <w:r>
        <w:rPr>
          <w:rFonts w:ascii="Times New Roman" w:hAnsi="Times New Roman" w:cs="Times New Roman"/>
          <w:color w:val="000000"/>
          <w:sz w:val="24"/>
          <w:szCs w:val="24"/>
        </w:rPr>
        <w:t>.......</w:t>
      </w:r>
      <w:r>
        <w:rPr>
          <w:rFonts w:ascii="Times New Roman" w:hAnsi="Times New Roman" w:cs="Times New Roman"/>
          <w:b/>
          <w:bCs/>
          <w:color w:val="000000"/>
          <w:sz w:val="24"/>
          <w:szCs w:val="24"/>
        </w:rPr>
        <w:br w:type="page"/>
      </w:r>
    </w:p>
    <w:p w14:paraId="01A386AF">
      <w:pPr>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Executive Summary</w:t>
      </w:r>
    </w:p>
    <w:p w14:paraId="55E01806">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This report contains detailed analysis on modern high-performing workplaces that are featured with employee-centric managerial practices and strong organisational culture, which is supported with strategic investments for workers’ wellbeing and development. Fortune disclosed that top employers provide upskilling options and career development training to prepare employees for future workplace changes, especially in digital transformation and AI integration. Besides, employee empowerment using autonomy and participation in decision-making improves productivity performance and innovation. Traditional organisations are highly replaced with agile, and hybrid work structures that need adaptable leadership qualities like transformational leaders with change-motivating skills to manage succession pipelines.</w:t>
      </w:r>
      <w:r>
        <w:rPr>
          <w:rFonts w:ascii="Times New Roman" w:hAnsi="Times New Roman" w:cs="Times New Roman"/>
          <w:sz w:val="24"/>
          <w:szCs w:val="24"/>
        </w:rPr>
        <w:t xml:space="preserve"> </w:t>
      </w:r>
      <w:r>
        <w:rPr>
          <w:rFonts w:ascii="Times New Roman" w:hAnsi="Times New Roman" w:cs="Times New Roman"/>
          <w:color w:val="000000"/>
          <w:sz w:val="24"/>
          <w:szCs w:val="24"/>
        </w:rPr>
        <w:t>Contrarily, modern succession plans adopt a strategic and data-centric approach. Current companies focus on talent, leadership influence and diversity instead of replacing candidates.</w:t>
      </w:r>
    </w:p>
    <w:p w14:paraId="7555B7AF">
      <w:pPr>
        <w:rPr>
          <w:rFonts w:ascii="Times New Roman" w:hAnsi="Times New Roman" w:eastAsia="Times New Roman" w:cs="Times New Roman"/>
          <w:b/>
          <w:bCs/>
          <w:color w:val="000000"/>
          <w:sz w:val="24"/>
          <w:szCs w:val="24"/>
          <w:lang w:eastAsia="en-IN"/>
        </w:rPr>
      </w:pPr>
      <w:r>
        <w:rPr>
          <w:b/>
          <w:bCs/>
          <w:color w:val="000000"/>
        </w:rPr>
        <w:br w:type="page"/>
      </w:r>
    </w:p>
    <w:sdt>
      <w:sdtPr>
        <w:rPr>
          <w:rFonts w:ascii="Times New Roman" w:hAnsi="Times New Roman" w:cs="Times New Roman" w:eastAsiaTheme="minorHAnsi"/>
          <w:b/>
          <w:bCs/>
          <w:color w:val="000000" w:themeColor="text1"/>
          <w:sz w:val="24"/>
          <w:szCs w:val="24"/>
          <w:lang w:val="en-IN"/>
          <w14:textFill>
            <w14:solidFill>
              <w14:schemeClr w14:val="tx1"/>
            </w14:solidFill>
          </w14:textFill>
        </w:rPr>
        <w:id w:val="501707290"/>
        <w:docPartObj>
          <w:docPartGallery w:val="Table of Contents"/>
          <w:docPartUnique/>
        </w:docPartObj>
      </w:sdtPr>
      <w:sdtEndPr>
        <w:rPr>
          <w:rFonts w:ascii="Times New Roman" w:hAnsi="Times New Roman" w:cs="Times New Roman" w:eastAsiaTheme="minorHAnsi"/>
          <w:b/>
          <w:bCs/>
          <w:color w:val="000000" w:themeColor="text1"/>
          <w:sz w:val="24"/>
          <w:szCs w:val="24"/>
          <w:lang w:val="en-IN"/>
          <w14:textFill>
            <w14:solidFill>
              <w14:schemeClr w14:val="tx1"/>
            </w14:solidFill>
          </w14:textFill>
        </w:rPr>
      </w:sdtEndPr>
      <w:sdtContent>
        <w:p w14:paraId="5D2A8E73">
          <w:pPr>
            <w:pStyle w:val="18"/>
            <w:spacing w:line="360" w:lineRule="auto"/>
            <w:jc w:val="center"/>
            <w:rPr>
              <w:rFonts w:ascii="Times New Roman" w:hAnsi="Times New Roman" w:cs="Times New Roman"/>
              <w:b/>
              <w:bCs/>
              <w:color w:val="000000" w:themeColor="text1"/>
              <w:sz w:val="24"/>
              <w:szCs w:val="24"/>
              <w14:textFill>
                <w14:solidFill>
                  <w14:schemeClr w14:val="tx1"/>
                </w14:solidFill>
              </w14:textFill>
            </w:rPr>
          </w:pPr>
          <w:r>
            <w:rPr>
              <w:rFonts w:ascii="Times New Roman" w:hAnsi="Times New Roman" w:cs="Times New Roman"/>
              <w:b/>
              <w:bCs/>
              <w:color w:val="000000" w:themeColor="text1"/>
              <w:sz w:val="24"/>
              <w:szCs w:val="24"/>
              <w14:textFill>
                <w14:solidFill>
                  <w14:schemeClr w14:val="tx1"/>
                </w14:solidFill>
              </w14:textFill>
            </w:rPr>
            <w:t>Table of Contents</w:t>
          </w:r>
        </w:p>
        <w:p w14:paraId="717F15E0">
          <w:pPr>
            <w:pStyle w:val="11"/>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TOC \o "1-3" \h \z \u </w:instrText>
          </w:r>
          <w:r>
            <w:rPr>
              <w:rFonts w:ascii="Times New Roman" w:hAnsi="Times New Roman" w:cs="Times New Roman"/>
              <w:color w:val="000000" w:themeColor="text1"/>
              <w:sz w:val="24"/>
              <w:szCs w:val="24"/>
              <w14:textFill>
                <w14:solidFill>
                  <w14:schemeClr w14:val="tx1"/>
                </w14:solidFill>
              </w14:textFill>
            </w:rPr>
            <w:fldChar w:fldCharType="separate"/>
          </w:r>
          <w:r>
            <w:fldChar w:fldCharType="begin"/>
          </w:r>
          <w:r>
            <w:instrText xml:space="preserve"> HYPERLINK \l "_Toc229407557"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Introduction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_Toc229407557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33772863">
          <w:pPr>
            <w:pStyle w:val="12"/>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"_Toc229407558"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High-Performing Workplaces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_Toc229407558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6</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7D553B19">
          <w:pPr>
            <w:pStyle w:val="12"/>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"_Toc229407559"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Employee-Oriented Practices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_Toc229407559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9C925D1">
          <w:pPr>
            <w:pStyle w:val="12"/>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"_Toc229407560"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Modern Approaches to Succession Planning</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_Toc229407560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10</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4BCA6F5">
          <w:pPr>
            <w:pStyle w:val="12"/>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"_Toc229407561"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Resourcing and Retention Strategies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_Toc229407561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13</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145DCB4A">
          <w:pPr>
            <w:pStyle w:val="12"/>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"_Toc229407562"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Talent Insight and Strategic Retention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_Toc229407562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14</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6D4C97E4">
          <w:pPr>
            <w:pStyle w:val="11"/>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"_Toc229407563"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Conclusion</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_Toc229407563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17</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2E6C0702">
          <w:pPr>
            <w:pStyle w:val="11"/>
            <w:tabs>
              <w:tab w:val="right" w:leader="dot" w:pos="9016"/>
            </w:tabs>
            <w:spacing w:line="360" w:lineRule="auto"/>
            <w:jc w:val="both"/>
            <w:rPr>
              <w:rFonts w:ascii="Times New Roman" w:hAnsi="Times New Roman" w:cs="Times New Roman"/>
              <w:color w:val="000000" w:themeColor="text1"/>
              <w:sz w:val="24"/>
              <w:szCs w:val="24"/>
              <w14:textFill>
                <w14:solidFill>
                  <w14:schemeClr w14:val="tx1"/>
                </w14:solidFill>
              </w14:textFill>
            </w:rPr>
          </w:pPr>
          <w:r>
            <w:fldChar w:fldCharType="begin"/>
          </w:r>
          <w:r>
            <w:instrText xml:space="preserve"> HYPERLINK \l "_Toc229407564" </w:instrText>
          </w:r>
          <w:r>
            <w:fldChar w:fldCharType="separate"/>
          </w:r>
          <w:r>
            <w:rPr>
              <w:rStyle w:val="10"/>
              <w:rFonts w:ascii="Times New Roman" w:hAnsi="Times New Roman" w:cs="Times New Roman"/>
              <w:color w:val="000000" w:themeColor="text1"/>
              <w:sz w:val="24"/>
              <w:szCs w:val="24"/>
              <w14:textFill>
                <w14:solidFill>
                  <w14:schemeClr w14:val="tx1"/>
                </w14:solidFill>
              </w14:textFill>
            </w:rPr>
            <w:t>References</w:t>
          </w:r>
          <w:r>
            <w:rPr>
              <w:rFonts w:ascii="Times New Roman" w:hAnsi="Times New Roman" w:cs="Times New Roman"/>
              <w:color w:val="000000" w:themeColor="text1"/>
              <w:sz w:val="24"/>
              <w:szCs w:val="24"/>
              <w14:textFill>
                <w14:solidFill>
                  <w14:schemeClr w14:val="tx1"/>
                </w14:solidFill>
              </w14:textFill>
            </w:rPr>
            <w:tab/>
          </w:r>
          <w:r>
            <w:rPr>
              <w:rFonts w:ascii="Times New Roman" w:hAnsi="Times New Roman" w:cs="Times New Roman"/>
              <w:color w:val="000000" w:themeColor="text1"/>
              <w:sz w:val="24"/>
              <w:szCs w:val="24"/>
              <w14:textFill>
                <w14:solidFill>
                  <w14:schemeClr w14:val="tx1"/>
                </w14:solidFill>
              </w14:textFill>
            </w:rPr>
            <w:fldChar w:fldCharType="begin"/>
          </w:r>
          <w:r>
            <w:rPr>
              <w:rFonts w:ascii="Times New Roman" w:hAnsi="Times New Roman" w:cs="Times New Roman"/>
              <w:color w:val="000000" w:themeColor="text1"/>
              <w:sz w:val="24"/>
              <w:szCs w:val="24"/>
              <w14:textFill>
                <w14:solidFill>
                  <w14:schemeClr w14:val="tx1"/>
                </w14:solidFill>
              </w14:textFill>
            </w:rPr>
            <w:instrText xml:space="preserve"> PAGEREF _Toc229407564 \h </w:instrText>
          </w:r>
          <w:r>
            <w:rPr>
              <w:rFonts w:ascii="Times New Roman" w:hAnsi="Times New Roman" w:cs="Times New Roman"/>
              <w:color w:val="000000" w:themeColor="text1"/>
              <w:sz w:val="24"/>
              <w:szCs w:val="24"/>
              <w14:textFill>
                <w14:solidFill>
                  <w14:schemeClr w14:val="tx1"/>
                </w14:solidFill>
              </w14:textFill>
            </w:rPr>
            <w:fldChar w:fldCharType="separate"/>
          </w:r>
          <w:r>
            <w:rPr>
              <w:rFonts w:ascii="Times New Roman" w:hAnsi="Times New Roman" w:cs="Times New Roman"/>
              <w:color w:val="000000" w:themeColor="text1"/>
              <w:sz w:val="24"/>
              <w:szCs w:val="24"/>
              <w14:textFill>
                <w14:solidFill>
                  <w14:schemeClr w14:val="tx1"/>
                </w14:solidFill>
              </w14:textFill>
            </w:rPr>
            <w:t>18</w:t>
          </w:r>
          <w:r>
            <w:rPr>
              <w:rFonts w:ascii="Times New Roman" w:hAnsi="Times New Roman" w:cs="Times New Roman"/>
              <w:color w:val="000000" w:themeColor="text1"/>
              <w:sz w:val="24"/>
              <w:szCs w:val="24"/>
              <w14:textFill>
                <w14:solidFill>
                  <w14:schemeClr w14:val="tx1"/>
                </w14:solidFill>
              </w14:textFill>
            </w:rPr>
            <w:fldChar w:fldCharType="end"/>
          </w:r>
          <w:r>
            <w:rPr>
              <w:rFonts w:ascii="Times New Roman" w:hAnsi="Times New Roman" w:cs="Times New Roman"/>
              <w:color w:val="000000" w:themeColor="text1"/>
              <w:sz w:val="24"/>
              <w:szCs w:val="24"/>
              <w14:textFill>
                <w14:solidFill>
                  <w14:schemeClr w14:val="tx1"/>
                </w14:solidFill>
              </w14:textFill>
            </w:rPr>
            <w:fldChar w:fldCharType="end"/>
          </w:r>
        </w:p>
        <w:p w14:paraId="44A7CC83">
          <w:pPr>
            <w:spacing w:line="360" w:lineRule="auto"/>
            <w:jc w:val="both"/>
          </w:pPr>
          <w:r>
            <w:rPr>
              <w:rFonts w:ascii="Times New Roman" w:hAnsi="Times New Roman" w:cs="Times New Roman"/>
              <w:b/>
              <w:bCs/>
              <w:color w:val="000000" w:themeColor="text1"/>
              <w:sz w:val="24"/>
              <w:szCs w:val="24"/>
              <w14:textFill>
                <w14:solidFill>
                  <w14:schemeClr w14:val="tx1"/>
                </w14:solidFill>
              </w14:textFill>
            </w:rPr>
            <w:fldChar w:fldCharType="end"/>
          </w:r>
        </w:p>
      </w:sdtContent>
    </w:sdt>
    <w:p w14:paraId="37E66CE3">
      <w:pPr>
        <w:rPr>
          <w:rFonts w:ascii="Times New Roman" w:hAnsi="Times New Roman" w:eastAsia="Times New Roman" w:cs="Times New Roman"/>
          <w:b/>
          <w:bCs/>
          <w:sz w:val="24"/>
          <w:szCs w:val="24"/>
          <w:lang w:eastAsia="en-IN"/>
        </w:rPr>
      </w:pPr>
      <w:r>
        <w:br w:type="page"/>
      </w:r>
    </w:p>
    <w:p w14:paraId="3A91610D">
      <w:pPr>
        <w:pStyle w:val="2"/>
      </w:pPr>
      <w:bookmarkStart w:id="0" w:name="_Toc229407557"/>
      <w:r>
        <w:t>Introduction</w:t>
      </w:r>
      <w:bookmarkEnd w:id="0"/>
    </w:p>
    <w:p w14:paraId="7644F807">
      <w:pPr>
        <w:pStyle w:val="3"/>
        <w:spacing w:before="200" w:beforeAutospacing="0" w:after="200" w:afterAutospacing="0" w:line="360" w:lineRule="auto"/>
        <w:jc w:val="both"/>
        <w:rPr>
          <w:color w:val="auto"/>
        </w:rPr>
      </w:pPr>
      <w:r>
        <w:rPr>
          <w:color w:val="000000"/>
        </w:rPr>
        <w:t>This report demonstrates systematic understanding of current issues in HRM with different engineering organisations. This is considered to ensure effective management, design and fair methods integration for effective procedures and employee performance growth in organisations. </w:t>
      </w:r>
    </w:p>
    <w:p w14:paraId="4EEC093F">
      <w:pPr>
        <w:pStyle w:val="4"/>
        <w:rPr>
          <w:color w:val="auto"/>
        </w:rPr>
      </w:pPr>
      <w:bookmarkStart w:id="1" w:name="_Toc229407558"/>
      <w:r>
        <w:rPr>
          <w:color w:val="auto"/>
        </w:rPr>
        <w:t>High-Performing Workplaces</w:t>
      </w:r>
      <w:bookmarkEnd w:id="1"/>
    </w:p>
    <w:p w14:paraId="502B9485">
      <w:pPr>
        <w:pStyle w:val="3"/>
        <w:spacing w:before="200" w:beforeAutospacing="0" w:after="200" w:afterAutospacing="0" w:line="360" w:lineRule="auto"/>
        <w:jc w:val="both"/>
        <w:rPr>
          <w:color w:val="auto"/>
        </w:rPr>
      </w:pPr>
      <w:r>
        <w:rPr>
          <w:color w:val="auto"/>
        </w:rPr>
        <w:t xml:space="preserve">Current high-performing workplaces are featured with an HRM system that helps enhance employee wellbeing and consistent learning for better organisational performance. Based on the Resource-Based View (RBV) Theory, employees represent valuable organisational assets which are able to generate sustainable competitive benefits using innovation and productivity. Based on the ranking of companies from “Fortune’s 100 Best Companies to Work For” and “Great Place to Work UK”, leading employers constantly adopt HRM (Human Resource Management) practices to improve employee engagement, performance and trust in organisations (Fortune, 2026; Great Place to Work, 2025). Companies like Cisco, Accenture, PwC and Hilton are consistently recognised for their people-centric leadership and inclusive workplace HRM strategies. However, the workplace rankings are often overstated due to the fact that employee experience structures are temporarily used and after an employee resigns, the feedback is not collected, making it a biased and temporary structure analysis. </w:t>
      </w:r>
    </w:p>
    <w:p w14:paraId="32ED9BF7">
      <w:pPr>
        <w:pStyle w:val="3"/>
        <w:spacing w:before="200" w:beforeAutospacing="0" w:after="200" w:afterAutospacing="0" w:line="360" w:lineRule="auto"/>
        <w:jc w:val="both"/>
        <w:rPr>
          <w:color w:val="auto"/>
        </w:rPr>
      </w:pPr>
      <w:r>
        <w:rPr>
          <w:color w:val="auto"/>
        </w:rPr>
        <w:t xml:space="preserve">Organisational practices commonly used by the top-ranking companies reflect transformational and participative leadership use in operations. For instance, key leadership skills include initiating or planning tasks for followers and controlling performance using sound communication, decision-making and evaluation abilities (Khalilov </w:t>
      </w:r>
      <w:r>
        <w:rPr>
          <w:i/>
          <w:iCs/>
          <w:color w:val="auto"/>
        </w:rPr>
        <w:t xml:space="preserve">et al., </w:t>
      </w:r>
      <w:r>
        <w:rPr>
          <w:color w:val="auto"/>
        </w:rPr>
        <w:t xml:space="preserve">2025). Leaders from top companies like Hilton, Cisco and Accenture motivate employee involvement and transparency in decision-making with open communication. This helps in building organic trust and collaboration between the employer and its employees without any artificial valuation. For example, in the UK, a coproduces synthesis of James Lind Alliance’s top 10 companies for health and care research work showed employee priorities of wellbeing and security (Crocker </w:t>
      </w:r>
      <w:r>
        <w:rPr>
          <w:i/>
          <w:iCs/>
          <w:color w:val="auto"/>
        </w:rPr>
        <w:t xml:space="preserve">et al., </w:t>
      </w:r>
      <w:r>
        <w:rPr>
          <w:color w:val="auto"/>
        </w:rPr>
        <w:t>2024). It indicates the need for safety in the workplace to retain top-level skills and organisational development. Yet, various organisations highly invest in structured onboarding and learning programmes. Fortune disclosed that top employers provide upskilling options and career development training to prepare employees for future workplace changes, especially in digital transformation and AI integration (Fortune, 2026). These initiatives improve workforce adaptability and long-term organisational resilience.  </w:t>
      </w:r>
    </w:p>
    <w:p w14:paraId="608530EA">
      <w:pPr>
        <w:pStyle w:val="3"/>
        <w:spacing w:before="200" w:beforeAutospacing="0" w:after="200" w:afterAutospacing="0" w:line="360" w:lineRule="auto"/>
        <w:jc w:val="center"/>
        <w:rPr>
          <w:color w:val="auto"/>
        </w:rPr>
      </w:pPr>
      <w:r>
        <w:rPr>
          <w:color w:val="auto"/>
        </w:rPr>
        <w:drawing>
          <wp:inline distT="0" distB="0" distL="0" distR="0">
            <wp:extent cx="5097780" cy="3406140"/>
            <wp:effectExtent l="0" t="0" r="762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097780" cy="3406140"/>
                    </a:xfrm>
                    <a:prstGeom prst="rect">
                      <a:avLst/>
                    </a:prstGeom>
                    <a:noFill/>
                    <a:ln>
                      <a:noFill/>
                    </a:ln>
                  </pic:spPr>
                </pic:pic>
              </a:graphicData>
            </a:graphic>
          </wp:inline>
        </w:drawing>
      </w:r>
    </w:p>
    <w:p w14:paraId="70B26735">
      <w:pPr>
        <w:pStyle w:val="3"/>
        <w:spacing w:before="200" w:beforeAutospacing="0" w:after="200" w:afterAutospacing="0" w:line="360" w:lineRule="auto"/>
        <w:jc w:val="center"/>
        <w:rPr>
          <w:color w:val="auto"/>
        </w:rPr>
      </w:pPr>
      <w:r>
        <w:rPr>
          <w:b/>
          <w:bCs/>
          <w:color w:val="auto"/>
        </w:rPr>
        <w:t>Figure 1: Top Best Organisations to Work in 2025</w:t>
      </w:r>
    </w:p>
    <w:p w14:paraId="072E532B">
      <w:pPr>
        <w:pStyle w:val="3"/>
        <w:spacing w:before="200" w:beforeAutospacing="0" w:after="200" w:afterAutospacing="0" w:line="360" w:lineRule="auto"/>
        <w:jc w:val="center"/>
        <w:rPr>
          <w:color w:val="auto"/>
        </w:rPr>
      </w:pPr>
      <w:r>
        <w:rPr>
          <w:color w:val="auto"/>
        </w:rPr>
        <w:t xml:space="preserve">(Source: Leonard </w:t>
      </w:r>
      <w:r>
        <w:rPr>
          <w:i/>
          <w:iCs/>
          <w:color w:val="auto"/>
        </w:rPr>
        <w:t xml:space="preserve">et al., </w:t>
      </w:r>
      <w:r>
        <w:rPr>
          <w:color w:val="auto"/>
        </w:rPr>
        <w:t>2025)</w:t>
      </w:r>
    </w:p>
    <w:p w14:paraId="1739564A">
      <w:pPr>
        <w:pStyle w:val="3"/>
        <w:spacing w:before="200" w:beforeAutospacing="0" w:after="200" w:afterAutospacing="0" w:line="360" w:lineRule="auto"/>
        <w:jc w:val="both"/>
        <w:rPr>
          <w:color w:val="auto"/>
        </w:rPr>
      </w:pPr>
      <w:r>
        <w:rPr>
          <w:color w:val="auto"/>
        </w:rPr>
        <w:t xml:space="preserve">Another defining feature is employee benefits related to high-performing workplaces. Flexible and hybrid working arrangements have become highly common, which ensures employee in gaining healthy work-life balance. For instance, synchrony ranked at the top level in Fortune’s 2026 list, which helps in adopting permanent remote work flexibility, aligning with parental leave policies (Schott, 2026). At the same time, organisations identify UK rankings, provide wellness programmes, mental health support and paid volunteering days for career progression pathways (Leonard </w:t>
      </w:r>
      <w:r>
        <w:rPr>
          <w:i/>
          <w:iCs/>
          <w:color w:val="auto"/>
        </w:rPr>
        <w:t xml:space="preserve">et al., </w:t>
      </w:r>
      <w:r>
        <w:rPr>
          <w:color w:val="auto"/>
        </w:rPr>
        <w:t xml:space="preserve">2025). Including financial rewards like bonuses, stock options and competitive compensation also provides stronger employee retention and motivation (Sorn </w:t>
      </w:r>
      <w:r>
        <w:rPr>
          <w:i/>
          <w:iCs/>
          <w:color w:val="auto"/>
        </w:rPr>
        <w:t xml:space="preserve">et al., </w:t>
      </w:r>
      <w:r>
        <w:rPr>
          <w:color w:val="auto"/>
        </w:rPr>
        <w:t>2023). An example includes BDO USA, which linked its employee ownership strategy with organisational success and satisfaction of employees (BDO, 2025).</w:t>
      </w:r>
    </w:p>
    <w:p w14:paraId="0DB01B2B">
      <w:pPr>
        <w:pStyle w:val="3"/>
        <w:spacing w:before="200" w:beforeAutospacing="0" w:after="200" w:afterAutospacing="0" w:line="360" w:lineRule="auto"/>
        <w:jc w:val="both"/>
        <w:rPr>
          <w:color w:val="auto"/>
        </w:rPr>
      </w:pPr>
      <w:r>
        <w:rPr>
          <w:color w:val="auto"/>
        </w:rPr>
        <w:t> The organisational culture of these top workplaces is strongly associated with trust, inclusion, empowerment, and recognition. Based on Fortune’s list, most successful employers “rebuild social contract at work” by supporting their employees both personally and professionally (Fortune, 2026). In addition, inclusive cultures motivate workers from different backgrounds to feel valued and respected, and recognition enhances morale and commitment to the company (Geetha, 2024). However, inconsistency in compliance with recognition models and employee empowerment using autonomy and participation in decision-making hardly improves productivity performance and innovation.  </w:t>
      </w:r>
    </w:p>
    <w:p w14:paraId="380F02A2">
      <w:pPr>
        <w:pStyle w:val="3"/>
        <w:spacing w:before="200" w:beforeAutospacing="0" w:after="200" w:afterAutospacing="0" w:line="360" w:lineRule="auto"/>
        <w:jc w:val="both"/>
        <w:rPr>
          <w:color w:val="auto"/>
        </w:rPr>
      </w:pPr>
      <w:r>
        <w:rPr>
          <w:color w:val="auto"/>
        </w:rPr>
        <w:t xml:space="preserve">Furthermore, central themes emerge from high-performing workplaces with employee well-being, flexible work practices, consistent development and trust-based cultures. All such practices are required to improve engagement, production, and loyalty among workers, and they can be easily achieved through the integration of a talent management framework. Talent management framework is a structured strategy used to align workforce abilities with long-term business goals (Urme, 2023). Yet, workplace rankings often overstate organisational qualities due to inconsistent reports from employees regarding corporate branding and actual experiences, as per employee feedback showing restrictive talent management framework usage (Rita </w:t>
      </w:r>
      <w:r>
        <w:rPr>
          <w:i/>
          <w:iCs/>
          <w:color w:val="auto"/>
        </w:rPr>
        <w:t xml:space="preserve">et al., </w:t>
      </w:r>
      <w:r>
        <w:rPr>
          <w:color w:val="auto"/>
        </w:rPr>
        <w:t>2026). Nonetheless, reputable rankings reflect organisations prioritise employee growth and wellbeing to sustain competitive advantage and long-run performance in a dynamic business ecosystem.  </w:t>
      </w:r>
    </w:p>
    <w:p w14:paraId="32E4DBAA">
      <w:pPr>
        <w:pStyle w:val="4"/>
        <w:rPr>
          <w:color w:val="auto"/>
        </w:rPr>
      </w:pPr>
      <w:bookmarkStart w:id="2" w:name="_Toc229407559"/>
      <w:r>
        <w:rPr>
          <w:color w:val="auto"/>
        </w:rPr>
        <w:t>Employee-Oriented Practices</w:t>
      </w:r>
      <w:bookmarkEnd w:id="2"/>
    </w:p>
    <w:p w14:paraId="10CBE84B">
      <w:pPr>
        <w:pStyle w:val="3"/>
        <w:spacing w:before="200" w:beforeAutospacing="0" w:after="200" w:afterAutospacing="0" w:line="360" w:lineRule="auto"/>
        <w:jc w:val="both"/>
        <w:rPr>
          <w:color w:val="auto"/>
        </w:rPr>
      </w:pPr>
      <w:r>
        <w:rPr>
          <w:color w:val="auto"/>
        </w:rPr>
        <w:t xml:space="preserve">Hilton’s Induction Programme structure is supported as Fortune’s “World’s Best Workplaces”. The induction programme uses organisational orientation, digital learning, mentoring and career development initiatives at role-specific training options (Whale, 2026). Hilton University is the company’s internal learning platform that provides its workers with training module support to cover customer service, leadership, compliance, operations and safety procedures (Hilton, 2026). This induction usually starts with organisational orientation in which employees are introduced to Hilton’s culture, service protocols, values and customer satisfaction goals. It is followed by department-related training and supervised practical learning. The integration of development programmes like “LAUNCH” and Management Development Programmes (MDP) in Figure 2 provides learning scope on a rotational basis with career progression objectives for fresh graduates recruited in the company. This induction programme reflects a strong reliance on Hilton’s organisational objective to deliver constant customer experiences across the globe. It is related to the recognition from Fortune that Hilton’s people-first culture helps improve business and customer satisfaction (Fortune, 2026a). Yet, there remain controversial outcomes as employee resistance to AI-integration and inconsistency in technology upgrade utilisation in daily work are limited. This needs an alternative approach of advanced technology training programmes in company to educate employees on its benefits. </w:t>
      </w:r>
    </w:p>
    <w:p w14:paraId="799B4F6C">
      <w:pPr>
        <w:pStyle w:val="3"/>
        <w:spacing w:before="200" w:beforeAutospacing="0" w:after="200" w:afterAutospacing="0" w:line="360" w:lineRule="auto"/>
        <w:jc w:val="both"/>
        <w:rPr>
          <w:color w:val="auto"/>
        </w:rPr>
      </w:pPr>
      <w:r>
        <w:rPr>
          <w:color w:val="auto"/>
        </w:rPr>
        <w:drawing>
          <wp:inline distT="0" distB="0" distL="0" distR="0">
            <wp:extent cx="5730240" cy="13335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730240" cy="1333500"/>
                    </a:xfrm>
                    <a:prstGeom prst="rect">
                      <a:avLst/>
                    </a:prstGeom>
                    <a:noFill/>
                    <a:ln>
                      <a:noFill/>
                    </a:ln>
                  </pic:spPr>
                </pic:pic>
              </a:graphicData>
            </a:graphic>
          </wp:inline>
        </w:drawing>
      </w:r>
    </w:p>
    <w:p w14:paraId="5642DBB1">
      <w:pPr>
        <w:pStyle w:val="3"/>
        <w:spacing w:before="200" w:beforeAutospacing="0" w:after="200" w:afterAutospacing="0" w:line="360" w:lineRule="auto"/>
        <w:jc w:val="both"/>
        <w:rPr>
          <w:color w:val="auto"/>
        </w:rPr>
      </w:pPr>
      <w:r>
        <w:rPr>
          <w:color w:val="auto"/>
        </w:rPr>
        <w:drawing>
          <wp:inline distT="0" distB="0" distL="0" distR="0">
            <wp:extent cx="5731510" cy="13703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731510" cy="1370330"/>
                    </a:xfrm>
                    <a:prstGeom prst="rect">
                      <a:avLst/>
                    </a:prstGeom>
                    <a:noFill/>
                    <a:ln>
                      <a:noFill/>
                    </a:ln>
                  </pic:spPr>
                </pic:pic>
              </a:graphicData>
            </a:graphic>
          </wp:inline>
        </w:drawing>
      </w:r>
    </w:p>
    <w:p w14:paraId="5DF30012">
      <w:pPr>
        <w:pStyle w:val="3"/>
        <w:spacing w:before="200" w:beforeAutospacing="0" w:after="200" w:afterAutospacing="0" w:line="360" w:lineRule="auto"/>
        <w:jc w:val="center"/>
        <w:rPr>
          <w:color w:val="auto"/>
        </w:rPr>
      </w:pPr>
      <w:r>
        <w:rPr>
          <w:b/>
          <w:bCs/>
          <w:color w:val="auto"/>
        </w:rPr>
        <w:t>Figure 2: Management Development Programmes (MDP) in Hilton</w:t>
      </w:r>
    </w:p>
    <w:p w14:paraId="4E56AC86">
      <w:pPr>
        <w:pStyle w:val="3"/>
        <w:spacing w:before="200" w:beforeAutospacing="0" w:after="200" w:afterAutospacing="0" w:line="360" w:lineRule="auto"/>
        <w:jc w:val="center"/>
        <w:rPr>
          <w:color w:val="auto"/>
        </w:rPr>
      </w:pPr>
      <w:r>
        <w:rPr>
          <w:color w:val="auto"/>
        </w:rPr>
        <w:t>(Source: Hilton</w:t>
      </w:r>
      <w:r>
        <w:rPr>
          <w:i/>
          <w:iCs/>
          <w:color w:val="auto"/>
        </w:rPr>
        <w:t xml:space="preserve"> </w:t>
      </w:r>
      <w:r>
        <w:rPr>
          <w:color w:val="auto"/>
        </w:rPr>
        <w:t>2026)</w:t>
      </w:r>
    </w:p>
    <w:p w14:paraId="6E255F6D">
      <w:pPr>
        <w:pStyle w:val="3"/>
        <w:spacing w:before="200" w:beforeAutospacing="0" w:after="200" w:afterAutospacing="0" w:line="360" w:lineRule="auto"/>
        <w:jc w:val="both"/>
        <w:rPr>
          <w:color w:val="auto"/>
        </w:rPr>
      </w:pPr>
      <w:r>
        <w:rPr>
          <w:color w:val="auto"/>
        </w:rPr>
        <w:t xml:space="preserve">Clarity and usefulness of Hilton’s programme include e-learning, shadowing and practical training, making it the most comprehensive and accessible option for trainees. The live sessions, online webinars and remote accessibility locations support employee growth and operational excellence, challenging the geographical location gap among workers. For instance, launching DailyPay in 2022 among US properties helped Hilton to encourage employees and improve retention rate by 40% (Burleigh, 2024). However, there are inconsistencies in programme integration, especially in franchised hotels. It was observed that many employees have insufficient training duration due to poor management support during onboarding. Use of workforce analytics frameworks is considered useful as it helps collect, analyse and interpret employee data for guiding decision-making (Okon </w:t>
      </w:r>
      <w:r>
        <w:rPr>
          <w:i/>
          <w:iCs/>
          <w:color w:val="auto"/>
        </w:rPr>
        <w:t xml:space="preserve">et al., </w:t>
      </w:r>
      <w:r>
        <w:rPr>
          <w:color w:val="auto"/>
        </w:rPr>
        <w:t>2024). Besides, based on Great Place to Work and Hilton data, more than 90% employees consider their ability to learn and grow in the organisation using MDP and Launch training programmes (Hilton Stories, 2026). This reflects that onboarding is not restricted to short-run orientations but long-run talent creation. </w:t>
      </w:r>
    </w:p>
    <w:p w14:paraId="2ACAD521">
      <w:pPr>
        <w:pStyle w:val="3"/>
        <w:spacing w:before="200" w:beforeAutospacing="0" w:after="200" w:afterAutospacing="0" w:line="360" w:lineRule="auto"/>
        <w:jc w:val="both"/>
        <w:rPr>
          <w:color w:val="auto"/>
        </w:rPr>
      </w:pPr>
      <w:r>
        <w:rPr>
          <w:color w:val="auto"/>
        </w:rPr>
        <w:t xml:space="preserve">Hilton’s orientation programme aligns with strategic objectives of employee engagement, leadership growth and service improvement. Hilton links employee wellbeing and learning to customer satisfaction and organisational performance (Hilton, 2026). This onboarding process supports the organisation’s future objective of succession planning with skilled talent retention and rotational leadership programmes. However, evidence-based improvement like standardised onboarding quality across franchised and corporate properties is required. Due to the lack of central HR monitoring, limitations, and regular audit in different locations, the mentorship system needs to be improved for better employee orientation, training and onboarding process. Besides, Hilton can increase personnel onboarding technology with AI-based learning options that can adapt training content as per employee roles, skills and progress (Yusuf </w:t>
      </w:r>
      <w:r>
        <w:rPr>
          <w:i/>
          <w:iCs/>
          <w:color w:val="auto"/>
        </w:rPr>
        <w:t xml:space="preserve">et al., </w:t>
      </w:r>
      <w:r>
        <w:rPr>
          <w:color w:val="auto"/>
        </w:rPr>
        <w:t>2024). It will help enhance consistent training support and career development pathway creation for employees.    </w:t>
      </w:r>
    </w:p>
    <w:p w14:paraId="425F28A2">
      <w:pPr>
        <w:pStyle w:val="4"/>
        <w:rPr>
          <w:color w:val="auto"/>
        </w:rPr>
      </w:pPr>
      <w:bookmarkStart w:id="3" w:name="_Toc229407560"/>
      <w:r>
        <w:rPr>
          <w:color w:val="auto"/>
        </w:rPr>
        <w:t>Modern Approaches to Succession Planning</w:t>
      </w:r>
      <w:bookmarkEnd w:id="3"/>
    </w:p>
    <w:p w14:paraId="57A699EE">
      <w:pPr>
        <w:pStyle w:val="3"/>
        <w:spacing w:before="200" w:beforeAutospacing="0" w:after="200" w:afterAutospacing="0" w:line="360" w:lineRule="auto"/>
        <w:jc w:val="both"/>
        <w:rPr>
          <w:color w:val="auto"/>
        </w:rPr>
      </w:pPr>
      <w:r>
        <w:rPr>
          <w:color w:val="auto"/>
        </w:rPr>
        <w:t xml:space="preserve">Evolving organisational structures and workforce dynamics influence current succession planning strategies, including fast changes in organisational structures, workforce expectations and digitalisation to transform succession planning strategies. Traditional organisations are being replaced with agile and hybrid work structures that need adaptable leadership qualities like transformational leaders with change-motivating skills to manage succession pipelines. Current organisations now prioritise flexibility and digital competencies for cross-functional collaboration while identifying future leaders. As per Rožman </w:t>
      </w:r>
      <w:r>
        <w:rPr>
          <w:i/>
          <w:iCs/>
          <w:color w:val="auto"/>
        </w:rPr>
        <w:t xml:space="preserve">et al. </w:t>
      </w:r>
      <w:r>
        <w:rPr>
          <w:color w:val="auto"/>
        </w:rPr>
        <w:t>(203), organisations dealing in dynamic segments highly adopt a strategic talent management ecosystem, focusing on agility, consistent learning and leadership adoption compared to rigid hierarchical promotion options. </w:t>
      </w:r>
    </w:p>
    <w:p w14:paraId="2D6C1974">
      <w:pPr>
        <w:pStyle w:val="3"/>
        <w:spacing w:before="200" w:beforeAutospacing="0" w:after="200" w:afterAutospacing="0" w:line="360" w:lineRule="auto"/>
        <w:jc w:val="both"/>
        <w:rPr>
          <w:color w:val="auto"/>
        </w:rPr>
      </w:pPr>
      <w:r>
        <w:rPr>
          <w:color w:val="auto"/>
        </w:rPr>
        <w:drawing>
          <wp:inline distT="0" distB="0" distL="0" distR="0">
            <wp:extent cx="5730240" cy="309372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730240" cy="3093720"/>
                    </a:xfrm>
                    <a:prstGeom prst="rect">
                      <a:avLst/>
                    </a:prstGeom>
                    <a:noFill/>
                    <a:ln>
                      <a:noFill/>
                    </a:ln>
                  </pic:spPr>
                </pic:pic>
              </a:graphicData>
            </a:graphic>
          </wp:inline>
        </w:drawing>
      </w:r>
    </w:p>
    <w:p w14:paraId="27193063">
      <w:pPr>
        <w:pStyle w:val="3"/>
        <w:spacing w:before="200" w:beforeAutospacing="0" w:after="200" w:afterAutospacing="0" w:line="360" w:lineRule="auto"/>
        <w:jc w:val="center"/>
        <w:rPr>
          <w:color w:val="auto"/>
        </w:rPr>
      </w:pPr>
      <w:r>
        <w:rPr>
          <w:b/>
          <w:bCs/>
          <w:color w:val="auto"/>
        </w:rPr>
        <w:t>Figure 3: Example of System Dynamics Demand-side</w:t>
      </w:r>
    </w:p>
    <w:p w14:paraId="0C62171E">
      <w:pPr>
        <w:pStyle w:val="3"/>
        <w:spacing w:before="200" w:beforeAutospacing="0" w:after="200" w:afterAutospacing="0" w:line="360" w:lineRule="auto"/>
        <w:jc w:val="center"/>
        <w:rPr>
          <w:color w:val="auto"/>
        </w:rPr>
      </w:pPr>
      <w:r>
        <w:rPr>
          <w:color w:val="auto"/>
        </w:rPr>
        <w:t xml:space="preserve">(Source: Micheli </w:t>
      </w:r>
      <w:r>
        <w:rPr>
          <w:i/>
          <w:iCs/>
          <w:color w:val="auto"/>
        </w:rPr>
        <w:t xml:space="preserve">et al., </w:t>
      </w:r>
      <w:r>
        <w:rPr>
          <w:color w:val="auto"/>
        </w:rPr>
        <w:t>2023)</w:t>
      </w:r>
    </w:p>
    <w:p w14:paraId="2A1D8283">
      <w:pPr>
        <w:pStyle w:val="3"/>
        <w:spacing w:before="200" w:beforeAutospacing="0" w:after="200" w:afterAutospacing="0" w:line="360" w:lineRule="auto"/>
        <w:jc w:val="both"/>
        <w:rPr>
          <w:color w:val="auto"/>
        </w:rPr>
      </w:pPr>
      <w:r>
        <w:rPr>
          <w:color w:val="auto"/>
        </w:rPr>
        <w:t xml:space="preserve">Besides, workforce demographic and labour market trends increased demand for modern succession plans, giving rise to remote working, a multigenerational workforce and high employee mobility to change traditional career options. It is visible in Figure 3 with the design phase, construction phase and test phase demand for workforce (Micheli </w:t>
      </w:r>
      <w:r>
        <w:rPr>
          <w:i/>
          <w:iCs/>
          <w:color w:val="auto"/>
        </w:rPr>
        <w:t xml:space="preserve">et al., </w:t>
      </w:r>
      <w:r>
        <w:rPr>
          <w:color w:val="auto"/>
        </w:rPr>
        <w:t xml:space="preserve">2023). However, Christy and Kowalewski (2023) argued against the succession plan as it was no longer reactive to trigger retirement or resignation. Rather, it became a constant strategic activity to maintain organisational resilience and leadership consistently. The need for talent pipeline development with competency frameworks help companies support talent management and organisation development (Benayoune, 2024). The same can be used as an alternative to modern succession plans in handling workforce performance and talent management. </w:t>
      </w:r>
    </w:p>
    <w:p w14:paraId="4924A04D">
      <w:pPr>
        <w:pStyle w:val="3"/>
        <w:spacing w:before="200" w:beforeAutospacing="0" w:after="200" w:afterAutospacing="0" w:line="360" w:lineRule="auto"/>
        <w:jc w:val="both"/>
        <w:rPr>
          <w:color w:val="auto"/>
        </w:rPr>
      </w:pPr>
      <w:r>
        <w:rPr>
          <w:color w:val="auto"/>
        </w:rPr>
        <w:drawing>
          <wp:inline distT="0" distB="0" distL="0" distR="0">
            <wp:extent cx="5730240" cy="31623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730240" cy="3162300"/>
                    </a:xfrm>
                    <a:prstGeom prst="rect">
                      <a:avLst/>
                    </a:prstGeom>
                    <a:noFill/>
                    <a:ln>
                      <a:noFill/>
                    </a:ln>
                  </pic:spPr>
                </pic:pic>
              </a:graphicData>
            </a:graphic>
          </wp:inline>
        </w:drawing>
      </w:r>
    </w:p>
    <w:p w14:paraId="1D26731B">
      <w:pPr>
        <w:pStyle w:val="3"/>
        <w:spacing w:before="200" w:beforeAutospacing="0" w:after="200" w:afterAutospacing="0" w:line="360" w:lineRule="auto"/>
        <w:jc w:val="center"/>
        <w:rPr>
          <w:color w:val="auto"/>
        </w:rPr>
      </w:pPr>
      <w:r>
        <w:rPr>
          <w:b/>
          <w:bCs/>
          <w:color w:val="auto"/>
        </w:rPr>
        <w:t>Figure 4: Main Best Practices in Succession Planning</w:t>
      </w:r>
    </w:p>
    <w:p w14:paraId="671A9112">
      <w:pPr>
        <w:pStyle w:val="3"/>
        <w:spacing w:before="200" w:beforeAutospacing="0" w:after="200" w:afterAutospacing="0" w:line="360" w:lineRule="auto"/>
        <w:jc w:val="center"/>
        <w:rPr>
          <w:color w:val="auto"/>
        </w:rPr>
      </w:pPr>
      <w:r>
        <w:rPr>
          <w:color w:val="auto"/>
        </w:rPr>
        <w:t xml:space="preserve">(Source: Bano </w:t>
      </w:r>
      <w:r>
        <w:rPr>
          <w:i/>
          <w:iCs/>
          <w:color w:val="auto"/>
        </w:rPr>
        <w:t xml:space="preserve">et al., </w:t>
      </w:r>
      <w:r>
        <w:rPr>
          <w:color w:val="auto"/>
        </w:rPr>
        <w:t>2022)</w:t>
      </w:r>
    </w:p>
    <w:p w14:paraId="013C5D93">
      <w:pPr>
        <w:pStyle w:val="3"/>
        <w:spacing w:before="200" w:beforeAutospacing="0" w:after="200" w:afterAutospacing="0" w:line="360" w:lineRule="auto"/>
        <w:jc w:val="both"/>
        <w:rPr>
          <w:color w:val="auto"/>
        </w:rPr>
      </w:pPr>
      <w:r>
        <w:rPr>
          <w:color w:val="auto"/>
        </w:rPr>
        <w:t xml:space="preserve">Comparison of traditional and modern approaches can be done focusing on the traditional succession plan that focuses on replacing senior executives with linear promotion systems (Bano </w:t>
      </w:r>
      <w:r>
        <w:rPr>
          <w:i/>
          <w:iCs/>
          <w:color w:val="auto"/>
        </w:rPr>
        <w:t xml:space="preserve">et al., </w:t>
      </w:r>
      <w:r>
        <w:rPr>
          <w:color w:val="auto"/>
        </w:rPr>
        <w:t xml:space="preserve">2022). Companies often select successors as per tenure, trust and managerial experience in stable organisational hierarchies. This is offered for better institutional knowledge retention and consistency. However, it creates leadership homogeneity and a less innovative mindset among other employees. For instance, traditional succession options are highly criticised for their favouritism, restrictive preparation for transformational challenges and diversity (Raharijaona 2025). Contrarily, modern succession plans adopt a strategic and data-centric approach. Current companies focus on talent, leadership influence and diversity instead of replacing candidates. Ingale (2024) reflected that motivation and strategic leadership training are the main aspects of modern succession planning frameworks. Figure 4 shows best practices by Robert M Fulmer, William Rothwell and Chief Executive Magazine in handling and retaining employees with leadership development, coaching and succession planning processes (Bano </w:t>
      </w:r>
      <w:r>
        <w:rPr>
          <w:i/>
          <w:iCs/>
          <w:color w:val="auto"/>
        </w:rPr>
        <w:t xml:space="preserve">et al., </w:t>
      </w:r>
      <w:r>
        <w:rPr>
          <w:color w:val="auto"/>
        </w:rPr>
        <w:t>2022).  However, the challenges of uncertainty for promotion from agile structure restrict modern succession planning. It reflects that any organisation with a weak data management system can struggle to integrate a modern succession framework if relevant talent management and retention initiatives are missing. Despite such challenges, due to high technological advancement support and demand, modern approaches are being adopted due to their inclusive and reliable support in strategic HR capabilities. </w:t>
      </w:r>
    </w:p>
    <w:p w14:paraId="03DE7173">
      <w:pPr>
        <w:pStyle w:val="3"/>
        <w:spacing w:before="200" w:beforeAutospacing="0" w:after="200" w:afterAutospacing="0" w:line="360" w:lineRule="auto"/>
        <w:jc w:val="both"/>
        <w:rPr>
          <w:color w:val="auto"/>
        </w:rPr>
      </w:pPr>
      <w:r>
        <w:rPr>
          <w:color w:val="auto"/>
        </w:rPr>
        <w:t xml:space="preserve">Workforce analytics in organisations to improve succession planning is crucial as it helps improve succession planning with evidence-based decisions. Companies currently use predictive analytics, AI and HR analytics to assess highly skilled employees, workforce trends and leadership gap analysis (GUPTA </w:t>
      </w:r>
      <w:r>
        <w:rPr>
          <w:i/>
          <w:iCs/>
          <w:color w:val="auto"/>
        </w:rPr>
        <w:t xml:space="preserve">et al., </w:t>
      </w:r>
      <w:r>
        <w:rPr>
          <w:color w:val="auto"/>
        </w:rPr>
        <w:t xml:space="preserve">2024). Predictive analytics can help assess employee performance, leadership readiness and risk management retention options for better skill development training in future. Fakhar </w:t>
      </w:r>
      <w:r>
        <w:rPr>
          <w:i/>
          <w:iCs/>
          <w:color w:val="auto"/>
        </w:rPr>
        <w:t xml:space="preserve">et al. </w:t>
      </w:r>
      <w:r>
        <w:rPr>
          <w:color w:val="auto"/>
        </w:rPr>
        <w:t xml:space="preserve">(2025) stated that predictive analytics enhances fairness, accuracy and efficiency in succession planning with support from objective talent assessment and limiting leadership biases. At the same time, HR analytics tools help in tracking employee activities, engagement, learning progress and career aspirations using real-time monitoring (Frohnhoefer </w:t>
      </w:r>
      <w:r>
        <w:rPr>
          <w:i/>
          <w:iCs/>
          <w:color w:val="auto"/>
        </w:rPr>
        <w:t xml:space="preserve">et al., </w:t>
      </w:r>
      <w:r>
        <w:rPr>
          <w:color w:val="auto"/>
        </w:rPr>
        <w:t>2022; Wanner 2020). Such options ensure proactive workforce management and leadership development. However, cost of such tools is higher compared to traditional leadership support and training for employees, reflecting higher investment in employee/talent management. As an alternative, AI-based workforce forecasting reflect companies can use machine learning (ML) to observe worker shortage in future and develop a personalised talent pipeline to align with organisational objectives (Yanamala, 2024).  </w:t>
      </w:r>
    </w:p>
    <w:p w14:paraId="07B3003B">
      <w:pPr>
        <w:pStyle w:val="4"/>
        <w:rPr>
          <w:color w:val="auto"/>
        </w:rPr>
      </w:pPr>
      <w:bookmarkStart w:id="4" w:name="_Toc229407561"/>
      <w:r>
        <w:rPr>
          <w:color w:val="auto"/>
        </w:rPr>
        <w:t>Resourcing and Retention Strategies</w:t>
      </w:r>
      <w:bookmarkEnd w:id="4"/>
    </w:p>
    <w:p w14:paraId="791C7FED">
      <w:pPr>
        <w:pStyle w:val="3"/>
        <w:spacing w:before="200" w:beforeAutospacing="0" w:after="200" w:afterAutospacing="0" w:line="360" w:lineRule="auto"/>
        <w:jc w:val="both"/>
        <w:rPr>
          <w:color w:val="auto"/>
        </w:rPr>
      </w:pPr>
      <w:r>
        <w:rPr>
          <w:color w:val="auto"/>
        </w:rPr>
        <w:t>Labour market trends contain hybrid working options, higher employee mobility and skill shortage that affects organisational ability to attract and retain talent. Modern employees prefer flexible work options and inclusion for well-being in the work environment (Gupta and Nagariya, 2025). Similarly, companies need to adopt evidence-based resourcing and retention options as per current employee demands. Attracting different talent using skill-based hiring over academic qualification of traditional experience is justifiable. For example, Deloitte, in the 2024 workforce trend report, mentioned that employers are highly focused on competency-based recruitment to access cross-border talent (Deloitte, 2024). It reduces bias and improves the chances of underrepresented groups like women and ethnic minorities from getting rejected in interviews. However, these options need careful monitoring to prevent algorithmic discrimination and enable fair hiring practices.</w:t>
      </w:r>
    </w:p>
    <w:p w14:paraId="55649346">
      <w:pPr>
        <w:pStyle w:val="3"/>
        <w:spacing w:before="200" w:beforeAutospacing="0" w:after="200" w:afterAutospacing="0" w:line="360" w:lineRule="auto"/>
        <w:jc w:val="both"/>
        <w:rPr>
          <w:color w:val="auto"/>
        </w:rPr>
      </w:pPr>
      <w:r>
        <w:rPr>
          <w:color w:val="auto"/>
        </w:rPr>
        <w:t>Similarly, flexible work options with hybrid work models and scheduling improve the work-life balance of employees. According to SHRM research, it was observed that flexible working and support from leaders are key drivers in employee engagement and retention rates (SHRM, 2024). Deloitte's Human Capital trend report showed the same advantage with the adoption of human sustainability to enhance employee well-being and business performance in 2024 (Deloitte, 2024). Furthermore, another evidence-based strategy is the creation of an inclusive organisational culture to promote belongingness, recognition, and equity for employees. The recognition and appreciation related to the social needs of recognition under Maslow’s Hierarchy Theory (Van Heerden and Naicker 2025). Besides, young Gen Z employees are expecting employers to demonstrate genuine commitment to diversity, inclusion and sustainable well-being (Molloy, 2024). Companies failing to provide an inclusive work culture to employees often experience low engagement and high turnover rates among diverse employee groups. </w:t>
      </w:r>
    </w:p>
    <w:p w14:paraId="0E72D14E">
      <w:pPr>
        <w:pStyle w:val="3"/>
        <w:spacing w:before="200" w:beforeAutospacing="0" w:after="200" w:afterAutospacing="0" w:line="360" w:lineRule="auto"/>
        <w:jc w:val="both"/>
        <w:rPr>
          <w:color w:val="auto"/>
        </w:rPr>
      </w:pPr>
      <w:r>
        <w:rPr>
          <w:color w:val="auto"/>
        </w:rPr>
        <w:t xml:space="preserve">Organisations face challenges despite the use of evidence-based strategies mentioned above due to changing workforce expectations and uncertain economic conditions. As per the Talent Retention Report by iHire in 2024, salary growth alone was insufficient to improve employee loyalty as they prioritised a positive workplace culture and supportive leadership (iHire, 2024). Voluntary quits reduced to 11.1% as 38.5% workers left their jobs in past due to fear of AI that can replace their jobs in the next five years (iHire, 2024). It indicates that a holistic approach with both intrinsic and extrinsic rewards is necessary to retain the loyalty and engagement of employees. The need for AI training and leadership support to reduce toxic mentality and resistance to change is necessary before implementing the evidence-based strategies in the organisation’s HRM policies. However, rising expenses for AI training and integration play a vital role in companies’ financial performance management. As an alternative, organisations can improve attraction and employee retention by amalgamating inclusive recruitment, flexible working, and technology-based training support. The use of a matrix organisational structure for a hybrid framework can help combine functional vertical reporting with horizontal projects and optimise resource sharing, leading to cost control in talent retention and resourcing strategies. </w:t>
      </w:r>
    </w:p>
    <w:p w14:paraId="65D44DE3">
      <w:pPr>
        <w:pStyle w:val="4"/>
        <w:rPr>
          <w:color w:val="auto"/>
        </w:rPr>
      </w:pPr>
      <w:bookmarkStart w:id="5" w:name="_Toc229407562"/>
      <w:r>
        <w:rPr>
          <w:color w:val="auto"/>
        </w:rPr>
        <w:t>Talent Insight and Strategic Retention</w:t>
      </w:r>
      <w:bookmarkEnd w:id="5"/>
    </w:p>
    <w:p w14:paraId="1CBCF248">
      <w:pPr>
        <w:pStyle w:val="3"/>
        <w:spacing w:before="200" w:beforeAutospacing="0" w:after="200" w:afterAutospacing="0" w:line="360" w:lineRule="auto"/>
        <w:jc w:val="both"/>
        <w:rPr>
          <w:color w:val="auto"/>
        </w:rPr>
      </w:pPr>
      <w:r>
        <w:rPr>
          <w:color w:val="auto"/>
        </w:rPr>
        <w:t>One of the key principles of HR cycle is attracting and retaining talented people with rewards and motivation (Urme, 2023). Companies highly rely on talent-insight tools and employee assessment system to improve recruitment and retention rate in workforce. For instance, in a competitive labour market, performance review with CRM tools and tracking induction and training implications for high production ensures managing good staff. Similarly, companies often rely on data-based HR technologies including predictive analytics, psychometric tests while recruitment and employee-feedback system for strategic talent handling (Khan and Rizwan, 2025). </w:t>
      </w:r>
    </w:p>
    <w:p w14:paraId="17A76E74">
      <w:pPr>
        <w:pStyle w:val="3"/>
        <w:spacing w:before="200" w:beforeAutospacing="0" w:after="200" w:afterAutospacing="0" w:line="360" w:lineRule="auto"/>
        <w:jc w:val="both"/>
        <w:rPr>
          <w:color w:val="auto"/>
        </w:rPr>
      </w:pPr>
      <w:r>
        <w:rPr>
          <w:color w:val="auto"/>
        </w:rPr>
        <w:drawing>
          <wp:inline distT="0" distB="0" distL="0" distR="0">
            <wp:extent cx="5730240" cy="354330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730240" cy="3543300"/>
                    </a:xfrm>
                    <a:prstGeom prst="rect">
                      <a:avLst/>
                    </a:prstGeom>
                    <a:noFill/>
                    <a:ln>
                      <a:noFill/>
                    </a:ln>
                  </pic:spPr>
                </pic:pic>
              </a:graphicData>
            </a:graphic>
          </wp:inline>
        </w:drawing>
      </w:r>
    </w:p>
    <w:p w14:paraId="0D4517C2">
      <w:pPr>
        <w:pStyle w:val="3"/>
        <w:spacing w:before="200" w:beforeAutospacing="0" w:after="200" w:afterAutospacing="0" w:line="360" w:lineRule="auto"/>
        <w:jc w:val="center"/>
        <w:rPr>
          <w:color w:val="auto"/>
        </w:rPr>
      </w:pPr>
      <w:r>
        <w:rPr>
          <w:b/>
          <w:bCs/>
          <w:color w:val="auto"/>
        </w:rPr>
        <w:t>Figure 5: Technology engagement and retention of employees</w:t>
      </w:r>
    </w:p>
    <w:p w14:paraId="2EAD291F">
      <w:pPr>
        <w:pStyle w:val="3"/>
        <w:spacing w:before="200" w:beforeAutospacing="0" w:after="200" w:afterAutospacing="0" w:line="360" w:lineRule="auto"/>
        <w:jc w:val="center"/>
        <w:rPr>
          <w:color w:val="auto"/>
        </w:rPr>
      </w:pPr>
      <w:r>
        <w:rPr>
          <w:color w:val="auto"/>
        </w:rPr>
        <w:t xml:space="preserve">(Source: Kayusi </w:t>
      </w:r>
      <w:r>
        <w:rPr>
          <w:i/>
          <w:iCs/>
          <w:color w:val="auto"/>
        </w:rPr>
        <w:t xml:space="preserve">et al., </w:t>
      </w:r>
      <w:r>
        <w:rPr>
          <w:color w:val="auto"/>
        </w:rPr>
        <w:t>2025)</w:t>
      </w:r>
    </w:p>
    <w:p w14:paraId="440F5437">
      <w:pPr>
        <w:pStyle w:val="3"/>
        <w:spacing w:before="200" w:beforeAutospacing="0" w:after="200" w:afterAutospacing="0" w:line="360" w:lineRule="auto"/>
        <w:jc w:val="both"/>
        <w:rPr>
          <w:color w:val="auto"/>
        </w:rPr>
      </w:pPr>
      <w:r>
        <w:rPr>
          <w:color w:val="auto"/>
        </w:rPr>
        <w:t>Figure 5 shows high employee satisfaction after AI integration at 12.1% due to reduction in hiring biases and better workforce quality. It shows predictive analytics to improve retention strategies by identifying risk of disengagement among employees. For instance, Deloitte showed that organisations with workforce analytics gain stronger employee retention and workforce planning due to proactive measures in addressing dissatisfaction as observed from global workforce trends (Deloitte, 2024). On same note, personalised retention scopes help tailor learning options for different employees as per their job roles to provide customisable career development options in training. </w:t>
      </w:r>
    </w:p>
    <w:p w14:paraId="1B1EA689">
      <w:pPr>
        <w:pStyle w:val="3"/>
        <w:spacing w:before="200" w:beforeAutospacing="0" w:after="200" w:afterAutospacing="0" w:line="360" w:lineRule="auto"/>
        <w:jc w:val="both"/>
        <w:rPr>
          <w:color w:val="auto"/>
        </w:rPr>
      </w:pPr>
      <w:r>
        <w:rPr>
          <w:color w:val="auto"/>
        </w:rPr>
        <w:t xml:space="preserve">Despite these benefits, talent-insights technologies pose certain limitations and ethical concerns for companies and their employees. For instance, an AI-based recruitment system can unintentionally reinforce bias from historic discrimination in workforce database (Sony </w:t>
      </w:r>
      <w:r>
        <w:rPr>
          <w:i/>
          <w:iCs/>
          <w:color w:val="auto"/>
        </w:rPr>
        <w:t xml:space="preserve">et al., </w:t>
      </w:r>
      <w:r>
        <w:rPr>
          <w:color w:val="auto"/>
        </w:rPr>
        <w:t>2025). The published data in International Journal of Research Publication and Reviews (2023) criticised overreliance on AI-based recruitment, as they can marginalise different candidates, prioritising historically ideal employee profiles. Thus, need to consider proper transparency, fair recruitment, and human intervention on AI-based recruitment process for talent retention in talent-insight technologies. </w:t>
      </w:r>
    </w:p>
    <w:p w14:paraId="01E7A679">
      <w:pPr>
        <w:pStyle w:val="3"/>
        <w:spacing w:before="200" w:beforeAutospacing="0" w:after="200" w:afterAutospacing="0" w:line="360" w:lineRule="auto"/>
        <w:jc w:val="both"/>
        <w:rPr>
          <w:color w:val="auto"/>
        </w:rPr>
      </w:pPr>
      <w:r>
        <w:rPr>
          <w:color w:val="auto"/>
        </w:rPr>
        <w:drawing>
          <wp:inline distT="0" distB="0" distL="0" distR="0">
            <wp:extent cx="5731510" cy="26181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731510" cy="2618105"/>
                    </a:xfrm>
                    <a:prstGeom prst="rect">
                      <a:avLst/>
                    </a:prstGeom>
                    <a:noFill/>
                    <a:ln>
                      <a:noFill/>
                    </a:ln>
                  </pic:spPr>
                </pic:pic>
              </a:graphicData>
            </a:graphic>
          </wp:inline>
        </w:drawing>
      </w:r>
    </w:p>
    <w:p w14:paraId="2EEA151F">
      <w:pPr>
        <w:pStyle w:val="3"/>
        <w:spacing w:before="200" w:beforeAutospacing="0" w:after="200" w:afterAutospacing="0" w:line="360" w:lineRule="auto"/>
        <w:jc w:val="center"/>
        <w:rPr>
          <w:color w:val="auto"/>
        </w:rPr>
      </w:pPr>
      <w:r>
        <w:rPr>
          <w:b/>
          <w:bCs/>
          <w:color w:val="auto"/>
        </w:rPr>
        <w:t>Figure 6: Employee Engagement, wellbeing and Daily Emotions by Leadership Level Tracking</w:t>
      </w:r>
    </w:p>
    <w:p w14:paraId="653923B3">
      <w:pPr>
        <w:pStyle w:val="3"/>
        <w:spacing w:before="200" w:beforeAutospacing="0" w:after="200" w:afterAutospacing="0" w:line="360" w:lineRule="auto"/>
        <w:jc w:val="center"/>
        <w:rPr>
          <w:color w:val="auto"/>
        </w:rPr>
      </w:pPr>
      <w:r>
        <w:rPr>
          <w:color w:val="auto"/>
        </w:rPr>
        <w:t>(Source: Gallup, 2026)</w:t>
      </w:r>
    </w:p>
    <w:p w14:paraId="5C1B67E9">
      <w:pPr>
        <w:pStyle w:val="3"/>
        <w:spacing w:before="200" w:beforeAutospacing="0" w:after="200" w:afterAutospacing="0" w:line="360" w:lineRule="auto"/>
        <w:jc w:val="both"/>
        <w:rPr>
          <w:color w:val="auto"/>
        </w:rPr>
      </w:pPr>
      <w:r>
        <w:rPr>
          <w:color w:val="auto"/>
        </w:rPr>
        <w:t xml:space="preserve">Based on existing employee feedback process, specific retention surveys and engagement processes have a significant role in refining HRM strategies. All these tools provide organisations with consistent insight into employee satisfaction, workplace culture and organisational challenges (Vereb </w:t>
      </w:r>
      <w:r>
        <w:rPr>
          <w:i/>
          <w:iCs/>
          <w:color w:val="auto"/>
        </w:rPr>
        <w:t xml:space="preserve">et al., </w:t>
      </w:r>
      <w:r>
        <w:rPr>
          <w:color w:val="auto"/>
        </w:rPr>
        <w:t xml:space="preserve">2025). Compared to annual performance reviews, a retention survey helps companies to observe the emerging workforce in real-time. Based on Gallup’s 2024 workplace research, companies with a daily employee feedback system experienced high engagement, low absenteeism and better retention results (Gallup, 2026). This is visible in Figure 6, showing leadership level daily emotions tracking for employee engagement and life evaluation. However, companies need to balance technological efficacy and ethical practices for maintaining machine-made and human judgments in recruitment and retention decision-making. Talent-insight and management tools like workforce analytics framework and HRM application can help retain employees with proper talent pipeline creation (Elugbaju </w:t>
      </w:r>
      <w:r>
        <w:rPr>
          <w:i/>
          <w:iCs/>
          <w:color w:val="auto"/>
        </w:rPr>
        <w:t xml:space="preserve">et al., </w:t>
      </w:r>
      <w:r>
        <w:rPr>
          <w:color w:val="auto"/>
        </w:rPr>
        <w:t>2024). This will also help balancing technological efficacy and ethical practices with use of workforce analytics tools.    </w:t>
      </w:r>
    </w:p>
    <w:p w14:paraId="226E4657">
      <w:pPr>
        <w:pStyle w:val="2"/>
        <w:rPr>
          <w:color w:val="auto"/>
        </w:rPr>
      </w:pPr>
      <w:bookmarkStart w:id="6" w:name="_Toc229407563"/>
      <w:r>
        <w:rPr>
          <w:color w:val="auto"/>
        </w:rPr>
        <w:t>Conclusion</w:t>
      </w:r>
      <w:bookmarkEnd w:id="6"/>
    </w:p>
    <w:p w14:paraId="7B8D3245">
      <w:pPr>
        <w:pStyle w:val="3"/>
        <w:spacing w:before="200" w:beforeAutospacing="0" w:after="200" w:afterAutospacing="0" w:line="360" w:lineRule="auto"/>
        <w:jc w:val="both"/>
        <w:rPr>
          <w:color w:val="auto"/>
        </w:rPr>
      </w:pPr>
      <w:r>
        <w:rPr>
          <w:color w:val="auto"/>
        </w:rPr>
        <w:t>It is concluded that attracting different talent using skill-based hiring over academic qualification of traditional experience is justifiable. Besides, young Gen Z employees are expecting employers to demonstrate genuine commitment to diversity, inclusion and sustainable well-being. The need for AI training and leadership support to reduce toxic mentality and resistance to change is necessary before implementing the evidence-based strategies in the organisation’s HRM policies. </w:t>
      </w:r>
    </w:p>
    <w:p w14:paraId="7F158176">
      <w:pPr>
        <w:rPr>
          <w:rFonts w:ascii="Times New Roman" w:hAnsi="Times New Roman" w:eastAsia="Times New Roman" w:cs="Times New Roman"/>
          <w:color w:val="auto"/>
          <w:sz w:val="24"/>
          <w:szCs w:val="24"/>
          <w:lang w:eastAsia="en-IN"/>
        </w:rPr>
      </w:pPr>
      <w:r>
        <w:rPr>
          <w:color w:val="auto"/>
        </w:rPr>
        <w:br w:type="page"/>
      </w:r>
    </w:p>
    <w:p w14:paraId="402EB14D">
      <w:pPr>
        <w:pStyle w:val="2"/>
      </w:pPr>
      <w:bookmarkStart w:id="7" w:name="_Toc229407564"/>
      <w:r>
        <w:t>References</w:t>
      </w:r>
      <w:bookmarkEnd w:id="7"/>
    </w:p>
    <w:p w14:paraId="36DEDFC9">
      <w:pPr>
        <w:pStyle w:val="3"/>
        <w:spacing w:before="200" w:line="360" w:lineRule="auto"/>
        <w:jc w:val="both"/>
      </w:pPr>
      <w:r>
        <w:t>Bano, Y., Omar, S.S. and Ismail, F. (2022) ‘Succession planning best practices for organizations: A systematic literature review approach’, </w:t>
      </w:r>
      <w:r>
        <w:rPr>
          <w:i/>
          <w:iCs/>
        </w:rPr>
        <w:t>International Journal of Global Optimization and Its Application</w:t>
      </w:r>
      <w:r>
        <w:t>, </w:t>
      </w:r>
      <w:r>
        <w:rPr>
          <w:i/>
          <w:iCs/>
        </w:rPr>
        <w:t>1</w:t>
      </w:r>
      <w:r>
        <w:t xml:space="preserve">(1), pp.39-48. Available at: </w:t>
      </w:r>
      <w:r>
        <w:fldChar w:fldCharType="begin"/>
      </w:r>
      <w:r>
        <w:instrText xml:space="preserve"> HYPERLINK "https://www.academia.edu/download/105900866/11.pdf" </w:instrText>
      </w:r>
      <w:r>
        <w:fldChar w:fldCharType="separate"/>
      </w:r>
      <w:r>
        <w:rPr>
          <w:rStyle w:val="10"/>
        </w:rPr>
        <w:t>https://www.academia.edu/download/105900866/11.pdf</w:t>
      </w:r>
      <w:r>
        <w:rPr>
          <w:rStyle w:val="10"/>
        </w:rPr>
        <w:fldChar w:fldCharType="end"/>
      </w:r>
      <w:r>
        <w:t xml:space="preserve"> </w:t>
      </w:r>
      <w:bookmarkStart w:id="8" w:name="_Hlk229993922"/>
      <w:r>
        <w:t>(Accessed: 6 May 2026).</w:t>
      </w:r>
      <w:bookmarkEnd w:id="8"/>
    </w:p>
    <w:p w14:paraId="1F3C011B">
      <w:pPr>
        <w:pStyle w:val="3"/>
        <w:spacing w:before="200" w:line="360" w:lineRule="auto"/>
        <w:jc w:val="both"/>
      </w:pPr>
      <w:r>
        <w:t xml:space="preserve">BDO, (2025) </w:t>
      </w:r>
      <w:r>
        <w:rPr>
          <w:i/>
          <w:iCs/>
        </w:rPr>
        <w:t>BDO USA Named Among ‘100 Best Companies to Work For’ in 2025 by Fortune Media and Great Place To Work</w:t>
      </w:r>
      <w:r>
        <w:t xml:space="preserve">. Available at: </w:t>
      </w:r>
      <w:r>
        <w:fldChar w:fldCharType="begin"/>
      </w:r>
      <w:r>
        <w:instrText xml:space="preserve"> HYPERLINK "https://www.bdo.com/insights/press-releases/bdo-usa-named-among-100-best-companies-to-work-for-in-2025-by-fortune-media" </w:instrText>
      </w:r>
      <w:r>
        <w:fldChar w:fldCharType="separate"/>
      </w:r>
      <w:r>
        <w:rPr>
          <w:rStyle w:val="10"/>
        </w:rPr>
        <w:t>https://www.bdo.com/insights/press-releases/bdo-usa-named-among-100-best-companies-to-work-for-in-2025-by-fortune-media</w:t>
      </w:r>
      <w:r>
        <w:rPr>
          <w:rStyle w:val="10"/>
        </w:rPr>
        <w:fldChar w:fldCharType="end"/>
      </w:r>
      <w:r>
        <w:t xml:space="preserve"> (Accessed: 6 May 2026).</w:t>
      </w:r>
    </w:p>
    <w:p w14:paraId="5C032F8A">
      <w:pPr>
        <w:pStyle w:val="3"/>
        <w:spacing w:before="200" w:line="360" w:lineRule="auto"/>
        <w:jc w:val="both"/>
        <w:rPr>
          <w:color w:val="auto"/>
        </w:rPr>
      </w:pPr>
      <w:r>
        <w:rPr>
          <w:color w:val="auto"/>
        </w:rPr>
        <w:t>Benayoune, A. (2024) ‘Competency-based framework development and implementation: Current and future perspectives’, </w:t>
      </w:r>
      <w:r>
        <w:rPr>
          <w:i/>
          <w:iCs/>
          <w:color w:val="auto"/>
        </w:rPr>
        <w:t>Information Management and Business Review</w:t>
      </w:r>
      <w:r>
        <w:rPr>
          <w:color w:val="auto"/>
        </w:rPr>
        <w:t>, </w:t>
      </w:r>
      <w:r>
        <w:rPr>
          <w:i/>
          <w:iCs/>
          <w:color w:val="auto"/>
        </w:rPr>
        <w:t>16</w:t>
      </w:r>
      <w:r>
        <w:rPr>
          <w:color w:val="auto"/>
        </w:rPr>
        <w:t xml:space="preserve">(3), pp.606-615. Available at: </w:t>
      </w:r>
      <w:r>
        <w:rPr>
          <w:color w:val="auto"/>
        </w:rPr>
        <w:fldChar w:fldCharType="begin"/>
      </w:r>
      <w:r>
        <w:rPr>
          <w:color w:val="auto"/>
        </w:rPr>
        <w:instrText xml:space="preserve"> HYPERLINK "https://www.researchgate.net/profile/Abdelghani-Benayoune-2/publication/384250402_Competency-Based_Framework_Development_and_Implementation_Current_and_Future_Perspectives/links/66f3e7cc906bca2ac3c8c461/Competency-Based-Framework-Development-and-Implementa" </w:instrText>
      </w:r>
      <w:r>
        <w:rPr>
          <w:color w:val="auto"/>
        </w:rPr>
        <w:fldChar w:fldCharType="separate"/>
      </w:r>
      <w:r>
        <w:rPr>
          <w:rStyle w:val="10"/>
        </w:rPr>
        <w:t>https://www.researchgate.net/profile/Abdelghani-Benayoune-2/publication/384250402_Competency-Based_Framework_Development_and_Implementation_Current_and_Future_Perspectives/links/66f3e7cc906bca2ac3c8c461/Competency-Based-Framework-Development-and-Implementa</w:t>
      </w:r>
      <w:r>
        <w:rPr>
          <w:color w:val="auto"/>
        </w:rPr>
        <w:fldChar w:fldCharType="end"/>
      </w:r>
      <w:r>
        <w:rPr>
          <w:color w:val="auto"/>
        </w:rPr>
        <w:t xml:space="preserve"> (Accessed: 17 May 2026).</w:t>
      </w:r>
    </w:p>
    <w:p w14:paraId="0143ACF5">
      <w:pPr>
        <w:pStyle w:val="3"/>
        <w:spacing w:before="200" w:line="360" w:lineRule="auto"/>
        <w:jc w:val="both"/>
      </w:pPr>
      <w:r>
        <w:t xml:space="preserve">Burleigh., E. (2024) </w:t>
      </w:r>
      <w:r>
        <w:rPr>
          <w:i/>
          <w:iCs/>
        </w:rPr>
        <w:t>Hilton credits their 93% engagement rate to a strong ERG culture and a ‘virtuous cycle’ of benefits</w:t>
      </w:r>
      <w:r>
        <w:t xml:space="preserve">. Available at: </w:t>
      </w:r>
      <w:r>
        <w:fldChar w:fldCharType="begin"/>
      </w:r>
      <w:r>
        <w:instrText xml:space="preserve"> HYPERLINK "https://finance.yahoo.com/news/hilton-credits-93-engagement-rate-105500899.html" </w:instrText>
      </w:r>
      <w:r>
        <w:fldChar w:fldCharType="separate"/>
      </w:r>
      <w:r>
        <w:rPr>
          <w:rStyle w:val="10"/>
        </w:rPr>
        <w:t>https://finance.yahoo.com/news/hilton-credits-93-engagement-rate-105500899.html</w:t>
      </w:r>
      <w:r>
        <w:rPr>
          <w:rStyle w:val="10"/>
        </w:rPr>
        <w:fldChar w:fldCharType="end"/>
      </w:r>
      <w:r>
        <w:t xml:space="preserve"> (Accessed: 9 May 2026).</w:t>
      </w:r>
    </w:p>
    <w:p w14:paraId="1C4EF518">
      <w:pPr>
        <w:pStyle w:val="3"/>
        <w:spacing w:before="200" w:line="360" w:lineRule="auto"/>
        <w:jc w:val="both"/>
      </w:pPr>
      <w:r>
        <w:t>Christy, K.M. and Kowalewski, S.J. (2023) ‘The Future of Succession Planning in Organizations’, </w:t>
      </w:r>
      <w:r>
        <w:rPr>
          <w:i/>
          <w:iCs/>
        </w:rPr>
        <w:t>Archives of Business Research</w:t>
      </w:r>
      <w:r>
        <w:t>, </w:t>
      </w:r>
      <w:r>
        <w:rPr>
          <w:i/>
          <w:iCs/>
        </w:rPr>
        <w:t>11</w:t>
      </w:r>
      <w:r>
        <w:t xml:space="preserve">(2), pp.83-89. </w:t>
      </w:r>
      <w:bookmarkStart w:id="9" w:name="_Hlk229993958"/>
      <w:r>
        <w:t xml:space="preserve">Available at: </w:t>
      </w:r>
      <w:bookmarkEnd w:id="9"/>
      <w:r>
        <w:fldChar w:fldCharType="begin"/>
      </w:r>
      <w:r>
        <w:instrText xml:space="preserve"> HYPERLINK "https://doi.org/10.14738/abr.112.13975" </w:instrText>
      </w:r>
      <w:r>
        <w:fldChar w:fldCharType="separate"/>
      </w:r>
      <w:r>
        <w:rPr>
          <w:rStyle w:val="10"/>
        </w:rPr>
        <w:t>https://doi.org/10.14738/abr.112.13975</w:t>
      </w:r>
      <w:r>
        <w:rPr>
          <w:rStyle w:val="10"/>
        </w:rPr>
        <w:fldChar w:fldCharType="end"/>
      </w:r>
      <w:r>
        <w:t xml:space="preserve"> (Accessed: 6 May 2026).</w:t>
      </w:r>
    </w:p>
    <w:p w14:paraId="1C1D5524">
      <w:pPr>
        <w:pStyle w:val="3"/>
        <w:spacing w:before="200" w:line="360" w:lineRule="auto"/>
        <w:jc w:val="both"/>
        <w:rPr>
          <w:color w:val="auto"/>
        </w:rPr>
      </w:pPr>
      <w:r>
        <w:rPr>
          <w:color w:val="auto"/>
        </w:rPr>
        <w:t>Crocker, J.C., Moore, L., Ogden, M., Crowe, S., Khan, M., Schoemaker, C., Roy, N.B., Taylor, M., Gronlund, T., Bueser, T. and Tatum, M. (2024) ‘Overarching priorities for health and care research in the United Kingdom: a coproduced synthesis of James Lind Alliance ‘top 10s’, </w:t>
      </w:r>
      <w:r>
        <w:rPr>
          <w:i/>
          <w:iCs/>
          <w:color w:val="auto"/>
        </w:rPr>
        <w:t>Health Expectations</w:t>
      </w:r>
      <w:r>
        <w:rPr>
          <w:color w:val="auto"/>
        </w:rPr>
        <w:t>, </w:t>
      </w:r>
      <w:r>
        <w:rPr>
          <w:i/>
          <w:iCs/>
          <w:color w:val="auto"/>
        </w:rPr>
        <w:t>27</w:t>
      </w:r>
      <w:r>
        <w:rPr>
          <w:color w:val="auto"/>
        </w:rPr>
        <w:t xml:space="preserve">(3), p.e14096. Available at: </w:t>
      </w:r>
      <w:r>
        <w:rPr>
          <w:color w:val="auto"/>
          <w:u w:val="none"/>
        </w:rPr>
        <w:fldChar w:fldCharType="begin"/>
      </w:r>
      <w:r>
        <w:rPr>
          <w:color w:val="auto"/>
          <w:u w:val="none"/>
        </w:rPr>
        <w:instrText xml:space="preserve"> HYPERLINK "https://onlinelibrary.wiley.com/doi/pdf/10.1111/hex.14096" </w:instrText>
      </w:r>
      <w:r>
        <w:rPr>
          <w:color w:val="auto"/>
          <w:u w:val="none"/>
        </w:rPr>
        <w:fldChar w:fldCharType="separate"/>
      </w:r>
      <w:r>
        <w:rPr>
          <w:rStyle w:val="10"/>
        </w:rPr>
        <w:t>https://onlinelibrary.wiley.com/doi/pdf/10.1111/hex.14096</w:t>
      </w:r>
      <w:r>
        <w:rPr>
          <w:color w:val="auto"/>
          <w:u w:val="none"/>
        </w:rPr>
        <w:fldChar w:fldCharType="end"/>
      </w:r>
      <w:r>
        <w:rPr>
          <w:color w:val="auto"/>
        </w:rPr>
        <w:t xml:space="preserve"> (Accessed: 17 May 2026).</w:t>
      </w:r>
    </w:p>
    <w:p w14:paraId="2C5806A1">
      <w:pPr>
        <w:pStyle w:val="3"/>
        <w:spacing w:before="200" w:line="360" w:lineRule="auto"/>
        <w:jc w:val="both"/>
      </w:pPr>
      <w:r>
        <w:t xml:space="preserve">Deloitte, (2024) </w:t>
      </w:r>
      <w:r>
        <w:rPr>
          <w:i/>
          <w:iCs/>
        </w:rPr>
        <w:t>2024 Global Workforce Trends</w:t>
      </w:r>
      <w:r>
        <w:t xml:space="preserve">. Available at: </w:t>
      </w:r>
      <w:r>
        <w:fldChar w:fldCharType="begin"/>
      </w:r>
      <w:r>
        <w:instrText xml:space="preserve"> HYPERLINK "https://www.deloitte.com/uk/en/services/tax/research/2024-global-workforce-trends.html" </w:instrText>
      </w:r>
      <w:r>
        <w:fldChar w:fldCharType="separate"/>
      </w:r>
      <w:r>
        <w:rPr>
          <w:rStyle w:val="10"/>
        </w:rPr>
        <w:t>https://www.deloitte.com/uk/en/services/tax/research/2024-global-workforce-trends.html</w:t>
      </w:r>
      <w:r>
        <w:rPr>
          <w:rStyle w:val="10"/>
        </w:rPr>
        <w:fldChar w:fldCharType="end"/>
      </w:r>
      <w:r>
        <w:t xml:space="preserve"> (Accessed: 7 May 2026).</w:t>
      </w:r>
    </w:p>
    <w:p w14:paraId="480327B1">
      <w:pPr>
        <w:pStyle w:val="3"/>
        <w:spacing w:before="200" w:line="360" w:lineRule="auto"/>
        <w:jc w:val="both"/>
        <w:rPr>
          <w:color w:val="auto"/>
        </w:rPr>
      </w:pPr>
      <w:r>
        <w:rPr>
          <w:color w:val="auto"/>
        </w:rPr>
        <w:t>Elugbaju, W.K., Okeke, N.I. and Alabi, O.A. (2024) ‘Human resource analytics as a strategic tool for workforce planning and succession management’, </w:t>
      </w:r>
      <w:r>
        <w:rPr>
          <w:i/>
          <w:iCs/>
          <w:color w:val="auto"/>
        </w:rPr>
        <w:t>International Journal of Engineering Research and Development</w:t>
      </w:r>
      <w:r>
        <w:rPr>
          <w:color w:val="auto"/>
        </w:rPr>
        <w:t>, </w:t>
      </w:r>
      <w:r>
        <w:rPr>
          <w:i/>
          <w:iCs/>
          <w:color w:val="auto"/>
        </w:rPr>
        <w:t>20</w:t>
      </w:r>
      <w:r>
        <w:rPr>
          <w:color w:val="auto"/>
        </w:rPr>
        <w:t xml:space="preserve">(11), pp.744-756. Available at: </w:t>
      </w:r>
      <w:r>
        <w:rPr>
          <w:color w:val="auto"/>
        </w:rPr>
        <w:fldChar w:fldCharType="begin"/>
      </w:r>
      <w:r>
        <w:rPr>
          <w:color w:val="auto"/>
        </w:rPr>
        <w:instrText xml:space="preserve"> HYPERLINK "https://www.researchgate.net/profile/Wande-Elugbaju/publication/387222842_Human_Resource_Analytics_as_a_Strategic_Tool_for_Workforce_Planning_and_Succession_Management/links/6764752e117f340ec3cd9055/Human-Resource-Analytics-as-a-Strategic-Tool-for-Workforc" </w:instrText>
      </w:r>
      <w:r>
        <w:rPr>
          <w:color w:val="auto"/>
        </w:rPr>
        <w:fldChar w:fldCharType="separate"/>
      </w:r>
      <w:r>
        <w:rPr>
          <w:rStyle w:val="10"/>
        </w:rPr>
        <w:t>https://www.researchgate.net/profile/Wande-Elugbaju/publication/387222842_Human_Resource_Analytics_as_a_Strategic_Tool_for_Workforce_Planning_and_Succession_Management/links/6764752e117f340ec3cd9055/Human-Resource-Analytics-as-a-Strategic-Tool-for-Workforc</w:t>
      </w:r>
      <w:r>
        <w:rPr>
          <w:color w:val="auto"/>
        </w:rPr>
        <w:fldChar w:fldCharType="end"/>
      </w:r>
      <w:r>
        <w:rPr>
          <w:color w:val="auto"/>
        </w:rPr>
        <w:t>(Accessed: 18 May 2026).</w:t>
      </w:r>
    </w:p>
    <w:p w14:paraId="3C16814A">
      <w:pPr>
        <w:pStyle w:val="3"/>
        <w:spacing w:before="200" w:line="360" w:lineRule="auto"/>
        <w:jc w:val="both"/>
      </w:pPr>
      <w:r>
        <w:t xml:space="preserve">Fakhar, N., Abbas, K. and Badi, S. (2025) </w:t>
      </w:r>
      <w:r>
        <w:rPr>
          <w:i/>
          <w:iCs/>
        </w:rPr>
        <w:t>Predictive People Analytics for Strategic Workforce Planning in the Future of Work</w:t>
      </w:r>
      <w:r>
        <w:t xml:space="preserve">. Available at: </w:t>
      </w:r>
      <w:r>
        <w:fldChar w:fldCharType="begin"/>
      </w:r>
      <w:r>
        <w:instrText xml:space="preserve"> HYPERLINK "https://www.researchgate.net/profile/Sadi-Badi/publication/394528225_Predictive_People_Analytics_for_Strategic_Workforce_Planning_in_the_Future_of_Work/links/68a301f51bee4d42a24078ea/Predictive-People-Analytics-for-Strategic-Workforce-Planning-in-the-Future-of-Work.pdf" </w:instrText>
      </w:r>
      <w:r>
        <w:fldChar w:fldCharType="separate"/>
      </w:r>
      <w:r>
        <w:rPr>
          <w:rStyle w:val="10"/>
        </w:rPr>
        <w:t>https://www.researchgate.net/profile/Sadi-Badi/publication/394528225_Predictive_People_Analytics_for_Strategic_Workforce_Planning_in_the_Future_of_Work/links/68a301f51bee4d42a24078ea/Predictive-People-Analytics-for-Strategic-Workforce-Planning-in-the-Future-of-Work.pdf</w:t>
      </w:r>
      <w:r>
        <w:rPr>
          <w:rStyle w:val="10"/>
        </w:rPr>
        <w:fldChar w:fldCharType="end"/>
      </w:r>
      <w:r>
        <w:t xml:space="preserve"> (Accessed: 8 May 2026).</w:t>
      </w:r>
    </w:p>
    <w:p w14:paraId="466AB6B8">
      <w:pPr>
        <w:pStyle w:val="3"/>
        <w:spacing w:before="200" w:line="360" w:lineRule="auto"/>
        <w:jc w:val="both"/>
      </w:pPr>
      <w:r>
        <w:t xml:space="preserve">Fortune, (2026) </w:t>
      </w:r>
      <w:r>
        <w:rPr>
          <w:i/>
          <w:iCs/>
        </w:rPr>
        <w:t>Fortune 100 Best Companies to Work For</w:t>
      </w:r>
      <w:r>
        <w:t xml:space="preserve">. Available at: </w:t>
      </w:r>
      <w:r>
        <w:fldChar w:fldCharType="begin"/>
      </w:r>
      <w:r>
        <w:instrText xml:space="preserve"> HYPERLINK "https://fortune.com/ranking/best-companies/2025/" </w:instrText>
      </w:r>
      <w:r>
        <w:fldChar w:fldCharType="separate"/>
      </w:r>
      <w:r>
        <w:rPr>
          <w:rStyle w:val="10"/>
        </w:rPr>
        <w:t>https://fortune.com/ranking/best-companies/2025/</w:t>
      </w:r>
      <w:r>
        <w:rPr>
          <w:rStyle w:val="10"/>
        </w:rPr>
        <w:fldChar w:fldCharType="end"/>
      </w:r>
      <w:r>
        <w:t xml:space="preserve"> (Accessed: 5 May 2026).</w:t>
      </w:r>
    </w:p>
    <w:p w14:paraId="06F08B96">
      <w:pPr>
        <w:pStyle w:val="3"/>
        <w:spacing w:before="200" w:line="360" w:lineRule="auto"/>
        <w:jc w:val="both"/>
      </w:pPr>
      <w:r>
        <w:t xml:space="preserve">Fortune, (2026a) </w:t>
      </w:r>
      <w:r>
        <w:rPr>
          <w:i/>
          <w:iCs/>
        </w:rPr>
        <w:t>Building the best place to stay by becoming the best place to work</w:t>
      </w:r>
      <w:r>
        <w:t xml:space="preserve">. Available at: </w:t>
      </w:r>
      <w:r>
        <w:fldChar w:fldCharType="begin"/>
      </w:r>
      <w:r>
        <w:instrText xml:space="preserve"> HYPERLINK "http://fortune.com/brandstudio/hilton-worldwide/building-the-best-place-to-stay-by-becoming-the-best-place-to-work/" </w:instrText>
      </w:r>
      <w:r>
        <w:fldChar w:fldCharType="separate"/>
      </w:r>
      <w:r>
        <w:rPr>
          <w:rStyle w:val="10"/>
        </w:rPr>
        <w:t>http://fortune.com/brandstudio/hilton-worldwide/building-the-best-place-to-stay-by-becoming-the-best-place-to-work/</w:t>
      </w:r>
      <w:r>
        <w:rPr>
          <w:rStyle w:val="10"/>
        </w:rPr>
        <w:fldChar w:fldCharType="end"/>
      </w:r>
      <w:r>
        <w:t xml:space="preserve"> (Accessed: 8 May 2026).</w:t>
      </w:r>
    </w:p>
    <w:p w14:paraId="5527ABB1">
      <w:pPr>
        <w:pStyle w:val="3"/>
        <w:spacing w:before="200" w:line="360" w:lineRule="auto"/>
        <w:jc w:val="both"/>
      </w:pPr>
      <w:r>
        <w:t>Frohnhoefer, R Hussen, I Pangilinen, L (2022) Project Cost Management: Principles, Tools, Techniques and Best Practices for Project Finance, PPC Group.</w:t>
      </w:r>
    </w:p>
    <w:p w14:paraId="6DF299F6">
      <w:pPr>
        <w:pStyle w:val="3"/>
        <w:spacing w:before="200" w:line="360" w:lineRule="auto"/>
        <w:jc w:val="both"/>
      </w:pPr>
      <w:r>
        <w:t xml:space="preserve">Gallup (2026) </w:t>
      </w:r>
      <w:r>
        <w:rPr>
          <w:i/>
          <w:iCs/>
        </w:rPr>
        <w:t>State of the Global Workplace 2026</w:t>
      </w:r>
      <w:r>
        <w:t xml:space="preserve">. Available at: </w:t>
      </w:r>
      <w:r>
        <w:fldChar w:fldCharType="begin"/>
      </w:r>
      <w:r>
        <w:instrText xml:space="preserve"> HYPERLINK "https://www.gallup.com/file/workplace/707798/state-of-the-global-workplace-2026-download.pdf" </w:instrText>
      </w:r>
      <w:r>
        <w:fldChar w:fldCharType="separate"/>
      </w:r>
      <w:r>
        <w:rPr>
          <w:rStyle w:val="10"/>
        </w:rPr>
        <w:t>https://www.gallup.com/file/workplace/707798/state-of-the-global-workplace-2026-download.pdf</w:t>
      </w:r>
      <w:r>
        <w:rPr>
          <w:rStyle w:val="10"/>
        </w:rPr>
        <w:fldChar w:fldCharType="end"/>
      </w:r>
      <w:r>
        <w:t xml:space="preserve"> (Accessed: 7 May 2026).</w:t>
      </w:r>
    </w:p>
    <w:p w14:paraId="0F096B74">
      <w:pPr>
        <w:pStyle w:val="3"/>
        <w:spacing w:before="200" w:line="360" w:lineRule="auto"/>
        <w:jc w:val="both"/>
      </w:pPr>
      <w:r>
        <w:t>Geetha, V. (2024) ‘Corporate Culture and Employee Morale: Understanding’, </w:t>
      </w:r>
      <w:r>
        <w:rPr>
          <w:i/>
          <w:iCs/>
        </w:rPr>
        <w:t>Multidisciplinary Research in Arts, Science &amp; Commerce</w:t>
      </w:r>
      <w:r>
        <w:t>, </w:t>
      </w:r>
      <w:r>
        <w:rPr>
          <w:i/>
          <w:iCs/>
        </w:rPr>
        <w:t>13</w:t>
      </w:r>
      <w:r>
        <w:t>, p.44.</w:t>
      </w:r>
    </w:p>
    <w:p w14:paraId="776C08FE">
      <w:pPr>
        <w:pStyle w:val="3"/>
        <w:spacing w:before="200" w:line="360" w:lineRule="auto"/>
        <w:jc w:val="both"/>
      </w:pPr>
      <w:r>
        <w:t xml:space="preserve">Great Place to Work (2025) UK's Best Workplaces™ 2025. Available at: </w:t>
      </w:r>
      <w:r>
        <w:fldChar w:fldCharType="begin"/>
      </w:r>
      <w:r>
        <w:instrText xml:space="preserve"> HYPERLINK "https://www.greatplacetowork.co.uk/best-workplaces/2025?size=medium++&amp;" </w:instrText>
      </w:r>
      <w:r>
        <w:fldChar w:fldCharType="separate"/>
      </w:r>
      <w:r>
        <w:rPr>
          <w:rStyle w:val="10"/>
        </w:rPr>
        <w:t>https://www.greatplacetowork.co.uk/best-workplaces/2025?size=medium++&amp;</w:t>
      </w:r>
      <w:r>
        <w:rPr>
          <w:rStyle w:val="10"/>
        </w:rPr>
        <w:fldChar w:fldCharType="end"/>
      </w:r>
      <w:r>
        <w:t xml:space="preserve"> (Accessed: 5 May 2026).</w:t>
      </w:r>
    </w:p>
    <w:p w14:paraId="06A1FFE6">
      <w:pPr>
        <w:pStyle w:val="3"/>
        <w:spacing w:before="200" w:line="360" w:lineRule="auto"/>
        <w:jc w:val="both"/>
      </w:pPr>
      <w:r>
        <w:t>GUPTA, D., GUPTA, M. and GUPTA, P.M. (2024) </w:t>
      </w:r>
      <w:r>
        <w:rPr>
          <w:i/>
          <w:iCs/>
        </w:rPr>
        <w:t>HR analytics: The future of HR</w:t>
      </w:r>
      <w:r>
        <w:t>. PHI Learning Pvt. Ltd.</w:t>
      </w:r>
    </w:p>
    <w:p w14:paraId="0FE2C558">
      <w:pPr>
        <w:pStyle w:val="3"/>
        <w:spacing w:before="200" w:line="360" w:lineRule="auto"/>
        <w:jc w:val="both"/>
      </w:pPr>
      <w:r>
        <w:t>Gupta, I. and Nagariya, R. (2025) ‘The impact of flexible work policies on employee well-being and retention in modern organizations’, In </w:t>
      </w:r>
      <w:r>
        <w:rPr>
          <w:i/>
          <w:iCs/>
        </w:rPr>
        <w:t>Prioritizing employee mental health and well-being for organizational success</w:t>
      </w:r>
      <w:r>
        <w:t xml:space="preserve"> (pp. 185-218). IGI Global Scientific Publishing. Available at: </w:t>
      </w:r>
      <w:r>
        <w:fldChar w:fldCharType="begin"/>
      </w:r>
      <w:r>
        <w:instrText xml:space="preserve"> HYPERLINK "https://www.researchgate.net/profile/Uday-Ghosh-9/publication/391489203_Prioritizing_Employee_Health_and_Well-Being_for_Organizational_Success/links/681a7609bd3f1930dd6d34d9/Prioritizing-Employee-Health-and-Well-Being-for-Organizational-Success.pdf" \l "page=201" </w:instrText>
      </w:r>
      <w:r>
        <w:fldChar w:fldCharType="separate"/>
      </w:r>
      <w:r>
        <w:rPr>
          <w:rStyle w:val="10"/>
        </w:rPr>
        <w:t>https://www.researchgate.net/profile/Uday-Ghosh-9/publication/391489203_Prioritizing_Employee_Health_and_Well-Being_for_Organizational_Success/links/681a7609bd3f1930dd6d34d9/Prioritizing-Employee-Health-and-Well-Being-for-Organizational-Success.pdf#page=201</w:t>
      </w:r>
      <w:r>
        <w:rPr>
          <w:rStyle w:val="10"/>
        </w:rPr>
        <w:fldChar w:fldCharType="end"/>
      </w:r>
      <w:r>
        <w:t xml:space="preserve"> (Accessed: 12 May 2026).</w:t>
      </w:r>
    </w:p>
    <w:p w14:paraId="09B96995">
      <w:pPr>
        <w:pStyle w:val="3"/>
        <w:spacing w:before="200" w:line="360" w:lineRule="auto"/>
        <w:jc w:val="both"/>
      </w:pPr>
      <w:r>
        <w:t>Hilton</w:t>
      </w:r>
      <w:r>
        <w:rPr>
          <w:i/>
          <w:iCs/>
        </w:rPr>
        <w:t xml:space="preserve"> </w:t>
      </w:r>
      <w:r>
        <w:t xml:space="preserve">(2026) </w:t>
      </w:r>
      <w:r>
        <w:rPr>
          <w:i/>
          <w:iCs/>
        </w:rPr>
        <w:t>HILTON MANAGEMENT DEVELOPMENT PROGRAM (MDP).</w:t>
      </w:r>
      <w:r>
        <w:t xml:space="preserve"> Available at: </w:t>
      </w:r>
      <w:r>
        <w:fldChar w:fldCharType="begin"/>
      </w:r>
      <w:r>
        <w:instrText xml:space="preserve"> HYPERLINK "https://jobs.hilton.com/us/en/MDP" </w:instrText>
      </w:r>
      <w:r>
        <w:fldChar w:fldCharType="separate"/>
      </w:r>
      <w:r>
        <w:rPr>
          <w:rStyle w:val="10"/>
        </w:rPr>
        <w:t>https://jobs.hilton.com/us/en/MDP</w:t>
      </w:r>
      <w:r>
        <w:rPr>
          <w:rStyle w:val="10"/>
        </w:rPr>
        <w:fldChar w:fldCharType="end"/>
      </w:r>
      <w:r>
        <w:t xml:space="preserve"> (Accessed: 8 May 2026).</w:t>
      </w:r>
    </w:p>
    <w:p w14:paraId="29143DD7">
      <w:pPr>
        <w:pStyle w:val="3"/>
        <w:spacing w:before="200" w:line="360" w:lineRule="auto"/>
        <w:jc w:val="both"/>
      </w:pPr>
      <w:r>
        <w:t xml:space="preserve">Hilton Stories, (2026) </w:t>
      </w:r>
      <w:r>
        <w:rPr>
          <w:i/>
          <w:iCs/>
        </w:rPr>
        <w:t>Trending Stories</w:t>
      </w:r>
      <w:r>
        <w:t xml:space="preserve">. </w:t>
      </w:r>
      <w:r>
        <w:fldChar w:fldCharType="begin"/>
      </w:r>
      <w:r>
        <w:instrText xml:space="preserve"> HYPERLINK "https://stories.hilton.com/" </w:instrText>
      </w:r>
      <w:r>
        <w:fldChar w:fldCharType="separate"/>
      </w:r>
      <w:r>
        <w:rPr>
          <w:rStyle w:val="10"/>
        </w:rPr>
        <w:t>https://stories.hilton.com/</w:t>
      </w:r>
      <w:r>
        <w:rPr>
          <w:rStyle w:val="10"/>
        </w:rPr>
        <w:fldChar w:fldCharType="end"/>
      </w:r>
      <w:r>
        <w:t xml:space="preserve"> (Accessed: 6 May 2026).</w:t>
      </w:r>
    </w:p>
    <w:p w14:paraId="08952A3D">
      <w:pPr>
        <w:pStyle w:val="3"/>
        <w:spacing w:before="200" w:line="360" w:lineRule="auto"/>
        <w:jc w:val="both"/>
      </w:pPr>
      <w:r>
        <w:t xml:space="preserve">Hilton, (2026) </w:t>
      </w:r>
      <w:r>
        <w:rPr>
          <w:i/>
          <w:iCs/>
        </w:rPr>
        <w:t>Hilton University Programs and Campus Recruitments</w:t>
      </w:r>
      <w:r>
        <w:t xml:space="preserve">. Available at: </w:t>
      </w:r>
      <w:r>
        <w:fldChar w:fldCharType="begin"/>
      </w:r>
      <w:r>
        <w:instrText xml:space="preserve"> HYPERLINK "https://jobs.hilton.com/us/en/career-areas-university-all" </w:instrText>
      </w:r>
      <w:r>
        <w:fldChar w:fldCharType="separate"/>
      </w:r>
      <w:r>
        <w:rPr>
          <w:rStyle w:val="10"/>
        </w:rPr>
        <w:t>https://jobs.hilton.com/us/en/career-areas-university-all</w:t>
      </w:r>
      <w:r>
        <w:rPr>
          <w:rStyle w:val="10"/>
        </w:rPr>
        <w:fldChar w:fldCharType="end"/>
      </w:r>
      <w:r>
        <w:t xml:space="preserve"> (Accessed: 7 May 2026).</w:t>
      </w:r>
    </w:p>
    <w:p w14:paraId="5D82246D">
      <w:pPr>
        <w:pStyle w:val="3"/>
        <w:spacing w:before="200" w:line="360" w:lineRule="auto"/>
        <w:jc w:val="both"/>
      </w:pPr>
      <w:r>
        <w:t xml:space="preserve">iHire, (2024) </w:t>
      </w:r>
      <w:r>
        <w:rPr>
          <w:i/>
          <w:iCs/>
        </w:rPr>
        <w:t>iHire’s 2024 Talent Retention Report Spotlights the “Great Stay”.</w:t>
      </w:r>
      <w:r>
        <w:t xml:space="preserve"> Available at: </w:t>
      </w:r>
      <w:r>
        <w:fldChar w:fldCharType="begin"/>
      </w:r>
      <w:r>
        <w:instrText xml:space="preserve"> HYPERLINK "https://vendordirectory.shrm.org/company/851023/news/3527822/ihire-s-2024-talent-retention-report-spotlights-the-great-stay" </w:instrText>
      </w:r>
      <w:r>
        <w:fldChar w:fldCharType="separate"/>
      </w:r>
      <w:r>
        <w:rPr>
          <w:rStyle w:val="10"/>
        </w:rPr>
        <w:t>https://vendordirectory.shrm.org/company/851023/news/3527822/ihire-s-2024-talent-retention-report-spotlights-the-great-stay</w:t>
      </w:r>
      <w:r>
        <w:rPr>
          <w:rStyle w:val="10"/>
        </w:rPr>
        <w:fldChar w:fldCharType="end"/>
      </w:r>
      <w:r>
        <w:t xml:space="preserve"> (Accessed: 9 May 2026).</w:t>
      </w:r>
    </w:p>
    <w:p w14:paraId="64BC4143">
      <w:pPr>
        <w:pStyle w:val="3"/>
        <w:spacing w:before="200" w:line="360" w:lineRule="auto"/>
        <w:jc w:val="both"/>
      </w:pPr>
      <w:r>
        <w:t>Ingale, A, (2024) ‘Succession planning and leadership development are important in creating a talent pipeline within human resource management’, </w:t>
      </w:r>
      <w:r>
        <w:rPr>
          <w:i/>
          <w:iCs/>
        </w:rPr>
        <w:t>SSRN 5031223</w:t>
      </w:r>
      <w:r>
        <w:t xml:space="preserve">. Available at: </w:t>
      </w:r>
      <w:r>
        <w:fldChar w:fldCharType="begin"/>
      </w:r>
      <w:r>
        <w:instrText xml:space="preserve"> HYPERLINK "https://papers.ssrn.com/sol3/Delivery.cfm?abstractid=5031223" </w:instrText>
      </w:r>
      <w:r>
        <w:fldChar w:fldCharType="separate"/>
      </w:r>
      <w:r>
        <w:rPr>
          <w:rStyle w:val="10"/>
        </w:rPr>
        <w:t>https://papers.ssrn.com/sol3/Delivery.cfm?abstractid=5031223</w:t>
      </w:r>
      <w:r>
        <w:rPr>
          <w:rStyle w:val="10"/>
        </w:rPr>
        <w:fldChar w:fldCharType="end"/>
      </w:r>
      <w:r>
        <w:t xml:space="preserve"> (Accessed: 4 May 2026).</w:t>
      </w:r>
    </w:p>
    <w:p w14:paraId="2520951D">
      <w:pPr>
        <w:pStyle w:val="3"/>
        <w:spacing w:before="200" w:line="360" w:lineRule="auto"/>
        <w:jc w:val="both"/>
      </w:pPr>
      <w:r>
        <w:t>Kayusi, F., Chavula, P., Omwenga, M.K., Juma, L., Kayus, B.A., Vallejo, R.G. and Mishra, R. (2025) ‘AI-driven HR analytics: Transforming talent management and employee engagement’, </w:t>
      </w:r>
      <w:r>
        <w:rPr>
          <w:i/>
          <w:iCs/>
        </w:rPr>
        <w:t>Revista Multidisciplinaria Voces de América y el Caribe:(REMUVAC)</w:t>
      </w:r>
      <w:r>
        <w:t>, </w:t>
      </w:r>
      <w:r>
        <w:rPr>
          <w:i/>
          <w:iCs/>
        </w:rPr>
        <w:t>2</w:t>
      </w:r>
      <w:r>
        <w:t xml:space="preserve">(1), pp.558-582. Available at: </w:t>
      </w:r>
      <w:r>
        <w:fldChar w:fldCharType="begin"/>
      </w:r>
      <w:r>
        <w:instrText xml:space="preserve"> HYPERLINK "https://dialnet.unirioja.es/descarga/articulo/10304288.pdf" </w:instrText>
      </w:r>
      <w:r>
        <w:fldChar w:fldCharType="separate"/>
      </w:r>
      <w:r>
        <w:rPr>
          <w:rStyle w:val="10"/>
        </w:rPr>
        <w:t>https://dialnet.unirioja.es/descarga/articulo/10304288.pdf</w:t>
      </w:r>
      <w:r>
        <w:rPr>
          <w:rStyle w:val="10"/>
        </w:rPr>
        <w:fldChar w:fldCharType="end"/>
      </w:r>
      <w:r>
        <w:t xml:space="preserve"> (Accessed: 9 May 2026).</w:t>
      </w:r>
    </w:p>
    <w:p w14:paraId="6E0530FB">
      <w:pPr>
        <w:pStyle w:val="3"/>
        <w:spacing w:before="200" w:line="360" w:lineRule="auto"/>
        <w:jc w:val="both"/>
      </w:pPr>
      <w:r>
        <w:t>Khalilov, T., Aliyev, V. and Zeynalov, I. (2025) ‘The role of leadership and managerial skills in strategic planning’, </w:t>
      </w:r>
      <w:r>
        <w:rPr>
          <w:i/>
          <w:iCs/>
        </w:rPr>
        <w:t>Journal of Information Systems Engineering and Management</w:t>
      </w:r>
      <w:r>
        <w:t>, </w:t>
      </w:r>
      <w:r>
        <w:rPr>
          <w:i/>
          <w:iCs/>
        </w:rPr>
        <w:t>10</w:t>
      </w:r>
      <w:r>
        <w:t xml:space="preserve">(20s), pp.98-104. Available at: </w:t>
      </w:r>
      <w:r>
        <w:fldChar w:fldCharType="begin"/>
      </w:r>
      <w:r>
        <w:instrText xml:space="preserve"> HYPERLINK "https://www.academia.edu/download/121789595/09_Taleh_Veli_Ismail_SCOPUS_new_article_2025.pdf" </w:instrText>
      </w:r>
      <w:r>
        <w:fldChar w:fldCharType="separate"/>
      </w:r>
      <w:r>
        <w:rPr>
          <w:rStyle w:val="10"/>
        </w:rPr>
        <w:t>https://www.academia.edu/download/121789595/09_Taleh_Veli_Ismail_SCOPUS_new_article_2025.pdf</w:t>
      </w:r>
      <w:r>
        <w:rPr>
          <w:rStyle w:val="10"/>
        </w:rPr>
        <w:fldChar w:fldCharType="end"/>
      </w:r>
      <w:r>
        <w:t xml:space="preserve"> (Accessed: 9 May 2026).</w:t>
      </w:r>
    </w:p>
    <w:p w14:paraId="5834F6E8">
      <w:pPr>
        <w:pStyle w:val="3"/>
        <w:spacing w:before="200" w:line="360" w:lineRule="auto"/>
        <w:jc w:val="both"/>
      </w:pPr>
      <w:r>
        <w:t>Khan, A. and Rizwan, M. (2025) ‘Human Resource Analytics: A Data-Driven Approach To Talent Management’, </w:t>
      </w:r>
      <w:r>
        <w:rPr>
          <w:i/>
          <w:iCs/>
        </w:rPr>
        <w:t>Multidisciplinary Research in Computing Information Systems</w:t>
      </w:r>
      <w:r>
        <w:t>, </w:t>
      </w:r>
      <w:r>
        <w:rPr>
          <w:i/>
          <w:iCs/>
        </w:rPr>
        <w:t>5</w:t>
      </w:r>
      <w:r>
        <w:t xml:space="preserve">(8), pp.631-636. Available at: </w:t>
      </w:r>
      <w:r>
        <w:fldChar w:fldCharType="begin"/>
      </w:r>
      <w:r>
        <w:instrText xml:space="preserve"> HYPERLINK "https://mrcis.org/index.php/journal/article/download/128/244" </w:instrText>
      </w:r>
      <w:r>
        <w:fldChar w:fldCharType="separate"/>
      </w:r>
      <w:r>
        <w:rPr>
          <w:rStyle w:val="10"/>
        </w:rPr>
        <w:t>https://mrcis.org/index.php/journal/article/download/128/244</w:t>
      </w:r>
      <w:r>
        <w:rPr>
          <w:rStyle w:val="10"/>
        </w:rPr>
        <w:fldChar w:fldCharType="end"/>
      </w:r>
      <w:r>
        <w:t xml:space="preserve"> (Accessed: 8 May 2026).</w:t>
      </w:r>
    </w:p>
    <w:p w14:paraId="02F10783">
      <w:pPr>
        <w:pStyle w:val="3"/>
        <w:spacing w:before="200" w:line="360" w:lineRule="auto"/>
        <w:jc w:val="both"/>
      </w:pPr>
      <w:r>
        <w:t xml:space="preserve">Leonard., S., Doughty., E., Glasby., M. and Boztas., S. (2025) </w:t>
      </w:r>
      <w:r>
        <w:rPr>
          <w:i/>
          <w:iCs/>
        </w:rPr>
        <w:t>The 115 best big organisations to work for 2025</w:t>
      </w:r>
      <w:r>
        <w:t xml:space="preserve">. Available at: </w:t>
      </w:r>
      <w:r>
        <w:fldChar w:fldCharType="begin"/>
      </w:r>
      <w:r>
        <w:instrText xml:space="preserve"> HYPERLINK "https://www.thetimes.com/best-places-to-work/big-companies/article/best-big-companies-uk-2025-0d9gr9m7n" </w:instrText>
      </w:r>
      <w:r>
        <w:fldChar w:fldCharType="separate"/>
      </w:r>
      <w:r>
        <w:rPr>
          <w:rStyle w:val="10"/>
        </w:rPr>
        <w:t>https://www.thetimes.com/best-places-to-work/big-companies/article/best-big-companies-uk-2025-0d9gr9m7n</w:t>
      </w:r>
      <w:r>
        <w:rPr>
          <w:rStyle w:val="10"/>
        </w:rPr>
        <w:fldChar w:fldCharType="end"/>
      </w:r>
      <w:r>
        <w:t xml:space="preserve"> (Accessed: 6 May 2026).</w:t>
      </w:r>
    </w:p>
    <w:p w14:paraId="73B9EF46">
      <w:pPr>
        <w:pStyle w:val="3"/>
        <w:spacing w:before="200" w:line="360" w:lineRule="auto"/>
        <w:jc w:val="both"/>
      </w:pPr>
      <w:r>
        <w:t>Micheli, G.J.L., Martino, A., Porta, F., Cravello, A., Panaro, M. and Calabrese, A. (2023) ‘Workforce planning in project-driven companies: a high-level guideline’, </w:t>
      </w:r>
      <w:r>
        <w:rPr>
          <w:i/>
          <w:iCs/>
        </w:rPr>
        <w:t>Frontiers in Industrial Engineering</w:t>
      </w:r>
      <w:r>
        <w:t>, </w:t>
      </w:r>
      <w:r>
        <w:rPr>
          <w:i/>
          <w:iCs/>
        </w:rPr>
        <w:t>1</w:t>
      </w:r>
      <w:r>
        <w:t xml:space="preserve">, p.1267244. Available at: </w:t>
      </w:r>
      <w:r>
        <w:fldChar w:fldCharType="begin"/>
      </w:r>
      <w:r>
        <w:instrText xml:space="preserve"> HYPERLINK "https://www.frontiersin.org/journals/industrial-engineering/articles/10.3389/fieng.2023.1267244/full" </w:instrText>
      </w:r>
      <w:r>
        <w:fldChar w:fldCharType="separate"/>
      </w:r>
      <w:r>
        <w:rPr>
          <w:rStyle w:val="10"/>
        </w:rPr>
        <w:t>https://www.frontiersin.org/journals/industrial-engineering/articles/10.3389/fieng.2023.1267244/full</w:t>
      </w:r>
      <w:r>
        <w:rPr>
          <w:rStyle w:val="10"/>
        </w:rPr>
        <w:fldChar w:fldCharType="end"/>
      </w:r>
      <w:r>
        <w:t xml:space="preserve"> (Accessed: 8 May 2026).</w:t>
      </w:r>
    </w:p>
    <w:p w14:paraId="3F1D4399">
      <w:pPr>
        <w:pStyle w:val="3"/>
        <w:spacing w:before="200" w:line="360" w:lineRule="auto"/>
        <w:jc w:val="both"/>
      </w:pPr>
      <w:r>
        <w:t xml:space="preserve">Molloy., S. (2024) </w:t>
      </w:r>
      <w:r>
        <w:rPr>
          <w:i/>
          <w:iCs/>
        </w:rPr>
        <w:t>Gen Z workers ‘non negotiable’ demands for job loyalty and productivity</w:t>
      </w:r>
      <w:r>
        <w:t xml:space="preserve">. Available at: </w:t>
      </w:r>
      <w:r>
        <w:fldChar w:fldCharType="begin"/>
      </w:r>
      <w:r>
        <w:instrText xml:space="preserve"> HYPERLINK "https://nypost.com/2024/05/17/lifestyle/gen-z-workers-non-negotiable-demands-for-job-loyalty-and-productivity/" </w:instrText>
      </w:r>
      <w:r>
        <w:fldChar w:fldCharType="separate"/>
      </w:r>
      <w:r>
        <w:rPr>
          <w:rStyle w:val="10"/>
        </w:rPr>
        <w:t>https://nypost.com/2024/05/17/lifestyle/gen-z-workers-non-negotiable-demands-for-job-loyalty-and-productivity/</w:t>
      </w:r>
      <w:r>
        <w:rPr>
          <w:rStyle w:val="10"/>
        </w:rPr>
        <w:fldChar w:fldCharType="end"/>
      </w:r>
      <w:r>
        <w:t xml:space="preserve"> (Accessed: 7 May 2026).</w:t>
      </w:r>
    </w:p>
    <w:p w14:paraId="60B71607">
      <w:pPr>
        <w:pStyle w:val="3"/>
        <w:spacing w:before="200" w:line="360" w:lineRule="auto"/>
        <w:jc w:val="both"/>
        <w:rPr>
          <w:color w:val="auto"/>
        </w:rPr>
      </w:pPr>
      <w:r>
        <w:rPr>
          <w:color w:val="auto"/>
        </w:rPr>
        <w:t>Okon, R.I.C.H.A.R.D., Odionu, C.S. and Bristol-Alagbariya, B.E.R.N.A.D.E.T.T.E. (2024) ‘Integrating data-driven analytics into human resource management to improve decision-making and organizational effectiveness’, </w:t>
      </w:r>
      <w:r>
        <w:rPr>
          <w:i/>
          <w:iCs/>
          <w:color w:val="auto"/>
        </w:rPr>
        <w:t>Ire Journals</w:t>
      </w:r>
      <w:r>
        <w:rPr>
          <w:color w:val="auto"/>
        </w:rPr>
        <w:t>, </w:t>
      </w:r>
      <w:r>
        <w:rPr>
          <w:i/>
          <w:iCs/>
          <w:color w:val="auto"/>
        </w:rPr>
        <w:t>8</w:t>
      </w:r>
      <w:r>
        <w:rPr>
          <w:color w:val="auto"/>
        </w:rPr>
        <w:t xml:space="preserve">(6), p.574. Available at: </w:t>
      </w:r>
      <w:r>
        <w:rPr>
          <w:color w:val="auto"/>
        </w:rPr>
        <w:fldChar w:fldCharType="begin"/>
      </w:r>
      <w:r>
        <w:rPr>
          <w:color w:val="auto"/>
        </w:rPr>
        <w:instrText xml:space="preserve"> HYPERLINK "https://www.researchgate.net/profile/Chinekwu-Odionu/publication/388221991_Integrating_Data-Driven_Analytics_into_Human_Resource_Management_to_Improve_Decision-Making_and_Organizational_Effectiveness/links/678fcca395e02f182eaaafbf/Integrating-Data-Driven-A" </w:instrText>
      </w:r>
      <w:r>
        <w:rPr>
          <w:color w:val="auto"/>
        </w:rPr>
        <w:fldChar w:fldCharType="separate"/>
      </w:r>
      <w:r>
        <w:rPr>
          <w:rStyle w:val="10"/>
        </w:rPr>
        <w:t>https://www.researchgate.net/profile/Chinekwu-Odionu/publication/388221991_Integrating_Data-Driven_Analytics_into_Human_Resource_Management_to_Improve_Decision-Making_and_Organizational_Effectiveness/links/678fcca395e02f182eaaafbf/Integrating-Data-Driven-A</w:t>
      </w:r>
      <w:r>
        <w:rPr>
          <w:color w:val="auto"/>
        </w:rPr>
        <w:fldChar w:fldCharType="end"/>
      </w:r>
      <w:r>
        <w:rPr>
          <w:color w:val="auto"/>
        </w:rPr>
        <w:t xml:space="preserve"> (Accessed: 16 May 2026).</w:t>
      </w:r>
    </w:p>
    <w:p w14:paraId="6AD4F563">
      <w:pPr>
        <w:pStyle w:val="3"/>
        <w:spacing w:before="200" w:line="360" w:lineRule="auto"/>
        <w:jc w:val="both"/>
        <w:rPr>
          <w:color w:val="auto"/>
        </w:rPr>
      </w:pPr>
      <w:r>
        <w:t xml:space="preserve">Raharijaona, H. (2025) ‘Pass It On’Leadership: Planning and Actions for a Successful Succession’, </w:t>
      </w:r>
      <w:r>
        <w:rPr>
          <w:i/>
          <w:iCs/>
        </w:rPr>
        <w:t>Intentional Transmission of Opportunity for the Next Generation</w:t>
      </w:r>
      <w:r>
        <w:t xml:space="preserve">. Available at: </w:t>
      </w:r>
      <w:r>
        <w:fldChar w:fldCharType="begin"/>
      </w:r>
      <w:r>
        <w:instrText xml:space="preserve"> HYPERLINK "https://edition-efua.acaref.net/wp-content/uploads/sites/6/2025/05/4-Haja-Raharijaona.pdf" </w:instrText>
      </w:r>
      <w:r>
        <w:fldChar w:fldCharType="separate"/>
      </w:r>
      <w:r>
        <w:rPr>
          <w:rStyle w:val="10"/>
        </w:rPr>
        <w:t>https://edition-efua.acaref.net/wp-content/uploads/sites/6/2025/05/4-Haja-Raharijaona.pdf</w:t>
      </w:r>
      <w:r>
        <w:rPr>
          <w:rStyle w:val="10"/>
        </w:rPr>
        <w:fldChar w:fldCharType="end"/>
      </w:r>
      <w:r>
        <w:t xml:space="preserve"> </w:t>
      </w:r>
      <w:r>
        <w:rPr>
          <w:color w:val="auto"/>
        </w:rPr>
        <w:t>(Accessed: 9 May 2026).</w:t>
      </w:r>
    </w:p>
    <w:p w14:paraId="06D6D7EC">
      <w:pPr>
        <w:pStyle w:val="3"/>
        <w:spacing w:before="200" w:line="360" w:lineRule="auto"/>
        <w:jc w:val="both"/>
        <w:rPr>
          <w:color w:val="auto"/>
        </w:rPr>
      </w:pPr>
      <w:r>
        <w:rPr>
          <w:color w:val="auto"/>
        </w:rPr>
        <w:t xml:space="preserve">Rita, P., António, N. and Raminhos, V.S.D.J. (2026) ‘Using employee feedback to build effective employer branding strategies’. Available at: </w:t>
      </w:r>
      <w:r>
        <w:rPr>
          <w:color w:val="auto"/>
          <w:u w:val="none"/>
        </w:rPr>
        <w:fldChar w:fldCharType="begin"/>
      </w:r>
      <w:r>
        <w:rPr>
          <w:color w:val="auto"/>
          <w:u w:val="none"/>
        </w:rPr>
        <w:instrText xml:space="preserve"> HYPERLINK "https://run.unl.pt/bitstreams/ad2d8b7c-66ce-40d5-b4a5-70fc2b91d5b4/download" </w:instrText>
      </w:r>
      <w:r>
        <w:rPr>
          <w:color w:val="auto"/>
          <w:u w:val="none"/>
        </w:rPr>
        <w:fldChar w:fldCharType="separate"/>
      </w:r>
      <w:r>
        <w:rPr>
          <w:rStyle w:val="10"/>
        </w:rPr>
        <w:t>https://run.unl.pt/bitstreams/ad2d8b7c-66ce-40d5-b4a5-70fc2b91d5b4/download</w:t>
      </w:r>
      <w:r>
        <w:rPr>
          <w:color w:val="auto"/>
          <w:u w:val="none"/>
        </w:rPr>
        <w:fldChar w:fldCharType="end"/>
      </w:r>
      <w:r>
        <w:rPr>
          <w:color w:val="auto"/>
        </w:rPr>
        <w:t xml:space="preserve"> (Accessed: 17 May 2026).</w:t>
      </w:r>
    </w:p>
    <w:p w14:paraId="7B261D12">
      <w:pPr>
        <w:pStyle w:val="3"/>
        <w:spacing w:before="200" w:line="360" w:lineRule="auto"/>
        <w:jc w:val="both"/>
      </w:pPr>
      <w:r>
        <w:t>Rožman, M., Tominc, P. and Štrukelj, T. (2023) ‘Competitiveness through development of strategic talent management and agile management ecosystems’, </w:t>
      </w:r>
      <w:r>
        <w:rPr>
          <w:i/>
          <w:iCs/>
        </w:rPr>
        <w:t>Global Journal of Flexible Systems Management</w:t>
      </w:r>
      <w:r>
        <w:t>, </w:t>
      </w:r>
      <w:r>
        <w:rPr>
          <w:i/>
          <w:iCs/>
        </w:rPr>
        <w:t>24</w:t>
      </w:r>
      <w:r>
        <w:t xml:space="preserve">(3), pp.373-393. Available at: </w:t>
      </w:r>
      <w:r>
        <w:fldChar w:fldCharType="begin"/>
      </w:r>
      <w:r>
        <w:instrText xml:space="preserve"> HYPERLINK "https://link.springer.com/content/pdf/10.1007/s40171-023-00344-1.pdf" </w:instrText>
      </w:r>
      <w:r>
        <w:fldChar w:fldCharType="separate"/>
      </w:r>
      <w:r>
        <w:rPr>
          <w:rStyle w:val="10"/>
        </w:rPr>
        <w:t>https://link.springer.com/content/pdf/10.1007/s40171-023-00344-1.pdf</w:t>
      </w:r>
      <w:r>
        <w:rPr>
          <w:rStyle w:val="10"/>
        </w:rPr>
        <w:fldChar w:fldCharType="end"/>
      </w:r>
      <w:r>
        <w:t xml:space="preserve"> (Accessed: 9 May 2026).</w:t>
      </w:r>
    </w:p>
    <w:p w14:paraId="00363F6B">
      <w:pPr>
        <w:pStyle w:val="3"/>
        <w:spacing w:before="200" w:line="360" w:lineRule="auto"/>
        <w:jc w:val="both"/>
      </w:pPr>
      <w:r>
        <w:t xml:space="preserve">Schott., P. (2026) </w:t>
      </w:r>
      <w:r>
        <w:rPr>
          <w:i/>
          <w:iCs/>
        </w:rPr>
        <w:t>Stamford-based Synchrony recognized as No. 1 'Best Company to Work For'</w:t>
      </w:r>
      <w:r>
        <w:t xml:space="preserve">. Available at: </w:t>
      </w:r>
      <w:r>
        <w:fldChar w:fldCharType="begin"/>
      </w:r>
      <w:r>
        <w:instrText xml:space="preserve"> HYPERLINK "https://www.ctinsider.com/business/article/synchrony-stamford-best-companies-fortune-ct-22183276.php" </w:instrText>
      </w:r>
      <w:r>
        <w:fldChar w:fldCharType="separate"/>
      </w:r>
      <w:r>
        <w:rPr>
          <w:rStyle w:val="10"/>
        </w:rPr>
        <w:t>https://www.ctinsider.com/business/article/synchrony-stamford-best-companies-fortune-ct-22183276.php</w:t>
      </w:r>
      <w:r>
        <w:rPr>
          <w:rStyle w:val="10"/>
        </w:rPr>
        <w:fldChar w:fldCharType="end"/>
      </w:r>
      <w:r>
        <w:t xml:space="preserve"> (Accessed: 5 May 2026).</w:t>
      </w:r>
    </w:p>
    <w:p w14:paraId="3C2B935C">
      <w:pPr>
        <w:pStyle w:val="3"/>
        <w:spacing w:before="200" w:line="360" w:lineRule="auto"/>
        <w:jc w:val="both"/>
      </w:pPr>
      <w:r>
        <w:t xml:space="preserve">SHRM, (2024) 2024 </w:t>
      </w:r>
      <w:r>
        <w:rPr>
          <w:i/>
          <w:iCs/>
        </w:rPr>
        <w:t>State of the Workforce Engagement Trends: What Every Leader from the Board Room to the Front Line Must Know</w:t>
      </w:r>
      <w:r>
        <w:t xml:space="preserve">. </w:t>
      </w:r>
      <w:r>
        <w:fldChar w:fldCharType="begin"/>
      </w:r>
      <w:r>
        <w:instrText xml:space="preserve"> HYPERLINK "https://www.shrm.org/in/topics-tools/tools/white-papers/2024-state-of-the-workforce-engagement-trends" </w:instrText>
      </w:r>
      <w:r>
        <w:fldChar w:fldCharType="separate"/>
      </w:r>
      <w:r>
        <w:rPr>
          <w:rStyle w:val="10"/>
        </w:rPr>
        <w:t>https://www.shrm.org/in/topics-tools/tools/white-papers/2024-state-of-the-workforce-engagement-trends</w:t>
      </w:r>
      <w:r>
        <w:rPr>
          <w:rStyle w:val="10"/>
        </w:rPr>
        <w:fldChar w:fldCharType="end"/>
      </w:r>
      <w:r>
        <w:t xml:space="preserve"> (Accessed: 9 May 2026).</w:t>
      </w:r>
    </w:p>
    <w:p w14:paraId="6EC0FFB2">
      <w:pPr>
        <w:pStyle w:val="3"/>
        <w:spacing w:before="200" w:line="360" w:lineRule="auto"/>
        <w:jc w:val="both"/>
      </w:pPr>
      <w:r>
        <w:t>Sony, M.A.A.M., Amin, M.B., Ashraf, A., Islam, K.A., Debnath, N.C. and Debnath, G.C. (2025) ‘Bias in AI-driven HRM systems: Investigating discrimination risks embedded in AI recruitment tools and HR analytics’, </w:t>
      </w:r>
      <w:r>
        <w:rPr>
          <w:i/>
          <w:iCs/>
        </w:rPr>
        <w:t>Social Sciences &amp; Humanities Open</w:t>
      </w:r>
      <w:r>
        <w:t>, </w:t>
      </w:r>
      <w:r>
        <w:rPr>
          <w:i/>
          <w:iCs/>
        </w:rPr>
        <w:t>12</w:t>
      </w:r>
      <w:r>
        <w:t xml:space="preserve">, p.102082. Available at:  </w:t>
      </w:r>
      <w:r>
        <w:fldChar w:fldCharType="begin"/>
      </w:r>
      <w:r>
        <w:instrText xml:space="preserve"> HYPERLINK "https://www.sciencedirect.com/science/article/pii/S2590291125008113" </w:instrText>
      </w:r>
      <w:r>
        <w:fldChar w:fldCharType="separate"/>
      </w:r>
      <w:r>
        <w:rPr>
          <w:rStyle w:val="10"/>
        </w:rPr>
        <w:t>https://www.sciencedirect.com/science/article/pii/S2590291125008113</w:t>
      </w:r>
      <w:r>
        <w:rPr>
          <w:rStyle w:val="10"/>
        </w:rPr>
        <w:fldChar w:fldCharType="end"/>
      </w:r>
      <w:r>
        <w:t xml:space="preserve"> (Accessed: 9 May 2026).</w:t>
      </w:r>
    </w:p>
    <w:p w14:paraId="7D1E3EA1">
      <w:pPr>
        <w:pStyle w:val="3"/>
        <w:spacing w:before="200" w:line="360" w:lineRule="auto"/>
        <w:jc w:val="both"/>
      </w:pPr>
      <w:r>
        <w:t>Sorn, M.K., Fienena, A.R., Ali, Y., Rafay, M. and Fu, G. (2023) ‘The effectiveness of compensation in maintaining employee retention’, </w:t>
      </w:r>
      <w:r>
        <w:rPr>
          <w:i/>
          <w:iCs/>
        </w:rPr>
        <w:t>Open Access Library Journal</w:t>
      </w:r>
      <w:r>
        <w:t>, </w:t>
      </w:r>
      <w:r>
        <w:rPr>
          <w:i/>
          <w:iCs/>
        </w:rPr>
        <w:t>10</w:t>
      </w:r>
      <w:r>
        <w:t xml:space="preserve">(7), pp.1-14. Available at: </w:t>
      </w:r>
      <w:r>
        <w:fldChar w:fldCharType="begin"/>
      </w:r>
      <w:r>
        <w:instrText xml:space="preserve"> HYPERLINK "https://www.researchgate.net/profile/Adoree-Fienena/publication/372257282_The_Effectiveness_of_Compensation_in_Maintaining_Employee_Retention/links/64b35a798de7ed28ba9fa865/The-Effectiveness-of-Compensation-in-Maintaining-Employee-Retention.pdf" </w:instrText>
      </w:r>
      <w:r>
        <w:fldChar w:fldCharType="separate"/>
      </w:r>
      <w:r>
        <w:rPr>
          <w:rStyle w:val="10"/>
        </w:rPr>
        <w:t>https://www.researchgate.net/profile/Adoree-Fienena/publication/372257282_The_Effectiveness_of_Compensation_in_Maintaining_Employee_Retention/links/64b35a798de7ed28ba9fa865/The-Effectiveness-of-Compensation-in-Maintaining-Employee-Retention.pdf</w:t>
      </w:r>
      <w:r>
        <w:rPr>
          <w:rStyle w:val="10"/>
        </w:rPr>
        <w:fldChar w:fldCharType="end"/>
      </w:r>
      <w:r>
        <w:t xml:space="preserve"> (Accessed: 11 May 2026).</w:t>
      </w:r>
    </w:p>
    <w:p w14:paraId="0C55A725">
      <w:pPr>
        <w:pStyle w:val="3"/>
        <w:spacing w:before="200" w:line="360" w:lineRule="auto"/>
        <w:jc w:val="both"/>
      </w:pPr>
      <w:r>
        <w:t>Urme, U.N. (2023) ‘The impact of talent management strategies on employee retention’, </w:t>
      </w:r>
      <w:r>
        <w:rPr>
          <w:i/>
          <w:iCs/>
        </w:rPr>
        <w:t>International Journal of Science and Business</w:t>
      </w:r>
      <w:r>
        <w:t>, </w:t>
      </w:r>
      <w:r>
        <w:rPr>
          <w:i/>
          <w:iCs/>
        </w:rPr>
        <w:t>28</w:t>
      </w:r>
      <w:r>
        <w:t xml:space="preserve">(1), pp.127-146. Available at: </w:t>
      </w:r>
      <w:r>
        <w:fldChar w:fldCharType="begin"/>
      </w:r>
      <w:r>
        <w:instrText xml:space="preserve"> HYPERLINK "https://www.researchgate.net/profile/Umma-Urme/publication/374147805_The_Impact_of_Talent_Management_Strategies_on_Employee_Retention/links/65102e7a61f18040c220d870/The-Impact-of-Talent-Management-Strategies-on-Employee-Retention.pdf" </w:instrText>
      </w:r>
      <w:r>
        <w:fldChar w:fldCharType="separate"/>
      </w:r>
      <w:r>
        <w:rPr>
          <w:rStyle w:val="10"/>
        </w:rPr>
        <w:t>https://www.researchgate.net/profile/Umma-Urme/publication/374147805_The_Impact_of_Talent_Management_Strategies_on_Employee_Retention/links/65102e7a61f18040c220d870/The-Impact-of-Talent-Management-Strategies-on-Employee-Retention.pdf</w:t>
      </w:r>
      <w:r>
        <w:rPr>
          <w:rStyle w:val="10"/>
        </w:rPr>
        <w:fldChar w:fldCharType="end"/>
      </w:r>
      <w:r>
        <w:t xml:space="preserve"> (Accessed: 10 May 2026).</w:t>
      </w:r>
    </w:p>
    <w:p w14:paraId="4CF9E545">
      <w:pPr>
        <w:pStyle w:val="3"/>
        <w:spacing w:before="200" w:line="360" w:lineRule="auto"/>
        <w:jc w:val="both"/>
        <w:rPr>
          <w:color w:val="auto"/>
        </w:rPr>
      </w:pPr>
      <w:r>
        <w:rPr>
          <w:color w:val="auto"/>
        </w:rPr>
        <w:t>Urme, U.N. (2023) ‘The impact of talent management strategies on employee retention’, </w:t>
      </w:r>
      <w:r>
        <w:rPr>
          <w:i/>
          <w:iCs/>
          <w:color w:val="auto"/>
        </w:rPr>
        <w:t>International Journal of Science and Business</w:t>
      </w:r>
      <w:r>
        <w:rPr>
          <w:color w:val="auto"/>
        </w:rPr>
        <w:t>, </w:t>
      </w:r>
      <w:r>
        <w:rPr>
          <w:i/>
          <w:iCs/>
          <w:color w:val="auto"/>
        </w:rPr>
        <w:t>28</w:t>
      </w:r>
      <w:r>
        <w:rPr>
          <w:color w:val="auto"/>
        </w:rPr>
        <w:t xml:space="preserve">(1), pp.127-146. Available at: </w:t>
      </w:r>
      <w:r>
        <w:rPr>
          <w:color w:val="auto"/>
          <w:u w:val="none"/>
        </w:rPr>
        <w:fldChar w:fldCharType="begin"/>
      </w:r>
      <w:r>
        <w:rPr>
          <w:color w:val="auto"/>
          <w:u w:val="none"/>
        </w:rPr>
        <w:instrText xml:space="preserve"> HYPERLINK "https://www.researchgate.net/profile/Umma-Urme/publication/374147805_The_Impact_of_Talent_Management_Strategies_on_Employee_Retention/links/65102e7a61f18040c220d870/The-Impact-of-Talent-Management-Strategies-on-Employee-Retention.pdf" </w:instrText>
      </w:r>
      <w:r>
        <w:rPr>
          <w:color w:val="auto"/>
          <w:u w:val="none"/>
        </w:rPr>
        <w:fldChar w:fldCharType="separate"/>
      </w:r>
      <w:r>
        <w:rPr>
          <w:rStyle w:val="10"/>
        </w:rPr>
        <w:t>https://www.researchgate.net/profile/Umma-Urme/publication/374147805_The_Impact_of_Talent_Management_Strategies_on_Employee_Retention/links/65102e7a61f18040c220d870/The-Impact-of-Talent-Management-Strategies-on-Employee-Retention.pdf</w:t>
      </w:r>
      <w:r>
        <w:rPr>
          <w:color w:val="auto"/>
          <w:u w:val="none"/>
        </w:rPr>
        <w:fldChar w:fldCharType="end"/>
      </w:r>
      <w:r>
        <w:rPr>
          <w:color w:val="auto"/>
        </w:rPr>
        <w:t xml:space="preserve"> (Accessed: 18 May 2026).</w:t>
      </w:r>
    </w:p>
    <w:p w14:paraId="29DD7610">
      <w:pPr>
        <w:pStyle w:val="3"/>
        <w:spacing w:before="200" w:line="360" w:lineRule="auto"/>
        <w:jc w:val="both"/>
      </w:pPr>
      <w:r>
        <w:t>Van Heerden, R. and Naicker, V. (2025) ‘Revisiting Maslow’s hierarchy: the recognition and acknowledgment of greatness in others’, </w:t>
      </w:r>
      <w:r>
        <w:rPr>
          <w:i/>
          <w:iCs/>
        </w:rPr>
        <w:t>EUREKA: Social and Humanities</w:t>
      </w:r>
      <w:r>
        <w:t xml:space="preserve">, (3), pp.11-17. Available at: </w:t>
      </w:r>
      <w:r>
        <w:fldChar w:fldCharType="begin"/>
      </w:r>
      <w:r>
        <w:instrText xml:space="preserve"> HYPERLINK "https://www.journal.eu-jr.eu/social/article/download/3676/2697" </w:instrText>
      </w:r>
      <w:r>
        <w:fldChar w:fldCharType="separate"/>
      </w:r>
      <w:r>
        <w:rPr>
          <w:rStyle w:val="10"/>
        </w:rPr>
        <w:t>https://www.journal.eu-jr.eu/social/article/download/3676/2697</w:t>
      </w:r>
      <w:r>
        <w:rPr>
          <w:rStyle w:val="10"/>
        </w:rPr>
        <w:fldChar w:fldCharType="end"/>
      </w:r>
      <w:r>
        <w:t xml:space="preserve"> (Accessed: 11 May 2026).</w:t>
      </w:r>
    </w:p>
    <w:p w14:paraId="3007102A">
      <w:pPr>
        <w:pStyle w:val="3"/>
        <w:spacing w:before="200" w:line="360" w:lineRule="auto"/>
        <w:jc w:val="both"/>
      </w:pPr>
      <w:r>
        <w:t>Vereb, D., Krajcsák, Z. and Kozák, A. (2025) ‘The importance of positive employee experience and its development through using predictive analytics’, </w:t>
      </w:r>
      <w:r>
        <w:rPr>
          <w:i/>
          <w:iCs/>
        </w:rPr>
        <w:t>Journal of Modelling in Management</w:t>
      </w:r>
      <w:r>
        <w:t>, </w:t>
      </w:r>
      <w:r>
        <w:rPr>
          <w:i/>
          <w:iCs/>
        </w:rPr>
        <w:t>20</w:t>
      </w:r>
      <w:r>
        <w:t xml:space="preserve">(1), pp.51-69. Available at: </w:t>
      </w:r>
      <w:r>
        <w:fldChar w:fldCharType="begin"/>
      </w:r>
      <w:r>
        <w:instrText xml:space="preserve"> HYPERLINK "https://www.emerald.com/jm2/article-pdf/20/1/51/9657881/jm2-02-2024-0057.pdf" </w:instrText>
      </w:r>
      <w:r>
        <w:fldChar w:fldCharType="separate"/>
      </w:r>
      <w:r>
        <w:rPr>
          <w:rStyle w:val="10"/>
        </w:rPr>
        <w:t>https://www.emerald.com/jm2/article-pdf/20/1/51/9657881/jm2-02-2024-0057.pdf</w:t>
      </w:r>
      <w:r>
        <w:rPr>
          <w:rStyle w:val="10"/>
        </w:rPr>
        <w:fldChar w:fldCharType="end"/>
      </w:r>
      <w:r>
        <w:t xml:space="preserve"> (Accessed: 9 May 2026).</w:t>
      </w:r>
    </w:p>
    <w:p w14:paraId="1A03F89F">
      <w:pPr>
        <w:pStyle w:val="3"/>
        <w:spacing w:before="200" w:line="360" w:lineRule="auto"/>
        <w:jc w:val="both"/>
      </w:pPr>
      <w:r>
        <w:t>Wanner, R (2020) Earned Value Management: The Most Important Methods and Tools for the Effective Project Control.</w:t>
      </w:r>
    </w:p>
    <w:p w14:paraId="2565ABAD">
      <w:pPr>
        <w:pStyle w:val="3"/>
        <w:spacing w:before="200" w:line="360" w:lineRule="auto"/>
        <w:jc w:val="both"/>
      </w:pPr>
      <w:r>
        <w:t xml:space="preserve">Whale, (2026) </w:t>
      </w:r>
      <w:r>
        <w:rPr>
          <w:i/>
          <w:iCs/>
        </w:rPr>
        <w:t>Employee training at it's best with Hilton University</w:t>
      </w:r>
      <w:r>
        <w:t xml:space="preserve">. Available at: </w:t>
      </w:r>
      <w:r>
        <w:fldChar w:fldCharType="begin"/>
      </w:r>
      <w:r>
        <w:instrText xml:space="preserve"> HYPERLINK "https://usewhale.io/blog/hilton-secret-to-employee-onboarding/" </w:instrText>
      </w:r>
      <w:r>
        <w:fldChar w:fldCharType="separate"/>
      </w:r>
      <w:r>
        <w:rPr>
          <w:rStyle w:val="10"/>
        </w:rPr>
        <w:t>https://usewhale.io/blog/hilton-secret-to-employee-onboarding/</w:t>
      </w:r>
      <w:r>
        <w:rPr>
          <w:rStyle w:val="10"/>
        </w:rPr>
        <w:fldChar w:fldCharType="end"/>
      </w:r>
      <w:r>
        <w:t xml:space="preserve"> (Accessed: 7 May 2026).</w:t>
      </w:r>
      <w:bookmarkStart w:id="10" w:name="_GoBack"/>
      <w:bookmarkEnd w:id="10"/>
    </w:p>
    <w:p w14:paraId="4877E35D">
      <w:pPr>
        <w:pStyle w:val="3"/>
        <w:spacing w:before="200" w:line="360" w:lineRule="auto"/>
        <w:jc w:val="both"/>
      </w:pPr>
      <w:r>
        <w:t>Yanamala, K.K.R., (2024). Strategic implications of AI integration in workforce planning and talent forecasting. </w:t>
      </w:r>
      <w:r>
        <w:rPr>
          <w:i/>
          <w:iCs/>
        </w:rPr>
        <w:t>Journal of Advanced Computing Systems</w:t>
      </w:r>
      <w:r>
        <w:t>, </w:t>
      </w:r>
      <w:r>
        <w:rPr>
          <w:i/>
          <w:iCs/>
        </w:rPr>
        <w:t>4</w:t>
      </w:r>
      <w:r>
        <w:t xml:space="preserve">(1), pp.1-9. </w:t>
      </w:r>
      <w:r>
        <w:fldChar w:fldCharType="begin"/>
      </w:r>
      <w:r>
        <w:instrText xml:space="preserve"> HYPERLINK "https://scipublication.com/index.php/JACS/article/download/28/17" </w:instrText>
      </w:r>
      <w:r>
        <w:fldChar w:fldCharType="separate"/>
      </w:r>
      <w:r>
        <w:rPr>
          <w:rStyle w:val="10"/>
        </w:rPr>
        <w:t>https://scipublication.com/index.php/JACS/article/download/28/17</w:t>
      </w:r>
      <w:r>
        <w:rPr>
          <w:rStyle w:val="10"/>
        </w:rPr>
        <w:fldChar w:fldCharType="end"/>
      </w:r>
      <w:r>
        <w:t xml:space="preserve"> (Accessed: 9 May 2026).</w:t>
      </w:r>
    </w:p>
    <w:p w14:paraId="3A5A469E">
      <w:pPr>
        <w:pStyle w:val="3"/>
        <w:spacing w:before="200" w:line="360" w:lineRule="auto"/>
        <w:jc w:val="both"/>
      </w:pPr>
      <w:r>
        <w:t>Yusuf, S.O., Abubakar, J.E., Durodola, R.L., Ocran, G., Paul-Adeleye, A.H. and Yusuf, P.O. (2024) ‘Impact of AI on continuous learning and skill development in the workplace: A comparative study with traditional methods’, </w:t>
      </w:r>
      <w:r>
        <w:rPr>
          <w:i/>
          <w:iCs/>
        </w:rPr>
        <w:t>World Journal of Advanced Research and Reviews</w:t>
      </w:r>
      <w:r>
        <w:t>, </w:t>
      </w:r>
      <w:r>
        <w:rPr>
          <w:i/>
          <w:iCs/>
        </w:rPr>
        <w:t>23</w:t>
      </w:r>
      <w:r>
        <w:t xml:space="preserve">(2), pp.1129-1140. Available at:  </w:t>
      </w:r>
      <w:r>
        <w:fldChar w:fldCharType="begin"/>
      </w:r>
      <w:r>
        <w:instrText xml:space="preserve"> HYPERLINK "https://www.researchgate.net/profile/Samuel-Yusuf-3/publication/383872685_Impact_of_AI_on_continuous_learning_and_skill_development_in_the_workplace_A_comparative_study_with_traditional_methods/links/66df057cbd20173667c410e8/Impact-of-AI-on-continuous-learning-and-skill-development-in-the-workplace-A-comparative-study-with-traditional-methods.pdf" </w:instrText>
      </w:r>
      <w:r>
        <w:fldChar w:fldCharType="separate"/>
      </w:r>
      <w:r>
        <w:rPr>
          <w:rStyle w:val="10"/>
        </w:rPr>
        <w:t>https://www.researchgate.net/profile/Samuel-Yusuf-3/publication/383872685_Impact_of_AI_on_continuous_learning_and_skill_development_in_the_workplace_A_comparative_study_with_traditional_methods/links/66df057cbd20173667c410e8/Impact-of-AI-on-continuous-learning-and-skill-development-in-the-workplace-A-comparative-study-with-traditional-methods.pdf</w:t>
      </w:r>
      <w:r>
        <w:rPr>
          <w:rStyle w:val="10"/>
        </w:rPr>
        <w:fldChar w:fldCharType="end"/>
      </w:r>
      <w:r>
        <w:t xml:space="preserve"> (Accessed: 11 May 2026).</w:t>
      </w:r>
    </w:p>
    <w:p w14:paraId="7193C67A">
      <w:pPr>
        <w:pStyle w:val="3"/>
        <w:spacing w:before="200" w:line="360" w:lineRule="auto"/>
        <w:jc w:val="both"/>
      </w:pPr>
    </w:p>
    <w:p w14:paraId="4A2AD9CF">
      <w:pPr>
        <w:pStyle w:val="3"/>
        <w:spacing w:before="200" w:beforeAutospacing="0" w:after="200" w:afterAutospacing="0" w:line="360" w:lineRule="auto"/>
        <w:jc w:val="both"/>
      </w:pPr>
    </w:p>
    <w:p w14:paraId="6F013886">
      <w:pPr>
        <w:spacing w:line="360" w:lineRule="auto"/>
      </w:pPr>
    </w:p>
    <w:sectPr>
      <w:footerReference r:id="rId5" w:type="default"/>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Segoe UI Symbol">
    <w:panose1 w:val="020B0502040204020203"/>
    <w:charset w:val="00"/>
    <w:family w:val="swiss"/>
    <w:pitch w:val="default"/>
    <w:sig w:usb0="800001E3" w:usb1="1200FFEF" w:usb2="00040000" w:usb3="04000000" w:csb0="00000001" w:csb1="40000000"/>
  </w:font>
  <w:font w:name="Segoe UI">
    <w:panose1 w:val="020B0502040204020203"/>
    <w:charset w:val="00"/>
    <w:family w:val="swiss"/>
    <w:pitch w:val="default"/>
    <w:sig w:usb0="E4002EFF" w:usb1="C000E47F" w:usb2="00000009" w:usb3="00000000" w:csb0="200001FF" w:csb1="00000000"/>
  </w:font>
  <w:font w:name="MS Gothic">
    <w:panose1 w:val="020B0609070205080204"/>
    <w:charset w:val="80"/>
    <w:family w:val="modern"/>
    <w:pitch w:val="default"/>
    <w:sig w:usb0="E00002FF" w:usb1="6AC7FDFB" w:usb2="08000012" w:usb3="00000000" w:csb0="4002009F" w:csb1="DFD70000"/>
  </w:font>
  <w:font w:name="Arial Unicode MS">
    <w:panose1 w:val="020B0604020202020204"/>
    <w:charset w:val="86"/>
    <w:family w:val="auto"/>
    <w:pitch w:val="default"/>
    <w:sig w:usb0="FFFFFFFF" w:usb1="E9FFFFFF" w:usb2="0000003F" w:usb3="00000000" w:csb0="603F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sz w:val="20"/>
        <w:szCs w:val="20"/>
      </w:rPr>
      <w:id w:val="2060361000"/>
      <w:docPartObj>
        <w:docPartGallery w:val="AutoText"/>
      </w:docPartObj>
    </w:sdtPr>
    <w:sdtEndPr>
      <w:rPr>
        <w:rFonts w:ascii="Times New Roman" w:hAnsi="Times New Roman" w:cs="Times New Roman"/>
        <w:sz w:val="20"/>
        <w:szCs w:val="20"/>
      </w:rPr>
    </w:sdtEndPr>
    <w:sdtContent>
      <w:sdt>
        <w:sdtPr>
          <w:rPr>
            <w:rFonts w:ascii="Times New Roman" w:hAnsi="Times New Roman" w:cs="Times New Roman"/>
            <w:sz w:val="20"/>
            <w:szCs w:val="20"/>
          </w:rPr>
          <w:id w:val="1728636285"/>
          <w:docPartObj>
            <w:docPartGallery w:val="AutoText"/>
          </w:docPartObj>
        </w:sdtPr>
        <w:sdtEndPr>
          <w:rPr>
            <w:rFonts w:ascii="Times New Roman" w:hAnsi="Times New Roman" w:cs="Times New Roman"/>
            <w:sz w:val="20"/>
            <w:szCs w:val="20"/>
          </w:rPr>
        </w:sdtEndPr>
        <w:sdtContent>
          <w:p w14:paraId="053823BC">
            <w:pPr>
              <w:pStyle w:val="8"/>
              <w:jc w:val="center"/>
              <w:rPr>
                <w:rFonts w:ascii="Times New Roman" w:hAnsi="Times New Roman" w:cs="Times New Roman"/>
                <w:sz w:val="20"/>
                <w:szCs w:val="20"/>
              </w:rPr>
            </w:pPr>
            <w:r>
              <w:rPr>
                <w:rFonts w:ascii="Times New Roman" w:hAnsi="Times New Roman" w:cs="Times New Roman"/>
                <w:sz w:val="20"/>
                <w:szCs w:val="20"/>
              </w:rPr>
              <w:t xml:space="preserve">Page </w:t>
            </w:r>
            <w:r>
              <w:rPr>
                <w:rFonts w:ascii="Times New Roman" w:hAnsi="Times New Roman" w:cs="Times New Roman"/>
                <w:b/>
                <w:bCs/>
                <w:sz w:val="20"/>
                <w:szCs w:val="20"/>
              </w:rPr>
              <w:fldChar w:fldCharType="begin"/>
            </w:r>
            <w:r>
              <w:rPr>
                <w:rFonts w:ascii="Times New Roman" w:hAnsi="Times New Roman" w:cs="Times New Roman"/>
                <w:b/>
                <w:bCs/>
                <w:sz w:val="20"/>
                <w:szCs w:val="20"/>
              </w:rPr>
              <w:instrText xml:space="preserve"> PAGE </w:instrText>
            </w:r>
            <w:r>
              <w:rPr>
                <w:rFonts w:ascii="Times New Roman" w:hAnsi="Times New Roman" w:cs="Times New Roman"/>
                <w:b/>
                <w:bCs/>
                <w:sz w:val="20"/>
                <w:szCs w:val="20"/>
              </w:rPr>
              <w:fldChar w:fldCharType="separate"/>
            </w:r>
            <w:r>
              <w:rPr>
                <w:rFonts w:ascii="Times New Roman" w:hAnsi="Times New Roman" w:cs="Times New Roman"/>
                <w:b/>
                <w:bCs/>
                <w:sz w:val="20"/>
                <w:szCs w:val="20"/>
              </w:rPr>
              <w:t>2</w:t>
            </w:r>
            <w:r>
              <w:rPr>
                <w:rFonts w:ascii="Times New Roman" w:hAnsi="Times New Roman" w:cs="Times New Roman"/>
                <w:b/>
                <w:bCs/>
                <w:sz w:val="20"/>
                <w:szCs w:val="20"/>
              </w:rPr>
              <w:fldChar w:fldCharType="end"/>
            </w:r>
            <w:r>
              <w:rPr>
                <w:rFonts w:ascii="Times New Roman" w:hAnsi="Times New Roman" w:cs="Times New Roman"/>
                <w:sz w:val="20"/>
                <w:szCs w:val="20"/>
              </w:rPr>
              <w:t xml:space="preserve"> of </w:t>
            </w:r>
            <w:r>
              <w:rPr>
                <w:rFonts w:ascii="Times New Roman" w:hAnsi="Times New Roman" w:cs="Times New Roman"/>
                <w:b/>
                <w:bCs/>
                <w:sz w:val="20"/>
                <w:szCs w:val="20"/>
              </w:rPr>
              <w:fldChar w:fldCharType="begin"/>
            </w:r>
            <w:r>
              <w:rPr>
                <w:rFonts w:ascii="Times New Roman" w:hAnsi="Times New Roman" w:cs="Times New Roman"/>
                <w:b/>
                <w:bCs/>
                <w:sz w:val="20"/>
                <w:szCs w:val="20"/>
              </w:rPr>
              <w:instrText xml:space="preserve"> NUMPAGES  </w:instrText>
            </w:r>
            <w:r>
              <w:rPr>
                <w:rFonts w:ascii="Times New Roman" w:hAnsi="Times New Roman" w:cs="Times New Roman"/>
                <w:b/>
                <w:bCs/>
                <w:sz w:val="20"/>
                <w:szCs w:val="20"/>
              </w:rPr>
              <w:fldChar w:fldCharType="separate"/>
            </w:r>
            <w:r>
              <w:rPr>
                <w:rFonts w:ascii="Times New Roman" w:hAnsi="Times New Roman" w:cs="Times New Roman"/>
                <w:b/>
                <w:bCs/>
                <w:sz w:val="20"/>
                <w:szCs w:val="20"/>
              </w:rPr>
              <w:t>2</w:t>
            </w:r>
            <w:r>
              <w:rPr>
                <w:rFonts w:ascii="Times New Roman" w:hAnsi="Times New Roman" w:cs="Times New Roman"/>
                <w:b/>
                <w:bCs/>
                <w:sz w:val="20"/>
                <w:szCs w:val="20"/>
              </w:rPr>
              <w:fldChar w:fldCharType="end"/>
            </w:r>
          </w:p>
        </w:sdtContent>
      </w:sdt>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3263"/>
    <w:rsid w:val="00001261"/>
    <w:rsid w:val="001F126E"/>
    <w:rsid w:val="0028520A"/>
    <w:rsid w:val="002B4301"/>
    <w:rsid w:val="002C2248"/>
    <w:rsid w:val="003531DF"/>
    <w:rsid w:val="003B257C"/>
    <w:rsid w:val="003D3A35"/>
    <w:rsid w:val="00412190"/>
    <w:rsid w:val="004C646A"/>
    <w:rsid w:val="00532EC4"/>
    <w:rsid w:val="005545DD"/>
    <w:rsid w:val="006C0A8E"/>
    <w:rsid w:val="00732C68"/>
    <w:rsid w:val="007E3303"/>
    <w:rsid w:val="00816892"/>
    <w:rsid w:val="00843263"/>
    <w:rsid w:val="008845AA"/>
    <w:rsid w:val="009950BA"/>
    <w:rsid w:val="009C2D5F"/>
    <w:rsid w:val="00AC4222"/>
    <w:rsid w:val="00AE54F5"/>
    <w:rsid w:val="00B37FAB"/>
    <w:rsid w:val="00BD0060"/>
    <w:rsid w:val="00BD75EE"/>
    <w:rsid w:val="00C556EF"/>
    <w:rsid w:val="00CB7581"/>
    <w:rsid w:val="00D825C7"/>
    <w:rsid w:val="00E226CA"/>
    <w:rsid w:val="00E35C32"/>
    <w:rsid w:val="00E90830"/>
    <w:rsid w:val="00FC03EC"/>
    <w:rsid w:val="3A70625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IN" w:eastAsia="en-US" w:bidi="ar-SA"/>
    </w:rPr>
  </w:style>
  <w:style w:type="paragraph" w:styleId="2">
    <w:name w:val="heading 1"/>
    <w:basedOn w:val="3"/>
    <w:next w:val="1"/>
    <w:link w:val="16"/>
    <w:qFormat/>
    <w:uiPriority w:val="9"/>
    <w:pPr>
      <w:spacing w:before="200" w:beforeAutospacing="0" w:after="200" w:afterAutospacing="0" w:line="360" w:lineRule="auto"/>
      <w:jc w:val="both"/>
      <w:outlineLvl w:val="0"/>
    </w:pPr>
    <w:rPr>
      <w:b/>
      <w:bCs/>
    </w:rPr>
  </w:style>
  <w:style w:type="paragraph" w:styleId="4">
    <w:name w:val="heading 2"/>
    <w:basedOn w:val="3"/>
    <w:next w:val="1"/>
    <w:link w:val="17"/>
    <w:unhideWhenUsed/>
    <w:qFormat/>
    <w:uiPriority w:val="9"/>
    <w:pPr>
      <w:spacing w:before="200" w:beforeAutospacing="0" w:after="200" w:afterAutospacing="0" w:line="360" w:lineRule="auto"/>
      <w:jc w:val="both"/>
      <w:outlineLvl w:val="1"/>
    </w:pPr>
    <w:rPr>
      <w:b/>
      <w:bCs/>
      <w:i/>
      <w:iCs/>
      <w:color w:val="000000"/>
    </w:rPr>
  </w:style>
  <w:style w:type="paragraph" w:styleId="5">
    <w:name w:val="heading 3"/>
    <w:basedOn w:val="1"/>
    <w:link w:val="13"/>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lang w:eastAsia="en-IN"/>
    </w:rPr>
  </w:style>
  <w:style w:type="character" w:default="1" w:styleId="6">
    <w:name w:val="Default Paragraph Font"/>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3">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eastAsia="en-IN"/>
    </w:rPr>
  </w:style>
  <w:style w:type="paragraph" w:styleId="8">
    <w:name w:val="footer"/>
    <w:basedOn w:val="1"/>
    <w:link w:val="20"/>
    <w:unhideWhenUsed/>
    <w:uiPriority w:val="99"/>
    <w:pPr>
      <w:tabs>
        <w:tab w:val="center" w:pos="4513"/>
        <w:tab w:val="right" w:pos="9026"/>
      </w:tabs>
      <w:spacing w:after="0" w:line="240" w:lineRule="auto"/>
    </w:pPr>
  </w:style>
  <w:style w:type="paragraph" w:styleId="9">
    <w:name w:val="header"/>
    <w:basedOn w:val="1"/>
    <w:link w:val="19"/>
    <w:unhideWhenUsed/>
    <w:uiPriority w:val="99"/>
    <w:pPr>
      <w:tabs>
        <w:tab w:val="center" w:pos="4513"/>
        <w:tab w:val="right" w:pos="9026"/>
      </w:tabs>
      <w:spacing w:after="0" w:line="240" w:lineRule="auto"/>
    </w:pPr>
  </w:style>
  <w:style w:type="character" w:styleId="10">
    <w:name w:val="Hyperlink"/>
    <w:basedOn w:val="6"/>
    <w:unhideWhenUsed/>
    <w:uiPriority w:val="99"/>
    <w:rPr>
      <w:color w:val="0000FF"/>
      <w:u w:val="single"/>
    </w:rPr>
  </w:style>
  <w:style w:type="paragraph" w:styleId="11">
    <w:name w:val="toc 1"/>
    <w:basedOn w:val="1"/>
    <w:next w:val="1"/>
    <w:autoRedefine/>
    <w:unhideWhenUsed/>
    <w:uiPriority w:val="39"/>
    <w:pPr>
      <w:spacing w:after="100"/>
    </w:pPr>
  </w:style>
  <w:style w:type="paragraph" w:styleId="12">
    <w:name w:val="toc 2"/>
    <w:basedOn w:val="1"/>
    <w:next w:val="1"/>
    <w:autoRedefine/>
    <w:unhideWhenUsed/>
    <w:uiPriority w:val="39"/>
    <w:pPr>
      <w:spacing w:after="100"/>
      <w:ind w:left="220"/>
    </w:pPr>
  </w:style>
  <w:style w:type="character" w:customStyle="1" w:styleId="13">
    <w:name w:val="Heading 3 Char"/>
    <w:basedOn w:val="6"/>
    <w:link w:val="5"/>
    <w:uiPriority w:val="9"/>
    <w:rPr>
      <w:rFonts w:ascii="Times New Roman" w:hAnsi="Times New Roman" w:eastAsia="Times New Roman" w:cs="Times New Roman"/>
      <w:b/>
      <w:bCs/>
      <w:sz w:val="27"/>
      <w:szCs w:val="27"/>
      <w:lang w:eastAsia="en-IN"/>
    </w:rPr>
  </w:style>
  <w:style w:type="character" w:customStyle="1" w:styleId="14">
    <w:name w:val="whitespace-normal"/>
    <w:basedOn w:val="6"/>
    <w:uiPriority w:val="0"/>
  </w:style>
  <w:style w:type="character" w:customStyle="1" w:styleId="15">
    <w:name w:val="Unresolved Mention"/>
    <w:basedOn w:val="6"/>
    <w:semiHidden/>
    <w:unhideWhenUsed/>
    <w:uiPriority w:val="99"/>
    <w:rPr>
      <w:color w:val="605E5C"/>
      <w:shd w:val="clear" w:color="auto" w:fill="E1DFDD"/>
    </w:rPr>
  </w:style>
  <w:style w:type="character" w:customStyle="1" w:styleId="16">
    <w:name w:val="Heading 1 Char"/>
    <w:basedOn w:val="6"/>
    <w:link w:val="2"/>
    <w:uiPriority w:val="9"/>
    <w:rPr>
      <w:rFonts w:ascii="Times New Roman" w:hAnsi="Times New Roman" w:eastAsia="Times New Roman" w:cs="Times New Roman"/>
      <w:b/>
      <w:bCs/>
      <w:sz w:val="24"/>
      <w:szCs w:val="24"/>
      <w:lang w:eastAsia="en-IN"/>
    </w:rPr>
  </w:style>
  <w:style w:type="character" w:customStyle="1" w:styleId="17">
    <w:name w:val="Heading 2 Char"/>
    <w:basedOn w:val="6"/>
    <w:link w:val="4"/>
    <w:uiPriority w:val="9"/>
    <w:rPr>
      <w:rFonts w:ascii="Times New Roman" w:hAnsi="Times New Roman" w:eastAsia="Times New Roman" w:cs="Times New Roman"/>
      <w:b/>
      <w:bCs/>
      <w:i/>
      <w:iCs/>
      <w:color w:val="000000"/>
      <w:sz w:val="24"/>
      <w:szCs w:val="24"/>
      <w:lang w:eastAsia="en-IN"/>
    </w:rPr>
  </w:style>
  <w:style w:type="paragraph" w:customStyle="1" w:styleId="18">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 w:type="character" w:customStyle="1" w:styleId="19">
    <w:name w:val="Header Char"/>
    <w:basedOn w:val="6"/>
    <w:link w:val="9"/>
    <w:uiPriority w:val="99"/>
  </w:style>
  <w:style w:type="character" w:customStyle="1" w:styleId="20">
    <w:name w:val="Footer Char"/>
    <w:basedOn w:val="6"/>
    <w:link w:val="8"/>
    <w:uiPriority w:val="99"/>
  </w:style>
  <w:style w:type="character" w:customStyle="1" w:styleId="21">
    <w:name w:val="apple-tab-span"/>
    <w:basedOn w:val="6"/>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20AD8-FA34-447B-8787-B89AAF2F55EC}">
  <ds:schemaRefs/>
</ds:datastoreItem>
</file>

<file path=docProps/app.xml><?xml version="1.0" encoding="utf-8"?>
<Properties xmlns="http://schemas.openxmlformats.org/officeDocument/2006/extended-properties" xmlns:vt="http://schemas.openxmlformats.org/officeDocument/2006/docPropsVTypes">
  <Template>Normal</Template>
  <Pages>24</Pages>
  <Words>3173</Words>
  <Characters>20799</Characters>
  <Lines>301</Lines>
  <Paragraphs>84</Paragraphs>
  <TotalTime>2</TotalTime>
  <ScaleCrop>false</ScaleCrop>
  <LinksUpToDate>false</LinksUpToDate>
  <CharactersWithSpaces>23954</CharactersWithSpaces>
  <Application>WPS Office_12.1.0.26372_F1E327BC-269C-435d-A152-05C5408002CA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2026-05-11T06:04:00Z</dcterms:created>
  <dcterms:modified xsi:type="dcterms:W3CDTF">2026-05-19T08:13:58Z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e705c9b1-70f1-43d4-8dbb-d3b1bcd23dcb</vt:lpwstr>
  </property>
  <property fmtid="{D5CDD505-2E9C-101B-9397-08002B2CF9AE}" pid="3" name="KSOTemplateDocerSaveRecord">
    <vt:lpwstr>eyJoZGlkIjoiNjQ0OGQzYTY3NWZjMzBmY2Y5NmQzNWM2ZjMyZWExNmEifQ==</vt:lpwstr>
  </property>
  <property fmtid="{D5CDD505-2E9C-101B-9397-08002B2CF9AE}" pid="4" name="KSOProductBuildVer">
    <vt:lpwstr>1033-12.1.0.26372</vt:lpwstr>
  </property>
  <property fmtid="{D5CDD505-2E9C-101B-9397-08002B2CF9AE}" pid="5" name="ICV">
    <vt:lpwstr>74CF866D51EE496F98854FC725125144_13</vt:lpwstr>
  </property>
</Properties>
</file>