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47393" w14:textId="4CAFD25A" w:rsidR="00855036" w:rsidRPr="00E40CBF" w:rsidRDefault="00855036" w:rsidP="0075108E">
      <w:pPr>
        <w:spacing w:line="360" w:lineRule="auto"/>
        <w:ind w:left="720" w:hanging="360"/>
        <w:jc w:val="both"/>
        <w:rPr>
          <w:rFonts w:ascii="Arial" w:hAnsi="Arial" w:cs="Arial"/>
          <w:sz w:val="24"/>
          <w:szCs w:val="24"/>
        </w:rPr>
      </w:pPr>
      <w:r w:rsidRPr="00E40CBF">
        <w:rPr>
          <w:rFonts w:ascii="Arial" w:hAnsi="Arial" w:cs="Arial"/>
          <w:noProof/>
          <w:sz w:val="24"/>
          <w:szCs w:val="24"/>
        </w:rPr>
        <w:drawing>
          <wp:inline distT="0" distB="0" distL="0" distR="0" wp14:anchorId="6DA65C19" wp14:editId="1CD63356">
            <wp:extent cx="3147060" cy="1059180"/>
            <wp:effectExtent l="0" t="0" r="0" b="7620"/>
            <wp:docPr id="214889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7060" cy="1059180"/>
                    </a:xfrm>
                    <a:prstGeom prst="rect">
                      <a:avLst/>
                    </a:prstGeom>
                    <a:noFill/>
                    <a:ln>
                      <a:noFill/>
                    </a:ln>
                  </pic:spPr>
                </pic:pic>
              </a:graphicData>
            </a:graphic>
          </wp:inline>
        </w:drawing>
      </w:r>
    </w:p>
    <w:p w14:paraId="220A342D" w14:textId="77777777" w:rsidR="0089376F" w:rsidRPr="007163FF" w:rsidRDefault="0089376F" w:rsidP="00DC4148">
      <w:pPr>
        <w:spacing w:line="480" w:lineRule="auto"/>
        <w:ind w:left="720"/>
        <w:jc w:val="both"/>
        <w:rPr>
          <w:rFonts w:ascii="Arial" w:hAnsi="Arial" w:cs="Arial"/>
          <w:b/>
          <w:bCs/>
          <w:sz w:val="32"/>
          <w:szCs w:val="32"/>
          <w:lang w:val="en-GB"/>
        </w:rPr>
      </w:pPr>
    </w:p>
    <w:p w14:paraId="1EC508B8" w14:textId="10259E84"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Master of Business Administration</w:t>
      </w:r>
    </w:p>
    <w:p w14:paraId="07EC3298" w14:textId="49D368CF"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Module: Financial Management</w:t>
      </w:r>
      <w:r w:rsidR="007163FF" w:rsidRPr="007163FF">
        <w:rPr>
          <w:rFonts w:ascii="Arial" w:hAnsi="Arial" w:cs="Arial"/>
          <w:b/>
          <w:bCs/>
          <w:sz w:val="32"/>
          <w:szCs w:val="32"/>
        </w:rPr>
        <w:t xml:space="preserve"> </w:t>
      </w:r>
      <w:r w:rsidRPr="007163FF">
        <w:rPr>
          <w:rFonts w:ascii="Arial" w:hAnsi="Arial" w:cs="Arial"/>
          <w:b/>
          <w:bCs/>
          <w:sz w:val="32"/>
          <w:szCs w:val="32"/>
        </w:rPr>
        <w:t xml:space="preserve"> </w:t>
      </w:r>
      <w:r w:rsidR="007163FF" w:rsidRPr="007163FF">
        <w:rPr>
          <w:rFonts w:ascii="Arial" w:hAnsi="Arial" w:cs="Arial"/>
          <w:b/>
          <w:bCs/>
          <w:sz w:val="32"/>
          <w:szCs w:val="32"/>
        </w:rPr>
        <w:t>(</w:t>
      </w:r>
      <w:r w:rsidRPr="007163FF">
        <w:rPr>
          <w:rFonts w:ascii="Arial" w:hAnsi="Arial" w:cs="Arial"/>
          <w:b/>
          <w:bCs/>
          <w:sz w:val="32"/>
          <w:szCs w:val="32"/>
        </w:rPr>
        <w:t>LCMB7002</w:t>
      </w:r>
      <w:r w:rsidR="007163FF" w:rsidRPr="007163FF">
        <w:rPr>
          <w:rFonts w:ascii="Arial" w:hAnsi="Arial" w:cs="Arial"/>
          <w:b/>
          <w:bCs/>
          <w:sz w:val="32"/>
          <w:szCs w:val="32"/>
        </w:rPr>
        <w:t>)</w:t>
      </w:r>
    </w:p>
    <w:p w14:paraId="0B5DAA18" w14:textId="77777777"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Lecturer: Patrick Yeboah (Birmingham)</w:t>
      </w:r>
    </w:p>
    <w:p w14:paraId="23530907" w14:textId="62A03C56" w:rsidR="000C2E25" w:rsidRPr="007163FF" w:rsidRDefault="000C2E25" w:rsidP="007163FF">
      <w:pPr>
        <w:spacing w:line="480" w:lineRule="auto"/>
        <w:rPr>
          <w:rFonts w:ascii="Arial" w:hAnsi="Arial" w:cs="Arial"/>
          <w:b/>
          <w:bCs/>
          <w:sz w:val="32"/>
          <w:szCs w:val="32"/>
        </w:rPr>
      </w:pPr>
      <w:r w:rsidRPr="007163FF">
        <w:rPr>
          <w:rFonts w:ascii="Arial" w:hAnsi="Arial" w:cs="Arial"/>
          <w:b/>
          <w:bCs/>
          <w:sz w:val="32"/>
          <w:szCs w:val="32"/>
        </w:rPr>
        <w:t>Assessment Component: Financial performance and management</w:t>
      </w:r>
    </w:p>
    <w:p w14:paraId="438E0EC2" w14:textId="2C1644AA"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Student Name: Darvin Sabhaya</w:t>
      </w:r>
    </w:p>
    <w:p w14:paraId="3BD911AD" w14:textId="320F2220"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Student id: 2505280</w:t>
      </w:r>
    </w:p>
    <w:p w14:paraId="27BEF70F" w14:textId="77777777" w:rsidR="000C2E25" w:rsidRPr="007163FF" w:rsidRDefault="000C2E25" w:rsidP="00DC4148">
      <w:pPr>
        <w:spacing w:line="480" w:lineRule="auto"/>
        <w:jc w:val="both"/>
        <w:rPr>
          <w:rFonts w:ascii="Arial" w:hAnsi="Arial" w:cs="Arial"/>
          <w:b/>
          <w:bCs/>
          <w:sz w:val="32"/>
          <w:szCs w:val="32"/>
        </w:rPr>
      </w:pPr>
      <w:r w:rsidRPr="007163FF">
        <w:rPr>
          <w:rFonts w:ascii="Arial" w:hAnsi="Arial" w:cs="Arial"/>
          <w:b/>
          <w:bCs/>
          <w:sz w:val="32"/>
          <w:szCs w:val="32"/>
        </w:rPr>
        <w:t>Submission date: Monday 24 November</w:t>
      </w:r>
    </w:p>
    <w:p w14:paraId="62918F83" w14:textId="77777777" w:rsidR="0089376F" w:rsidRPr="00E40CBF" w:rsidRDefault="0089376F" w:rsidP="0075108E">
      <w:pPr>
        <w:spacing w:line="360" w:lineRule="auto"/>
        <w:ind w:left="720"/>
        <w:jc w:val="both"/>
        <w:rPr>
          <w:rFonts w:ascii="Arial" w:hAnsi="Arial" w:cs="Arial"/>
          <w:sz w:val="24"/>
          <w:szCs w:val="24"/>
          <w:lang w:val="en-GB"/>
        </w:rPr>
      </w:pPr>
    </w:p>
    <w:p w14:paraId="56D1238F" w14:textId="77777777" w:rsidR="0089376F" w:rsidRPr="00E40CBF" w:rsidRDefault="0089376F" w:rsidP="0075108E">
      <w:pPr>
        <w:spacing w:line="360" w:lineRule="auto"/>
        <w:ind w:left="720"/>
        <w:jc w:val="both"/>
        <w:rPr>
          <w:rFonts w:ascii="Arial" w:hAnsi="Arial" w:cs="Arial"/>
          <w:sz w:val="24"/>
          <w:szCs w:val="24"/>
          <w:lang w:val="en-GB"/>
        </w:rPr>
      </w:pPr>
    </w:p>
    <w:p w14:paraId="3D340609" w14:textId="77777777" w:rsidR="0089376F" w:rsidRPr="00E40CBF" w:rsidRDefault="0089376F" w:rsidP="0075108E">
      <w:pPr>
        <w:spacing w:line="360" w:lineRule="auto"/>
        <w:ind w:left="720"/>
        <w:jc w:val="both"/>
        <w:rPr>
          <w:rFonts w:ascii="Arial" w:hAnsi="Arial" w:cs="Arial"/>
          <w:sz w:val="24"/>
          <w:szCs w:val="24"/>
          <w:lang w:val="en-GB"/>
        </w:rPr>
      </w:pPr>
    </w:p>
    <w:p w14:paraId="7EE15A79" w14:textId="77777777" w:rsidR="0075108E" w:rsidRDefault="0075108E" w:rsidP="00CD1F6B">
      <w:pPr>
        <w:spacing w:line="360" w:lineRule="auto"/>
        <w:jc w:val="both"/>
        <w:rPr>
          <w:rFonts w:ascii="Arial" w:hAnsi="Arial" w:cs="Arial"/>
          <w:sz w:val="24"/>
          <w:szCs w:val="24"/>
          <w:lang w:val="en-GB"/>
        </w:rPr>
      </w:pPr>
    </w:p>
    <w:p w14:paraId="17B7E2AD" w14:textId="77777777" w:rsidR="00CD1F6B" w:rsidRPr="00451F22" w:rsidRDefault="00CD1F6B" w:rsidP="00CD1F6B">
      <w:pPr>
        <w:spacing w:line="360" w:lineRule="auto"/>
        <w:jc w:val="both"/>
        <w:rPr>
          <w:rFonts w:ascii="Arial" w:hAnsi="Arial" w:cs="Arial"/>
          <w:sz w:val="24"/>
          <w:szCs w:val="24"/>
        </w:rPr>
      </w:pPr>
    </w:p>
    <w:sdt>
      <w:sdtPr>
        <w:id w:val="-555557828"/>
        <w:docPartObj>
          <w:docPartGallery w:val="Table of Contents"/>
          <w:docPartUnique/>
        </w:docPartObj>
      </w:sdtPr>
      <w:sdtEndPr>
        <w:rPr>
          <w:b/>
          <w:bCs/>
          <w:noProof/>
        </w:rPr>
      </w:sdtEndPr>
      <w:sdtContent>
        <w:p w14:paraId="4DBA888D" w14:textId="25391425" w:rsidR="00DF38C2" w:rsidRPr="00552074" w:rsidRDefault="00865329" w:rsidP="00865329">
          <w:pPr>
            <w:spacing w:line="360" w:lineRule="auto"/>
            <w:jc w:val="center"/>
            <w:rPr>
              <w:rFonts w:ascii="Arial" w:hAnsi="Arial" w:cs="Arial"/>
              <w:sz w:val="28"/>
              <w:szCs w:val="28"/>
            </w:rPr>
          </w:pPr>
          <w:r w:rsidRPr="00552074">
            <w:rPr>
              <w:rFonts w:ascii="Arial" w:hAnsi="Arial" w:cs="Arial"/>
              <w:sz w:val="28"/>
              <w:szCs w:val="28"/>
            </w:rPr>
            <w:t>Table of content</w:t>
          </w:r>
        </w:p>
        <w:p w14:paraId="7A30F782" w14:textId="62FBB466" w:rsidR="00DF38C2" w:rsidRPr="00552074" w:rsidRDefault="00DF38C2">
          <w:pPr>
            <w:pStyle w:val="TOC1"/>
            <w:tabs>
              <w:tab w:val="right" w:leader="dot" w:pos="9350"/>
            </w:tabs>
            <w:rPr>
              <w:rFonts w:ascii="Arial" w:eastAsiaTheme="minorEastAsia" w:hAnsi="Arial" w:cs="Arial"/>
              <w:noProof/>
              <w:sz w:val="24"/>
              <w:szCs w:val="24"/>
            </w:rPr>
          </w:pPr>
          <w:r w:rsidRPr="003A0867">
            <w:rPr>
              <w:rFonts w:ascii="Arial" w:hAnsi="Arial" w:cs="Arial"/>
            </w:rPr>
            <w:fldChar w:fldCharType="begin"/>
          </w:r>
          <w:r w:rsidRPr="003A0867">
            <w:rPr>
              <w:rFonts w:ascii="Arial" w:hAnsi="Arial" w:cs="Arial"/>
            </w:rPr>
            <w:instrText xml:space="preserve"> TOC \o "1-3" \h \z \u </w:instrText>
          </w:r>
          <w:r w:rsidRPr="003A0867">
            <w:rPr>
              <w:rFonts w:ascii="Arial" w:hAnsi="Arial" w:cs="Arial"/>
            </w:rPr>
            <w:fldChar w:fldCharType="separate"/>
          </w:r>
          <w:hyperlink w:anchor="_Toc214799404" w:history="1">
            <w:r w:rsidRPr="00552074">
              <w:rPr>
                <w:rStyle w:val="Hyperlink"/>
                <w:rFonts w:ascii="Arial" w:hAnsi="Arial" w:cs="Arial"/>
                <w:noProof/>
              </w:rPr>
              <w:t>INTRODUCTION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3</w:t>
            </w:r>
            <w:r w:rsidRPr="00552074">
              <w:rPr>
                <w:rFonts w:ascii="Arial" w:hAnsi="Arial" w:cs="Arial"/>
                <w:noProof/>
                <w:webHidden/>
              </w:rPr>
              <w:fldChar w:fldCharType="end"/>
            </w:r>
          </w:hyperlink>
        </w:p>
        <w:p w14:paraId="43942891" w14:textId="0184DE85" w:rsidR="00DF38C2" w:rsidRPr="00552074" w:rsidRDefault="00DF38C2">
          <w:pPr>
            <w:pStyle w:val="TOC1"/>
            <w:tabs>
              <w:tab w:val="right" w:leader="dot" w:pos="9350"/>
            </w:tabs>
            <w:rPr>
              <w:rFonts w:ascii="Arial" w:eastAsiaTheme="minorEastAsia" w:hAnsi="Arial" w:cs="Arial"/>
              <w:noProof/>
              <w:sz w:val="24"/>
              <w:szCs w:val="24"/>
            </w:rPr>
          </w:pPr>
          <w:hyperlink w:anchor="_Toc214799405" w:history="1">
            <w:r w:rsidRPr="00552074">
              <w:rPr>
                <w:rStyle w:val="Hyperlink"/>
                <w:rFonts w:ascii="Arial" w:hAnsi="Arial" w:cs="Arial"/>
                <w:noProof/>
              </w:rPr>
              <w:t>1.Financial Health Check</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4</w:t>
            </w:r>
            <w:r w:rsidRPr="00552074">
              <w:rPr>
                <w:rFonts w:ascii="Arial" w:hAnsi="Arial" w:cs="Arial"/>
                <w:noProof/>
                <w:webHidden/>
              </w:rPr>
              <w:fldChar w:fldCharType="end"/>
            </w:r>
          </w:hyperlink>
        </w:p>
        <w:p w14:paraId="25E523B6" w14:textId="210E5566" w:rsidR="00DF38C2" w:rsidRPr="00552074" w:rsidRDefault="00DF38C2">
          <w:pPr>
            <w:pStyle w:val="TOC2"/>
            <w:tabs>
              <w:tab w:val="right" w:leader="dot" w:pos="9350"/>
            </w:tabs>
            <w:rPr>
              <w:rFonts w:ascii="Arial" w:eastAsiaTheme="minorEastAsia" w:hAnsi="Arial" w:cs="Arial"/>
              <w:noProof/>
              <w:sz w:val="24"/>
              <w:szCs w:val="24"/>
            </w:rPr>
          </w:pPr>
          <w:hyperlink w:anchor="_Toc214799406" w:history="1">
            <w:r w:rsidRPr="00552074">
              <w:rPr>
                <w:rStyle w:val="Hyperlink"/>
                <w:rFonts w:ascii="Arial" w:hAnsi="Arial" w:cs="Arial"/>
                <w:noProof/>
              </w:rPr>
              <w:t>1.Profibility</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_Toc214799406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4</w:t>
            </w:r>
            <w:r w:rsidRPr="00552074">
              <w:rPr>
                <w:rFonts w:ascii="Arial" w:hAnsi="Arial" w:cs="Arial"/>
                <w:noProof/>
                <w:webHidden/>
              </w:rPr>
              <w:fldChar w:fldCharType="end"/>
            </w:r>
          </w:hyperlink>
        </w:p>
        <w:p w14:paraId="6297B935" w14:textId="5747B222" w:rsidR="00DF38C2" w:rsidRPr="00552074" w:rsidRDefault="00DF38C2">
          <w:pPr>
            <w:pStyle w:val="TOC2"/>
            <w:tabs>
              <w:tab w:val="right" w:leader="dot" w:pos="9350"/>
            </w:tabs>
            <w:rPr>
              <w:rFonts w:ascii="Arial" w:eastAsiaTheme="minorEastAsia" w:hAnsi="Arial" w:cs="Arial"/>
              <w:noProof/>
              <w:sz w:val="24"/>
              <w:szCs w:val="24"/>
            </w:rPr>
          </w:pPr>
          <w:hyperlink w:anchor="_Toc214799407" w:history="1">
            <w:r w:rsidRPr="00552074">
              <w:rPr>
                <w:rStyle w:val="Hyperlink"/>
                <w:rFonts w:ascii="Arial" w:hAnsi="Arial" w:cs="Arial"/>
                <w:noProof/>
              </w:rPr>
              <w:t>2.Liquidity</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_Toc214799407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6</w:t>
            </w:r>
            <w:r w:rsidRPr="00552074">
              <w:rPr>
                <w:rFonts w:ascii="Arial" w:hAnsi="Arial" w:cs="Arial"/>
                <w:noProof/>
                <w:webHidden/>
              </w:rPr>
              <w:fldChar w:fldCharType="end"/>
            </w:r>
          </w:hyperlink>
        </w:p>
        <w:p w14:paraId="71A91A04" w14:textId="1F734014" w:rsidR="00DF38C2" w:rsidRPr="00552074" w:rsidRDefault="00DF38C2">
          <w:pPr>
            <w:pStyle w:val="TOC2"/>
            <w:tabs>
              <w:tab w:val="right" w:leader="dot" w:pos="9350"/>
            </w:tabs>
            <w:rPr>
              <w:rFonts w:ascii="Arial" w:eastAsiaTheme="minorEastAsia" w:hAnsi="Arial" w:cs="Arial"/>
              <w:noProof/>
              <w:sz w:val="24"/>
              <w:szCs w:val="24"/>
            </w:rPr>
          </w:pPr>
          <w:hyperlink w:anchor="_Toc214799408" w:history="1">
            <w:r w:rsidRPr="00552074">
              <w:rPr>
                <w:rStyle w:val="Hyperlink"/>
                <w:rFonts w:ascii="Arial" w:hAnsi="Arial" w:cs="Arial"/>
                <w:noProof/>
              </w:rPr>
              <w:t>3.Efficiency</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_Toc214799408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7</w:t>
            </w:r>
            <w:r w:rsidRPr="00552074">
              <w:rPr>
                <w:rFonts w:ascii="Arial" w:hAnsi="Arial" w:cs="Arial"/>
                <w:noProof/>
                <w:webHidden/>
              </w:rPr>
              <w:fldChar w:fldCharType="end"/>
            </w:r>
          </w:hyperlink>
        </w:p>
        <w:p w14:paraId="7F57FDA4" w14:textId="746C38CB" w:rsidR="00DF38C2" w:rsidRPr="00552074" w:rsidRDefault="00DF38C2">
          <w:pPr>
            <w:pStyle w:val="TOC2"/>
            <w:tabs>
              <w:tab w:val="right" w:leader="dot" w:pos="9350"/>
            </w:tabs>
            <w:rPr>
              <w:rFonts w:ascii="Arial" w:eastAsiaTheme="minorEastAsia" w:hAnsi="Arial" w:cs="Arial"/>
              <w:noProof/>
              <w:sz w:val="24"/>
              <w:szCs w:val="24"/>
            </w:rPr>
          </w:pPr>
          <w:hyperlink w:anchor="_Toc214799409" w:history="1">
            <w:r w:rsidRPr="00552074">
              <w:rPr>
                <w:rStyle w:val="Hyperlink"/>
                <w:rFonts w:ascii="Arial" w:hAnsi="Arial" w:cs="Arial"/>
                <w:noProof/>
              </w:rPr>
              <w:t>4.Gearing</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_Toc214799409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9</w:t>
            </w:r>
            <w:r w:rsidRPr="00552074">
              <w:rPr>
                <w:rFonts w:ascii="Arial" w:hAnsi="Arial" w:cs="Arial"/>
                <w:noProof/>
                <w:webHidden/>
              </w:rPr>
              <w:fldChar w:fldCharType="end"/>
            </w:r>
          </w:hyperlink>
        </w:p>
        <w:p w14:paraId="6DAA75E2" w14:textId="31837FC6" w:rsidR="00DF38C2" w:rsidRPr="00552074" w:rsidRDefault="00DF38C2">
          <w:pPr>
            <w:pStyle w:val="TOC2"/>
            <w:tabs>
              <w:tab w:val="right" w:leader="dot" w:pos="9350"/>
            </w:tabs>
            <w:rPr>
              <w:rFonts w:ascii="Arial" w:eastAsiaTheme="minorEastAsia" w:hAnsi="Arial" w:cs="Arial"/>
              <w:noProof/>
              <w:sz w:val="24"/>
              <w:szCs w:val="24"/>
            </w:rPr>
          </w:pPr>
          <w:hyperlink w:anchor="_Toc214799410" w:history="1">
            <w:r w:rsidRPr="00552074">
              <w:rPr>
                <w:rStyle w:val="Hyperlink"/>
                <w:rFonts w:ascii="Arial" w:hAnsi="Arial" w:cs="Arial"/>
                <w:noProof/>
              </w:rPr>
              <w:t>5.Investment</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_Toc214799410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10</w:t>
            </w:r>
            <w:r w:rsidRPr="00552074">
              <w:rPr>
                <w:rFonts w:ascii="Arial" w:hAnsi="Arial" w:cs="Arial"/>
                <w:noProof/>
                <w:webHidden/>
              </w:rPr>
              <w:fldChar w:fldCharType="end"/>
            </w:r>
          </w:hyperlink>
        </w:p>
        <w:p w14:paraId="3F79624D" w14:textId="5ECC6908" w:rsidR="00DF38C2" w:rsidRPr="00552074" w:rsidRDefault="00DF38C2">
          <w:pPr>
            <w:pStyle w:val="TOC2"/>
            <w:tabs>
              <w:tab w:val="right" w:leader="dot" w:pos="9350"/>
            </w:tabs>
            <w:rPr>
              <w:rFonts w:ascii="Arial" w:eastAsiaTheme="minorEastAsia" w:hAnsi="Arial" w:cs="Arial"/>
              <w:noProof/>
              <w:sz w:val="24"/>
              <w:szCs w:val="24"/>
            </w:rPr>
          </w:pPr>
          <w:hyperlink w:anchor="_Toc214799411" w:history="1">
            <w:r w:rsidRPr="00552074">
              <w:rPr>
                <w:rStyle w:val="Hyperlink"/>
                <w:rFonts w:ascii="Arial" w:hAnsi="Arial" w:cs="Arial"/>
                <w:noProof/>
              </w:rPr>
              <w:t>6.Cash Flow</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_Toc214799411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11</w:t>
            </w:r>
            <w:r w:rsidRPr="00552074">
              <w:rPr>
                <w:rFonts w:ascii="Arial" w:hAnsi="Arial" w:cs="Arial"/>
                <w:noProof/>
                <w:webHidden/>
              </w:rPr>
              <w:fldChar w:fldCharType="end"/>
            </w:r>
          </w:hyperlink>
        </w:p>
        <w:p w14:paraId="2EBCFFE9" w14:textId="05BB0A66" w:rsidR="00DF38C2" w:rsidRPr="00552074" w:rsidRDefault="00DF38C2">
          <w:pPr>
            <w:pStyle w:val="TOC2"/>
            <w:tabs>
              <w:tab w:val="right" w:leader="dot" w:pos="9350"/>
            </w:tabs>
            <w:rPr>
              <w:rFonts w:ascii="Arial" w:eastAsiaTheme="minorEastAsia" w:hAnsi="Arial" w:cs="Arial"/>
              <w:noProof/>
              <w:sz w:val="24"/>
              <w:szCs w:val="24"/>
            </w:rPr>
          </w:pPr>
          <w:hyperlink w:anchor="_Toc214799412" w:history="1">
            <w:r w:rsidRPr="00552074">
              <w:rPr>
                <w:rStyle w:val="Hyperlink"/>
                <w:rFonts w:ascii="Arial" w:hAnsi="Arial" w:cs="Arial"/>
                <w:noProof/>
              </w:rPr>
              <w:t>7.Trends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_Toc214799412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11</w:t>
            </w:r>
            <w:r w:rsidRPr="00552074">
              <w:rPr>
                <w:rFonts w:ascii="Arial" w:hAnsi="Arial" w:cs="Arial"/>
                <w:noProof/>
                <w:webHidden/>
              </w:rPr>
              <w:fldChar w:fldCharType="end"/>
            </w:r>
          </w:hyperlink>
        </w:p>
        <w:p w14:paraId="23B2629E" w14:textId="59422257" w:rsidR="00DF38C2" w:rsidRPr="00552074" w:rsidRDefault="00DF38C2">
          <w:pPr>
            <w:pStyle w:val="TOC2"/>
            <w:tabs>
              <w:tab w:val="right" w:leader="dot" w:pos="9350"/>
            </w:tabs>
            <w:rPr>
              <w:rFonts w:ascii="Arial" w:eastAsiaTheme="minorEastAsia" w:hAnsi="Arial" w:cs="Arial"/>
              <w:noProof/>
              <w:sz w:val="24"/>
              <w:szCs w:val="24"/>
            </w:rPr>
          </w:pPr>
          <w:hyperlink w:anchor="_Toc214799413" w:history="1">
            <w:r w:rsidRPr="00552074">
              <w:rPr>
                <w:rStyle w:val="Hyperlink"/>
                <w:rFonts w:ascii="Arial" w:hAnsi="Arial" w:cs="Arial"/>
                <w:noProof/>
              </w:rPr>
              <w:t>8.Strengths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_Toc214799413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12</w:t>
            </w:r>
            <w:r w:rsidRPr="00552074">
              <w:rPr>
                <w:rFonts w:ascii="Arial" w:hAnsi="Arial" w:cs="Arial"/>
                <w:noProof/>
                <w:webHidden/>
              </w:rPr>
              <w:fldChar w:fldCharType="end"/>
            </w:r>
          </w:hyperlink>
        </w:p>
        <w:p w14:paraId="0D7DFA21" w14:textId="5E320B71" w:rsidR="00DF38C2" w:rsidRPr="00552074" w:rsidRDefault="00DF38C2">
          <w:pPr>
            <w:pStyle w:val="TOC2"/>
            <w:tabs>
              <w:tab w:val="right" w:leader="dot" w:pos="9350"/>
            </w:tabs>
            <w:rPr>
              <w:rFonts w:ascii="Arial" w:eastAsiaTheme="minorEastAsia" w:hAnsi="Arial" w:cs="Arial"/>
              <w:noProof/>
              <w:sz w:val="24"/>
              <w:szCs w:val="24"/>
            </w:rPr>
          </w:pPr>
          <w:hyperlink w:anchor="_Toc214799414" w:history="1">
            <w:r w:rsidRPr="00552074">
              <w:rPr>
                <w:rStyle w:val="Hyperlink"/>
                <w:rFonts w:ascii="Arial" w:hAnsi="Arial" w:cs="Arial"/>
                <w:noProof/>
              </w:rPr>
              <w:t>9.Threats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12</w:t>
            </w:r>
            <w:r w:rsidRPr="00552074">
              <w:rPr>
                <w:rFonts w:ascii="Arial" w:hAnsi="Arial" w:cs="Arial"/>
                <w:noProof/>
                <w:webHidden/>
              </w:rPr>
              <w:fldChar w:fldCharType="end"/>
            </w:r>
          </w:hyperlink>
        </w:p>
        <w:p w14:paraId="34F17657" w14:textId="0AEF7562" w:rsidR="00DF38C2" w:rsidRPr="00552074" w:rsidRDefault="00DF38C2">
          <w:pPr>
            <w:pStyle w:val="TOC2"/>
            <w:tabs>
              <w:tab w:val="right" w:leader="dot" w:pos="9350"/>
            </w:tabs>
            <w:rPr>
              <w:rFonts w:ascii="Arial" w:eastAsiaTheme="minorEastAsia" w:hAnsi="Arial" w:cs="Arial"/>
              <w:noProof/>
              <w:sz w:val="24"/>
              <w:szCs w:val="24"/>
            </w:rPr>
          </w:pPr>
          <w:hyperlink w:anchor="_Toc214799415" w:history="1">
            <w:r w:rsidRPr="00552074">
              <w:rPr>
                <w:rStyle w:val="Hyperlink"/>
                <w:rFonts w:ascii="Arial" w:hAnsi="Arial" w:cs="Arial"/>
                <w:noProof/>
              </w:rPr>
              <w:t>10.Altman Z-Score Analysis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13</w:t>
            </w:r>
            <w:r w:rsidRPr="00552074">
              <w:rPr>
                <w:rFonts w:ascii="Arial" w:hAnsi="Arial" w:cs="Arial"/>
                <w:noProof/>
                <w:webHidden/>
              </w:rPr>
              <w:fldChar w:fldCharType="end"/>
            </w:r>
          </w:hyperlink>
        </w:p>
        <w:p w14:paraId="2E55C3D8" w14:textId="07991CEA" w:rsidR="00DF38C2" w:rsidRPr="00552074" w:rsidRDefault="00DF38C2">
          <w:pPr>
            <w:pStyle w:val="TOC1"/>
            <w:tabs>
              <w:tab w:val="right" w:leader="dot" w:pos="9350"/>
            </w:tabs>
            <w:rPr>
              <w:rFonts w:ascii="Arial" w:eastAsiaTheme="minorEastAsia" w:hAnsi="Arial" w:cs="Arial"/>
              <w:noProof/>
              <w:sz w:val="24"/>
              <w:szCs w:val="24"/>
            </w:rPr>
          </w:pPr>
          <w:hyperlink w:anchor="_Toc214799416" w:history="1">
            <w:r w:rsidRPr="00552074">
              <w:rPr>
                <w:rStyle w:val="Hyperlink"/>
                <w:rFonts w:ascii="Arial" w:hAnsi="Arial" w:cs="Arial"/>
                <w:noProof/>
              </w:rPr>
              <w:t>2.Working Capital Management Analysis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_Toc214799416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14</w:t>
            </w:r>
            <w:r w:rsidRPr="00552074">
              <w:rPr>
                <w:rFonts w:ascii="Arial" w:hAnsi="Arial" w:cs="Arial"/>
                <w:noProof/>
                <w:webHidden/>
              </w:rPr>
              <w:fldChar w:fldCharType="end"/>
            </w:r>
          </w:hyperlink>
        </w:p>
        <w:p w14:paraId="2B46FFF3" w14:textId="237B335A" w:rsidR="00DF38C2" w:rsidRPr="00552074" w:rsidRDefault="00DF38C2">
          <w:pPr>
            <w:pStyle w:val="TOC2"/>
            <w:tabs>
              <w:tab w:val="right" w:leader="dot" w:pos="9350"/>
            </w:tabs>
            <w:rPr>
              <w:rFonts w:ascii="Arial" w:eastAsiaTheme="minorEastAsia" w:hAnsi="Arial" w:cs="Arial"/>
              <w:noProof/>
              <w:sz w:val="24"/>
              <w:szCs w:val="24"/>
            </w:rPr>
          </w:pPr>
          <w:hyperlink w:anchor="_Toc214799417" w:history="1">
            <w:r w:rsidRPr="00552074">
              <w:rPr>
                <w:rStyle w:val="Hyperlink"/>
                <w:rFonts w:ascii="Arial" w:hAnsi="Arial" w:cs="Arial"/>
                <w:noProof/>
              </w:rPr>
              <w:t>1.Cash Operating Cycle(COC)</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_Toc214799417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14</w:t>
            </w:r>
            <w:r w:rsidRPr="00552074">
              <w:rPr>
                <w:rFonts w:ascii="Arial" w:hAnsi="Arial" w:cs="Arial"/>
                <w:noProof/>
                <w:webHidden/>
              </w:rPr>
              <w:fldChar w:fldCharType="end"/>
            </w:r>
          </w:hyperlink>
        </w:p>
        <w:p w14:paraId="5DD5D5E2" w14:textId="3C82D25B" w:rsidR="00DF38C2" w:rsidRPr="00552074" w:rsidRDefault="00DF38C2">
          <w:pPr>
            <w:pStyle w:val="TOC2"/>
            <w:tabs>
              <w:tab w:val="right" w:leader="dot" w:pos="9350"/>
            </w:tabs>
            <w:rPr>
              <w:rFonts w:ascii="Arial" w:eastAsiaTheme="minorEastAsia" w:hAnsi="Arial" w:cs="Arial"/>
              <w:noProof/>
              <w:sz w:val="24"/>
              <w:szCs w:val="24"/>
            </w:rPr>
          </w:pPr>
          <w:hyperlink w:anchor="_Toc214799418" w:history="1">
            <w:r w:rsidRPr="00552074">
              <w:rPr>
                <w:rStyle w:val="Hyperlink"/>
                <w:rFonts w:ascii="Arial" w:hAnsi="Arial" w:cs="Arial"/>
                <w:noProof/>
              </w:rPr>
              <w:t>2.Short-term vs long-term financing options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_Toc214799418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16</w:t>
            </w:r>
            <w:r w:rsidRPr="00552074">
              <w:rPr>
                <w:rFonts w:ascii="Arial" w:hAnsi="Arial" w:cs="Arial"/>
                <w:noProof/>
                <w:webHidden/>
              </w:rPr>
              <w:fldChar w:fldCharType="end"/>
            </w:r>
          </w:hyperlink>
        </w:p>
        <w:p w14:paraId="6F7B1950" w14:textId="60D56AB7" w:rsidR="00DF38C2" w:rsidRPr="00552074" w:rsidRDefault="00DF38C2">
          <w:pPr>
            <w:pStyle w:val="TOC2"/>
            <w:tabs>
              <w:tab w:val="right" w:leader="dot" w:pos="9350"/>
            </w:tabs>
            <w:rPr>
              <w:rFonts w:ascii="Arial" w:eastAsiaTheme="minorEastAsia" w:hAnsi="Arial" w:cs="Arial"/>
              <w:noProof/>
              <w:sz w:val="24"/>
              <w:szCs w:val="24"/>
            </w:rPr>
          </w:pPr>
          <w:hyperlink w:anchor="_Toc214799419" w:history="1">
            <w:r w:rsidRPr="00552074">
              <w:rPr>
                <w:rStyle w:val="Hyperlink"/>
                <w:rFonts w:ascii="Arial" w:hAnsi="Arial" w:cs="Arial"/>
                <w:noProof/>
              </w:rPr>
              <w:t>3.Options: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_Toc214799419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16</w:t>
            </w:r>
            <w:r w:rsidRPr="00552074">
              <w:rPr>
                <w:rFonts w:ascii="Arial" w:hAnsi="Arial" w:cs="Arial"/>
                <w:noProof/>
                <w:webHidden/>
              </w:rPr>
              <w:fldChar w:fldCharType="end"/>
            </w:r>
          </w:hyperlink>
        </w:p>
        <w:p w14:paraId="60870693" w14:textId="253391A1" w:rsidR="00DF38C2" w:rsidRPr="00552074" w:rsidRDefault="00DF38C2">
          <w:pPr>
            <w:pStyle w:val="TOC1"/>
            <w:tabs>
              <w:tab w:val="right" w:leader="dot" w:pos="9350"/>
            </w:tabs>
            <w:rPr>
              <w:rFonts w:ascii="Arial" w:eastAsiaTheme="minorEastAsia" w:hAnsi="Arial" w:cs="Arial"/>
              <w:noProof/>
              <w:sz w:val="24"/>
              <w:szCs w:val="24"/>
            </w:rPr>
          </w:pPr>
          <w:hyperlink w:anchor="_Toc214799420" w:history="1">
            <w:r w:rsidRPr="00552074">
              <w:rPr>
                <w:rStyle w:val="Hyperlink"/>
                <w:rFonts w:ascii="Arial" w:hAnsi="Arial" w:cs="Arial"/>
                <w:noProof/>
              </w:rPr>
              <w:t>3.Strategic Financial Restructuring Plan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_Toc214799420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17</w:t>
            </w:r>
            <w:r w:rsidRPr="00552074">
              <w:rPr>
                <w:rFonts w:ascii="Arial" w:hAnsi="Arial" w:cs="Arial"/>
                <w:noProof/>
                <w:webHidden/>
              </w:rPr>
              <w:fldChar w:fldCharType="end"/>
            </w:r>
          </w:hyperlink>
        </w:p>
        <w:p w14:paraId="371420A0" w14:textId="7ED83537" w:rsidR="00DF38C2" w:rsidRPr="00552074" w:rsidRDefault="00DF38C2">
          <w:pPr>
            <w:pStyle w:val="TOC2"/>
            <w:tabs>
              <w:tab w:val="right" w:leader="dot" w:pos="9350"/>
            </w:tabs>
            <w:rPr>
              <w:rFonts w:ascii="Arial" w:eastAsiaTheme="minorEastAsia" w:hAnsi="Arial" w:cs="Arial"/>
              <w:noProof/>
              <w:sz w:val="24"/>
              <w:szCs w:val="24"/>
            </w:rPr>
          </w:pPr>
          <w:hyperlink w:anchor="_Toc214799421" w:history="1">
            <w:r w:rsidRPr="00552074">
              <w:rPr>
                <w:rStyle w:val="Hyperlink"/>
                <w:rFonts w:ascii="Arial" w:hAnsi="Arial" w:cs="Arial"/>
                <w:noProof/>
              </w:rPr>
              <w:t>1.Financial restructuring options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_Toc214799421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18</w:t>
            </w:r>
            <w:r w:rsidRPr="00552074">
              <w:rPr>
                <w:rFonts w:ascii="Arial" w:hAnsi="Arial" w:cs="Arial"/>
                <w:noProof/>
                <w:webHidden/>
              </w:rPr>
              <w:fldChar w:fldCharType="end"/>
            </w:r>
          </w:hyperlink>
        </w:p>
        <w:p w14:paraId="1A347132" w14:textId="6435F00B" w:rsidR="00DF38C2" w:rsidRPr="00552074" w:rsidRDefault="00DF38C2">
          <w:pPr>
            <w:pStyle w:val="TOC2"/>
            <w:tabs>
              <w:tab w:val="right" w:leader="dot" w:pos="9350"/>
            </w:tabs>
            <w:rPr>
              <w:rFonts w:ascii="Arial" w:eastAsiaTheme="minorEastAsia" w:hAnsi="Arial" w:cs="Arial"/>
              <w:noProof/>
              <w:sz w:val="24"/>
              <w:szCs w:val="24"/>
            </w:rPr>
          </w:pPr>
          <w:hyperlink w:anchor="_Toc214799422" w:history="1">
            <w:r w:rsidRPr="00552074">
              <w:rPr>
                <w:rStyle w:val="Hyperlink"/>
                <w:rFonts w:ascii="Arial" w:hAnsi="Arial" w:cs="Arial"/>
                <w:noProof/>
              </w:rPr>
              <w:t>2.Impact Assessment</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_Toc214799422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19</w:t>
            </w:r>
            <w:r w:rsidRPr="00552074">
              <w:rPr>
                <w:rFonts w:ascii="Arial" w:hAnsi="Arial" w:cs="Arial"/>
                <w:noProof/>
                <w:webHidden/>
              </w:rPr>
              <w:fldChar w:fldCharType="end"/>
            </w:r>
          </w:hyperlink>
        </w:p>
        <w:p w14:paraId="68E7412F" w14:textId="09A7111B" w:rsidR="00DF38C2" w:rsidRPr="00552074" w:rsidRDefault="00DF38C2">
          <w:pPr>
            <w:pStyle w:val="TOC2"/>
            <w:tabs>
              <w:tab w:val="right" w:leader="dot" w:pos="9350"/>
            </w:tabs>
            <w:rPr>
              <w:rFonts w:ascii="Arial" w:eastAsiaTheme="minorEastAsia" w:hAnsi="Arial" w:cs="Arial"/>
              <w:noProof/>
              <w:sz w:val="24"/>
              <w:szCs w:val="24"/>
            </w:rPr>
          </w:pPr>
          <w:hyperlink w:anchor="_Toc214799423" w:history="1">
            <w:r w:rsidRPr="00552074">
              <w:rPr>
                <w:rStyle w:val="Hyperlink"/>
                <w:rFonts w:ascii="Arial" w:hAnsi="Arial" w:cs="Arial"/>
                <w:noProof/>
              </w:rPr>
              <w:t>3. International and Ethical Considerations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_Toc214799423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19</w:t>
            </w:r>
            <w:r w:rsidRPr="00552074">
              <w:rPr>
                <w:rFonts w:ascii="Arial" w:hAnsi="Arial" w:cs="Arial"/>
                <w:noProof/>
                <w:webHidden/>
              </w:rPr>
              <w:fldChar w:fldCharType="end"/>
            </w:r>
          </w:hyperlink>
        </w:p>
        <w:p w14:paraId="0ABCA6DB" w14:textId="1F924E6E" w:rsidR="00DF38C2" w:rsidRPr="00552074" w:rsidRDefault="00DF38C2">
          <w:pPr>
            <w:pStyle w:val="TOC2"/>
            <w:tabs>
              <w:tab w:val="right" w:leader="dot" w:pos="9350"/>
            </w:tabs>
            <w:rPr>
              <w:rFonts w:ascii="Arial" w:eastAsiaTheme="minorEastAsia" w:hAnsi="Arial" w:cs="Arial"/>
              <w:noProof/>
              <w:sz w:val="24"/>
              <w:szCs w:val="24"/>
            </w:rPr>
          </w:pPr>
          <w:hyperlink w:anchor="_Toc214799424" w:history="1">
            <w:r w:rsidRPr="00552074">
              <w:rPr>
                <w:rStyle w:val="Hyperlink"/>
                <w:rFonts w:ascii="Arial" w:hAnsi="Arial" w:cs="Arial"/>
                <w:noProof/>
              </w:rPr>
              <w:t>4. Implementation Roadmap</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20</w:t>
            </w:r>
            <w:r w:rsidRPr="00552074">
              <w:rPr>
                <w:rFonts w:ascii="Arial" w:hAnsi="Arial" w:cs="Arial"/>
                <w:noProof/>
                <w:webHidden/>
              </w:rPr>
              <w:fldChar w:fldCharType="end"/>
            </w:r>
          </w:hyperlink>
        </w:p>
        <w:p w14:paraId="0259DFED" w14:textId="0822083F" w:rsidR="00DF38C2" w:rsidRPr="00552074" w:rsidRDefault="00DF38C2">
          <w:pPr>
            <w:pStyle w:val="TOC1"/>
            <w:tabs>
              <w:tab w:val="right" w:leader="dot" w:pos="9350"/>
            </w:tabs>
            <w:rPr>
              <w:rFonts w:ascii="Arial" w:eastAsiaTheme="minorEastAsia" w:hAnsi="Arial" w:cs="Arial"/>
              <w:noProof/>
              <w:sz w:val="24"/>
              <w:szCs w:val="24"/>
            </w:rPr>
          </w:pPr>
          <w:hyperlink w:anchor="_Toc214799425" w:history="1">
            <w:r w:rsidRPr="00552074">
              <w:rPr>
                <w:rStyle w:val="Hyperlink"/>
                <w:rFonts w:ascii="Arial" w:hAnsi="Arial" w:cs="Arial"/>
                <w:noProof/>
              </w:rPr>
              <w:t>4.Investment Appraisal and Capital Budgeting</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21</w:t>
            </w:r>
            <w:r w:rsidRPr="00552074">
              <w:rPr>
                <w:rFonts w:ascii="Arial" w:hAnsi="Arial" w:cs="Arial"/>
                <w:noProof/>
                <w:webHidden/>
              </w:rPr>
              <w:fldChar w:fldCharType="end"/>
            </w:r>
          </w:hyperlink>
        </w:p>
        <w:p w14:paraId="4CF03BB2" w14:textId="08E623E9" w:rsidR="00DF38C2" w:rsidRPr="00552074" w:rsidRDefault="00DF38C2">
          <w:pPr>
            <w:pStyle w:val="TOC2"/>
            <w:tabs>
              <w:tab w:val="right" w:leader="dot" w:pos="9350"/>
            </w:tabs>
            <w:rPr>
              <w:rFonts w:ascii="Arial" w:eastAsiaTheme="minorEastAsia" w:hAnsi="Arial" w:cs="Arial"/>
              <w:noProof/>
              <w:sz w:val="24"/>
              <w:szCs w:val="24"/>
            </w:rPr>
          </w:pPr>
          <w:hyperlink w:anchor="_Toc214799426" w:history="1">
            <w:r w:rsidRPr="00552074">
              <w:rPr>
                <w:rStyle w:val="Hyperlink"/>
                <w:rFonts w:ascii="Arial" w:hAnsi="Arial" w:cs="Arial"/>
                <w:noProof/>
              </w:rPr>
              <w:t>1.Payback Period (PBP)</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_Toc214799426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22</w:t>
            </w:r>
            <w:r w:rsidRPr="00552074">
              <w:rPr>
                <w:rFonts w:ascii="Arial" w:hAnsi="Arial" w:cs="Arial"/>
                <w:noProof/>
                <w:webHidden/>
              </w:rPr>
              <w:fldChar w:fldCharType="end"/>
            </w:r>
          </w:hyperlink>
        </w:p>
        <w:p w14:paraId="372F0923" w14:textId="1D2C6618" w:rsidR="00DF38C2" w:rsidRPr="00552074" w:rsidRDefault="00DF38C2">
          <w:pPr>
            <w:pStyle w:val="TOC2"/>
            <w:tabs>
              <w:tab w:val="right" w:leader="dot" w:pos="9350"/>
            </w:tabs>
            <w:rPr>
              <w:rFonts w:ascii="Arial" w:eastAsiaTheme="minorEastAsia" w:hAnsi="Arial" w:cs="Arial"/>
              <w:noProof/>
              <w:sz w:val="24"/>
              <w:szCs w:val="24"/>
            </w:rPr>
          </w:pPr>
          <w:hyperlink w:anchor="_Toc214799427" w:history="1">
            <w:r w:rsidRPr="00552074">
              <w:rPr>
                <w:rStyle w:val="Hyperlink"/>
                <w:rFonts w:ascii="Arial" w:hAnsi="Arial" w:cs="Arial"/>
                <w:noProof/>
              </w:rPr>
              <w:t>2. Accounting Rate of Return (ARR)</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_Toc214799427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23</w:t>
            </w:r>
            <w:r w:rsidRPr="00552074">
              <w:rPr>
                <w:rFonts w:ascii="Arial" w:hAnsi="Arial" w:cs="Arial"/>
                <w:noProof/>
                <w:webHidden/>
              </w:rPr>
              <w:fldChar w:fldCharType="end"/>
            </w:r>
          </w:hyperlink>
        </w:p>
        <w:p w14:paraId="227E5CA8" w14:textId="516CB8B7" w:rsidR="00DF38C2" w:rsidRPr="00552074" w:rsidRDefault="00DF38C2">
          <w:pPr>
            <w:pStyle w:val="TOC2"/>
            <w:tabs>
              <w:tab w:val="right" w:leader="dot" w:pos="9350"/>
            </w:tabs>
            <w:rPr>
              <w:rFonts w:ascii="Arial" w:eastAsiaTheme="minorEastAsia" w:hAnsi="Arial" w:cs="Arial"/>
              <w:noProof/>
              <w:sz w:val="24"/>
              <w:szCs w:val="24"/>
            </w:rPr>
          </w:pPr>
          <w:hyperlink w:anchor="_Toc214799428" w:history="1">
            <w:r w:rsidRPr="00552074">
              <w:rPr>
                <w:rStyle w:val="Hyperlink"/>
                <w:rFonts w:ascii="Arial" w:hAnsi="Arial" w:cs="Arial"/>
                <w:noProof/>
              </w:rPr>
              <w:t>3.Net Present Value (NPV)</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_Toc214799428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23</w:t>
            </w:r>
            <w:r w:rsidRPr="00552074">
              <w:rPr>
                <w:rFonts w:ascii="Arial" w:hAnsi="Arial" w:cs="Arial"/>
                <w:noProof/>
                <w:webHidden/>
              </w:rPr>
              <w:fldChar w:fldCharType="end"/>
            </w:r>
          </w:hyperlink>
        </w:p>
        <w:p w14:paraId="64B563CF" w14:textId="22D5C7BD" w:rsidR="00DF38C2" w:rsidRPr="00552074" w:rsidRDefault="00DF38C2">
          <w:pPr>
            <w:pStyle w:val="TOC2"/>
            <w:tabs>
              <w:tab w:val="right" w:leader="dot" w:pos="9350"/>
            </w:tabs>
            <w:rPr>
              <w:rFonts w:ascii="Arial" w:eastAsiaTheme="minorEastAsia" w:hAnsi="Arial" w:cs="Arial"/>
              <w:noProof/>
              <w:sz w:val="24"/>
              <w:szCs w:val="24"/>
            </w:rPr>
          </w:pPr>
          <w:hyperlink w:anchor="_Toc214799429" w:history="1">
            <w:r w:rsidRPr="00552074">
              <w:rPr>
                <w:rStyle w:val="Hyperlink"/>
                <w:rFonts w:ascii="Arial" w:hAnsi="Arial" w:cs="Arial"/>
                <w:noProof/>
              </w:rPr>
              <w:t>4. Profitability Index (PI)</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_Toc214799429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24</w:t>
            </w:r>
            <w:r w:rsidRPr="00552074">
              <w:rPr>
                <w:rFonts w:ascii="Arial" w:hAnsi="Arial" w:cs="Arial"/>
                <w:noProof/>
                <w:webHidden/>
              </w:rPr>
              <w:fldChar w:fldCharType="end"/>
            </w:r>
          </w:hyperlink>
        </w:p>
        <w:p w14:paraId="1DC2E0AE" w14:textId="2F8D8BAF" w:rsidR="00DF38C2" w:rsidRPr="00552074" w:rsidRDefault="00DF38C2">
          <w:pPr>
            <w:pStyle w:val="TOC2"/>
            <w:tabs>
              <w:tab w:val="right" w:leader="dot" w:pos="9350"/>
            </w:tabs>
            <w:rPr>
              <w:rFonts w:ascii="Arial" w:eastAsiaTheme="minorEastAsia" w:hAnsi="Arial" w:cs="Arial"/>
              <w:noProof/>
              <w:sz w:val="24"/>
              <w:szCs w:val="24"/>
            </w:rPr>
          </w:pPr>
          <w:hyperlink w:anchor="_Toc214799430" w:history="1">
            <w:r w:rsidRPr="00552074">
              <w:rPr>
                <w:rStyle w:val="Hyperlink"/>
                <w:rFonts w:ascii="Arial" w:hAnsi="Arial" w:cs="Arial"/>
                <w:noProof/>
              </w:rPr>
              <w:t>5. Internal Rate of Return (IRR)</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_Toc214799430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25</w:t>
            </w:r>
            <w:r w:rsidRPr="00552074">
              <w:rPr>
                <w:rFonts w:ascii="Arial" w:hAnsi="Arial" w:cs="Arial"/>
                <w:noProof/>
                <w:webHidden/>
              </w:rPr>
              <w:fldChar w:fldCharType="end"/>
            </w:r>
          </w:hyperlink>
        </w:p>
        <w:p w14:paraId="58323CF0" w14:textId="7F5ED0E2" w:rsidR="00DF38C2" w:rsidRPr="00552074" w:rsidRDefault="00DF38C2">
          <w:pPr>
            <w:pStyle w:val="TOC2"/>
            <w:tabs>
              <w:tab w:val="right" w:leader="dot" w:pos="9350"/>
            </w:tabs>
            <w:rPr>
              <w:rFonts w:ascii="Arial" w:eastAsiaTheme="minorEastAsia" w:hAnsi="Arial" w:cs="Arial"/>
              <w:noProof/>
              <w:sz w:val="24"/>
              <w:szCs w:val="24"/>
            </w:rPr>
          </w:pPr>
          <w:hyperlink w:anchor="_Toc214799431" w:history="1">
            <w:r w:rsidRPr="00552074">
              <w:rPr>
                <w:rStyle w:val="Hyperlink"/>
                <w:rFonts w:ascii="Arial" w:hAnsi="Arial" w:cs="Arial"/>
                <w:noProof/>
              </w:rPr>
              <w:t>6. Capital Rationing Decision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_Toc214799431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25</w:t>
            </w:r>
            <w:r w:rsidRPr="00552074">
              <w:rPr>
                <w:rFonts w:ascii="Arial" w:hAnsi="Arial" w:cs="Arial"/>
                <w:noProof/>
                <w:webHidden/>
              </w:rPr>
              <w:fldChar w:fldCharType="end"/>
            </w:r>
          </w:hyperlink>
        </w:p>
        <w:p w14:paraId="1A58B934" w14:textId="6A8314C6" w:rsidR="00DF38C2" w:rsidRPr="00552074" w:rsidRDefault="00DF38C2">
          <w:pPr>
            <w:pStyle w:val="TOC2"/>
            <w:tabs>
              <w:tab w:val="right" w:leader="dot" w:pos="9350"/>
            </w:tabs>
            <w:rPr>
              <w:rFonts w:ascii="Arial" w:eastAsiaTheme="minorEastAsia" w:hAnsi="Arial" w:cs="Arial"/>
              <w:noProof/>
              <w:sz w:val="24"/>
              <w:szCs w:val="24"/>
            </w:rPr>
          </w:pPr>
          <w:hyperlink w:anchor="_Toc214799432" w:history="1">
            <w:r w:rsidRPr="00552074">
              <w:rPr>
                <w:rStyle w:val="Hyperlink"/>
                <w:rFonts w:ascii="Arial" w:hAnsi="Arial" w:cs="Arial"/>
                <w:noProof/>
              </w:rPr>
              <w:t>7. Justification of company’s financial performance</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_Toc214799432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26</w:t>
            </w:r>
            <w:r w:rsidRPr="00552074">
              <w:rPr>
                <w:rFonts w:ascii="Arial" w:hAnsi="Arial" w:cs="Arial"/>
                <w:noProof/>
                <w:webHidden/>
              </w:rPr>
              <w:fldChar w:fldCharType="end"/>
            </w:r>
          </w:hyperlink>
        </w:p>
        <w:p w14:paraId="58C5B696" w14:textId="2A23EA59" w:rsidR="00DF38C2" w:rsidRPr="00552074" w:rsidRDefault="00DF38C2">
          <w:pPr>
            <w:pStyle w:val="TOC1"/>
            <w:tabs>
              <w:tab w:val="right" w:leader="dot" w:pos="9350"/>
            </w:tabs>
            <w:rPr>
              <w:rFonts w:ascii="Arial" w:eastAsiaTheme="minorEastAsia" w:hAnsi="Arial" w:cs="Arial"/>
              <w:noProof/>
              <w:sz w:val="24"/>
              <w:szCs w:val="24"/>
            </w:rPr>
          </w:pPr>
          <w:hyperlink w:anchor="_Toc214799433" w:history="1">
            <w:r w:rsidRPr="00552074">
              <w:rPr>
                <w:rStyle w:val="Hyperlink"/>
                <w:rFonts w:ascii="Arial" w:hAnsi="Arial" w:cs="Arial"/>
                <w:noProof/>
              </w:rPr>
              <w:t>CONCLUSION</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_Toc214799433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27</w:t>
            </w:r>
            <w:r w:rsidRPr="00552074">
              <w:rPr>
                <w:rFonts w:ascii="Arial" w:hAnsi="Arial" w:cs="Arial"/>
                <w:noProof/>
                <w:webHidden/>
              </w:rPr>
              <w:fldChar w:fldCharType="end"/>
            </w:r>
          </w:hyperlink>
        </w:p>
        <w:p w14:paraId="33FA8943" w14:textId="57217943" w:rsidR="00DF38C2" w:rsidRPr="00552074" w:rsidRDefault="00DF38C2">
          <w:pPr>
            <w:pStyle w:val="TOC1"/>
            <w:tabs>
              <w:tab w:val="right" w:leader="dot" w:pos="9350"/>
            </w:tabs>
            <w:rPr>
              <w:rFonts w:ascii="Arial" w:eastAsiaTheme="minorEastAsia" w:hAnsi="Arial" w:cs="Arial"/>
              <w:noProof/>
              <w:sz w:val="24"/>
              <w:szCs w:val="24"/>
            </w:rPr>
          </w:pPr>
          <w:hyperlink w:anchor="_Toc214799434" w:history="1">
            <w:r w:rsidRPr="00552074">
              <w:rPr>
                <w:rStyle w:val="Hyperlink"/>
                <w:rFonts w:ascii="Arial" w:hAnsi="Arial" w:cs="Arial"/>
                <w:noProof/>
              </w:rPr>
              <w:t>REFERENCES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_Toc214799434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28</w:t>
            </w:r>
            <w:r w:rsidRPr="00552074">
              <w:rPr>
                <w:rFonts w:ascii="Arial" w:hAnsi="Arial" w:cs="Arial"/>
                <w:noProof/>
                <w:webHidden/>
              </w:rPr>
              <w:fldChar w:fldCharType="end"/>
            </w:r>
          </w:hyperlink>
        </w:p>
        <w:p w14:paraId="2D7090FA" w14:textId="39289A17" w:rsidR="00DF38C2" w:rsidRPr="00552074" w:rsidRDefault="00DF38C2">
          <w:pPr>
            <w:pStyle w:val="TOC1"/>
            <w:tabs>
              <w:tab w:val="right" w:leader="dot" w:pos="9350"/>
            </w:tabs>
            <w:rPr>
              <w:rFonts w:ascii="Arial" w:eastAsiaTheme="minorEastAsia" w:hAnsi="Arial" w:cs="Arial"/>
              <w:noProof/>
              <w:sz w:val="24"/>
              <w:szCs w:val="24"/>
            </w:rPr>
          </w:pPr>
          <w:hyperlink w:anchor="_Toc214799435" w:history="1">
            <w:r w:rsidRPr="00552074">
              <w:rPr>
                <w:rStyle w:val="Hyperlink"/>
                <w:rFonts w:ascii="Arial" w:hAnsi="Arial" w:cs="Arial"/>
                <w:noProof/>
              </w:rPr>
              <w:t>5.APPENDICES</w:t>
            </w:r>
            <w:r w:rsidRPr="00552074">
              <w:rPr>
                <w:rFonts w:ascii="Arial" w:hAnsi="Arial" w:cs="Arial"/>
                <w:noProof/>
                <w:webHidden/>
              </w:rPr>
              <w:tab/>
            </w:r>
            <w:r w:rsidRPr="00552074">
              <w:rPr>
                <w:rFonts w:ascii="Arial" w:hAnsi="Arial" w:cs="Arial"/>
                <w:noProof/>
                <w:webHidden/>
              </w:rPr>
              <w:fldChar w:fldCharType="begin"/>
            </w:r>
            <w:r w:rsidRPr="00552074">
              <w:rPr>
                <w:rFonts w:ascii="Arial" w:hAnsi="Arial" w:cs="Arial"/>
                <w:noProof/>
                <w:webHidden/>
              </w:rPr>
              <w:instrText xml:space="preserve"> PAGEREF _Toc214799435 \h </w:instrText>
            </w:r>
            <w:r w:rsidRPr="00552074">
              <w:rPr>
                <w:rFonts w:ascii="Arial" w:hAnsi="Arial" w:cs="Arial"/>
                <w:noProof/>
                <w:webHidden/>
              </w:rPr>
            </w:r>
            <w:r w:rsidRPr="00552074">
              <w:rPr>
                <w:rFonts w:ascii="Arial" w:hAnsi="Arial" w:cs="Arial"/>
                <w:noProof/>
                <w:webHidden/>
              </w:rPr>
              <w:fldChar w:fldCharType="separate"/>
            </w:r>
            <w:r w:rsidR="00451F22">
              <w:rPr>
                <w:rFonts w:ascii="Arial" w:hAnsi="Arial" w:cs="Arial"/>
                <w:noProof/>
                <w:webHidden/>
              </w:rPr>
              <w:t>30</w:t>
            </w:r>
            <w:r w:rsidRPr="00552074">
              <w:rPr>
                <w:rFonts w:ascii="Arial" w:hAnsi="Arial" w:cs="Arial"/>
                <w:noProof/>
                <w:webHidden/>
              </w:rPr>
              <w:fldChar w:fldCharType="end"/>
            </w:r>
          </w:hyperlink>
        </w:p>
        <w:p w14:paraId="08156B62" w14:textId="60456C52" w:rsidR="00DF38C2" w:rsidRDefault="00DF38C2">
          <w:r w:rsidRPr="003A0867">
            <w:rPr>
              <w:rFonts w:ascii="Arial" w:hAnsi="Arial" w:cs="Arial"/>
              <w:b/>
              <w:bCs/>
              <w:noProof/>
            </w:rPr>
            <w:fldChar w:fldCharType="end"/>
          </w:r>
        </w:p>
      </w:sdtContent>
    </w:sdt>
    <w:p w14:paraId="54A4C6C4" w14:textId="60456C52" w:rsidR="00354E0E" w:rsidRPr="0090307F" w:rsidRDefault="008B3536" w:rsidP="00865329">
      <w:pPr>
        <w:pStyle w:val="Heading1"/>
        <w:jc w:val="center"/>
        <w:rPr>
          <w:rFonts w:ascii="Arial" w:hAnsi="Arial" w:cs="Arial"/>
          <w:color w:val="auto"/>
          <w:sz w:val="32"/>
          <w:szCs w:val="32"/>
        </w:rPr>
      </w:pPr>
      <w:bookmarkStart w:id="0" w:name="_Toc214799404"/>
      <w:r w:rsidRPr="0090307F">
        <w:rPr>
          <w:rFonts w:ascii="Arial" w:hAnsi="Arial" w:cs="Arial"/>
          <w:color w:val="auto"/>
          <w:sz w:val="32"/>
          <w:szCs w:val="32"/>
        </w:rPr>
        <w:lastRenderedPageBreak/>
        <w:t>INTRODUCTION</w:t>
      </w:r>
      <w:bookmarkEnd w:id="0"/>
    </w:p>
    <w:p w14:paraId="1DEC50E1" w14:textId="77777777" w:rsidR="00111D54" w:rsidRPr="00E40CBF" w:rsidRDefault="00111D54" w:rsidP="00111D54">
      <w:pPr>
        <w:spacing w:line="360" w:lineRule="auto"/>
        <w:ind w:left="720"/>
        <w:rPr>
          <w:rFonts w:ascii="Arial" w:hAnsi="Arial" w:cs="Arial"/>
          <w:sz w:val="24"/>
          <w:szCs w:val="24"/>
        </w:rPr>
      </w:pPr>
    </w:p>
    <w:p w14:paraId="0DE7937F" w14:textId="77777777" w:rsidR="00111D54" w:rsidRPr="00E40CBF" w:rsidRDefault="00111D54" w:rsidP="00111D54">
      <w:pPr>
        <w:spacing w:line="360" w:lineRule="auto"/>
        <w:jc w:val="both"/>
        <w:rPr>
          <w:rFonts w:ascii="Arial" w:hAnsi="Arial" w:cs="Arial"/>
          <w:sz w:val="24"/>
          <w:szCs w:val="24"/>
        </w:rPr>
      </w:pPr>
      <w:r w:rsidRPr="00E40CBF">
        <w:rPr>
          <w:rFonts w:ascii="Arial" w:hAnsi="Arial" w:cs="Arial"/>
          <w:sz w:val="24"/>
          <w:szCs w:val="24"/>
        </w:rPr>
        <w:t>Finance Management is a key component of business sustainability and expansion, which offers the analytical framework used by organizations to evaluate performance, distribute resources, and make strategic choices. To stay competitive, companies must strike a balance between profitability, liquidity, efficiency, and solvency in a world economy that is becoming more and more unstable. While directing long-term restructuring strategies, managers can identify strengths, weaknesses, and potential risks by evaluating financial health through ratio analysis, cash flow assessment, and investment appraisal.</w:t>
      </w:r>
    </w:p>
    <w:p w14:paraId="081214C1" w14:textId="77777777" w:rsidR="00111D54" w:rsidRPr="00E40CBF" w:rsidRDefault="00111D54" w:rsidP="00111D54">
      <w:pPr>
        <w:spacing w:line="360" w:lineRule="auto"/>
        <w:jc w:val="both"/>
        <w:rPr>
          <w:rFonts w:ascii="Arial" w:hAnsi="Arial" w:cs="Arial"/>
          <w:sz w:val="24"/>
          <w:szCs w:val="24"/>
        </w:rPr>
      </w:pPr>
      <w:r w:rsidRPr="00E40CBF">
        <w:rPr>
          <w:rFonts w:ascii="Arial" w:hAnsi="Arial" w:cs="Arial"/>
          <w:sz w:val="24"/>
          <w:szCs w:val="24"/>
        </w:rPr>
        <w:t>The company's financial performance from 2020 to 2024 is critically examined in this report, with particular attention paid to profitability, liquidity, efficiency, gearing, and investment metrics. The analysis identifies both operational difficulties and chances for recovery by utilizing well-known financial management tools like Net Present Value (NPV), Internal Rate of Return (IRR), and the Altman Z-score. In order to restore shareholder value and guarantee sustainable growth, the study also looks at working capital management and strategic restructuring options like debt refinancing, equity infusion, and divestiture.</w:t>
      </w:r>
    </w:p>
    <w:p w14:paraId="38B2EAA2" w14:textId="77777777" w:rsidR="00111D54" w:rsidRPr="00E40CBF" w:rsidRDefault="00111D54" w:rsidP="00111D54">
      <w:pPr>
        <w:spacing w:line="360" w:lineRule="auto"/>
        <w:jc w:val="both"/>
        <w:rPr>
          <w:rFonts w:ascii="Arial" w:hAnsi="Arial" w:cs="Arial"/>
          <w:sz w:val="24"/>
          <w:szCs w:val="24"/>
        </w:rPr>
      </w:pPr>
      <w:r w:rsidRPr="00E40CBF">
        <w:rPr>
          <w:rFonts w:ascii="Arial" w:hAnsi="Arial" w:cs="Arial"/>
          <w:sz w:val="24"/>
          <w:szCs w:val="24"/>
        </w:rPr>
        <w:t>The conversation is based on current restructuring techniques and well-established         corporate finance theory, utilizing scholarly research and expert opinions. In doing so, the report offers a roadmap for future financial stability and strategic positioning in the global marketplace in addition to assessing past performance.</w:t>
      </w:r>
    </w:p>
    <w:p w14:paraId="516069CB" w14:textId="77777777" w:rsidR="00354E0E" w:rsidRPr="00E40CBF" w:rsidRDefault="00354E0E" w:rsidP="002A51A1">
      <w:pPr>
        <w:spacing w:line="360" w:lineRule="auto"/>
        <w:jc w:val="both"/>
        <w:rPr>
          <w:rFonts w:ascii="Arial" w:hAnsi="Arial" w:cs="Arial"/>
          <w:sz w:val="24"/>
          <w:szCs w:val="24"/>
          <w:u w:val="single"/>
        </w:rPr>
      </w:pPr>
    </w:p>
    <w:p w14:paraId="50B81DFF" w14:textId="77777777" w:rsidR="00354E0E" w:rsidRPr="00E40CBF" w:rsidRDefault="00354E0E" w:rsidP="002A51A1">
      <w:pPr>
        <w:spacing w:line="360" w:lineRule="auto"/>
        <w:jc w:val="both"/>
        <w:rPr>
          <w:rFonts w:ascii="Arial" w:hAnsi="Arial" w:cs="Arial"/>
          <w:sz w:val="24"/>
          <w:szCs w:val="24"/>
          <w:u w:val="single"/>
        </w:rPr>
      </w:pPr>
    </w:p>
    <w:p w14:paraId="053F89C0" w14:textId="77777777" w:rsidR="00354E0E" w:rsidRPr="00E40CBF" w:rsidRDefault="00354E0E" w:rsidP="0075108E">
      <w:pPr>
        <w:spacing w:line="360" w:lineRule="auto"/>
        <w:ind w:left="720"/>
        <w:jc w:val="both"/>
        <w:rPr>
          <w:rFonts w:ascii="Arial" w:hAnsi="Arial" w:cs="Arial"/>
          <w:sz w:val="24"/>
          <w:szCs w:val="24"/>
          <w:u w:val="single"/>
        </w:rPr>
      </w:pPr>
    </w:p>
    <w:p w14:paraId="5F6EC561" w14:textId="77777777" w:rsidR="00354E0E" w:rsidRPr="00E40CBF" w:rsidRDefault="00354E0E" w:rsidP="0075108E">
      <w:pPr>
        <w:spacing w:line="360" w:lineRule="auto"/>
        <w:ind w:left="720"/>
        <w:jc w:val="both"/>
        <w:rPr>
          <w:rFonts w:ascii="Arial" w:hAnsi="Arial" w:cs="Arial"/>
          <w:sz w:val="24"/>
          <w:szCs w:val="24"/>
          <w:u w:val="single"/>
        </w:rPr>
      </w:pPr>
    </w:p>
    <w:p w14:paraId="7A4B41A9" w14:textId="77777777" w:rsidR="00354E0E" w:rsidRPr="00E40CBF" w:rsidRDefault="00354E0E" w:rsidP="00111D54">
      <w:pPr>
        <w:spacing w:line="360" w:lineRule="auto"/>
        <w:jc w:val="both"/>
        <w:rPr>
          <w:rFonts w:ascii="Arial" w:hAnsi="Arial" w:cs="Arial"/>
          <w:sz w:val="24"/>
          <w:szCs w:val="24"/>
          <w:u w:val="single"/>
        </w:rPr>
      </w:pPr>
    </w:p>
    <w:p w14:paraId="70FE1CBF" w14:textId="04242926" w:rsidR="006E0A22" w:rsidRPr="00E40CBF" w:rsidRDefault="00CD4552" w:rsidP="00C9223C">
      <w:pPr>
        <w:pStyle w:val="Heading1"/>
        <w:rPr>
          <w:rFonts w:ascii="Arial" w:hAnsi="Arial" w:cs="Arial"/>
          <w:color w:val="auto"/>
          <w:sz w:val="36"/>
          <w:szCs w:val="36"/>
        </w:rPr>
      </w:pPr>
      <w:bookmarkStart w:id="1" w:name="_Toc214799405"/>
      <w:r w:rsidRPr="00E40CBF">
        <w:rPr>
          <w:rFonts w:ascii="Arial" w:hAnsi="Arial" w:cs="Arial"/>
          <w:color w:val="auto"/>
          <w:sz w:val="36"/>
          <w:szCs w:val="36"/>
        </w:rPr>
        <w:lastRenderedPageBreak/>
        <w:t>1.</w:t>
      </w:r>
      <w:r w:rsidR="00320366" w:rsidRPr="00E40CBF">
        <w:rPr>
          <w:rFonts w:ascii="Arial" w:hAnsi="Arial" w:cs="Arial"/>
          <w:color w:val="auto"/>
          <w:sz w:val="36"/>
          <w:szCs w:val="36"/>
        </w:rPr>
        <w:t>Financial Health Chec</w:t>
      </w:r>
      <w:r w:rsidR="008A4266" w:rsidRPr="00E40CBF">
        <w:rPr>
          <w:rFonts w:ascii="Arial" w:hAnsi="Arial" w:cs="Arial"/>
          <w:color w:val="auto"/>
          <w:sz w:val="36"/>
          <w:szCs w:val="36"/>
        </w:rPr>
        <w:t>k</w:t>
      </w:r>
      <w:bookmarkEnd w:id="1"/>
    </w:p>
    <w:p w14:paraId="173DF51F" w14:textId="77777777" w:rsidR="006E0A22" w:rsidRPr="00E40CBF" w:rsidRDefault="006E0A22" w:rsidP="0075108E">
      <w:pPr>
        <w:spacing w:line="360" w:lineRule="auto"/>
        <w:ind w:left="720"/>
        <w:jc w:val="both"/>
        <w:rPr>
          <w:rFonts w:ascii="Arial" w:hAnsi="Arial" w:cs="Arial"/>
          <w:sz w:val="24"/>
          <w:szCs w:val="24"/>
        </w:rPr>
      </w:pPr>
    </w:p>
    <w:p w14:paraId="71708500" w14:textId="487CA621" w:rsidR="006E0A22" w:rsidRPr="00E40CBF" w:rsidRDefault="006E0A22" w:rsidP="00C9223C">
      <w:pPr>
        <w:pStyle w:val="Heading2"/>
        <w:rPr>
          <w:rFonts w:ascii="Arial" w:hAnsi="Arial" w:cs="Arial"/>
          <w:color w:val="auto"/>
        </w:rPr>
      </w:pPr>
      <w:bookmarkStart w:id="2" w:name="_Toc214799406"/>
      <w:r w:rsidRPr="00E40CBF">
        <w:rPr>
          <w:rFonts w:ascii="Arial" w:hAnsi="Arial" w:cs="Arial"/>
          <w:color w:val="auto"/>
        </w:rPr>
        <w:t>1.Profibility</w:t>
      </w:r>
      <w:bookmarkEnd w:id="2"/>
    </w:p>
    <w:tbl>
      <w:tblPr>
        <w:tblpPr w:leftFromText="180" w:rightFromText="180" w:vertAnchor="text" w:horzAnchor="margin" w:tblpXSpec="center" w:tblpY="453"/>
        <w:tblW w:w="999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789"/>
        <w:gridCol w:w="966"/>
        <w:gridCol w:w="1010"/>
        <w:gridCol w:w="1010"/>
        <w:gridCol w:w="1010"/>
        <w:gridCol w:w="1212"/>
      </w:tblGrid>
      <w:tr w:rsidR="00E40CBF" w:rsidRPr="00E40CBF" w14:paraId="4A5547A9" w14:textId="77777777" w:rsidTr="00677489">
        <w:trPr>
          <w:trHeight w:val="488"/>
          <w:tblHeader/>
          <w:tblCellSpacing w:w="15" w:type="dxa"/>
        </w:trPr>
        <w:tc>
          <w:tcPr>
            <w:tcW w:w="4744" w:type="dxa"/>
            <w:vAlign w:val="center"/>
            <w:hideMark/>
          </w:tcPr>
          <w:p w14:paraId="220CAB35"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Ratio</w:t>
            </w:r>
          </w:p>
        </w:tc>
        <w:tc>
          <w:tcPr>
            <w:tcW w:w="936" w:type="dxa"/>
            <w:vAlign w:val="center"/>
            <w:hideMark/>
          </w:tcPr>
          <w:p w14:paraId="5B10DF3A"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2024</w:t>
            </w:r>
          </w:p>
        </w:tc>
        <w:tc>
          <w:tcPr>
            <w:tcW w:w="980" w:type="dxa"/>
            <w:vAlign w:val="center"/>
            <w:hideMark/>
          </w:tcPr>
          <w:p w14:paraId="31509F25"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2023</w:t>
            </w:r>
          </w:p>
        </w:tc>
        <w:tc>
          <w:tcPr>
            <w:tcW w:w="980" w:type="dxa"/>
            <w:vAlign w:val="center"/>
            <w:hideMark/>
          </w:tcPr>
          <w:p w14:paraId="7CF61791"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2022</w:t>
            </w:r>
          </w:p>
        </w:tc>
        <w:tc>
          <w:tcPr>
            <w:tcW w:w="980" w:type="dxa"/>
            <w:vAlign w:val="center"/>
            <w:hideMark/>
          </w:tcPr>
          <w:p w14:paraId="07F320AC"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2021</w:t>
            </w:r>
          </w:p>
        </w:tc>
        <w:tc>
          <w:tcPr>
            <w:tcW w:w="1167" w:type="dxa"/>
            <w:vAlign w:val="center"/>
            <w:hideMark/>
          </w:tcPr>
          <w:p w14:paraId="153917DD"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2020</w:t>
            </w:r>
          </w:p>
        </w:tc>
      </w:tr>
      <w:tr w:rsidR="00E40CBF" w:rsidRPr="00E40CBF" w14:paraId="0CCB3FE5" w14:textId="77777777" w:rsidTr="00677489">
        <w:trPr>
          <w:trHeight w:val="488"/>
          <w:tblCellSpacing w:w="15" w:type="dxa"/>
        </w:trPr>
        <w:tc>
          <w:tcPr>
            <w:tcW w:w="4744" w:type="dxa"/>
            <w:vAlign w:val="center"/>
            <w:hideMark/>
          </w:tcPr>
          <w:p w14:paraId="44AAF815"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Gross Margin (%)</w:t>
            </w:r>
          </w:p>
        </w:tc>
        <w:tc>
          <w:tcPr>
            <w:tcW w:w="936" w:type="dxa"/>
            <w:vAlign w:val="center"/>
            <w:hideMark/>
          </w:tcPr>
          <w:p w14:paraId="6DFC27BA"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28.9</w:t>
            </w:r>
          </w:p>
        </w:tc>
        <w:tc>
          <w:tcPr>
            <w:tcW w:w="980" w:type="dxa"/>
            <w:vAlign w:val="center"/>
            <w:hideMark/>
          </w:tcPr>
          <w:p w14:paraId="7D8CEC33"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23.2</w:t>
            </w:r>
          </w:p>
        </w:tc>
        <w:tc>
          <w:tcPr>
            <w:tcW w:w="980" w:type="dxa"/>
            <w:vAlign w:val="center"/>
            <w:hideMark/>
          </w:tcPr>
          <w:p w14:paraId="224E5472"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28.1</w:t>
            </w:r>
          </w:p>
        </w:tc>
        <w:tc>
          <w:tcPr>
            <w:tcW w:w="980" w:type="dxa"/>
            <w:vAlign w:val="center"/>
            <w:hideMark/>
          </w:tcPr>
          <w:p w14:paraId="320A4CE4"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28.8</w:t>
            </w:r>
          </w:p>
        </w:tc>
        <w:tc>
          <w:tcPr>
            <w:tcW w:w="1167" w:type="dxa"/>
            <w:vAlign w:val="center"/>
            <w:hideMark/>
          </w:tcPr>
          <w:p w14:paraId="50349880"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28.7</w:t>
            </w:r>
          </w:p>
        </w:tc>
      </w:tr>
      <w:tr w:rsidR="00E40CBF" w:rsidRPr="00E40CBF" w14:paraId="159F8356" w14:textId="77777777" w:rsidTr="00677489">
        <w:trPr>
          <w:trHeight w:val="488"/>
          <w:tblCellSpacing w:w="15" w:type="dxa"/>
        </w:trPr>
        <w:tc>
          <w:tcPr>
            <w:tcW w:w="4744" w:type="dxa"/>
            <w:vAlign w:val="center"/>
            <w:hideMark/>
          </w:tcPr>
          <w:p w14:paraId="6C5EDC0D"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Operating Margin (%)</w:t>
            </w:r>
          </w:p>
          <w:p w14:paraId="0E2CD0D8" w14:textId="77777777" w:rsidR="00677489" w:rsidRPr="00E40CBF" w:rsidRDefault="00677489" w:rsidP="0075108E">
            <w:pPr>
              <w:spacing w:line="360" w:lineRule="auto"/>
              <w:jc w:val="both"/>
              <w:rPr>
                <w:rFonts w:ascii="Arial" w:hAnsi="Arial" w:cs="Arial"/>
                <w:sz w:val="24"/>
                <w:szCs w:val="24"/>
              </w:rPr>
            </w:pPr>
          </w:p>
        </w:tc>
        <w:tc>
          <w:tcPr>
            <w:tcW w:w="936" w:type="dxa"/>
            <w:vAlign w:val="center"/>
            <w:hideMark/>
          </w:tcPr>
          <w:p w14:paraId="68549428"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-3.9</w:t>
            </w:r>
          </w:p>
        </w:tc>
        <w:tc>
          <w:tcPr>
            <w:tcW w:w="980" w:type="dxa"/>
            <w:vAlign w:val="center"/>
            <w:hideMark/>
          </w:tcPr>
          <w:p w14:paraId="0FC4AA63"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-20.3</w:t>
            </w:r>
          </w:p>
        </w:tc>
        <w:tc>
          <w:tcPr>
            <w:tcW w:w="980" w:type="dxa"/>
            <w:vAlign w:val="center"/>
            <w:hideMark/>
          </w:tcPr>
          <w:p w14:paraId="06C94201"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2.7</w:t>
            </w:r>
          </w:p>
        </w:tc>
        <w:tc>
          <w:tcPr>
            <w:tcW w:w="980" w:type="dxa"/>
            <w:vAlign w:val="center"/>
            <w:hideMark/>
          </w:tcPr>
          <w:p w14:paraId="71F5D004"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3.9</w:t>
            </w:r>
          </w:p>
        </w:tc>
        <w:tc>
          <w:tcPr>
            <w:tcW w:w="1167" w:type="dxa"/>
            <w:vAlign w:val="center"/>
            <w:hideMark/>
          </w:tcPr>
          <w:p w14:paraId="7E3A175F"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6.1</w:t>
            </w:r>
          </w:p>
        </w:tc>
      </w:tr>
      <w:tr w:rsidR="00E40CBF" w:rsidRPr="00E40CBF" w14:paraId="44C8FD5C" w14:textId="77777777" w:rsidTr="00677489">
        <w:trPr>
          <w:trHeight w:val="476"/>
          <w:tblCellSpacing w:w="15" w:type="dxa"/>
        </w:trPr>
        <w:tc>
          <w:tcPr>
            <w:tcW w:w="4744" w:type="dxa"/>
            <w:vAlign w:val="center"/>
            <w:hideMark/>
          </w:tcPr>
          <w:p w14:paraId="237E3C68"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Net Margin (%)</w:t>
            </w:r>
          </w:p>
        </w:tc>
        <w:tc>
          <w:tcPr>
            <w:tcW w:w="936" w:type="dxa"/>
            <w:vAlign w:val="center"/>
            <w:hideMark/>
          </w:tcPr>
          <w:p w14:paraId="3CE0242B"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-6.1</w:t>
            </w:r>
          </w:p>
        </w:tc>
        <w:tc>
          <w:tcPr>
            <w:tcW w:w="980" w:type="dxa"/>
            <w:vAlign w:val="center"/>
            <w:hideMark/>
          </w:tcPr>
          <w:p w14:paraId="7DD85CE9"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-23.4</w:t>
            </w:r>
          </w:p>
        </w:tc>
        <w:tc>
          <w:tcPr>
            <w:tcW w:w="980" w:type="dxa"/>
            <w:vAlign w:val="center"/>
            <w:hideMark/>
          </w:tcPr>
          <w:p w14:paraId="707147EF"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0.1</w:t>
            </w:r>
          </w:p>
        </w:tc>
        <w:tc>
          <w:tcPr>
            <w:tcW w:w="980" w:type="dxa"/>
            <w:vAlign w:val="center"/>
            <w:hideMark/>
          </w:tcPr>
          <w:p w14:paraId="44E18E3D"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0.9</w:t>
            </w:r>
          </w:p>
        </w:tc>
        <w:tc>
          <w:tcPr>
            <w:tcW w:w="1167" w:type="dxa"/>
            <w:vAlign w:val="center"/>
            <w:hideMark/>
          </w:tcPr>
          <w:p w14:paraId="1C1AA217"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6.3</w:t>
            </w:r>
          </w:p>
        </w:tc>
      </w:tr>
      <w:tr w:rsidR="00E40CBF" w:rsidRPr="00E40CBF" w14:paraId="5FDA9A6A" w14:textId="77777777" w:rsidTr="00677489">
        <w:trPr>
          <w:trHeight w:val="488"/>
          <w:tblCellSpacing w:w="15" w:type="dxa"/>
        </w:trPr>
        <w:tc>
          <w:tcPr>
            <w:tcW w:w="4744" w:type="dxa"/>
            <w:vAlign w:val="center"/>
            <w:hideMark/>
          </w:tcPr>
          <w:p w14:paraId="6DAC8451"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ROE (%)</w:t>
            </w:r>
          </w:p>
        </w:tc>
        <w:tc>
          <w:tcPr>
            <w:tcW w:w="936" w:type="dxa"/>
            <w:vAlign w:val="center"/>
            <w:hideMark/>
          </w:tcPr>
          <w:p w14:paraId="0E5D05B9"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-15.7</w:t>
            </w:r>
          </w:p>
        </w:tc>
        <w:tc>
          <w:tcPr>
            <w:tcW w:w="980" w:type="dxa"/>
            <w:vAlign w:val="center"/>
            <w:hideMark/>
          </w:tcPr>
          <w:p w14:paraId="21B14C12"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-54.9</w:t>
            </w:r>
          </w:p>
        </w:tc>
        <w:tc>
          <w:tcPr>
            <w:tcW w:w="980" w:type="dxa"/>
            <w:vAlign w:val="center"/>
            <w:hideMark/>
          </w:tcPr>
          <w:p w14:paraId="29C01B6B"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0.2</w:t>
            </w:r>
          </w:p>
        </w:tc>
        <w:tc>
          <w:tcPr>
            <w:tcW w:w="980" w:type="dxa"/>
            <w:vAlign w:val="center"/>
            <w:hideMark/>
          </w:tcPr>
          <w:p w14:paraId="49E89949"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1.9</w:t>
            </w:r>
          </w:p>
        </w:tc>
        <w:tc>
          <w:tcPr>
            <w:tcW w:w="1167" w:type="dxa"/>
            <w:vAlign w:val="center"/>
            <w:hideMark/>
          </w:tcPr>
          <w:p w14:paraId="7B4D4EF2" w14:textId="77777777" w:rsidR="00677489" w:rsidRPr="00E40CBF" w:rsidRDefault="00677489" w:rsidP="0075108E">
            <w:pPr>
              <w:spacing w:line="360" w:lineRule="auto"/>
              <w:jc w:val="both"/>
              <w:rPr>
                <w:rFonts w:ascii="Arial" w:hAnsi="Arial" w:cs="Arial"/>
                <w:sz w:val="24"/>
                <w:szCs w:val="24"/>
              </w:rPr>
            </w:pPr>
            <w:r w:rsidRPr="00E40CBF">
              <w:rPr>
                <w:rFonts w:ascii="Arial" w:hAnsi="Arial" w:cs="Arial"/>
                <w:sz w:val="24"/>
                <w:szCs w:val="24"/>
              </w:rPr>
              <w:t>12.3</w:t>
            </w:r>
          </w:p>
        </w:tc>
      </w:tr>
    </w:tbl>
    <w:p w14:paraId="0D33B5A0" w14:textId="77777777" w:rsidR="006E0A22" w:rsidRPr="00E40CBF" w:rsidRDefault="006E0A22" w:rsidP="0075108E">
      <w:pPr>
        <w:spacing w:line="360" w:lineRule="auto"/>
        <w:jc w:val="both"/>
        <w:rPr>
          <w:rFonts w:ascii="Arial" w:hAnsi="Arial" w:cs="Arial"/>
          <w:sz w:val="24"/>
          <w:szCs w:val="24"/>
        </w:rPr>
      </w:pPr>
    </w:p>
    <w:p w14:paraId="6A59CEFA" w14:textId="77777777" w:rsidR="006E0A22" w:rsidRPr="00E40CBF" w:rsidRDefault="006E0A22" w:rsidP="0075108E">
      <w:pPr>
        <w:spacing w:line="360" w:lineRule="auto"/>
        <w:jc w:val="both"/>
        <w:rPr>
          <w:rFonts w:ascii="Arial" w:hAnsi="Arial" w:cs="Arial"/>
          <w:sz w:val="24"/>
          <w:szCs w:val="24"/>
        </w:rPr>
      </w:pPr>
    </w:p>
    <w:p w14:paraId="539AC405" w14:textId="77777777" w:rsidR="006E0A22" w:rsidRPr="00E40CBF" w:rsidRDefault="006E0A22" w:rsidP="0075108E">
      <w:pPr>
        <w:spacing w:line="360" w:lineRule="auto"/>
        <w:jc w:val="both"/>
        <w:rPr>
          <w:rFonts w:ascii="Arial" w:hAnsi="Arial" w:cs="Arial"/>
          <w:sz w:val="24"/>
          <w:szCs w:val="24"/>
        </w:rPr>
      </w:pPr>
    </w:p>
    <w:p w14:paraId="157C6EFC" w14:textId="22A748DA" w:rsidR="00DE4A3D" w:rsidRPr="00E40CBF" w:rsidRDefault="00E6385C" w:rsidP="0075108E">
      <w:pPr>
        <w:pStyle w:val="ListParagraph"/>
        <w:numPr>
          <w:ilvl w:val="0"/>
          <w:numId w:val="35"/>
        </w:numPr>
        <w:spacing w:line="360" w:lineRule="auto"/>
        <w:jc w:val="both"/>
        <w:rPr>
          <w:rFonts w:ascii="Arial" w:hAnsi="Arial" w:cs="Arial"/>
          <w:sz w:val="24"/>
          <w:szCs w:val="24"/>
        </w:rPr>
      </w:pPr>
      <w:r w:rsidRPr="00E40CBF">
        <w:rPr>
          <w:rFonts w:ascii="Arial" w:hAnsi="Arial" w:cs="Arial"/>
          <w:sz w:val="24"/>
          <w:szCs w:val="24"/>
        </w:rPr>
        <w:t xml:space="preserve">Gross Margin </w:t>
      </w:r>
      <w:r w:rsidR="00BC6603" w:rsidRPr="00E40CBF">
        <w:rPr>
          <w:rFonts w:ascii="Arial" w:hAnsi="Arial" w:cs="Arial"/>
          <w:sz w:val="24"/>
          <w:szCs w:val="24"/>
        </w:rPr>
        <w:t>=</w:t>
      </w:r>
      <w:r w:rsidRPr="00E40CBF">
        <w:rPr>
          <w:rFonts w:ascii="Arial" w:hAnsi="Arial" w:cs="Arial"/>
          <w:sz w:val="24"/>
          <w:szCs w:val="24"/>
        </w:rPr>
        <w:t xml:space="preserve"> (Gross Profit / Revenue) x 100</w:t>
      </w:r>
      <w:r w:rsidR="00DE4A3D" w:rsidRPr="00E40CBF">
        <w:rPr>
          <w:rFonts w:ascii="Arial" w:hAnsi="Arial" w:cs="Arial"/>
          <w:sz w:val="24"/>
          <w:szCs w:val="24"/>
        </w:rPr>
        <w:t xml:space="preserve">                </w:t>
      </w:r>
    </w:p>
    <w:p w14:paraId="1BF85F91" w14:textId="2F2A67F1" w:rsidR="00912F7D" w:rsidRPr="00E40CBF" w:rsidRDefault="00957DEA" w:rsidP="0075108E">
      <w:pPr>
        <w:spacing w:line="360" w:lineRule="auto"/>
        <w:jc w:val="both"/>
        <w:rPr>
          <w:rFonts w:ascii="Arial" w:hAnsi="Arial" w:cs="Arial"/>
          <w:sz w:val="24"/>
          <w:szCs w:val="24"/>
        </w:rPr>
      </w:pPr>
      <w:r w:rsidRPr="00E40CBF">
        <w:rPr>
          <w:rFonts w:ascii="Arial" w:hAnsi="Arial" w:cs="Arial"/>
          <w:sz w:val="24"/>
          <w:szCs w:val="24"/>
        </w:rPr>
        <w:t>The gross profit margin dropped to a pitiful 28.9 in 2024 from an estimated 28.7 in 2020, indicating a slight control over costs but insufficient to counteract declining sales. In 2020 and 2021, its operating margin was 6.2% and 3.9%, respectively. In 2023 and 2024, it was 20.3 and 3.9 percent, respectively. The primary cause of this is the significant rise in operating expenses in 2023, which saw a sharp increase from 2020 (oil and gas operation costs of 138.9 billion and impairment losses of 138.9 billion, respectively) to 2023 (182.9 billion and 182.9 billion, respectively).</w:t>
      </w:r>
    </w:p>
    <w:p w14:paraId="6BB8181B" w14:textId="77777777" w:rsidR="00957DEA" w:rsidRPr="00E40CBF" w:rsidRDefault="00957DEA" w:rsidP="0075108E">
      <w:pPr>
        <w:spacing w:line="360" w:lineRule="auto"/>
        <w:jc w:val="both"/>
        <w:rPr>
          <w:rFonts w:ascii="Arial" w:hAnsi="Arial" w:cs="Arial"/>
          <w:sz w:val="24"/>
          <w:szCs w:val="24"/>
        </w:rPr>
      </w:pPr>
    </w:p>
    <w:p w14:paraId="5C4E7A23" w14:textId="77777777" w:rsidR="006E0A22" w:rsidRPr="00E40CBF" w:rsidRDefault="006E0A22" w:rsidP="0075108E">
      <w:pPr>
        <w:spacing w:line="360" w:lineRule="auto"/>
        <w:jc w:val="both"/>
        <w:rPr>
          <w:rFonts w:ascii="Arial" w:hAnsi="Arial" w:cs="Arial"/>
          <w:sz w:val="24"/>
          <w:szCs w:val="24"/>
        </w:rPr>
      </w:pPr>
    </w:p>
    <w:p w14:paraId="1172EA10" w14:textId="77777777" w:rsidR="006E0A22" w:rsidRPr="00E40CBF" w:rsidRDefault="006E0A22" w:rsidP="0075108E">
      <w:pPr>
        <w:spacing w:line="360" w:lineRule="auto"/>
        <w:jc w:val="both"/>
        <w:rPr>
          <w:rFonts w:ascii="Arial" w:hAnsi="Arial" w:cs="Arial"/>
          <w:sz w:val="24"/>
          <w:szCs w:val="24"/>
        </w:rPr>
      </w:pPr>
    </w:p>
    <w:p w14:paraId="4B8DEB57" w14:textId="77777777" w:rsidR="006E0A22" w:rsidRPr="00E40CBF" w:rsidRDefault="006E0A22" w:rsidP="0075108E">
      <w:pPr>
        <w:spacing w:line="360" w:lineRule="auto"/>
        <w:jc w:val="both"/>
        <w:rPr>
          <w:rFonts w:ascii="Arial" w:hAnsi="Arial" w:cs="Arial"/>
          <w:sz w:val="24"/>
          <w:szCs w:val="24"/>
        </w:rPr>
      </w:pPr>
    </w:p>
    <w:p w14:paraId="3655E050" w14:textId="77777777" w:rsidR="006E0A22" w:rsidRPr="00E40CBF" w:rsidRDefault="006E0A22" w:rsidP="0075108E">
      <w:pPr>
        <w:spacing w:line="360" w:lineRule="auto"/>
        <w:jc w:val="both"/>
        <w:rPr>
          <w:rFonts w:ascii="Arial" w:hAnsi="Arial" w:cs="Arial"/>
          <w:sz w:val="24"/>
          <w:szCs w:val="24"/>
        </w:rPr>
      </w:pPr>
    </w:p>
    <w:p w14:paraId="40198B1E" w14:textId="225A4C2E" w:rsidR="006E0A22" w:rsidRPr="00E40CBF" w:rsidRDefault="00090269" w:rsidP="0075108E">
      <w:pPr>
        <w:pStyle w:val="ListParagraph"/>
        <w:numPr>
          <w:ilvl w:val="0"/>
          <w:numId w:val="7"/>
        </w:numPr>
        <w:spacing w:line="360" w:lineRule="auto"/>
        <w:jc w:val="both"/>
        <w:rPr>
          <w:rFonts w:ascii="Arial" w:hAnsi="Arial" w:cs="Arial"/>
          <w:sz w:val="24"/>
          <w:szCs w:val="24"/>
        </w:rPr>
      </w:pPr>
      <w:r w:rsidRPr="00E40CBF">
        <w:rPr>
          <w:rFonts w:ascii="Arial" w:hAnsi="Arial" w:cs="Arial"/>
          <w:sz w:val="24"/>
          <w:szCs w:val="24"/>
        </w:rPr>
        <w:lastRenderedPageBreak/>
        <w:t xml:space="preserve">Operating Margin </w:t>
      </w:r>
      <w:r w:rsidR="008A4266" w:rsidRPr="00E40CBF">
        <w:rPr>
          <w:rFonts w:ascii="Arial" w:hAnsi="Arial" w:cs="Arial"/>
          <w:sz w:val="24"/>
          <w:szCs w:val="24"/>
        </w:rPr>
        <w:t>= (Operating Income / Revenue) x 100</w:t>
      </w:r>
    </w:p>
    <w:p w14:paraId="6B667490" w14:textId="1471548E" w:rsidR="008A4266" w:rsidRPr="00E40CBF" w:rsidRDefault="00090269" w:rsidP="0075108E">
      <w:pPr>
        <w:spacing w:line="360" w:lineRule="auto"/>
        <w:jc w:val="both"/>
        <w:rPr>
          <w:rFonts w:ascii="Arial" w:hAnsi="Arial" w:cs="Arial"/>
          <w:sz w:val="24"/>
          <w:szCs w:val="24"/>
        </w:rPr>
      </w:pPr>
      <w:r w:rsidRPr="00E40CBF">
        <w:rPr>
          <w:rFonts w:ascii="Arial" w:hAnsi="Arial" w:cs="Arial"/>
          <w:sz w:val="24"/>
          <w:szCs w:val="24"/>
        </w:rPr>
        <w:t>The operating margin, which reflects profitability after operating expenses, shows a more dramatic trend. From 2020 to 2022, the company's margins remained positive, reaching a peak of 6.1% in 2020 before progressively dropping to 2.7% in 2022. It fell sharply to -20.3% in 2023, indicating significant operating losses that might have been brought on by increased marketing, administrative, or restructuring expenses. Thankfully, this improved to -3.9% in 2024, which is still negative but indicates a notable improvement in operational control.</w:t>
      </w:r>
    </w:p>
    <w:p w14:paraId="67B7A4E4" w14:textId="77777777" w:rsidR="006E0A22" w:rsidRPr="00E40CBF" w:rsidRDefault="006E0A22" w:rsidP="0075108E">
      <w:pPr>
        <w:spacing w:line="360" w:lineRule="auto"/>
        <w:jc w:val="both"/>
        <w:rPr>
          <w:rFonts w:ascii="Arial" w:hAnsi="Arial" w:cs="Arial"/>
          <w:sz w:val="24"/>
          <w:szCs w:val="24"/>
        </w:rPr>
      </w:pPr>
    </w:p>
    <w:p w14:paraId="103B1403" w14:textId="2B96F75F" w:rsidR="00BC6603" w:rsidRPr="00E40CBF" w:rsidRDefault="00BC6603" w:rsidP="0075108E">
      <w:pPr>
        <w:pStyle w:val="ListParagraph"/>
        <w:numPr>
          <w:ilvl w:val="0"/>
          <w:numId w:val="7"/>
        </w:numPr>
        <w:spacing w:line="360" w:lineRule="auto"/>
        <w:jc w:val="both"/>
        <w:rPr>
          <w:rFonts w:ascii="Arial" w:hAnsi="Arial" w:cs="Arial"/>
          <w:sz w:val="24"/>
          <w:szCs w:val="24"/>
        </w:rPr>
      </w:pPr>
      <w:r w:rsidRPr="00E40CBF">
        <w:rPr>
          <w:rFonts w:ascii="Arial" w:hAnsi="Arial" w:cs="Arial"/>
          <w:sz w:val="24"/>
          <w:szCs w:val="24"/>
        </w:rPr>
        <w:t>Net Margin</w:t>
      </w:r>
      <w:r w:rsidR="008A4266" w:rsidRPr="00E40CBF">
        <w:rPr>
          <w:rFonts w:ascii="Arial" w:hAnsi="Arial" w:cs="Arial"/>
          <w:sz w:val="24"/>
          <w:szCs w:val="24"/>
        </w:rPr>
        <w:t xml:space="preserve"> = </w:t>
      </w:r>
      <w:r w:rsidRPr="00E40CBF">
        <w:rPr>
          <w:rFonts w:ascii="Arial" w:hAnsi="Arial" w:cs="Arial"/>
          <w:sz w:val="24"/>
          <w:szCs w:val="24"/>
        </w:rPr>
        <w:t>(Ne</w:t>
      </w:r>
      <w:r w:rsidR="008A4266" w:rsidRPr="00E40CBF">
        <w:rPr>
          <w:rFonts w:ascii="Arial" w:hAnsi="Arial" w:cs="Arial"/>
          <w:sz w:val="24"/>
          <w:szCs w:val="24"/>
        </w:rPr>
        <w:t>t</w:t>
      </w:r>
      <w:r w:rsidRPr="00E40CBF">
        <w:rPr>
          <w:rFonts w:ascii="Arial" w:hAnsi="Arial" w:cs="Arial"/>
          <w:sz w:val="24"/>
          <w:szCs w:val="24"/>
        </w:rPr>
        <w:t xml:space="preserve"> Profit / Revenue) x 100</w:t>
      </w:r>
      <w:r w:rsidRPr="00E40CBF">
        <w:rPr>
          <w:rFonts w:ascii="Arial" w:hAnsi="Arial" w:cs="Arial"/>
          <w:sz w:val="24"/>
          <w:szCs w:val="24"/>
        </w:rPr>
        <w:tab/>
      </w:r>
    </w:p>
    <w:p w14:paraId="7781FB2B" w14:textId="562606C2" w:rsidR="00BC6603" w:rsidRPr="00E40CBF" w:rsidRDefault="00BC6603" w:rsidP="0075108E">
      <w:pPr>
        <w:tabs>
          <w:tab w:val="left" w:pos="5916"/>
        </w:tabs>
        <w:spacing w:line="360" w:lineRule="auto"/>
        <w:jc w:val="both"/>
        <w:rPr>
          <w:rFonts w:ascii="Arial" w:hAnsi="Arial" w:cs="Arial"/>
          <w:sz w:val="24"/>
          <w:szCs w:val="24"/>
        </w:rPr>
      </w:pPr>
      <w:r w:rsidRPr="00E40CBF">
        <w:rPr>
          <w:rFonts w:ascii="Arial" w:hAnsi="Arial" w:cs="Arial"/>
          <w:sz w:val="24"/>
          <w:szCs w:val="24"/>
        </w:rPr>
        <w:t>Furthermore,</w:t>
      </w:r>
      <w:r w:rsidR="008A4266" w:rsidRPr="00E40CBF">
        <w:rPr>
          <w:rFonts w:ascii="Arial" w:hAnsi="Arial" w:cs="Arial"/>
          <w:sz w:val="24"/>
          <w:szCs w:val="24"/>
        </w:rPr>
        <w:t xml:space="preserve"> </w:t>
      </w:r>
      <w:r w:rsidRPr="00E40CBF">
        <w:rPr>
          <w:rFonts w:ascii="Arial" w:hAnsi="Arial" w:cs="Arial"/>
          <w:sz w:val="24"/>
          <w:szCs w:val="24"/>
        </w:rPr>
        <w:t>The net margin which is the profitability of the business after all costs, interest, and taxes are deducted. From 2020 to 2022, it was positive (ranging from 6.3% to 0.1%), but in 2023, it sharply declined to -23.4%, indicating significant losses. Although it is still not profitable, the company's 2024 loss decreased to -6.1%, indicating progress toward financial recovery.</w:t>
      </w:r>
    </w:p>
    <w:p w14:paraId="0AE81F56" w14:textId="77777777" w:rsidR="00BC6603" w:rsidRPr="00E40CBF" w:rsidRDefault="00BC6603" w:rsidP="0075108E">
      <w:pPr>
        <w:tabs>
          <w:tab w:val="left" w:pos="5916"/>
        </w:tabs>
        <w:spacing w:line="360" w:lineRule="auto"/>
        <w:jc w:val="both"/>
        <w:rPr>
          <w:rFonts w:ascii="Arial" w:hAnsi="Arial" w:cs="Arial"/>
          <w:sz w:val="24"/>
          <w:szCs w:val="24"/>
        </w:rPr>
      </w:pPr>
    </w:p>
    <w:p w14:paraId="5090515E" w14:textId="7078AFE5" w:rsidR="00BC6603" w:rsidRPr="00E40CBF" w:rsidRDefault="00BC6603" w:rsidP="0075108E">
      <w:pPr>
        <w:pStyle w:val="ListParagraph"/>
        <w:numPr>
          <w:ilvl w:val="0"/>
          <w:numId w:val="7"/>
        </w:numPr>
        <w:spacing w:line="360" w:lineRule="auto"/>
        <w:jc w:val="both"/>
        <w:rPr>
          <w:rFonts w:ascii="Arial" w:hAnsi="Arial" w:cs="Arial"/>
          <w:sz w:val="24"/>
          <w:szCs w:val="24"/>
        </w:rPr>
      </w:pPr>
      <w:r w:rsidRPr="00E40CBF">
        <w:rPr>
          <w:rFonts w:ascii="Arial" w:hAnsi="Arial" w:cs="Arial"/>
          <w:sz w:val="24"/>
          <w:szCs w:val="24"/>
        </w:rPr>
        <w:t>ROE</w:t>
      </w:r>
      <w:r w:rsidR="008A4266" w:rsidRPr="00E40CBF">
        <w:rPr>
          <w:rFonts w:ascii="Arial" w:hAnsi="Arial" w:cs="Arial"/>
          <w:sz w:val="24"/>
          <w:szCs w:val="24"/>
        </w:rPr>
        <w:t xml:space="preserve"> = (</w:t>
      </w:r>
      <w:r w:rsidRPr="00E40CBF">
        <w:rPr>
          <w:rFonts w:ascii="Arial" w:hAnsi="Arial" w:cs="Arial"/>
          <w:sz w:val="24"/>
          <w:szCs w:val="24"/>
        </w:rPr>
        <w:t>Net Income / Shareholder's Equity</w:t>
      </w:r>
      <w:r w:rsidR="008A4266" w:rsidRPr="00E40CBF">
        <w:rPr>
          <w:rFonts w:ascii="Arial" w:hAnsi="Arial" w:cs="Arial"/>
          <w:sz w:val="24"/>
          <w:szCs w:val="24"/>
        </w:rPr>
        <w:t>)</w:t>
      </w:r>
    </w:p>
    <w:p w14:paraId="14F11546" w14:textId="3F18FC4D" w:rsidR="00CC76F0" w:rsidRPr="00E40CBF" w:rsidRDefault="00BC6603" w:rsidP="0075108E">
      <w:pPr>
        <w:tabs>
          <w:tab w:val="left" w:pos="5916"/>
        </w:tabs>
        <w:spacing w:line="360" w:lineRule="auto"/>
        <w:jc w:val="both"/>
        <w:rPr>
          <w:rFonts w:ascii="Arial" w:hAnsi="Arial" w:cs="Arial"/>
          <w:sz w:val="24"/>
          <w:szCs w:val="24"/>
        </w:rPr>
      </w:pPr>
      <w:r w:rsidRPr="00E40CBF">
        <w:rPr>
          <w:rFonts w:ascii="Arial" w:hAnsi="Arial" w:cs="Arial"/>
          <w:sz w:val="24"/>
          <w:szCs w:val="24"/>
        </w:rPr>
        <w:t>Finally, the return on equity (ROE), which is a gauge of how well the business makes money off of the equity held by shareholders. 2020's ROE of 12.3% demonstrated a strong use of equity to produce profit. In the years that followed, it dropped precipitously, hitting a low of -54.9% in 2023, indicating significant losses in comparison to equity. In 2024, ROE improved to -15.7%, indicating a recovery once more but still showing negative returns for shareholders.</w:t>
      </w:r>
    </w:p>
    <w:p w14:paraId="6EDD1425" w14:textId="77777777" w:rsidR="004A2252" w:rsidRPr="00E40CBF" w:rsidRDefault="004A2252" w:rsidP="0075108E">
      <w:pPr>
        <w:tabs>
          <w:tab w:val="left" w:pos="5916"/>
        </w:tabs>
        <w:spacing w:line="360" w:lineRule="auto"/>
        <w:jc w:val="both"/>
        <w:rPr>
          <w:rFonts w:ascii="Arial" w:hAnsi="Arial" w:cs="Arial"/>
          <w:sz w:val="24"/>
          <w:szCs w:val="24"/>
        </w:rPr>
      </w:pPr>
    </w:p>
    <w:p w14:paraId="1E9E0E74" w14:textId="77777777" w:rsidR="00CD4552" w:rsidRPr="00E40CBF" w:rsidRDefault="00CD4552" w:rsidP="0075108E">
      <w:pPr>
        <w:tabs>
          <w:tab w:val="left" w:pos="5916"/>
        </w:tabs>
        <w:spacing w:line="360" w:lineRule="auto"/>
        <w:jc w:val="both"/>
        <w:rPr>
          <w:rFonts w:ascii="Arial" w:hAnsi="Arial" w:cs="Arial"/>
          <w:sz w:val="24"/>
          <w:szCs w:val="24"/>
        </w:rPr>
      </w:pPr>
    </w:p>
    <w:p w14:paraId="1C3CB46E" w14:textId="77777777" w:rsidR="00CD4552" w:rsidRPr="00E40CBF" w:rsidRDefault="00CD4552" w:rsidP="0075108E">
      <w:pPr>
        <w:tabs>
          <w:tab w:val="left" w:pos="5916"/>
        </w:tabs>
        <w:spacing w:line="360" w:lineRule="auto"/>
        <w:jc w:val="both"/>
        <w:rPr>
          <w:rFonts w:ascii="Arial" w:hAnsi="Arial" w:cs="Arial"/>
          <w:sz w:val="24"/>
          <w:szCs w:val="24"/>
        </w:rPr>
      </w:pPr>
    </w:p>
    <w:p w14:paraId="10F0E029" w14:textId="77777777" w:rsidR="006B5537" w:rsidRPr="00E40CBF" w:rsidRDefault="006B5537" w:rsidP="0075108E">
      <w:pPr>
        <w:tabs>
          <w:tab w:val="left" w:pos="5916"/>
        </w:tabs>
        <w:spacing w:line="360" w:lineRule="auto"/>
        <w:jc w:val="both"/>
        <w:rPr>
          <w:rFonts w:ascii="Arial" w:hAnsi="Arial" w:cs="Arial"/>
          <w:sz w:val="24"/>
          <w:szCs w:val="24"/>
        </w:rPr>
      </w:pPr>
    </w:p>
    <w:p w14:paraId="7DB7353E" w14:textId="5DF3F302" w:rsidR="00CC76F0" w:rsidRPr="0090307F" w:rsidRDefault="00CC76F0" w:rsidP="00B24CB7">
      <w:pPr>
        <w:pStyle w:val="Heading2"/>
        <w:jc w:val="center"/>
        <w:rPr>
          <w:rFonts w:ascii="Arial" w:hAnsi="Arial" w:cs="Arial"/>
          <w:color w:val="auto"/>
        </w:rPr>
      </w:pPr>
      <w:bookmarkStart w:id="3" w:name="_Toc214799407"/>
      <w:r w:rsidRPr="0090307F">
        <w:rPr>
          <w:rFonts w:ascii="Arial" w:hAnsi="Arial" w:cs="Arial"/>
          <w:color w:val="auto"/>
        </w:rPr>
        <w:lastRenderedPageBreak/>
        <w:t>2.</w:t>
      </w:r>
      <w:r w:rsidR="006B5537" w:rsidRPr="0090307F">
        <w:rPr>
          <w:rFonts w:ascii="Arial" w:hAnsi="Arial" w:cs="Arial"/>
          <w:color w:val="auto"/>
        </w:rPr>
        <w:t>L</w:t>
      </w:r>
      <w:r w:rsidRPr="0090307F">
        <w:rPr>
          <w:rFonts w:ascii="Arial" w:hAnsi="Arial" w:cs="Arial"/>
          <w:color w:val="auto"/>
        </w:rPr>
        <w:t>iquidity</w:t>
      </w:r>
      <w:bookmarkEnd w:id="3"/>
    </w:p>
    <w:p w14:paraId="7A8A2AC9" w14:textId="77777777" w:rsidR="00CC76F0" w:rsidRPr="00E40CBF" w:rsidRDefault="00CC76F0" w:rsidP="0075108E">
      <w:pPr>
        <w:tabs>
          <w:tab w:val="left" w:pos="5916"/>
        </w:tabs>
        <w:spacing w:line="360" w:lineRule="auto"/>
        <w:jc w:val="both"/>
        <w:rPr>
          <w:rFonts w:ascii="Arial" w:hAnsi="Arial" w:cs="Arial"/>
          <w:sz w:val="24"/>
          <w:szCs w:val="24"/>
        </w:rPr>
      </w:pPr>
    </w:p>
    <w:tbl>
      <w:tblPr>
        <w:tblW w:w="912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765"/>
        <w:gridCol w:w="1710"/>
        <w:gridCol w:w="1736"/>
        <w:gridCol w:w="917"/>
      </w:tblGrid>
      <w:tr w:rsidR="00E40CBF" w:rsidRPr="00E40CBF" w14:paraId="519EF0B4" w14:textId="77777777" w:rsidTr="00CC76F0">
        <w:trPr>
          <w:trHeight w:val="519"/>
          <w:tblHeader/>
          <w:tblCellSpacing w:w="15" w:type="dxa"/>
        </w:trPr>
        <w:tc>
          <w:tcPr>
            <w:tcW w:w="4720" w:type="dxa"/>
            <w:vAlign w:val="center"/>
            <w:hideMark/>
          </w:tcPr>
          <w:p w14:paraId="5080485F" w14:textId="44FA2086"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Ratio</w:t>
            </w:r>
          </w:p>
        </w:tc>
        <w:tc>
          <w:tcPr>
            <w:tcW w:w="1680" w:type="dxa"/>
            <w:vAlign w:val="center"/>
            <w:hideMark/>
          </w:tcPr>
          <w:p w14:paraId="64653775"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2024</w:t>
            </w:r>
          </w:p>
        </w:tc>
        <w:tc>
          <w:tcPr>
            <w:tcW w:w="1706" w:type="dxa"/>
            <w:vAlign w:val="center"/>
            <w:hideMark/>
          </w:tcPr>
          <w:p w14:paraId="1A0D6045"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0E32E59A"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503A55A0" w14:textId="77777777" w:rsidTr="00CC76F0">
        <w:trPr>
          <w:trHeight w:val="519"/>
          <w:tblCellSpacing w:w="15" w:type="dxa"/>
        </w:trPr>
        <w:tc>
          <w:tcPr>
            <w:tcW w:w="4720" w:type="dxa"/>
            <w:vAlign w:val="center"/>
            <w:hideMark/>
          </w:tcPr>
          <w:p w14:paraId="5985063A" w14:textId="42BC9524"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Current Ratio</w:t>
            </w:r>
          </w:p>
        </w:tc>
        <w:tc>
          <w:tcPr>
            <w:tcW w:w="1680" w:type="dxa"/>
            <w:vAlign w:val="center"/>
            <w:hideMark/>
          </w:tcPr>
          <w:p w14:paraId="5F4CBAEE"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1.53</w:t>
            </w:r>
          </w:p>
        </w:tc>
        <w:tc>
          <w:tcPr>
            <w:tcW w:w="1706" w:type="dxa"/>
            <w:vAlign w:val="center"/>
            <w:hideMark/>
          </w:tcPr>
          <w:p w14:paraId="1DAC30D4"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1.61</w:t>
            </w:r>
          </w:p>
        </w:tc>
        <w:tc>
          <w:tcPr>
            <w:tcW w:w="0" w:type="auto"/>
            <w:vAlign w:val="center"/>
            <w:hideMark/>
          </w:tcPr>
          <w:p w14:paraId="71D9EBDC"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1.56</w:t>
            </w:r>
          </w:p>
        </w:tc>
      </w:tr>
      <w:tr w:rsidR="00CC76F0" w:rsidRPr="00E40CBF" w14:paraId="31BDBADF" w14:textId="77777777" w:rsidTr="00CC76F0">
        <w:trPr>
          <w:trHeight w:val="533"/>
          <w:tblCellSpacing w:w="15" w:type="dxa"/>
        </w:trPr>
        <w:tc>
          <w:tcPr>
            <w:tcW w:w="4720" w:type="dxa"/>
            <w:vAlign w:val="center"/>
            <w:hideMark/>
          </w:tcPr>
          <w:p w14:paraId="68F3BAF5" w14:textId="57B26BE8"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Quick Ratio</w:t>
            </w:r>
          </w:p>
        </w:tc>
        <w:tc>
          <w:tcPr>
            <w:tcW w:w="1680" w:type="dxa"/>
            <w:vAlign w:val="center"/>
            <w:hideMark/>
          </w:tcPr>
          <w:p w14:paraId="69582F0E"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0.99</w:t>
            </w:r>
          </w:p>
        </w:tc>
        <w:tc>
          <w:tcPr>
            <w:tcW w:w="1706" w:type="dxa"/>
            <w:vAlign w:val="center"/>
            <w:hideMark/>
          </w:tcPr>
          <w:p w14:paraId="7712150F"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1.05</w:t>
            </w:r>
          </w:p>
        </w:tc>
        <w:tc>
          <w:tcPr>
            <w:tcW w:w="0" w:type="auto"/>
            <w:vAlign w:val="center"/>
            <w:hideMark/>
          </w:tcPr>
          <w:p w14:paraId="0BBECCA6" w14:textId="77777777" w:rsidR="00CC76F0" w:rsidRPr="00E40CBF" w:rsidRDefault="00CC76F0" w:rsidP="0075108E">
            <w:pPr>
              <w:spacing w:line="360" w:lineRule="auto"/>
              <w:jc w:val="both"/>
              <w:rPr>
                <w:rFonts w:ascii="Arial" w:hAnsi="Arial" w:cs="Arial"/>
                <w:sz w:val="24"/>
                <w:szCs w:val="24"/>
              </w:rPr>
            </w:pPr>
            <w:r w:rsidRPr="00E40CBF">
              <w:rPr>
                <w:rFonts w:ascii="Arial" w:hAnsi="Arial" w:cs="Arial"/>
                <w:sz w:val="24"/>
                <w:szCs w:val="24"/>
              </w:rPr>
              <w:t>0.91</w:t>
            </w:r>
          </w:p>
        </w:tc>
      </w:tr>
    </w:tbl>
    <w:p w14:paraId="4F9A7DCF" w14:textId="77777777" w:rsidR="00012B6D" w:rsidRPr="00E40CBF" w:rsidRDefault="00012B6D" w:rsidP="0075108E">
      <w:pPr>
        <w:tabs>
          <w:tab w:val="left" w:pos="5916"/>
        </w:tabs>
        <w:spacing w:line="360" w:lineRule="auto"/>
        <w:jc w:val="both"/>
        <w:rPr>
          <w:rFonts w:ascii="Arial" w:hAnsi="Arial" w:cs="Arial"/>
          <w:sz w:val="24"/>
          <w:szCs w:val="24"/>
        </w:rPr>
      </w:pPr>
    </w:p>
    <w:p w14:paraId="4746AC04" w14:textId="08CDA881" w:rsidR="00012B6D" w:rsidRPr="00E40CBF" w:rsidRDefault="00CC76F0"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Current Ratio = Current assets/current liabilities</w:t>
      </w:r>
    </w:p>
    <w:p w14:paraId="3F072C4E" w14:textId="28CFCF0B" w:rsidR="00A43249" w:rsidRPr="00E40CBF" w:rsidRDefault="00A43249"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The current ratio illustrates the company's ability to pay off its short-term debts by comparing total current assets to current liabilities. </w:t>
      </w:r>
    </w:p>
    <w:p w14:paraId="414D1FA1" w14:textId="1307A8DE" w:rsidR="00CC76F0" w:rsidRPr="00E40CBF" w:rsidRDefault="00A43249"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ratio was 1.56 in 2022, indicating that the company had $1.56 in current assets for every $1.00 in current liabilities. This is typically regarded as a healthy level of liquidity. In 2023, it rose marginally to 1.61, suggesting a slight improvement in liquidity, perhaps as a result of an increase in current assets like cash, receivables, or inventory. But by 2024, it had dropped to 1.53, which indicates a minor decrease in short-term financial flexibility even though it is still higher than the benchmark of 1.0. All things considered, the current ratio held steady over the course of the three years, suggesting steady short-term solvency</w:t>
      </w:r>
    </w:p>
    <w:p w14:paraId="039AD277" w14:textId="77777777" w:rsidR="00012B6D" w:rsidRPr="00E40CBF" w:rsidRDefault="00012B6D" w:rsidP="0075108E">
      <w:pPr>
        <w:pStyle w:val="ListParagraph"/>
        <w:tabs>
          <w:tab w:val="left" w:pos="5916"/>
        </w:tabs>
        <w:spacing w:line="360" w:lineRule="auto"/>
        <w:jc w:val="both"/>
        <w:rPr>
          <w:rFonts w:ascii="Arial" w:hAnsi="Arial" w:cs="Arial"/>
          <w:sz w:val="24"/>
          <w:szCs w:val="24"/>
        </w:rPr>
      </w:pPr>
    </w:p>
    <w:p w14:paraId="7AF3E022" w14:textId="1D9F4EB2" w:rsidR="00CC76F0" w:rsidRPr="00E40CBF" w:rsidRDefault="00CC76F0"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Quick Ratio = Current assets-inventories/ current liabilities</w:t>
      </w:r>
    </w:p>
    <w:p w14:paraId="524513E4" w14:textId="77777777" w:rsidR="00A43249" w:rsidRPr="00E40CBF" w:rsidRDefault="00A43249" w:rsidP="0075108E">
      <w:pPr>
        <w:tabs>
          <w:tab w:val="left" w:pos="5916"/>
        </w:tabs>
        <w:spacing w:line="360" w:lineRule="auto"/>
        <w:jc w:val="both"/>
        <w:rPr>
          <w:rFonts w:ascii="Arial" w:hAnsi="Arial" w:cs="Arial"/>
          <w:sz w:val="24"/>
          <w:szCs w:val="24"/>
        </w:rPr>
      </w:pPr>
    </w:p>
    <w:p w14:paraId="7D96667D" w14:textId="05186325" w:rsidR="009E59D4" w:rsidRPr="00E40CBF" w:rsidRDefault="00A43249"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quick ratio,which separates inventory from current assets in order to concentrate on the most liquid assets (cash, marketable securities, and receivables). The company had more than enough liquid assets to cover its immediate liabilities in 2023, as evidenced by the improvement from 0.91 in 2022 to 1.05 in 2023. But in 2024, it dropped to 0.99, barely below 1.0, indicating that although liquidity was still high, the company's short-term cash position somewhat deteriorated.</w:t>
      </w:r>
    </w:p>
    <w:p w14:paraId="0BDFB537" w14:textId="21F62170" w:rsidR="00A60C12" w:rsidRPr="00E40CBF" w:rsidRDefault="00667117" w:rsidP="00AF2467">
      <w:pPr>
        <w:pStyle w:val="Heading2"/>
        <w:rPr>
          <w:rFonts w:ascii="Arial" w:hAnsi="Arial" w:cs="Arial"/>
          <w:color w:val="auto"/>
        </w:rPr>
      </w:pPr>
      <w:bookmarkStart w:id="4" w:name="_Toc214799408"/>
      <w:r w:rsidRPr="00E40CBF">
        <w:rPr>
          <w:rFonts w:ascii="Arial" w:hAnsi="Arial" w:cs="Arial"/>
          <w:color w:val="auto"/>
        </w:rPr>
        <w:lastRenderedPageBreak/>
        <w:t>3.Efficiency</w:t>
      </w:r>
      <w:bookmarkEnd w:id="4"/>
    </w:p>
    <w:p w14:paraId="075C43F3" w14:textId="77777777" w:rsidR="00BA4B9D" w:rsidRPr="00E40CBF" w:rsidRDefault="00BA4B9D" w:rsidP="0075108E">
      <w:pPr>
        <w:spacing w:line="360" w:lineRule="auto"/>
        <w:jc w:val="both"/>
        <w:rPr>
          <w:rFonts w:ascii="Arial" w:hAnsi="Arial" w:cs="Arial"/>
          <w:sz w:val="24"/>
          <w:szCs w:val="24"/>
        </w:rPr>
      </w:pPr>
    </w:p>
    <w:tbl>
      <w:tblPr>
        <w:tblW w:w="932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318"/>
        <w:gridCol w:w="1329"/>
        <w:gridCol w:w="1329"/>
        <w:gridCol w:w="1344"/>
      </w:tblGrid>
      <w:tr w:rsidR="00E40CBF" w:rsidRPr="00E40CBF" w14:paraId="3CC5EA7D" w14:textId="77777777" w:rsidTr="00BA4B9D">
        <w:trPr>
          <w:trHeight w:val="444"/>
          <w:tblHeader/>
          <w:tblCellSpacing w:w="15" w:type="dxa"/>
        </w:trPr>
        <w:tc>
          <w:tcPr>
            <w:tcW w:w="0" w:type="auto"/>
            <w:vAlign w:val="center"/>
            <w:hideMark/>
          </w:tcPr>
          <w:p w14:paraId="2037ADD0"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Metric</w:t>
            </w:r>
          </w:p>
        </w:tc>
        <w:tc>
          <w:tcPr>
            <w:tcW w:w="0" w:type="auto"/>
            <w:vAlign w:val="center"/>
            <w:hideMark/>
          </w:tcPr>
          <w:p w14:paraId="1313CC32"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2024</w:t>
            </w:r>
          </w:p>
        </w:tc>
        <w:tc>
          <w:tcPr>
            <w:tcW w:w="0" w:type="auto"/>
            <w:vAlign w:val="center"/>
            <w:hideMark/>
          </w:tcPr>
          <w:p w14:paraId="798D6683"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40A2B350"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6C9DF037" w14:textId="77777777" w:rsidTr="00BA4B9D">
        <w:trPr>
          <w:trHeight w:val="452"/>
          <w:tblCellSpacing w:w="15" w:type="dxa"/>
        </w:trPr>
        <w:tc>
          <w:tcPr>
            <w:tcW w:w="0" w:type="auto"/>
            <w:vAlign w:val="center"/>
            <w:hideMark/>
          </w:tcPr>
          <w:p w14:paraId="0FC1A2DE"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Inventory Turnover</w:t>
            </w:r>
          </w:p>
        </w:tc>
        <w:tc>
          <w:tcPr>
            <w:tcW w:w="0" w:type="auto"/>
            <w:vAlign w:val="center"/>
            <w:hideMark/>
          </w:tcPr>
          <w:p w14:paraId="1291CFE1"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3.54</w:t>
            </w:r>
          </w:p>
        </w:tc>
        <w:tc>
          <w:tcPr>
            <w:tcW w:w="0" w:type="auto"/>
            <w:vAlign w:val="center"/>
            <w:hideMark/>
          </w:tcPr>
          <w:p w14:paraId="7EE0AB2C"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3.66</w:t>
            </w:r>
          </w:p>
        </w:tc>
        <w:tc>
          <w:tcPr>
            <w:tcW w:w="0" w:type="auto"/>
            <w:vAlign w:val="center"/>
            <w:hideMark/>
          </w:tcPr>
          <w:p w14:paraId="0C13BF48"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2.79</w:t>
            </w:r>
          </w:p>
        </w:tc>
      </w:tr>
      <w:tr w:rsidR="00E40CBF" w:rsidRPr="00E40CBF" w14:paraId="09B8FC37" w14:textId="77777777" w:rsidTr="00BA4B9D">
        <w:trPr>
          <w:trHeight w:val="444"/>
          <w:tblCellSpacing w:w="15" w:type="dxa"/>
        </w:trPr>
        <w:tc>
          <w:tcPr>
            <w:tcW w:w="0" w:type="auto"/>
            <w:vAlign w:val="center"/>
            <w:hideMark/>
          </w:tcPr>
          <w:p w14:paraId="02155DA1"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Receivables Turnover</w:t>
            </w:r>
          </w:p>
        </w:tc>
        <w:tc>
          <w:tcPr>
            <w:tcW w:w="0" w:type="auto"/>
            <w:vAlign w:val="center"/>
            <w:hideMark/>
          </w:tcPr>
          <w:p w14:paraId="08B58F7B"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3.46</w:t>
            </w:r>
          </w:p>
        </w:tc>
        <w:tc>
          <w:tcPr>
            <w:tcW w:w="0" w:type="auto"/>
            <w:vAlign w:val="center"/>
            <w:hideMark/>
          </w:tcPr>
          <w:p w14:paraId="384E18AF"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3.73</w:t>
            </w:r>
          </w:p>
        </w:tc>
        <w:tc>
          <w:tcPr>
            <w:tcW w:w="0" w:type="auto"/>
            <w:vAlign w:val="center"/>
            <w:hideMark/>
          </w:tcPr>
          <w:p w14:paraId="2715C87C"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4.83</w:t>
            </w:r>
          </w:p>
        </w:tc>
      </w:tr>
      <w:tr w:rsidR="00A60C12" w:rsidRPr="00E40CBF" w14:paraId="4D99CE77" w14:textId="77777777" w:rsidTr="00BA4B9D">
        <w:trPr>
          <w:trHeight w:val="444"/>
          <w:tblCellSpacing w:w="15" w:type="dxa"/>
        </w:trPr>
        <w:tc>
          <w:tcPr>
            <w:tcW w:w="0" w:type="auto"/>
            <w:vAlign w:val="center"/>
            <w:hideMark/>
          </w:tcPr>
          <w:p w14:paraId="18B0822E"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Asset Turnover</w:t>
            </w:r>
          </w:p>
        </w:tc>
        <w:tc>
          <w:tcPr>
            <w:tcW w:w="0" w:type="auto"/>
            <w:vAlign w:val="center"/>
            <w:hideMark/>
          </w:tcPr>
          <w:p w14:paraId="467EDB07"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1.22</w:t>
            </w:r>
          </w:p>
        </w:tc>
        <w:tc>
          <w:tcPr>
            <w:tcW w:w="0" w:type="auto"/>
            <w:vAlign w:val="center"/>
            <w:hideMark/>
          </w:tcPr>
          <w:p w14:paraId="0BA57DDA"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1.18</w:t>
            </w:r>
          </w:p>
        </w:tc>
        <w:tc>
          <w:tcPr>
            <w:tcW w:w="0" w:type="auto"/>
            <w:vAlign w:val="center"/>
            <w:hideMark/>
          </w:tcPr>
          <w:p w14:paraId="66D9D3A8" w14:textId="77777777" w:rsidR="00A60C12" w:rsidRPr="00E40CBF" w:rsidRDefault="00A60C12" w:rsidP="0075108E">
            <w:pPr>
              <w:spacing w:line="360" w:lineRule="auto"/>
              <w:jc w:val="both"/>
              <w:rPr>
                <w:rFonts w:ascii="Arial" w:hAnsi="Arial" w:cs="Arial"/>
                <w:sz w:val="24"/>
                <w:szCs w:val="24"/>
              </w:rPr>
            </w:pPr>
            <w:r w:rsidRPr="00E40CBF">
              <w:rPr>
                <w:rFonts w:ascii="Arial" w:hAnsi="Arial" w:cs="Arial"/>
                <w:sz w:val="24"/>
                <w:szCs w:val="24"/>
              </w:rPr>
              <w:t>1.08</w:t>
            </w:r>
          </w:p>
        </w:tc>
      </w:tr>
    </w:tbl>
    <w:p w14:paraId="0AAE7FDC" w14:textId="77777777" w:rsidR="00A43249" w:rsidRPr="00E40CBF" w:rsidRDefault="00A43249" w:rsidP="0075108E">
      <w:pPr>
        <w:tabs>
          <w:tab w:val="left" w:pos="5916"/>
        </w:tabs>
        <w:spacing w:line="360" w:lineRule="auto"/>
        <w:jc w:val="both"/>
        <w:rPr>
          <w:rFonts w:ascii="Arial" w:hAnsi="Arial" w:cs="Arial"/>
          <w:sz w:val="24"/>
          <w:szCs w:val="24"/>
        </w:rPr>
      </w:pPr>
    </w:p>
    <w:p w14:paraId="28F7791F" w14:textId="38EE6C29" w:rsidR="00BA4B9D" w:rsidRPr="00E40CBF" w:rsidRDefault="006671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Inventory turnover is a measure of how quickly items are sold and replaced. Receivables turnover quantifies the speed at which clients make payments. The efficiency with which assets produce sales income is indicated by asset turnover. Stronger efficiency is reflected in higher values.</w:t>
      </w:r>
    </w:p>
    <w:p w14:paraId="6A3EA467" w14:textId="77777777" w:rsidR="009E59D4" w:rsidRPr="00E40CBF" w:rsidRDefault="009E59D4" w:rsidP="0075108E">
      <w:pPr>
        <w:tabs>
          <w:tab w:val="left" w:pos="5916"/>
        </w:tabs>
        <w:spacing w:line="360" w:lineRule="auto"/>
        <w:jc w:val="both"/>
        <w:rPr>
          <w:rFonts w:ascii="Arial" w:hAnsi="Arial" w:cs="Arial"/>
          <w:sz w:val="24"/>
          <w:szCs w:val="24"/>
        </w:rPr>
      </w:pPr>
    </w:p>
    <w:p w14:paraId="04BD3306" w14:textId="2EC1E879" w:rsidR="00A60C12" w:rsidRPr="00E40CBF" w:rsidRDefault="00A60C12"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Inventory Turnover = Cost of Goods Sold / Average Inventory</w:t>
      </w:r>
    </w:p>
    <w:p w14:paraId="008710B7" w14:textId="77777777" w:rsidR="00A60C12" w:rsidRPr="00E40CBF" w:rsidRDefault="00A60C12" w:rsidP="0075108E">
      <w:pPr>
        <w:pStyle w:val="ListParagraph"/>
        <w:tabs>
          <w:tab w:val="left" w:pos="5916"/>
        </w:tabs>
        <w:spacing w:line="360" w:lineRule="auto"/>
        <w:jc w:val="both"/>
        <w:rPr>
          <w:rFonts w:ascii="Arial" w:hAnsi="Arial" w:cs="Arial"/>
          <w:sz w:val="24"/>
          <w:szCs w:val="24"/>
        </w:rPr>
      </w:pPr>
    </w:p>
    <w:p w14:paraId="1C5DAE63" w14:textId="00DCC5DD" w:rsidR="00A43249" w:rsidRPr="00E40CBF" w:rsidRDefault="00A60C12" w:rsidP="0075108E">
      <w:pPr>
        <w:tabs>
          <w:tab w:val="left" w:pos="6429"/>
        </w:tabs>
        <w:spacing w:line="360" w:lineRule="auto"/>
        <w:jc w:val="both"/>
        <w:rPr>
          <w:rFonts w:ascii="Arial" w:hAnsi="Arial" w:cs="Arial"/>
          <w:sz w:val="24"/>
          <w:szCs w:val="24"/>
        </w:rPr>
      </w:pPr>
      <w:r w:rsidRPr="00E40CBF">
        <w:rPr>
          <w:rFonts w:ascii="Arial" w:hAnsi="Arial" w:cs="Arial"/>
          <w:sz w:val="24"/>
          <w:szCs w:val="24"/>
        </w:rPr>
        <w:t>The inventory turnover ratio calculates the frequency with which the business sells and replenishes its stock over the course of a year. In 2022, it was 2.79, indicating relatively slow inventory movement. This increased to 3.66 in 2023, indicating that the business managed inventory more effectively, perhaps as a result of higher sales, improved inventory control, or lower stock levels. The ratio marginally dropped to 3.54 in 2024, which was still higher than in 2022 and indicated that inventory management was still robust but a little slower than in 2022. Overall, the business kept inventory levels more in line with sales activity by maintaining effective inventory utilization.</w:t>
      </w:r>
    </w:p>
    <w:p w14:paraId="4C3B9AEE" w14:textId="77777777" w:rsidR="00A43249" w:rsidRPr="00E40CBF" w:rsidRDefault="00A43249" w:rsidP="0075108E">
      <w:pPr>
        <w:tabs>
          <w:tab w:val="left" w:pos="5916"/>
        </w:tabs>
        <w:spacing w:line="360" w:lineRule="auto"/>
        <w:jc w:val="both"/>
        <w:rPr>
          <w:rFonts w:ascii="Arial" w:hAnsi="Arial" w:cs="Arial"/>
          <w:sz w:val="24"/>
          <w:szCs w:val="24"/>
        </w:rPr>
      </w:pPr>
    </w:p>
    <w:p w14:paraId="034D4EFD" w14:textId="77777777" w:rsidR="001D4E5C" w:rsidRPr="00E40CBF" w:rsidRDefault="001D4E5C" w:rsidP="0075108E">
      <w:pPr>
        <w:tabs>
          <w:tab w:val="left" w:pos="5916"/>
        </w:tabs>
        <w:spacing w:line="360" w:lineRule="auto"/>
        <w:jc w:val="both"/>
        <w:rPr>
          <w:rFonts w:ascii="Arial" w:hAnsi="Arial" w:cs="Arial"/>
          <w:sz w:val="24"/>
          <w:szCs w:val="24"/>
        </w:rPr>
      </w:pPr>
    </w:p>
    <w:p w14:paraId="655BED45" w14:textId="77777777" w:rsidR="001D4E5C" w:rsidRPr="00E40CBF" w:rsidRDefault="001D4E5C" w:rsidP="0075108E">
      <w:pPr>
        <w:tabs>
          <w:tab w:val="left" w:pos="5916"/>
        </w:tabs>
        <w:spacing w:line="360" w:lineRule="auto"/>
        <w:jc w:val="both"/>
        <w:rPr>
          <w:rFonts w:ascii="Arial" w:hAnsi="Arial" w:cs="Arial"/>
          <w:sz w:val="24"/>
          <w:szCs w:val="24"/>
        </w:rPr>
      </w:pPr>
    </w:p>
    <w:p w14:paraId="6EFC8E98" w14:textId="22C60BCA" w:rsidR="00A43249" w:rsidRPr="00E40CBF" w:rsidRDefault="00A60C12"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lastRenderedPageBreak/>
        <w:t>Receivables Turnover = Net Credit Sales / Average Accounts Receivable</w:t>
      </w:r>
    </w:p>
    <w:p w14:paraId="493C8636" w14:textId="77777777" w:rsidR="00A60C12" w:rsidRPr="00E40CBF" w:rsidRDefault="00A60C12" w:rsidP="0075108E">
      <w:pPr>
        <w:tabs>
          <w:tab w:val="left" w:pos="5916"/>
        </w:tabs>
        <w:spacing w:line="360" w:lineRule="auto"/>
        <w:ind w:left="360"/>
        <w:jc w:val="both"/>
        <w:rPr>
          <w:rFonts w:ascii="Arial" w:hAnsi="Arial" w:cs="Arial"/>
          <w:sz w:val="24"/>
          <w:szCs w:val="24"/>
        </w:rPr>
      </w:pPr>
    </w:p>
    <w:p w14:paraId="0893AF8B" w14:textId="5380EA67" w:rsidR="00A60C12" w:rsidRPr="00E40CBF" w:rsidRDefault="00A60C12" w:rsidP="0075108E">
      <w:pPr>
        <w:tabs>
          <w:tab w:val="left" w:pos="5916"/>
        </w:tabs>
        <w:spacing w:line="360" w:lineRule="auto"/>
        <w:ind w:left="360"/>
        <w:jc w:val="both"/>
        <w:rPr>
          <w:rFonts w:ascii="Arial" w:hAnsi="Arial" w:cs="Arial"/>
          <w:sz w:val="24"/>
          <w:szCs w:val="24"/>
        </w:rPr>
      </w:pPr>
      <w:r w:rsidRPr="00E40CBF">
        <w:rPr>
          <w:rFonts w:ascii="Arial" w:hAnsi="Arial" w:cs="Arial"/>
          <w:sz w:val="24"/>
          <w:szCs w:val="24"/>
        </w:rPr>
        <w:t>The receivables turnover ratio, which gauges how quickly it collects payments from clients, decreased. It fell from 4.83 in 2022 to 3.73 in 2023 and then to 3.46 in 2024. This downward trend suggests that customers are taking longer to pay, which has resulted in an extension of the company's collection period. This might be the result of less stringent credit regulations, less disciplined consumer payments, or a slower rate of cash conversion from sales. Cash flow may be impacted by a lower turnover of receivables, which may necessitate tighter credit and collection management.</w:t>
      </w:r>
    </w:p>
    <w:p w14:paraId="7DEA2994" w14:textId="77777777" w:rsidR="00A60C12" w:rsidRPr="00E40CBF" w:rsidRDefault="00A60C12" w:rsidP="0075108E">
      <w:pPr>
        <w:tabs>
          <w:tab w:val="left" w:pos="5916"/>
        </w:tabs>
        <w:spacing w:line="360" w:lineRule="auto"/>
        <w:ind w:left="360"/>
        <w:jc w:val="both"/>
        <w:rPr>
          <w:rFonts w:ascii="Arial" w:hAnsi="Arial" w:cs="Arial"/>
          <w:sz w:val="24"/>
          <w:szCs w:val="24"/>
        </w:rPr>
      </w:pPr>
    </w:p>
    <w:p w14:paraId="05059790" w14:textId="04F63DCF" w:rsidR="00A60C12" w:rsidRPr="00E40CBF" w:rsidRDefault="00A60C12"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Asset Turnover =  Net Sales / Average Total Assets</w:t>
      </w:r>
    </w:p>
    <w:p w14:paraId="7C8E9FB5" w14:textId="77777777" w:rsidR="00A60C12" w:rsidRPr="00E40CBF" w:rsidRDefault="00A60C12" w:rsidP="0075108E">
      <w:pPr>
        <w:tabs>
          <w:tab w:val="left" w:pos="5916"/>
        </w:tabs>
        <w:spacing w:line="360" w:lineRule="auto"/>
        <w:ind w:left="360"/>
        <w:jc w:val="both"/>
        <w:rPr>
          <w:rFonts w:ascii="Arial" w:hAnsi="Arial" w:cs="Arial"/>
          <w:sz w:val="24"/>
          <w:szCs w:val="24"/>
        </w:rPr>
      </w:pPr>
    </w:p>
    <w:p w14:paraId="4E46F255" w14:textId="2DB940DF" w:rsidR="00A43249" w:rsidRPr="00E40CBF" w:rsidRDefault="00A60C12"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asset turnover ratio, which evaluates the effectiveness with which the business generates sales from its total assets, has been steadily increasing from 1.08 in 2022 to 1.18 in 2023 and 1.22 in 2024. Better use of assets is reflected in this improvement, which means the business is making more money annually per dollar of assets.</w:t>
      </w:r>
    </w:p>
    <w:p w14:paraId="421E0402" w14:textId="3E9B97E7" w:rsidR="00A60C12" w:rsidRPr="00E40CBF" w:rsidRDefault="00A60C12" w:rsidP="0075108E">
      <w:pPr>
        <w:tabs>
          <w:tab w:val="left" w:pos="5916"/>
        </w:tabs>
        <w:spacing w:line="360" w:lineRule="auto"/>
        <w:jc w:val="both"/>
        <w:rPr>
          <w:rFonts w:ascii="Arial" w:hAnsi="Arial" w:cs="Arial"/>
          <w:sz w:val="24"/>
          <w:szCs w:val="24"/>
        </w:rPr>
      </w:pPr>
      <w:r w:rsidRPr="00E40CBF">
        <w:rPr>
          <w:rFonts w:ascii="Arial" w:hAnsi="Arial" w:cs="Arial"/>
          <w:sz w:val="24"/>
          <w:szCs w:val="24"/>
        </w:rPr>
        <w:t>In conclusion, the company's overall operational efficiency improved between 2022 and 2024, especially in inventory management and asset utilization. But the decrease in turnover of receivables points to a possible problem with slower cash collection, which, if left unchecked, could have an impact on liquidity.</w:t>
      </w:r>
    </w:p>
    <w:p w14:paraId="2D128AC9" w14:textId="77777777" w:rsidR="00667117" w:rsidRPr="00E40CBF" w:rsidRDefault="00667117" w:rsidP="0075108E">
      <w:pPr>
        <w:tabs>
          <w:tab w:val="left" w:pos="5916"/>
        </w:tabs>
        <w:spacing w:line="360" w:lineRule="auto"/>
        <w:jc w:val="both"/>
        <w:rPr>
          <w:rFonts w:ascii="Arial" w:hAnsi="Arial" w:cs="Arial"/>
          <w:sz w:val="24"/>
          <w:szCs w:val="24"/>
        </w:rPr>
      </w:pPr>
    </w:p>
    <w:p w14:paraId="2F70FAF0" w14:textId="77777777" w:rsidR="001D4E5C" w:rsidRPr="00E40CBF" w:rsidRDefault="001D4E5C" w:rsidP="0075108E">
      <w:pPr>
        <w:tabs>
          <w:tab w:val="left" w:pos="5916"/>
        </w:tabs>
        <w:spacing w:line="360" w:lineRule="auto"/>
        <w:jc w:val="both"/>
        <w:rPr>
          <w:rFonts w:ascii="Arial" w:hAnsi="Arial" w:cs="Arial"/>
          <w:sz w:val="24"/>
          <w:szCs w:val="24"/>
        </w:rPr>
      </w:pPr>
    </w:p>
    <w:p w14:paraId="68050180" w14:textId="77777777" w:rsidR="001D4E5C" w:rsidRPr="00E40CBF" w:rsidRDefault="001D4E5C" w:rsidP="0075108E">
      <w:pPr>
        <w:tabs>
          <w:tab w:val="left" w:pos="5916"/>
        </w:tabs>
        <w:spacing w:line="360" w:lineRule="auto"/>
        <w:jc w:val="both"/>
        <w:rPr>
          <w:rFonts w:ascii="Arial" w:hAnsi="Arial" w:cs="Arial"/>
          <w:sz w:val="24"/>
          <w:szCs w:val="24"/>
        </w:rPr>
      </w:pPr>
    </w:p>
    <w:p w14:paraId="54B41F79" w14:textId="77777777" w:rsidR="001D4E5C" w:rsidRPr="00E40CBF" w:rsidRDefault="001D4E5C" w:rsidP="0075108E">
      <w:pPr>
        <w:tabs>
          <w:tab w:val="left" w:pos="5916"/>
        </w:tabs>
        <w:spacing w:line="360" w:lineRule="auto"/>
        <w:jc w:val="both"/>
        <w:rPr>
          <w:rFonts w:ascii="Arial" w:hAnsi="Arial" w:cs="Arial"/>
          <w:sz w:val="24"/>
          <w:szCs w:val="24"/>
        </w:rPr>
      </w:pPr>
    </w:p>
    <w:p w14:paraId="7C1CCB55" w14:textId="77777777" w:rsidR="009676BF" w:rsidRPr="00E40CBF" w:rsidRDefault="009676BF" w:rsidP="0075108E">
      <w:pPr>
        <w:tabs>
          <w:tab w:val="left" w:pos="5916"/>
        </w:tabs>
        <w:spacing w:line="360" w:lineRule="auto"/>
        <w:jc w:val="both"/>
        <w:rPr>
          <w:rFonts w:ascii="Arial" w:hAnsi="Arial" w:cs="Arial"/>
          <w:sz w:val="24"/>
          <w:szCs w:val="24"/>
        </w:rPr>
      </w:pPr>
    </w:p>
    <w:p w14:paraId="001E8A4A" w14:textId="77777777" w:rsidR="001D4E5C" w:rsidRPr="00E40CBF" w:rsidRDefault="001D4E5C" w:rsidP="0075108E">
      <w:pPr>
        <w:tabs>
          <w:tab w:val="left" w:pos="5916"/>
        </w:tabs>
        <w:spacing w:line="360" w:lineRule="auto"/>
        <w:jc w:val="both"/>
        <w:rPr>
          <w:rFonts w:ascii="Arial" w:hAnsi="Arial" w:cs="Arial"/>
          <w:sz w:val="24"/>
          <w:szCs w:val="24"/>
        </w:rPr>
      </w:pPr>
    </w:p>
    <w:p w14:paraId="22471957" w14:textId="38595BD5" w:rsidR="00A43249" w:rsidRPr="00E40CBF" w:rsidRDefault="00667117" w:rsidP="00AF2467">
      <w:pPr>
        <w:pStyle w:val="Heading2"/>
        <w:rPr>
          <w:rFonts w:ascii="Arial" w:hAnsi="Arial" w:cs="Arial"/>
          <w:color w:val="auto"/>
        </w:rPr>
      </w:pPr>
      <w:bookmarkStart w:id="5" w:name="_Toc214799409"/>
      <w:r w:rsidRPr="00E40CBF">
        <w:rPr>
          <w:rFonts w:ascii="Arial" w:hAnsi="Arial" w:cs="Arial"/>
          <w:color w:val="auto"/>
        </w:rPr>
        <w:lastRenderedPageBreak/>
        <w:t>4.Gearing</w:t>
      </w:r>
      <w:bookmarkEnd w:id="5"/>
    </w:p>
    <w:p w14:paraId="14801EB8" w14:textId="77777777" w:rsidR="00667117" w:rsidRPr="00E40CBF" w:rsidRDefault="00667117" w:rsidP="0075108E">
      <w:pPr>
        <w:tabs>
          <w:tab w:val="left" w:pos="5916"/>
        </w:tabs>
        <w:spacing w:line="360" w:lineRule="auto"/>
        <w:jc w:val="both"/>
        <w:rPr>
          <w:rFonts w:ascii="Arial" w:hAnsi="Arial" w:cs="Arial"/>
          <w:sz w:val="24"/>
          <w:szCs w:val="24"/>
        </w:rPr>
      </w:pPr>
    </w:p>
    <w:tbl>
      <w:tblPr>
        <w:tblW w:w="937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893"/>
        <w:gridCol w:w="1476"/>
        <w:gridCol w:w="1511"/>
        <w:gridCol w:w="1491"/>
      </w:tblGrid>
      <w:tr w:rsidR="00E40CBF" w:rsidRPr="00E40CBF" w14:paraId="3B81848E" w14:textId="77777777" w:rsidTr="00667117">
        <w:trPr>
          <w:trHeight w:val="469"/>
          <w:tblHeader/>
          <w:tblCellSpacing w:w="15" w:type="dxa"/>
        </w:trPr>
        <w:tc>
          <w:tcPr>
            <w:tcW w:w="0" w:type="auto"/>
            <w:vAlign w:val="center"/>
            <w:hideMark/>
          </w:tcPr>
          <w:p w14:paraId="3EAC8A38"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7C3F546A"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2024</w:t>
            </w:r>
          </w:p>
        </w:tc>
        <w:tc>
          <w:tcPr>
            <w:tcW w:w="0" w:type="auto"/>
            <w:vAlign w:val="center"/>
            <w:hideMark/>
          </w:tcPr>
          <w:p w14:paraId="2496710D"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3A7BD405"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130D8FAA" w14:textId="77777777" w:rsidTr="00667117">
        <w:trPr>
          <w:trHeight w:val="469"/>
          <w:tblCellSpacing w:w="15" w:type="dxa"/>
        </w:trPr>
        <w:tc>
          <w:tcPr>
            <w:tcW w:w="0" w:type="auto"/>
            <w:vAlign w:val="center"/>
            <w:hideMark/>
          </w:tcPr>
          <w:p w14:paraId="72C71306"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Debt-to-Equity</w:t>
            </w:r>
          </w:p>
        </w:tc>
        <w:tc>
          <w:tcPr>
            <w:tcW w:w="0" w:type="auto"/>
            <w:vAlign w:val="center"/>
            <w:hideMark/>
          </w:tcPr>
          <w:p w14:paraId="5A31CC68"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1.11</w:t>
            </w:r>
          </w:p>
        </w:tc>
        <w:tc>
          <w:tcPr>
            <w:tcW w:w="0" w:type="auto"/>
            <w:vAlign w:val="center"/>
            <w:hideMark/>
          </w:tcPr>
          <w:p w14:paraId="437B9C1B"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0.99</w:t>
            </w:r>
          </w:p>
        </w:tc>
        <w:tc>
          <w:tcPr>
            <w:tcW w:w="0" w:type="auto"/>
            <w:vAlign w:val="center"/>
            <w:hideMark/>
          </w:tcPr>
          <w:p w14:paraId="782087FB"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0.88</w:t>
            </w:r>
          </w:p>
        </w:tc>
      </w:tr>
      <w:tr w:rsidR="00667117" w:rsidRPr="00E40CBF" w14:paraId="51C2250D" w14:textId="77777777" w:rsidTr="00667117">
        <w:trPr>
          <w:trHeight w:val="460"/>
          <w:tblCellSpacing w:w="15" w:type="dxa"/>
        </w:trPr>
        <w:tc>
          <w:tcPr>
            <w:tcW w:w="0" w:type="auto"/>
            <w:vAlign w:val="center"/>
            <w:hideMark/>
          </w:tcPr>
          <w:p w14:paraId="0A4D1A65"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Interest Coverage</w:t>
            </w:r>
          </w:p>
        </w:tc>
        <w:tc>
          <w:tcPr>
            <w:tcW w:w="0" w:type="auto"/>
            <w:vAlign w:val="center"/>
            <w:hideMark/>
          </w:tcPr>
          <w:p w14:paraId="4AFA398E"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-4.6</w:t>
            </w:r>
          </w:p>
        </w:tc>
        <w:tc>
          <w:tcPr>
            <w:tcW w:w="0" w:type="auto"/>
            <w:vAlign w:val="center"/>
            <w:hideMark/>
          </w:tcPr>
          <w:p w14:paraId="7C7EE482"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-19.7</w:t>
            </w:r>
          </w:p>
        </w:tc>
        <w:tc>
          <w:tcPr>
            <w:tcW w:w="0" w:type="auto"/>
            <w:vAlign w:val="center"/>
            <w:hideMark/>
          </w:tcPr>
          <w:p w14:paraId="2B114CF5" w14:textId="77777777" w:rsidR="00667117" w:rsidRPr="00E40CBF" w:rsidRDefault="00667117" w:rsidP="0075108E">
            <w:pPr>
              <w:spacing w:line="360" w:lineRule="auto"/>
              <w:jc w:val="both"/>
              <w:rPr>
                <w:rFonts w:ascii="Arial" w:hAnsi="Arial" w:cs="Arial"/>
                <w:sz w:val="24"/>
                <w:szCs w:val="24"/>
              </w:rPr>
            </w:pPr>
            <w:r w:rsidRPr="00E40CBF">
              <w:rPr>
                <w:rFonts w:ascii="Arial" w:hAnsi="Arial" w:cs="Arial"/>
                <w:sz w:val="24"/>
                <w:szCs w:val="24"/>
              </w:rPr>
              <w:t>6.6</w:t>
            </w:r>
          </w:p>
        </w:tc>
      </w:tr>
    </w:tbl>
    <w:p w14:paraId="55600E8C" w14:textId="77777777" w:rsidR="00A43249" w:rsidRPr="00E40CBF" w:rsidRDefault="00A43249" w:rsidP="0075108E">
      <w:pPr>
        <w:tabs>
          <w:tab w:val="left" w:pos="5916"/>
        </w:tabs>
        <w:spacing w:line="360" w:lineRule="auto"/>
        <w:jc w:val="both"/>
        <w:rPr>
          <w:rFonts w:ascii="Arial" w:hAnsi="Arial" w:cs="Arial"/>
          <w:sz w:val="24"/>
          <w:szCs w:val="24"/>
        </w:rPr>
      </w:pPr>
    </w:p>
    <w:p w14:paraId="63092B69" w14:textId="4CBB9ACC" w:rsidR="00A43249" w:rsidRPr="00E40CBF" w:rsidRDefault="009066FF" w:rsidP="0075108E">
      <w:pPr>
        <w:tabs>
          <w:tab w:val="left" w:pos="5916"/>
        </w:tabs>
        <w:spacing w:line="360" w:lineRule="auto"/>
        <w:jc w:val="both"/>
        <w:rPr>
          <w:rFonts w:ascii="Arial" w:hAnsi="Arial" w:cs="Arial"/>
          <w:sz w:val="24"/>
          <w:szCs w:val="24"/>
        </w:rPr>
      </w:pPr>
      <w:r w:rsidRPr="00E40CBF">
        <w:rPr>
          <w:rFonts w:ascii="Arial" w:hAnsi="Arial" w:cs="Arial"/>
          <w:sz w:val="24"/>
          <w:szCs w:val="24"/>
        </w:rPr>
        <w:t>How much debt a business uses in relation to shareholders' equity is indicated by the debt-to-equity ratio. The ease with which earnings cover interest costs is gauged by the interest coverage ratio. Stronger financial stability is indicated by higher values.</w:t>
      </w:r>
    </w:p>
    <w:p w14:paraId="11418BAD" w14:textId="77777777" w:rsidR="009066FF" w:rsidRPr="00E40CBF" w:rsidRDefault="009066FF" w:rsidP="0075108E">
      <w:pPr>
        <w:tabs>
          <w:tab w:val="left" w:pos="5916"/>
        </w:tabs>
        <w:spacing w:line="360" w:lineRule="auto"/>
        <w:jc w:val="both"/>
        <w:rPr>
          <w:rFonts w:ascii="Arial" w:hAnsi="Arial" w:cs="Arial"/>
          <w:sz w:val="24"/>
          <w:szCs w:val="24"/>
        </w:rPr>
      </w:pPr>
    </w:p>
    <w:p w14:paraId="6F51D139" w14:textId="498D2A24" w:rsidR="00667117" w:rsidRPr="00E40CBF" w:rsidRDefault="00667117" w:rsidP="0075108E">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 xml:space="preserve">Debt-to-Equity = </w:t>
      </w:r>
      <w:hyperlink r:id="rId9" w:history="1">
        <w:r w:rsidRPr="00E40CBF">
          <w:rPr>
            <w:rStyle w:val="Hyperlink"/>
            <w:rFonts w:ascii="Arial" w:hAnsi="Arial" w:cs="Arial"/>
            <w:color w:val="auto"/>
            <w:sz w:val="24"/>
            <w:szCs w:val="24"/>
            <w:u w:val="none"/>
          </w:rPr>
          <w:t>Total Liabilities / Shareholders' Equity</w:t>
        </w:r>
      </w:hyperlink>
    </w:p>
    <w:p w14:paraId="5C439ECD" w14:textId="77777777" w:rsidR="009066FF" w:rsidRPr="00E40CBF" w:rsidRDefault="009066FF" w:rsidP="0075108E">
      <w:pPr>
        <w:pStyle w:val="ListParagraph"/>
        <w:tabs>
          <w:tab w:val="left" w:pos="5916"/>
        </w:tabs>
        <w:spacing w:line="360" w:lineRule="auto"/>
        <w:jc w:val="both"/>
        <w:rPr>
          <w:rFonts w:ascii="Arial" w:hAnsi="Arial" w:cs="Arial"/>
          <w:sz w:val="24"/>
          <w:szCs w:val="24"/>
        </w:rPr>
      </w:pPr>
    </w:p>
    <w:p w14:paraId="74B41F57" w14:textId="338ED86D" w:rsidR="00667117" w:rsidRPr="00E40CBF" w:rsidRDefault="009E59D4" w:rsidP="0075108E">
      <w:pPr>
        <w:tabs>
          <w:tab w:val="left" w:pos="5916"/>
        </w:tabs>
        <w:spacing w:line="360" w:lineRule="auto"/>
        <w:jc w:val="both"/>
        <w:rPr>
          <w:rFonts w:ascii="Arial" w:hAnsi="Arial" w:cs="Arial"/>
          <w:sz w:val="24"/>
          <w:szCs w:val="24"/>
        </w:rPr>
      </w:pPr>
      <w:r w:rsidRPr="00E40CBF">
        <w:rPr>
          <w:rFonts w:ascii="Arial" w:hAnsi="Arial" w:cs="Arial"/>
          <w:sz w:val="24"/>
          <w:szCs w:val="24"/>
        </w:rPr>
        <w:t>T</w:t>
      </w:r>
      <w:r w:rsidR="00667117" w:rsidRPr="00E40CBF">
        <w:rPr>
          <w:rFonts w:ascii="Arial" w:hAnsi="Arial" w:cs="Arial"/>
          <w:sz w:val="24"/>
          <w:szCs w:val="24"/>
        </w:rPr>
        <w:t>he debt-to-equity ratio which rose gradually from 0.88 in 2022 to 0.99 in 2023 and then to 1.11 in 2024. Given this increasing trend, the company is increasingly depending on debt financing; currently, it has 1.11 in debt for every dollar of equity. Strong profits can be increased by moderate leverage, but a growing ratio indicates increased financial risk and a greater reliance on borrowed money, which may put pressure on future flexibility and profitability.</w:t>
      </w:r>
    </w:p>
    <w:p w14:paraId="0B41678C" w14:textId="77777777" w:rsidR="00667117" w:rsidRPr="00E40CBF" w:rsidRDefault="00667117" w:rsidP="0075108E">
      <w:pPr>
        <w:tabs>
          <w:tab w:val="left" w:pos="5916"/>
        </w:tabs>
        <w:spacing w:line="360" w:lineRule="auto"/>
        <w:jc w:val="both"/>
        <w:rPr>
          <w:rFonts w:ascii="Arial" w:hAnsi="Arial" w:cs="Arial"/>
          <w:sz w:val="24"/>
          <w:szCs w:val="24"/>
        </w:rPr>
      </w:pPr>
    </w:p>
    <w:p w14:paraId="3C822FAA" w14:textId="63603AF4" w:rsidR="00667117" w:rsidRPr="00E40CBF" w:rsidRDefault="00667117" w:rsidP="00C82D31">
      <w:pPr>
        <w:pStyle w:val="ListParagraph"/>
        <w:numPr>
          <w:ilvl w:val="0"/>
          <w:numId w:val="8"/>
        </w:numPr>
        <w:tabs>
          <w:tab w:val="left" w:pos="5916"/>
        </w:tabs>
        <w:spacing w:line="360" w:lineRule="auto"/>
        <w:jc w:val="both"/>
        <w:rPr>
          <w:rFonts w:ascii="Arial" w:hAnsi="Arial" w:cs="Arial"/>
          <w:sz w:val="24"/>
          <w:szCs w:val="24"/>
        </w:rPr>
      </w:pPr>
      <w:r w:rsidRPr="00E40CBF">
        <w:rPr>
          <w:rFonts w:ascii="Arial" w:hAnsi="Arial" w:cs="Arial"/>
          <w:sz w:val="24"/>
          <w:szCs w:val="24"/>
        </w:rPr>
        <w:t>Interest Coverage =  Earnings Before Interest and Taxes (EBIT) / Interest Expense</w:t>
      </w:r>
    </w:p>
    <w:p w14:paraId="0A8545EB" w14:textId="4467766A" w:rsidR="009066FF" w:rsidRPr="00E40CBF" w:rsidRDefault="006671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ratio was 6.6 in 2022, demonstrating sound financial health and earnings that were more than enough to pay interest. The company's operating income was negative and insufficient to cover interest obligations, though, as it fell precipitously to -19.7 in 2023 and stayed negative at -4.6 in 2024. Because the business cannot pay for its financing from operating profits, negative interest coverage indicates financial distress.</w:t>
      </w:r>
    </w:p>
    <w:p w14:paraId="0D682D25" w14:textId="31B9040C" w:rsidR="009066FF" w:rsidRDefault="005F0311" w:rsidP="005F0311">
      <w:pPr>
        <w:pStyle w:val="Heading2"/>
        <w:rPr>
          <w:rFonts w:ascii="Arial" w:hAnsi="Arial" w:cs="Arial"/>
          <w:color w:val="auto"/>
        </w:rPr>
      </w:pPr>
      <w:bookmarkStart w:id="6" w:name="_Toc214799410"/>
      <w:r w:rsidRPr="00E40CBF">
        <w:rPr>
          <w:rFonts w:ascii="Arial" w:hAnsi="Arial" w:cs="Arial"/>
          <w:color w:val="auto"/>
        </w:rPr>
        <w:lastRenderedPageBreak/>
        <w:t>5.</w:t>
      </w:r>
      <w:hyperlink r:id="rId10" w:history="1">
        <w:r w:rsidR="009066FF" w:rsidRPr="00E40CBF">
          <w:rPr>
            <w:rStyle w:val="Hyperlink"/>
            <w:rFonts w:ascii="Arial" w:hAnsi="Arial" w:cs="Arial"/>
            <w:color w:val="auto"/>
            <w:u w:val="none"/>
          </w:rPr>
          <w:t>Investment</w:t>
        </w:r>
        <w:bookmarkEnd w:id="6"/>
      </w:hyperlink>
    </w:p>
    <w:p w14:paraId="44B8F4DD" w14:textId="77777777" w:rsidR="00BD0FAF" w:rsidRPr="00BD0FAF" w:rsidRDefault="00BD0FAF" w:rsidP="00BD0FAF"/>
    <w:tbl>
      <w:tblPr>
        <w:tblW w:w="921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68"/>
        <w:gridCol w:w="1365"/>
        <w:gridCol w:w="1403"/>
        <w:gridCol w:w="1380"/>
      </w:tblGrid>
      <w:tr w:rsidR="00E40CBF" w:rsidRPr="00E40CBF" w14:paraId="5C5CB9A1" w14:textId="77777777" w:rsidTr="009066FF">
        <w:trPr>
          <w:trHeight w:val="460"/>
          <w:tblHeader/>
          <w:tblCellSpacing w:w="15" w:type="dxa"/>
        </w:trPr>
        <w:tc>
          <w:tcPr>
            <w:tcW w:w="0" w:type="auto"/>
            <w:vAlign w:val="center"/>
            <w:hideMark/>
          </w:tcPr>
          <w:p w14:paraId="70988DCD"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Metric</w:t>
            </w:r>
          </w:p>
        </w:tc>
        <w:tc>
          <w:tcPr>
            <w:tcW w:w="0" w:type="auto"/>
            <w:vAlign w:val="center"/>
            <w:hideMark/>
          </w:tcPr>
          <w:p w14:paraId="2784D581"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2024</w:t>
            </w:r>
          </w:p>
        </w:tc>
        <w:tc>
          <w:tcPr>
            <w:tcW w:w="0" w:type="auto"/>
            <w:vAlign w:val="center"/>
            <w:hideMark/>
          </w:tcPr>
          <w:p w14:paraId="2DFF7C39"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3D4D5FB0"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2022</w:t>
            </w:r>
          </w:p>
        </w:tc>
      </w:tr>
      <w:tr w:rsidR="00E40CBF" w:rsidRPr="00E40CBF" w14:paraId="5D9D2D00" w14:textId="77777777" w:rsidTr="009066FF">
        <w:trPr>
          <w:trHeight w:val="460"/>
          <w:tblCellSpacing w:w="15" w:type="dxa"/>
        </w:trPr>
        <w:tc>
          <w:tcPr>
            <w:tcW w:w="0" w:type="auto"/>
            <w:vAlign w:val="center"/>
            <w:hideMark/>
          </w:tcPr>
          <w:p w14:paraId="6C4A3565"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EPS (Basic)</w:t>
            </w:r>
          </w:p>
        </w:tc>
        <w:tc>
          <w:tcPr>
            <w:tcW w:w="0" w:type="auto"/>
            <w:vAlign w:val="center"/>
            <w:hideMark/>
          </w:tcPr>
          <w:p w14:paraId="75EF50B6"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-1.85</w:t>
            </w:r>
          </w:p>
        </w:tc>
        <w:tc>
          <w:tcPr>
            <w:tcW w:w="0" w:type="auto"/>
            <w:vAlign w:val="center"/>
            <w:hideMark/>
          </w:tcPr>
          <w:p w14:paraId="78F83B0B"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-7.64</w:t>
            </w:r>
          </w:p>
        </w:tc>
        <w:tc>
          <w:tcPr>
            <w:tcW w:w="0" w:type="auto"/>
            <w:vAlign w:val="center"/>
            <w:hideMark/>
          </w:tcPr>
          <w:p w14:paraId="65FE089C"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0.03</w:t>
            </w:r>
          </w:p>
        </w:tc>
      </w:tr>
      <w:tr w:rsidR="009066FF" w:rsidRPr="00E40CBF" w14:paraId="2B6CFCF2" w14:textId="77777777" w:rsidTr="009066FF">
        <w:trPr>
          <w:trHeight w:val="450"/>
          <w:tblCellSpacing w:w="15" w:type="dxa"/>
        </w:trPr>
        <w:tc>
          <w:tcPr>
            <w:tcW w:w="0" w:type="auto"/>
            <w:vAlign w:val="center"/>
            <w:hideMark/>
          </w:tcPr>
          <w:p w14:paraId="71D43B27"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Book Value per Share</w:t>
            </w:r>
          </w:p>
        </w:tc>
        <w:tc>
          <w:tcPr>
            <w:tcW w:w="0" w:type="auto"/>
            <w:vAlign w:val="center"/>
            <w:hideMark/>
          </w:tcPr>
          <w:p w14:paraId="75EE456B"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11.81</w:t>
            </w:r>
          </w:p>
        </w:tc>
        <w:tc>
          <w:tcPr>
            <w:tcW w:w="0" w:type="auto"/>
            <w:vAlign w:val="center"/>
            <w:hideMark/>
          </w:tcPr>
          <w:p w14:paraId="50EA1C9F"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13.92</w:t>
            </w:r>
          </w:p>
        </w:tc>
        <w:tc>
          <w:tcPr>
            <w:tcW w:w="0" w:type="auto"/>
            <w:vAlign w:val="center"/>
            <w:hideMark/>
          </w:tcPr>
          <w:p w14:paraId="4058D841" w14:textId="77777777" w:rsidR="009066FF" w:rsidRPr="00E40CBF" w:rsidRDefault="009066FF" w:rsidP="0075108E">
            <w:pPr>
              <w:spacing w:line="360" w:lineRule="auto"/>
              <w:jc w:val="both"/>
              <w:rPr>
                <w:rFonts w:ascii="Arial" w:hAnsi="Arial" w:cs="Arial"/>
                <w:sz w:val="24"/>
                <w:szCs w:val="24"/>
              </w:rPr>
            </w:pPr>
            <w:r w:rsidRPr="00E40CBF">
              <w:rPr>
                <w:rFonts w:ascii="Arial" w:hAnsi="Arial" w:cs="Arial"/>
                <w:sz w:val="24"/>
                <w:szCs w:val="24"/>
              </w:rPr>
              <w:t>21.11</w:t>
            </w:r>
          </w:p>
        </w:tc>
      </w:tr>
    </w:tbl>
    <w:p w14:paraId="63BAB96B" w14:textId="77777777" w:rsidR="009066FF" w:rsidRPr="00E40CBF" w:rsidRDefault="009066FF" w:rsidP="0075108E">
      <w:pPr>
        <w:tabs>
          <w:tab w:val="left" w:pos="5916"/>
        </w:tabs>
        <w:spacing w:line="360" w:lineRule="auto"/>
        <w:jc w:val="both"/>
        <w:rPr>
          <w:rFonts w:ascii="Arial" w:hAnsi="Arial" w:cs="Arial"/>
          <w:sz w:val="24"/>
          <w:szCs w:val="24"/>
        </w:rPr>
      </w:pPr>
    </w:p>
    <w:p w14:paraId="591C7759" w14:textId="6D6ED482" w:rsidR="00A60C12" w:rsidRPr="00E40CBF" w:rsidRDefault="009066FF"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The company's book value per share and earnings per share (EPS) show a dramatic decline in profitability and shareholder value between 2022 and 2024. The basic EPS in 2022 was marginally positive at 0.03 this suggests that there was little net income distributed per share. However, EPS fell to -7.64 in 2023, indicating a large net loss per share that was probably caused by unusual expenses, declining revenues, or operational inefficiencies. The loss decreased to </w:t>
      </w:r>
      <w:r w:rsidR="001D4E5C" w:rsidRPr="00E40CBF">
        <w:rPr>
          <w:rFonts w:ascii="Arial" w:hAnsi="Arial" w:cs="Arial"/>
          <w:sz w:val="24"/>
          <w:szCs w:val="24"/>
        </w:rPr>
        <w:t>(</w:t>
      </w:r>
      <w:r w:rsidRPr="00E40CBF">
        <w:rPr>
          <w:rFonts w:ascii="Arial" w:hAnsi="Arial" w:cs="Arial"/>
          <w:sz w:val="24"/>
          <w:szCs w:val="24"/>
        </w:rPr>
        <w:t>-1.85</w:t>
      </w:r>
      <w:r w:rsidR="001D4E5C" w:rsidRPr="00E40CBF">
        <w:rPr>
          <w:rFonts w:ascii="Arial" w:hAnsi="Arial" w:cs="Arial"/>
          <w:sz w:val="24"/>
          <w:szCs w:val="24"/>
        </w:rPr>
        <w:t>)</w:t>
      </w:r>
      <w:r w:rsidRPr="00E40CBF">
        <w:rPr>
          <w:rFonts w:ascii="Arial" w:hAnsi="Arial" w:cs="Arial"/>
          <w:sz w:val="24"/>
          <w:szCs w:val="24"/>
        </w:rPr>
        <w:t xml:space="preserve"> by 2024, indicating a partial recovery but still showing negative earnings. This pattern is consistent with the business's wider financial difficulties at the time. The net asset value per share, or book value per share, decreased from 21.11 in 2022 to 13.92 in 2023 and then to 11.81 in 2024. Equity base of the business, perhaps as a result of accrued losses, asset write-downs, or growing liabilities. The company faced significant financial challenges, as indicated by the negative EPS and declining book value. Although 2024 shows signs of stabilization, the company's profitability and shareholder value are still far below where they were in 2022.</w:t>
      </w:r>
    </w:p>
    <w:p w14:paraId="1A8C6CED" w14:textId="77777777" w:rsidR="00A60C12" w:rsidRPr="00E40CBF" w:rsidRDefault="00A60C12" w:rsidP="0075108E">
      <w:pPr>
        <w:tabs>
          <w:tab w:val="left" w:pos="5916"/>
        </w:tabs>
        <w:spacing w:line="360" w:lineRule="auto"/>
        <w:jc w:val="both"/>
        <w:rPr>
          <w:rFonts w:ascii="Arial" w:hAnsi="Arial" w:cs="Arial"/>
          <w:sz w:val="24"/>
          <w:szCs w:val="24"/>
        </w:rPr>
      </w:pPr>
    </w:p>
    <w:p w14:paraId="2EFF4B58" w14:textId="77777777" w:rsidR="00505832" w:rsidRPr="00E40CBF" w:rsidRDefault="00505832" w:rsidP="0075108E">
      <w:pPr>
        <w:tabs>
          <w:tab w:val="left" w:pos="5916"/>
        </w:tabs>
        <w:spacing w:line="360" w:lineRule="auto"/>
        <w:jc w:val="both"/>
        <w:rPr>
          <w:rFonts w:ascii="Arial" w:hAnsi="Arial" w:cs="Arial"/>
          <w:sz w:val="24"/>
          <w:szCs w:val="24"/>
        </w:rPr>
      </w:pPr>
    </w:p>
    <w:p w14:paraId="25D3A9DE" w14:textId="77777777" w:rsidR="00505832" w:rsidRPr="00E40CBF" w:rsidRDefault="00505832" w:rsidP="0075108E">
      <w:pPr>
        <w:tabs>
          <w:tab w:val="left" w:pos="5916"/>
        </w:tabs>
        <w:spacing w:line="360" w:lineRule="auto"/>
        <w:jc w:val="both"/>
        <w:rPr>
          <w:rFonts w:ascii="Arial" w:hAnsi="Arial" w:cs="Arial"/>
          <w:sz w:val="24"/>
          <w:szCs w:val="24"/>
        </w:rPr>
      </w:pPr>
    </w:p>
    <w:p w14:paraId="5C38BE68" w14:textId="77777777" w:rsidR="00505832" w:rsidRPr="00E40CBF" w:rsidRDefault="00505832" w:rsidP="0075108E">
      <w:pPr>
        <w:tabs>
          <w:tab w:val="left" w:pos="5916"/>
        </w:tabs>
        <w:spacing w:line="360" w:lineRule="auto"/>
        <w:jc w:val="both"/>
        <w:rPr>
          <w:rFonts w:ascii="Arial" w:hAnsi="Arial" w:cs="Arial"/>
          <w:sz w:val="24"/>
          <w:szCs w:val="24"/>
        </w:rPr>
      </w:pPr>
    </w:p>
    <w:p w14:paraId="3E472998" w14:textId="77777777" w:rsidR="00505832" w:rsidRPr="00E40CBF" w:rsidRDefault="00505832" w:rsidP="0075108E">
      <w:pPr>
        <w:tabs>
          <w:tab w:val="left" w:pos="5916"/>
        </w:tabs>
        <w:spacing w:line="360" w:lineRule="auto"/>
        <w:jc w:val="both"/>
        <w:rPr>
          <w:rFonts w:ascii="Arial" w:hAnsi="Arial" w:cs="Arial"/>
          <w:sz w:val="24"/>
          <w:szCs w:val="24"/>
        </w:rPr>
      </w:pPr>
    </w:p>
    <w:p w14:paraId="166E0B0B" w14:textId="77777777" w:rsidR="005E4F54" w:rsidRPr="00E40CBF" w:rsidRDefault="005E4F54" w:rsidP="0075108E">
      <w:pPr>
        <w:tabs>
          <w:tab w:val="left" w:pos="5916"/>
        </w:tabs>
        <w:spacing w:line="360" w:lineRule="auto"/>
        <w:jc w:val="both"/>
        <w:rPr>
          <w:rFonts w:ascii="Arial" w:hAnsi="Arial" w:cs="Arial"/>
          <w:sz w:val="24"/>
          <w:szCs w:val="24"/>
        </w:rPr>
      </w:pPr>
    </w:p>
    <w:p w14:paraId="4B2683AD" w14:textId="77777777" w:rsidR="006E0A22" w:rsidRPr="00E40CBF" w:rsidRDefault="006E0A22" w:rsidP="0075108E">
      <w:pPr>
        <w:tabs>
          <w:tab w:val="left" w:pos="5916"/>
        </w:tabs>
        <w:spacing w:line="360" w:lineRule="auto"/>
        <w:jc w:val="both"/>
        <w:rPr>
          <w:rFonts w:ascii="Arial" w:hAnsi="Arial" w:cs="Arial"/>
          <w:sz w:val="24"/>
          <w:szCs w:val="24"/>
        </w:rPr>
      </w:pPr>
    </w:p>
    <w:p w14:paraId="6C2BDCD3" w14:textId="1665D8AA" w:rsidR="00A60C12" w:rsidRPr="00E40CBF" w:rsidRDefault="005F0311" w:rsidP="005F0311">
      <w:pPr>
        <w:pStyle w:val="Heading2"/>
        <w:rPr>
          <w:rFonts w:ascii="Arial" w:hAnsi="Arial" w:cs="Arial"/>
          <w:color w:val="auto"/>
        </w:rPr>
      </w:pPr>
      <w:bookmarkStart w:id="7" w:name="_Toc214799411"/>
      <w:r w:rsidRPr="00E40CBF">
        <w:rPr>
          <w:rFonts w:ascii="Arial" w:hAnsi="Arial" w:cs="Arial"/>
          <w:color w:val="auto"/>
        </w:rPr>
        <w:lastRenderedPageBreak/>
        <w:t>6.</w:t>
      </w:r>
      <w:r w:rsidR="008D3C17" w:rsidRPr="00E40CBF">
        <w:rPr>
          <w:rFonts w:ascii="Arial" w:hAnsi="Arial" w:cs="Arial"/>
          <w:color w:val="auto"/>
        </w:rPr>
        <w:t>Cash Flow</w:t>
      </w:r>
      <w:bookmarkEnd w:id="7"/>
    </w:p>
    <w:p w14:paraId="14464E34" w14:textId="77777777" w:rsidR="008D3C17" w:rsidRPr="00E40CBF" w:rsidRDefault="008D3C17" w:rsidP="0075108E">
      <w:pPr>
        <w:tabs>
          <w:tab w:val="left" w:pos="5916"/>
        </w:tabs>
        <w:spacing w:line="360" w:lineRule="auto"/>
        <w:jc w:val="both"/>
        <w:rPr>
          <w:rFonts w:ascii="Arial" w:hAnsi="Arial" w:cs="Arial"/>
          <w:sz w:val="24"/>
          <w:szCs w:val="24"/>
        </w:rPr>
      </w:pPr>
    </w:p>
    <w:p w14:paraId="6DBC197C" w14:textId="77777777" w:rsidR="008D3C17"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decline in profitability is mirrored in cash flow performance. Operating cash flow decreased by 80 percent from 2020, when it was £73.4 billion, to 2024, when it was £14.8 billion. While this is encouraging, the amount is insufficient to pay off its debt and reinvest.</w:t>
      </w:r>
    </w:p>
    <w:p w14:paraId="71FE9C62" w14:textId="642A9F02" w:rsidR="009066FF"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Because of the outgoing capital expenditure, the amount of cash outflows invested has decreased to a range of 8.4 billion in 2024 compared to 23.7 billion in 2020. This helps to preserve funds in the short term but limits future innovation. Financial flows Cash flows from financing have also turned negative (£19.8 blank in 2024), which is linked to poor capital raising and debt repayment.</w:t>
      </w:r>
    </w:p>
    <w:p w14:paraId="23864D66" w14:textId="51A963C3" w:rsidR="008D3C17"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As a result, closing cash decreased in 2024, representing a loss of liquidity of 26.8 billion and 66.7 billion, respectively, compared to 2022. The company has been forced to reduce its investment and financing operations to continue with operations.</w:t>
      </w:r>
    </w:p>
    <w:p w14:paraId="355EB4DE" w14:textId="77777777" w:rsidR="009066FF" w:rsidRPr="00E40CBF" w:rsidRDefault="009066FF" w:rsidP="0075108E">
      <w:pPr>
        <w:tabs>
          <w:tab w:val="left" w:pos="5916"/>
        </w:tabs>
        <w:spacing w:line="360" w:lineRule="auto"/>
        <w:jc w:val="both"/>
        <w:rPr>
          <w:rFonts w:ascii="Arial" w:hAnsi="Arial" w:cs="Arial"/>
          <w:sz w:val="24"/>
          <w:szCs w:val="24"/>
        </w:rPr>
      </w:pPr>
    </w:p>
    <w:p w14:paraId="08E3F5C9" w14:textId="6522FA1B" w:rsidR="008D3C17" w:rsidRPr="00E40CBF" w:rsidRDefault="003657E0" w:rsidP="003657E0">
      <w:pPr>
        <w:pStyle w:val="Heading2"/>
        <w:rPr>
          <w:rFonts w:ascii="Arial" w:hAnsi="Arial" w:cs="Arial"/>
          <w:color w:val="auto"/>
        </w:rPr>
      </w:pPr>
      <w:bookmarkStart w:id="8" w:name="_Toc214799412"/>
      <w:r w:rsidRPr="00E40CBF">
        <w:rPr>
          <w:rFonts w:ascii="Arial" w:hAnsi="Arial" w:cs="Arial"/>
          <w:color w:val="auto"/>
        </w:rPr>
        <w:t>7.</w:t>
      </w:r>
      <w:r w:rsidR="008D3C17" w:rsidRPr="00E40CBF">
        <w:rPr>
          <w:rFonts w:ascii="Arial" w:hAnsi="Arial" w:cs="Arial"/>
          <w:color w:val="auto"/>
        </w:rPr>
        <w:t>Trends</w:t>
      </w:r>
      <w:bookmarkEnd w:id="8"/>
    </w:p>
    <w:p w14:paraId="5BD82B94" w14:textId="77777777" w:rsidR="008D3C17" w:rsidRPr="00E40CBF" w:rsidRDefault="008D3C17" w:rsidP="0075108E">
      <w:pPr>
        <w:tabs>
          <w:tab w:val="left" w:pos="5916"/>
        </w:tabs>
        <w:spacing w:line="360" w:lineRule="auto"/>
        <w:jc w:val="both"/>
        <w:rPr>
          <w:rFonts w:ascii="Arial" w:hAnsi="Arial" w:cs="Arial"/>
          <w:sz w:val="24"/>
          <w:szCs w:val="24"/>
        </w:rPr>
      </w:pPr>
    </w:p>
    <w:p w14:paraId="02AD98F1" w14:textId="67345927" w:rsidR="008D3C17" w:rsidRPr="00E40CBF" w:rsidRDefault="008D3C17"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company had a significant financial decline from 2022 to 2024. A 36% drop in revenue was indicative of poorer sales results and market difficulties. Because net income was negative in 2023 and continued to decline in 2024 due to the steep decline in sales, profitability was eroded. At the same time, total assets dropped from £504 billion to £323 billion, which may indicate a reduction in operational capacity or the potential for asset sales. The impact of ongoing losses on the company's financial stability was further demonstrated by the 43% decline in shareholders' equity. All things considered, the data indicates severe financial hardship and deteriorating company stability during the two-year span.</w:t>
      </w:r>
    </w:p>
    <w:p w14:paraId="68148F0A" w14:textId="77777777" w:rsidR="008D3C17" w:rsidRDefault="008D3C17" w:rsidP="0075108E">
      <w:pPr>
        <w:tabs>
          <w:tab w:val="left" w:pos="5916"/>
        </w:tabs>
        <w:spacing w:line="360" w:lineRule="auto"/>
        <w:jc w:val="both"/>
        <w:rPr>
          <w:rFonts w:ascii="Arial" w:hAnsi="Arial" w:cs="Arial"/>
          <w:sz w:val="24"/>
          <w:szCs w:val="24"/>
        </w:rPr>
      </w:pPr>
    </w:p>
    <w:p w14:paraId="58D3E19C" w14:textId="77777777" w:rsidR="00BD0FAF" w:rsidRPr="00E40CBF" w:rsidRDefault="00BD0FAF" w:rsidP="0075108E">
      <w:pPr>
        <w:tabs>
          <w:tab w:val="left" w:pos="5916"/>
        </w:tabs>
        <w:spacing w:line="360" w:lineRule="auto"/>
        <w:jc w:val="both"/>
        <w:rPr>
          <w:rFonts w:ascii="Arial" w:hAnsi="Arial" w:cs="Arial"/>
          <w:sz w:val="24"/>
          <w:szCs w:val="24"/>
        </w:rPr>
      </w:pPr>
    </w:p>
    <w:p w14:paraId="2C0838AB" w14:textId="2D508822" w:rsidR="008D3C17" w:rsidRPr="00E40CBF" w:rsidRDefault="003657E0" w:rsidP="003657E0">
      <w:pPr>
        <w:pStyle w:val="Heading2"/>
        <w:rPr>
          <w:rFonts w:ascii="Arial" w:hAnsi="Arial" w:cs="Arial"/>
          <w:color w:val="auto"/>
        </w:rPr>
      </w:pPr>
      <w:bookmarkStart w:id="9" w:name="_Toc214799413"/>
      <w:r w:rsidRPr="00E40CBF">
        <w:rPr>
          <w:rFonts w:ascii="Arial" w:hAnsi="Arial" w:cs="Arial"/>
          <w:color w:val="auto"/>
        </w:rPr>
        <w:lastRenderedPageBreak/>
        <w:t>8.</w:t>
      </w:r>
      <w:r w:rsidR="00BA4B9D" w:rsidRPr="00E40CBF">
        <w:rPr>
          <w:rFonts w:ascii="Arial" w:hAnsi="Arial" w:cs="Arial"/>
          <w:color w:val="auto"/>
        </w:rPr>
        <w:t>Strengths</w:t>
      </w:r>
      <w:bookmarkEnd w:id="9"/>
    </w:p>
    <w:p w14:paraId="55526D5E" w14:textId="77777777" w:rsidR="00BA4B9D" w:rsidRPr="00E40CBF" w:rsidRDefault="00BA4B9D" w:rsidP="0075108E">
      <w:pPr>
        <w:tabs>
          <w:tab w:val="left" w:pos="5916"/>
        </w:tabs>
        <w:spacing w:line="360" w:lineRule="auto"/>
        <w:jc w:val="both"/>
        <w:rPr>
          <w:rFonts w:ascii="Arial" w:hAnsi="Arial" w:cs="Arial"/>
          <w:sz w:val="24"/>
          <w:szCs w:val="24"/>
        </w:rPr>
      </w:pPr>
    </w:p>
    <w:p w14:paraId="161C4803" w14:textId="2431545D" w:rsidR="008D3C17" w:rsidRPr="00E40CBF" w:rsidRDefault="00BA4B9D" w:rsidP="0075108E">
      <w:pPr>
        <w:tabs>
          <w:tab w:val="left" w:pos="5916"/>
        </w:tabs>
        <w:spacing w:line="360" w:lineRule="auto"/>
        <w:jc w:val="both"/>
        <w:rPr>
          <w:rFonts w:ascii="Arial" w:hAnsi="Arial" w:cs="Arial"/>
          <w:sz w:val="24"/>
          <w:szCs w:val="24"/>
        </w:rPr>
      </w:pPr>
      <w:r w:rsidRPr="00E40CBF">
        <w:rPr>
          <w:rFonts w:ascii="Arial" w:hAnsi="Arial" w:cs="Arial"/>
          <w:sz w:val="24"/>
          <w:szCs w:val="24"/>
        </w:rPr>
        <w:t>Company’s demonstrates resiliency by keeping core profitability steady and maintaining steady gross margins in spite of declining sales. Its steady asset turnover suggests that resources are used effectively to produce income. Furthermore, despite a decrease in cash reserves, the company still has a sizeable amount of £26.8 billion, which provides liquidity for operations and immediate obligations.</w:t>
      </w:r>
    </w:p>
    <w:p w14:paraId="5ADB0077" w14:textId="77777777" w:rsidR="008D3C17" w:rsidRPr="00E40CBF" w:rsidRDefault="008D3C17" w:rsidP="0075108E">
      <w:pPr>
        <w:tabs>
          <w:tab w:val="left" w:pos="5916"/>
        </w:tabs>
        <w:spacing w:line="360" w:lineRule="auto"/>
        <w:jc w:val="both"/>
        <w:rPr>
          <w:rFonts w:ascii="Arial" w:hAnsi="Arial" w:cs="Arial"/>
          <w:sz w:val="24"/>
          <w:szCs w:val="24"/>
        </w:rPr>
      </w:pPr>
    </w:p>
    <w:p w14:paraId="3DDB1E41" w14:textId="3A363F2F" w:rsidR="008D3C17" w:rsidRPr="00E40CBF" w:rsidRDefault="00E56412" w:rsidP="00E56412">
      <w:pPr>
        <w:pStyle w:val="Heading2"/>
        <w:rPr>
          <w:rFonts w:ascii="Arial" w:hAnsi="Arial" w:cs="Arial"/>
          <w:color w:val="auto"/>
        </w:rPr>
      </w:pPr>
      <w:bookmarkStart w:id="10" w:name="_Toc214799414"/>
      <w:r w:rsidRPr="00E40CBF">
        <w:rPr>
          <w:rFonts w:ascii="Arial" w:hAnsi="Arial" w:cs="Arial"/>
          <w:color w:val="auto"/>
        </w:rPr>
        <w:t>9.</w:t>
      </w:r>
      <w:r w:rsidR="00BA4B9D" w:rsidRPr="00E40CBF">
        <w:rPr>
          <w:rFonts w:ascii="Arial" w:hAnsi="Arial" w:cs="Arial"/>
          <w:color w:val="auto"/>
        </w:rPr>
        <w:t>Threats</w:t>
      </w:r>
      <w:bookmarkEnd w:id="10"/>
    </w:p>
    <w:p w14:paraId="4212CC0A" w14:textId="77777777" w:rsidR="00BA4B9D" w:rsidRPr="00E40CBF" w:rsidRDefault="00BA4B9D" w:rsidP="0075108E">
      <w:pPr>
        <w:tabs>
          <w:tab w:val="left" w:pos="5916"/>
        </w:tabs>
        <w:spacing w:line="360" w:lineRule="auto"/>
        <w:jc w:val="both"/>
        <w:rPr>
          <w:rFonts w:ascii="Arial" w:hAnsi="Arial" w:cs="Arial"/>
          <w:sz w:val="24"/>
          <w:szCs w:val="24"/>
        </w:rPr>
      </w:pPr>
    </w:p>
    <w:p w14:paraId="7E28F419" w14:textId="7C989C82" w:rsidR="008D3C17" w:rsidRPr="00E40CBF" w:rsidRDefault="00BA4B9D"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There are significant risks for the business. Two years of continuous net losses indicate continued financial strain. Rising debt levels and increased vulnerability are indicated by a gearing ratio greater than 1.0. Investor confidence and long-term stability are undermined by equity erosion, which is manifested in declining retained earnings and book value, and negative interest coverage, which indicates earnings are insufficient to cover interest payments.</w:t>
      </w:r>
    </w:p>
    <w:p w14:paraId="4162C9D2" w14:textId="77777777" w:rsidR="008D3C17" w:rsidRPr="00E40CBF" w:rsidRDefault="008D3C17" w:rsidP="0075108E">
      <w:pPr>
        <w:tabs>
          <w:tab w:val="left" w:pos="5916"/>
        </w:tabs>
        <w:spacing w:line="360" w:lineRule="auto"/>
        <w:jc w:val="both"/>
        <w:rPr>
          <w:rFonts w:ascii="Arial" w:hAnsi="Arial" w:cs="Arial"/>
          <w:sz w:val="24"/>
          <w:szCs w:val="24"/>
        </w:rPr>
      </w:pPr>
    </w:p>
    <w:p w14:paraId="4C2DA40C" w14:textId="77777777" w:rsidR="008D3C17" w:rsidRPr="00E40CBF" w:rsidRDefault="008D3C17" w:rsidP="0075108E">
      <w:pPr>
        <w:tabs>
          <w:tab w:val="left" w:pos="5916"/>
        </w:tabs>
        <w:spacing w:line="360" w:lineRule="auto"/>
        <w:jc w:val="both"/>
        <w:rPr>
          <w:rFonts w:ascii="Arial" w:hAnsi="Arial" w:cs="Arial"/>
          <w:sz w:val="24"/>
          <w:szCs w:val="24"/>
        </w:rPr>
      </w:pPr>
    </w:p>
    <w:p w14:paraId="62281C20" w14:textId="77777777" w:rsidR="0031441A" w:rsidRPr="00E40CBF" w:rsidRDefault="0031441A" w:rsidP="0075108E">
      <w:pPr>
        <w:tabs>
          <w:tab w:val="left" w:pos="5916"/>
        </w:tabs>
        <w:spacing w:line="360" w:lineRule="auto"/>
        <w:jc w:val="both"/>
        <w:rPr>
          <w:rFonts w:ascii="Arial" w:hAnsi="Arial" w:cs="Arial"/>
          <w:sz w:val="24"/>
          <w:szCs w:val="24"/>
        </w:rPr>
      </w:pPr>
    </w:p>
    <w:p w14:paraId="24A4EC12" w14:textId="77777777" w:rsidR="0031441A" w:rsidRPr="00E40CBF" w:rsidRDefault="0031441A" w:rsidP="0075108E">
      <w:pPr>
        <w:tabs>
          <w:tab w:val="left" w:pos="5916"/>
        </w:tabs>
        <w:spacing w:line="360" w:lineRule="auto"/>
        <w:jc w:val="both"/>
        <w:rPr>
          <w:rFonts w:ascii="Arial" w:hAnsi="Arial" w:cs="Arial"/>
          <w:sz w:val="24"/>
          <w:szCs w:val="24"/>
        </w:rPr>
      </w:pPr>
    </w:p>
    <w:p w14:paraId="59B2C960" w14:textId="77777777" w:rsidR="0031441A" w:rsidRPr="00E40CBF" w:rsidRDefault="0031441A" w:rsidP="0075108E">
      <w:pPr>
        <w:tabs>
          <w:tab w:val="left" w:pos="5916"/>
        </w:tabs>
        <w:spacing w:line="360" w:lineRule="auto"/>
        <w:jc w:val="both"/>
        <w:rPr>
          <w:rFonts w:ascii="Arial" w:hAnsi="Arial" w:cs="Arial"/>
          <w:sz w:val="24"/>
          <w:szCs w:val="24"/>
        </w:rPr>
      </w:pPr>
    </w:p>
    <w:p w14:paraId="63CAC35B" w14:textId="77777777" w:rsidR="0031441A" w:rsidRPr="00E40CBF" w:rsidRDefault="0031441A" w:rsidP="0075108E">
      <w:pPr>
        <w:tabs>
          <w:tab w:val="left" w:pos="5916"/>
        </w:tabs>
        <w:spacing w:line="360" w:lineRule="auto"/>
        <w:jc w:val="both"/>
        <w:rPr>
          <w:rFonts w:ascii="Arial" w:hAnsi="Arial" w:cs="Arial"/>
          <w:sz w:val="24"/>
          <w:szCs w:val="24"/>
        </w:rPr>
      </w:pPr>
    </w:p>
    <w:p w14:paraId="6CA8217B" w14:textId="77777777" w:rsidR="0031441A" w:rsidRPr="00E40CBF" w:rsidRDefault="0031441A" w:rsidP="0075108E">
      <w:pPr>
        <w:tabs>
          <w:tab w:val="left" w:pos="5916"/>
        </w:tabs>
        <w:spacing w:line="360" w:lineRule="auto"/>
        <w:jc w:val="both"/>
        <w:rPr>
          <w:rFonts w:ascii="Arial" w:hAnsi="Arial" w:cs="Arial"/>
          <w:sz w:val="24"/>
          <w:szCs w:val="24"/>
        </w:rPr>
      </w:pPr>
    </w:p>
    <w:p w14:paraId="2DD14649" w14:textId="77777777" w:rsidR="0031441A" w:rsidRPr="00E40CBF" w:rsidRDefault="0031441A" w:rsidP="0075108E">
      <w:pPr>
        <w:tabs>
          <w:tab w:val="left" w:pos="5916"/>
        </w:tabs>
        <w:spacing w:line="360" w:lineRule="auto"/>
        <w:jc w:val="both"/>
        <w:rPr>
          <w:rFonts w:ascii="Arial" w:hAnsi="Arial" w:cs="Arial"/>
          <w:sz w:val="24"/>
          <w:szCs w:val="24"/>
        </w:rPr>
      </w:pPr>
    </w:p>
    <w:p w14:paraId="2AFBBE29" w14:textId="77777777" w:rsidR="0031441A" w:rsidRPr="00E40CBF" w:rsidRDefault="0031441A" w:rsidP="0075108E">
      <w:pPr>
        <w:tabs>
          <w:tab w:val="left" w:pos="5916"/>
        </w:tabs>
        <w:spacing w:line="360" w:lineRule="auto"/>
        <w:jc w:val="both"/>
        <w:rPr>
          <w:rFonts w:ascii="Arial" w:hAnsi="Arial" w:cs="Arial"/>
          <w:sz w:val="24"/>
          <w:szCs w:val="24"/>
        </w:rPr>
      </w:pPr>
    </w:p>
    <w:p w14:paraId="495E9A9D" w14:textId="17104921" w:rsidR="00BA4B9D" w:rsidRPr="00E40CBF" w:rsidRDefault="00E56412" w:rsidP="00E56412">
      <w:pPr>
        <w:pStyle w:val="Heading2"/>
        <w:rPr>
          <w:rFonts w:ascii="Arial" w:hAnsi="Arial" w:cs="Arial"/>
          <w:color w:val="auto"/>
        </w:rPr>
      </w:pPr>
      <w:bookmarkStart w:id="11" w:name="_Toc214799415"/>
      <w:r w:rsidRPr="00E40CBF">
        <w:rPr>
          <w:rFonts w:ascii="Arial" w:hAnsi="Arial" w:cs="Arial"/>
          <w:color w:val="auto"/>
        </w:rPr>
        <w:lastRenderedPageBreak/>
        <w:t>10.</w:t>
      </w:r>
      <w:r w:rsidR="00BA4B9D" w:rsidRPr="00E40CBF">
        <w:rPr>
          <w:rFonts w:ascii="Arial" w:hAnsi="Arial" w:cs="Arial"/>
          <w:color w:val="auto"/>
        </w:rPr>
        <w:t>Altman Z-Score Analysis</w:t>
      </w:r>
      <w:bookmarkEnd w:id="11"/>
    </w:p>
    <w:p w14:paraId="4863C79C" w14:textId="77777777" w:rsidR="00957DEA" w:rsidRPr="00E40CBF" w:rsidRDefault="00957DEA" w:rsidP="0075108E">
      <w:pPr>
        <w:spacing w:line="360" w:lineRule="auto"/>
        <w:jc w:val="both"/>
        <w:rPr>
          <w:rFonts w:ascii="Arial" w:hAnsi="Arial" w:cs="Arial"/>
          <w:sz w:val="24"/>
          <w:szCs w:val="24"/>
        </w:rPr>
      </w:pPr>
    </w:p>
    <w:p w14:paraId="530A347B"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Altman Z-score model of manufacturing companies can be used to assess the risk of bankruptcy:</w:t>
      </w:r>
    </w:p>
    <w:p w14:paraId="498C280E"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Z is equal to 1.2 working capital divided by total assets, 1.4 retained earnings divided by total assets, 3.3 EBIT divided by total assets, 0.6 market value of equity divided by total liabilities, and 1.0 sales divided by total assets.</w:t>
      </w:r>
    </w:p>
    <w:p w14:paraId="20E97E13"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Estimated ratios for 2024:</w:t>
      </w:r>
    </w:p>
    <w:p w14:paraId="52B1928B" w14:textId="7656EF61"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Retained earnings/total assets = 208,431/323,354 =</w:t>
      </w:r>
      <w:r w:rsidR="00190E2B" w:rsidRPr="00E40CBF">
        <w:rPr>
          <w:rFonts w:ascii="Arial" w:hAnsi="Arial" w:cs="Arial"/>
          <w:sz w:val="24"/>
          <w:szCs w:val="24"/>
        </w:rPr>
        <w:t>0</w:t>
      </w:r>
      <w:r w:rsidRPr="00E40CBF">
        <w:rPr>
          <w:rFonts w:ascii="Arial" w:hAnsi="Arial" w:cs="Arial"/>
          <w:sz w:val="24"/>
          <w:szCs w:val="24"/>
        </w:rPr>
        <w:t xml:space="preserve">.64; </w:t>
      </w:r>
    </w:p>
    <w:p w14:paraId="38966257" w14:textId="4EE94533"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working capital = (242,494 – 158,291) / 323,354 = 0.26.</w:t>
      </w:r>
    </w:p>
    <w:p w14:paraId="26640349" w14:textId="77777777" w:rsidR="00957DEA" w:rsidRPr="00E40CBF" w:rsidRDefault="00957DEA" w:rsidP="0075108E">
      <w:pPr>
        <w:tabs>
          <w:tab w:val="left" w:pos="5916"/>
        </w:tabs>
        <w:spacing w:line="360" w:lineRule="auto"/>
        <w:jc w:val="both"/>
        <w:rPr>
          <w:rFonts w:ascii="Arial" w:hAnsi="Arial" w:cs="Arial"/>
          <w:sz w:val="24"/>
          <w:szCs w:val="24"/>
        </w:rPr>
      </w:pPr>
    </w:p>
    <w:p w14:paraId="7C47695C" w14:textId="27C71AE9"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EBIT / Total Assets = (-15,297) / 323,354 = </w:t>
      </w:r>
      <w:r w:rsidR="00AF151D" w:rsidRPr="00E40CBF">
        <w:rPr>
          <w:rFonts w:ascii="Arial" w:hAnsi="Arial" w:cs="Arial"/>
          <w:sz w:val="24"/>
          <w:szCs w:val="24"/>
        </w:rPr>
        <w:t>(</w:t>
      </w:r>
      <w:r w:rsidRPr="00E40CBF">
        <w:rPr>
          <w:rFonts w:ascii="Arial" w:hAnsi="Arial" w:cs="Arial"/>
          <w:sz w:val="24"/>
          <w:szCs w:val="24"/>
        </w:rPr>
        <w:t>-0.05</w:t>
      </w:r>
      <w:r w:rsidR="00AF151D" w:rsidRPr="00E40CBF">
        <w:rPr>
          <w:rFonts w:ascii="Arial" w:hAnsi="Arial" w:cs="Arial"/>
          <w:sz w:val="24"/>
          <w:szCs w:val="24"/>
        </w:rPr>
        <w:t>)</w:t>
      </w:r>
    </w:p>
    <w:p w14:paraId="2F3C7D57" w14:textId="77777777" w:rsidR="00957DEA" w:rsidRPr="00E40CBF" w:rsidRDefault="00957DEA" w:rsidP="0075108E">
      <w:pPr>
        <w:tabs>
          <w:tab w:val="left" w:pos="5916"/>
        </w:tabs>
        <w:spacing w:line="360" w:lineRule="auto"/>
        <w:jc w:val="both"/>
        <w:rPr>
          <w:rFonts w:ascii="Arial" w:hAnsi="Arial" w:cs="Arial"/>
          <w:sz w:val="24"/>
          <w:szCs w:val="24"/>
        </w:rPr>
      </w:pPr>
    </w:p>
    <w:p w14:paraId="5AA1F2BE" w14:textId="65DECBC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153,105 /170,249 = 0.90 is the market value of equity divided by total liabilities.</w:t>
      </w:r>
    </w:p>
    <w:p w14:paraId="4C914800" w14:textId="77777777" w:rsidR="00957DEA" w:rsidRPr="00E40CBF" w:rsidRDefault="00957DEA" w:rsidP="0075108E">
      <w:pPr>
        <w:tabs>
          <w:tab w:val="left" w:pos="5916"/>
        </w:tabs>
        <w:spacing w:line="360" w:lineRule="auto"/>
        <w:jc w:val="both"/>
        <w:rPr>
          <w:rFonts w:ascii="Arial" w:hAnsi="Arial" w:cs="Arial"/>
          <w:sz w:val="24"/>
          <w:szCs w:val="24"/>
        </w:rPr>
      </w:pPr>
    </w:p>
    <w:p w14:paraId="11EA5AD6" w14:textId="3EA14999"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Total Assets / Sales = 394,879 / 323,354 = 1.22</w:t>
      </w:r>
    </w:p>
    <w:p w14:paraId="752743EA" w14:textId="77777777"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Consequently,</w:t>
      </w:r>
    </w:p>
    <w:p w14:paraId="66AB883A" w14:textId="23259DE6" w:rsidR="00957DEA"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 Z ≈ (1.2×0.26) + (1.4×0.64) + (3.3×−0.05) + (0.6×0.90) + (1.0×1.22).</w:t>
      </w:r>
    </w:p>
    <w:p w14:paraId="7A1146E7" w14:textId="5D95F3A8" w:rsidR="008D3C17" w:rsidRPr="00E40CBF" w:rsidRDefault="00957DEA" w:rsidP="0075108E">
      <w:pPr>
        <w:tabs>
          <w:tab w:val="left" w:pos="5916"/>
        </w:tabs>
        <w:spacing w:line="360" w:lineRule="auto"/>
        <w:jc w:val="both"/>
        <w:rPr>
          <w:rFonts w:ascii="Arial" w:hAnsi="Arial" w:cs="Arial"/>
          <w:sz w:val="24"/>
          <w:szCs w:val="24"/>
        </w:rPr>
      </w:pPr>
      <w:r w:rsidRPr="00E40CBF">
        <w:rPr>
          <w:rFonts w:ascii="Arial" w:hAnsi="Arial" w:cs="Arial"/>
          <w:sz w:val="24"/>
          <w:szCs w:val="24"/>
        </w:rPr>
        <w:t>Z ≈ 0.31 + 0.90 − 0.17 + 0.54 + 1.22 = 2.80.</w:t>
      </w:r>
    </w:p>
    <w:p w14:paraId="5E9158B3" w14:textId="77777777" w:rsidR="008D3C17" w:rsidRPr="00E40CBF" w:rsidRDefault="008D3C17" w:rsidP="0075108E">
      <w:pPr>
        <w:tabs>
          <w:tab w:val="left" w:pos="5916"/>
        </w:tabs>
        <w:spacing w:line="360" w:lineRule="auto"/>
        <w:jc w:val="both"/>
        <w:rPr>
          <w:rFonts w:ascii="Arial" w:hAnsi="Arial" w:cs="Arial"/>
          <w:sz w:val="24"/>
          <w:szCs w:val="24"/>
        </w:rPr>
      </w:pPr>
    </w:p>
    <w:p w14:paraId="3CFA6FD3" w14:textId="77777777" w:rsidR="00045486" w:rsidRPr="00E40CBF" w:rsidRDefault="00045486" w:rsidP="0075108E">
      <w:pPr>
        <w:tabs>
          <w:tab w:val="left" w:pos="5916"/>
        </w:tabs>
        <w:spacing w:line="360" w:lineRule="auto"/>
        <w:jc w:val="both"/>
        <w:rPr>
          <w:rFonts w:ascii="Arial" w:hAnsi="Arial" w:cs="Arial"/>
          <w:sz w:val="24"/>
          <w:szCs w:val="24"/>
        </w:rPr>
      </w:pPr>
    </w:p>
    <w:p w14:paraId="278C2AE4" w14:textId="77777777" w:rsidR="00045486" w:rsidRPr="00E40CBF" w:rsidRDefault="00045486" w:rsidP="0075108E">
      <w:pPr>
        <w:tabs>
          <w:tab w:val="left" w:pos="5916"/>
        </w:tabs>
        <w:spacing w:line="360" w:lineRule="auto"/>
        <w:jc w:val="both"/>
        <w:rPr>
          <w:rFonts w:ascii="Arial" w:hAnsi="Arial" w:cs="Arial"/>
          <w:sz w:val="24"/>
          <w:szCs w:val="24"/>
        </w:rPr>
      </w:pPr>
    </w:p>
    <w:p w14:paraId="6ABE93CC" w14:textId="77777777" w:rsidR="00E56412" w:rsidRPr="00E40CBF" w:rsidRDefault="00E56412" w:rsidP="0075108E">
      <w:pPr>
        <w:tabs>
          <w:tab w:val="left" w:pos="5916"/>
        </w:tabs>
        <w:spacing w:line="360" w:lineRule="auto"/>
        <w:jc w:val="both"/>
        <w:rPr>
          <w:rFonts w:ascii="Arial" w:hAnsi="Arial" w:cs="Arial"/>
          <w:sz w:val="24"/>
          <w:szCs w:val="24"/>
        </w:rPr>
      </w:pPr>
    </w:p>
    <w:p w14:paraId="0F73C47D" w14:textId="28E83EB5" w:rsidR="008D3C17" w:rsidRPr="00E40CBF" w:rsidRDefault="00E074AB" w:rsidP="00E56412">
      <w:pPr>
        <w:pStyle w:val="Heading1"/>
        <w:rPr>
          <w:rFonts w:ascii="Arial" w:hAnsi="Arial" w:cs="Arial"/>
          <w:color w:val="auto"/>
        </w:rPr>
      </w:pPr>
      <w:bookmarkStart w:id="12" w:name="_Toc214799416"/>
      <w:r w:rsidRPr="00E40CBF">
        <w:rPr>
          <w:rFonts w:ascii="Arial" w:hAnsi="Arial" w:cs="Arial"/>
          <w:color w:val="auto"/>
          <w:sz w:val="36"/>
          <w:szCs w:val="36"/>
        </w:rPr>
        <w:lastRenderedPageBreak/>
        <w:t>2.</w:t>
      </w:r>
      <w:r w:rsidR="002F276D" w:rsidRPr="00E40CBF">
        <w:rPr>
          <w:rFonts w:ascii="Arial" w:hAnsi="Arial" w:cs="Arial"/>
          <w:color w:val="auto"/>
          <w:sz w:val="36"/>
          <w:szCs w:val="36"/>
        </w:rPr>
        <w:t>Working Capital Management Analysis</w:t>
      </w:r>
      <w:bookmarkEnd w:id="12"/>
    </w:p>
    <w:p w14:paraId="34103A6D" w14:textId="77777777" w:rsidR="002F276D" w:rsidRPr="00E40CBF" w:rsidRDefault="002F276D" w:rsidP="0075108E">
      <w:pPr>
        <w:pStyle w:val="ListParagraph"/>
        <w:tabs>
          <w:tab w:val="left" w:pos="5916"/>
        </w:tabs>
        <w:spacing w:line="360" w:lineRule="auto"/>
        <w:jc w:val="both"/>
        <w:rPr>
          <w:rFonts w:ascii="Arial" w:hAnsi="Arial" w:cs="Arial"/>
          <w:sz w:val="24"/>
          <w:szCs w:val="24"/>
        </w:rPr>
      </w:pPr>
    </w:p>
    <w:p w14:paraId="68FBAFDD" w14:textId="6D74992A" w:rsidR="006E0A22" w:rsidRPr="00E40CBF" w:rsidRDefault="005F4751" w:rsidP="005F4751">
      <w:pPr>
        <w:pStyle w:val="Heading2"/>
        <w:rPr>
          <w:rFonts w:ascii="Arial" w:hAnsi="Arial" w:cs="Arial"/>
          <w:color w:val="auto"/>
        </w:rPr>
      </w:pPr>
      <w:bookmarkStart w:id="13" w:name="_Toc214799417"/>
      <w:r w:rsidRPr="00E40CBF">
        <w:rPr>
          <w:rFonts w:ascii="Arial" w:hAnsi="Arial" w:cs="Arial"/>
          <w:color w:val="auto"/>
        </w:rPr>
        <w:t>1.</w:t>
      </w:r>
      <w:r w:rsidR="00E36436" w:rsidRPr="00E40CBF">
        <w:rPr>
          <w:rFonts w:ascii="Arial" w:hAnsi="Arial" w:cs="Arial"/>
          <w:color w:val="auto"/>
        </w:rPr>
        <w:t>Cash Operating Cycle</w:t>
      </w:r>
      <w:r w:rsidR="006E0A22" w:rsidRPr="00E40CBF">
        <w:rPr>
          <w:rFonts w:ascii="Arial" w:hAnsi="Arial" w:cs="Arial"/>
          <w:color w:val="auto"/>
        </w:rPr>
        <w:t>(COC)</w:t>
      </w:r>
      <w:bookmarkEnd w:id="13"/>
    </w:p>
    <w:p w14:paraId="319A9656" w14:textId="77777777" w:rsidR="006E0A22" w:rsidRPr="00E40CBF" w:rsidRDefault="006E0A22" w:rsidP="0075108E">
      <w:pPr>
        <w:tabs>
          <w:tab w:val="left" w:pos="5916"/>
        </w:tabs>
        <w:spacing w:line="360" w:lineRule="auto"/>
        <w:jc w:val="both"/>
        <w:rPr>
          <w:rFonts w:ascii="Arial" w:hAnsi="Arial" w:cs="Arial"/>
          <w:sz w:val="24"/>
          <w:szCs w:val="24"/>
        </w:rPr>
      </w:pPr>
    </w:p>
    <w:p w14:paraId="07BEF3A1" w14:textId="70A59619" w:rsidR="00AA7D55" w:rsidRPr="00E40CBF" w:rsidRDefault="00AA7D55"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cash operating cycle (COC), which is the period of time between cash outflows for production and inflows from customer payments. The company's stock levels varied greatly between 2020 and 2024, reaching a high of £140.2 billion in 2022 and then falling to £79.4 billion in 2024. This decrease points to either better inventory control or reduced production levels. Though it only slightly improved in 2024 (to £112.2 billion), accounts receivable remained high, averaging over £120 billion annually. This suggests that customer collections are slow, which prolongs the period for receivables and raises the COC.</w:t>
      </w:r>
    </w:p>
    <w:p w14:paraId="78F368B0" w14:textId="78FE0FF1" w:rsidR="008D3C17" w:rsidRPr="00E40CBF" w:rsidRDefault="00C902DC" w:rsidP="0075108E">
      <w:pPr>
        <w:tabs>
          <w:tab w:val="left" w:pos="5916"/>
        </w:tabs>
        <w:spacing w:line="360" w:lineRule="auto"/>
        <w:jc w:val="both"/>
        <w:rPr>
          <w:rFonts w:ascii="Arial" w:hAnsi="Arial" w:cs="Arial"/>
          <w:sz w:val="24"/>
          <w:szCs w:val="24"/>
        </w:rPr>
      </w:pPr>
      <w:r w:rsidRPr="00E40CBF">
        <w:rPr>
          <w:rFonts w:ascii="Arial" w:hAnsi="Arial" w:cs="Arial"/>
          <w:sz w:val="24"/>
          <w:szCs w:val="24"/>
        </w:rPr>
        <w:t>Accounts payable decreased from £92.7 billion in 2021 to £72 billion in 2024, which shortened the payables period and decreased supplier credit. Better supplier terms or fewer purchases might result from this, but it also means less creditor financing, which increases the need for internal funds or external debt. A longer cash operating cycle results from this, which puts pressure on liquidity and raises the need for working capital financing.</w:t>
      </w:r>
    </w:p>
    <w:p w14:paraId="328A438C" w14:textId="5C80610D" w:rsidR="00521841" w:rsidRPr="00E40CBF" w:rsidRDefault="00521841" w:rsidP="0075108E">
      <w:pPr>
        <w:tabs>
          <w:tab w:val="left" w:pos="5916"/>
        </w:tabs>
        <w:spacing w:line="360" w:lineRule="auto"/>
        <w:jc w:val="both"/>
        <w:rPr>
          <w:rFonts w:ascii="Arial" w:hAnsi="Arial" w:cs="Arial"/>
          <w:sz w:val="24"/>
          <w:szCs w:val="24"/>
        </w:rPr>
      </w:pPr>
      <w:r w:rsidRPr="00E40CBF">
        <w:rPr>
          <w:rFonts w:ascii="Arial" w:hAnsi="Arial" w:cs="Arial"/>
          <w:sz w:val="24"/>
          <w:szCs w:val="24"/>
        </w:rPr>
        <w:t>Operating cash flow was positive in 2024 and 2023, coming in at £14.8 billion and £25.2 billion, respectively, despite these pressures. Depreciation (£18.1 billion in 2024) and stock-based compensation (£6.7 billion) were examples of non-cash adjustments that helped offset net losses. With a negative net income of -£24 billion in 2024 and -£98.2 billion in 2023, the company's poor profitability and reliance on working capital adjustments to maintain cash flow were highlighted.</w:t>
      </w:r>
    </w:p>
    <w:p w14:paraId="5B8DC9D2" w14:textId="77777777" w:rsidR="0081248F" w:rsidRPr="00E40CBF" w:rsidRDefault="0081248F" w:rsidP="0075108E">
      <w:pPr>
        <w:tabs>
          <w:tab w:val="left" w:pos="5916"/>
        </w:tabs>
        <w:spacing w:line="360" w:lineRule="auto"/>
        <w:jc w:val="both"/>
        <w:rPr>
          <w:rFonts w:ascii="Arial" w:hAnsi="Arial" w:cs="Arial"/>
          <w:sz w:val="24"/>
          <w:szCs w:val="24"/>
        </w:rPr>
      </w:pPr>
    </w:p>
    <w:p w14:paraId="3B827B90" w14:textId="77777777" w:rsidR="006E0A22" w:rsidRDefault="006E0A22" w:rsidP="0075108E">
      <w:pPr>
        <w:tabs>
          <w:tab w:val="left" w:pos="5916"/>
        </w:tabs>
        <w:spacing w:line="360" w:lineRule="auto"/>
        <w:jc w:val="both"/>
        <w:rPr>
          <w:rFonts w:ascii="Arial" w:hAnsi="Arial" w:cs="Arial"/>
          <w:sz w:val="24"/>
          <w:szCs w:val="24"/>
        </w:rPr>
      </w:pPr>
    </w:p>
    <w:p w14:paraId="35AB63F5" w14:textId="77777777" w:rsidR="00B442FD" w:rsidRPr="00E40CBF" w:rsidRDefault="00B442FD" w:rsidP="0075108E">
      <w:pPr>
        <w:tabs>
          <w:tab w:val="left" w:pos="5916"/>
        </w:tabs>
        <w:spacing w:line="360" w:lineRule="auto"/>
        <w:jc w:val="both"/>
        <w:rPr>
          <w:rFonts w:ascii="Arial" w:hAnsi="Arial" w:cs="Arial"/>
          <w:sz w:val="24"/>
          <w:szCs w:val="24"/>
        </w:rPr>
      </w:pPr>
    </w:p>
    <w:p w14:paraId="4E2A4A31" w14:textId="5E459F0B" w:rsidR="009B4715" w:rsidRDefault="009B4715" w:rsidP="0075108E">
      <w:pPr>
        <w:tabs>
          <w:tab w:val="left" w:pos="5916"/>
        </w:tabs>
        <w:spacing w:line="360" w:lineRule="auto"/>
        <w:jc w:val="both"/>
        <w:rPr>
          <w:rFonts w:ascii="Arial" w:hAnsi="Arial" w:cs="Arial"/>
          <w:sz w:val="24"/>
          <w:szCs w:val="24"/>
        </w:rPr>
      </w:pPr>
      <w:r w:rsidRPr="00E40CBF">
        <w:rPr>
          <w:rFonts w:ascii="Arial" w:hAnsi="Arial" w:cs="Arial"/>
          <w:sz w:val="24"/>
          <w:szCs w:val="24"/>
        </w:rPr>
        <w:lastRenderedPageBreak/>
        <w:t>Accelerate accounts receivable collection</w:t>
      </w:r>
    </w:p>
    <w:p w14:paraId="40804145" w14:textId="77777777" w:rsidR="005F78A1" w:rsidRPr="00E40CBF" w:rsidRDefault="005F78A1" w:rsidP="0075108E">
      <w:pPr>
        <w:tabs>
          <w:tab w:val="left" w:pos="5916"/>
        </w:tabs>
        <w:spacing w:line="360" w:lineRule="auto"/>
        <w:jc w:val="both"/>
        <w:rPr>
          <w:rFonts w:ascii="Arial" w:hAnsi="Arial" w:cs="Arial"/>
          <w:sz w:val="24"/>
          <w:szCs w:val="24"/>
        </w:rPr>
      </w:pPr>
    </w:p>
    <w:p w14:paraId="6A5C173C" w14:textId="499A346E" w:rsidR="0019037A" w:rsidRPr="00E40CBF" w:rsidRDefault="003F7C71" w:rsidP="0075108E">
      <w:pPr>
        <w:tabs>
          <w:tab w:val="left" w:pos="5916"/>
        </w:tabs>
        <w:spacing w:line="360" w:lineRule="auto"/>
        <w:jc w:val="both"/>
        <w:rPr>
          <w:rFonts w:ascii="Arial" w:hAnsi="Arial" w:cs="Arial"/>
          <w:sz w:val="24"/>
          <w:szCs w:val="24"/>
        </w:rPr>
      </w:pPr>
      <w:r w:rsidRPr="00E40CBF">
        <w:rPr>
          <w:rFonts w:ascii="Arial" w:hAnsi="Arial" w:cs="Arial"/>
          <w:sz w:val="24"/>
          <w:szCs w:val="24"/>
        </w:rPr>
        <w:t>Reduce Days Sales Outstanding (DSO) by enforcing more stringent credit policies, providing early payment discounts, and using automated invoicing. Over £5 billion in cash could be released with even a 5% improvement, given that receivables total over £110 billion annually.</w:t>
      </w:r>
    </w:p>
    <w:p w14:paraId="6DAA3EAB" w14:textId="763DAE34" w:rsidR="009B4715" w:rsidRPr="00E40CBF" w:rsidRDefault="0019037A" w:rsidP="0075108E">
      <w:pPr>
        <w:tabs>
          <w:tab w:val="left" w:pos="5916"/>
        </w:tabs>
        <w:spacing w:line="360" w:lineRule="auto"/>
        <w:jc w:val="both"/>
        <w:rPr>
          <w:rFonts w:ascii="Arial" w:hAnsi="Arial" w:cs="Arial"/>
          <w:sz w:val="24"/>
          <w:szCs w:val="24"/>
        </w:rPr>
      </w:pPr>
      <w:r w:rsidRPr="00E40CBF">
        <w:rPr>
          <w:rFonts w:ascii="Arial" w:hAnsi="Arial" w:cs="Arial"/>
          <w:sz w:val="24"/>
          <w:szCs w:val="24"/>
        </w:rPr>
        <w:t>Streamline inventory management: I</w:t>
      </w:r>
      <w:r w:rsidR="009B7CEC" w:rsidRPr="00E40CBF">
        <w:rPr>
          <w:rFonts w:ascii="Arial" w:hAnsi="Arial" w:cs="Arial"/>
          <w:sz w:val="24"/>
          <w:szCs w:val="24"/>
        </w:rPr>
        <w:t>mplementing just-in-time (JIT) procedures, enhancing demand prediction, and cutting back on obsolete inventory. Although the inventory dropped significantly from £140 billion in 2022 to £79 billion in 2024, more optimization could shorten the cash cycle and lower holding costs.</w:t>
      </w:r>
    </w:p>
    <w:p w14:paraId="11332C6E" w14:textId="13501E92" w:rsidR="003A3B3C" w:rsidRPr="00E40CBF" w:rsidRDefault="004F3D10" w:rsidP="0075108E">
      <w:pPr>
        <w:tabs>
          <w:tab w:val="left" w:pos="5916"/>
        </w:tabs>
        <w:spacing w:line="360" w:lineRule="auto"/>
        <w:jc w:val="both"/>
        <w:rPr>
          <w:rFonts w:ascii="Arial" w:hAnsi="Arial" w:cs="Arial"/>
          <w:sz w:val="24"/>
          <w:szCs w:val="24"/>
        </w:rPr>
      </w:pPr>
      <w:r w:rsidRPr="00E40CBF">
        <w:rPr>
          <w:rFonts w:ascii="Arial" w:hAnsi="Arial" w:cs="Arial"/>
          <w:sz w:val="24"/>
          <w:szCs w:val="24"/>
        </w:rPr>
        <w:t>Negotiate longer payment terms with suppliers:</w:t>
      </w:r>
      <w:r w:rsidR="003A3B3C" w:rsidRPr="00E40CBF">
        <w:rPr>
          <w:rFonts w:ascii="Arial" w:hAnsi="Arial" w:cs="Arial"/>
          <w:sz w:val="24"/>
          <w:szCs w:val="24"/>
        </w:rPr>
        <w:t xml:space="preserve"> Days Payable Outstanding (DPO) extensions can save money without adding to debt. Strategic renegotiation could ease liquidity pressure and restore supplier credit, even though accounts payable has decreased recently.</w:t>
      </w:r>
    </w:p>
    <w:p w14:paraId="409C63B6" w14:textId="662AFD65" w:rsidR="00820B4B" w:rsidRPr="00E40CBF" w:rsidRDefault="00820B4B" w:rsidP="0075108E">
      <w:pPr>
        <w:tabs>
          <w:tab w:val="left" w:pos="5916"/>
        </w:tabs>
        <w:spacing w:line="360" w:lineRule="auto"/>
        <w:jc w:val="both"/>
        <w:rPr>
          <w:rFonts w:ascii="Arial" w:hAnsi="Arial" w:cs="Arial"/>
          <w:sz w:val="24"/>
          <w:szCs w:val="24"/>
        </w:rPr>
      </w:pPr>
      <w:r w:rsidRPr="00E40CBF">
        <w:rPr>
          <w:rFonts w:ascii="Arial" w:hAnsi="Arial" w:cs="Arial"/>
          <w:sz w:val="24"/>
          <w:szCs w:val="24"/>
        </w:rPr>
        <w:t>Enhance cash flow forecasting:</w:t>
      </w:r>
      <w:r w:rsidR="00FA6BD4" w:rsidRPr="00E40CBF">
        <w:rPr>
          <w:rFonts w:ascii="Arial" w:hAnsi="Arial" w:cs="Arial"/>
          <w:sz w:val="24"/>
          <w:szCs w:val="24"/>
        </w:rPr>
        <w:t xml:space="preserve"> </w:t>
      </w:r>
      <w:r w:rsidR="00CC4FAE" w:rsidRPr="00E40CBF">
        <w:rPr>
          <w:rFonts w:ascii="Arial" w:hAnsi="Arial" w:cs="Arial"/>
          <w:sz w:val="24"/>
          <w:szCs w:val="24"/>
        </w:rPr>
        <w:t>Forecasting tools can enhance visibility and decision-making by incorporating real-time data from inventory, payables, and receivables. This lessens the need for reactive financing and encourages proactive liquidity management.</w:t>
      </w:r>
    </w:p>
    <w:p w14:paraId="3A88FB97" w14:textId="1A47EAEE" w:rsidR="00820B4B" w:rsidRPr="00E40CBF" w:rsidRDefault="00820B4B" w:rsidP="0075108E">
      <w:pPr>
        <w:tabs>
          <w:tab w:val="left" w:pos="5916"/>
        </w:tabs>
        <w:spacing w:line="360" w:lineRule="auto"/>
        <w:jc w:val="both"/>
        <w:rPr>
          <w:rFonts w:ascii="Arial" w:hAnsi="Arial" w:cs="Arial"/>
          <w:sz w:val="24"/>
          <w:szCs w:val="24"/>
        </w:rPr>
      </w:pPr>
      <w:r w:rsidRPr="00E40CBF">
        <w:rPr>
          <w:rFonts w:ascii="Arial" w:hAnsi="Arial" w:cs="Arial"/>
          <w:sz w:val="24"/>
          <w:szCs w:val="24"/>
        </w:rPr>
        <w:t>Reduce discretionary spending and operating expenses:</w:t>
      </w:r>
      <w:r w:rsidR="00FA6BD4" w:rsidRPr="00E40CBF">
        <w:rPr>
          <w:rFonts w:ascii="Arial" w:hAnsi="Arial" w:cs="Arial"/>
          <w:sz w:val="24"/>
          <w:szCs w:val="24"/>
        </w:rPr>
        <w:t xml:space="preserve"> </w:t>
      </w:r>
      <w:r w:rsidR="00FB348E" w:rsidRPr="00E40CBF">
        <w:rPr>
          <w:rFonts w:ascii="Arial" w:hAnsi="Arial" w:cs="Arial"/>
          <w:sz w:val="24"/>
          <w:szCs w:val="24"/>
        </w:rPr>
        <w:t>Operating costs decreased to £129.3 billion in 2024 after increasing to £182.9 billion in 2023. Maintaining cost control is crucial to keeping spending in line with income and saving money.</w:t>
      </w:r>
    </w:p>
    <w:p w14:paraId="4D9D8794" w14:textId="5B653991" w:rsidR="00820B4B" w:rsidRPr="00E40CBF" w:rsidRDefault="00820B4B"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Leverage contract assets and other current assets: </w:t>
      </w:r>
      <w:r w:rsidR="00FB348E" w:rsidRPr="00E40CBF">
        <w:rPr>
          <w:rFonts w:ascii="Arial" w:hAnsi="Arial" w:cs="Arial"/>
          <w:sz w:val="24"/>
          <w:szCs w:val="24"/>
        </w:rPr>
        <w:t>In 2024, contract assets increased from £4.2 billion in 2023 to £10.3 billion. Additional liquidity may be made available by monetizing these through factoring or structured receivables financing.</w:t>
      </w:r>
    </w:p>
    <w:p w14:paraId="1574D0AD" w14:textId="77777777" w:rsidR="008D3C17" w:rsidRPr="00E40CBF" w:rsidRDefault="008D3C17" w:rsidP="0075108E">
      <w:pPr>
        <w:tabs>
          <w:tab w:val="left" w:pos="5916"/>
        </w:tabs>
        <w:spacing w:line="360" w:lineRule="auto"/>
        <w:jc w:val="both"/>
        <w:rPr>
          <w:rFonts w:ascii="Arial" w:hAnsi="Arial" w:cs="Arial"/>
          <w:sz w:val="24"/>
          <w:szCs w:val="24"/>
        </w:rPr>
      </w:pPr>
    </w:p>
    <w:p w14:paraId="66D0EB56" w14:textId="77777777" w:rsidR="006E0A22" w:rsidRPr="00E40CBF" w:rsidRDefault="006E0A22" w:rsidP="0075108E">
      <w:pPr>
        <w:tabs>
          <w:tab w:val="left" w:pos="5916"/>
        </w:tabs>
        <w:spacing w:line="360" w:lineRule="auto"/>
        <w:jc w:val="both"/>
        <w:rPr>
          <w:rFonts w:ascii="Arial" w:hAnsi="Arial" w:cs="Arial"/>
          <w:sz w:val="24"/>
          <w:szCs w:val="24"/>
        </w:rPr>
      </w:pPr>
    </w:p>
    <w:p w14:paraId="165A7120" w14:textId="77777777" w:rsidR="006E0A22" w:rsidRPr="00E40CBF" w:rsidRDefault="006E0A22" w:rsidP="0075108E">
      <w:pPr>
        <w:tabs>
          <w:tab w:val="left" w:pos="5916"/>
        </w:tabs>
        <w:spacing w:line="360" w:lineRule="auto"/>
        <w:jc w:val="both"/>
        <w:rPr>
          <w:rFonts w:ascii="Arial" w:hAnsi="Arial" w:cs="Arial"/>
          <w:sz w:val="24"/>
          <w:szCs w:val="24"/>
        </w:rPr>
      </w:pPr>
    </w:p>
    <w:p w14:paraId="53B790D4" w14:textId="77777777" w:rsidR="002255AA" w:rsidRPr="00E40CBF" w:rsidRDefault="002255AA" w:rsidP="0075108E">
      <w:pPr>
        <w:tabs>
          <w:tab w:val="left" w:pos="5916"/>
        </w:tabs>
        <w:spacing w:line="360" w:lineRule="auto"/>
        <w:jc w:val="both"/>
        <w:rPr>
          <w:rFonts w:ascii="Arial" w:hAnsi="Arial" w:cs="Arial"/>
          <w:sz w:val="24"/>
          <w:szCs w:val="24"/>
        </w:rPr>
      </w:pPr>
    </w:p>
    <w:p w14:paraId="19A36466" w14:textId="41F15ADF" w:rsidR="00363190" w:rsidRPr="00E40CBF" w:rsidRDefault="00731106" w:rsidP="00731106">
      <w:pPr>
        <w:pStyle w:val="Heading2"/>
        <w:rPr>
          <w:rFonts w:ascii="Arial" w:hAnsi="Arial" w:cs="Arial"/>
          <w:color w:val="auto"/>
          <w:lang w:val="en-GB"/>
        </w:rPr>
      </w:pPr>
      <w:bookmarkStart w:id="14" w:name="_Toc214799418"/>
      <w:r w:rsidRPr="00E40CBF">
        <w:rPr>
          <w:rFonts w:ascii="Arial" w:hAnsi="Arial" w:cs="Arial"/>
          <w:color w:val="auto"/>
        </w:rPr>
        <w:lastRenderedPageBreak/>
        <w:t>2.</w:t>
      </w:r>
      <w:r w:rsidR="00363190" w:rsidRPr="00E40CBF">
        <w:rPr>
          <w:rFonts w:ascii="Arial" w:hAnsi="Arial" w:cs="Arial"/>
          <w:color w:val="auto"/>
        </w:rPr>
        <w:t>Short-term vs long-term financing options</w:t>
      </w:r>
      <w:bookmarkEnd w:id="14"/>
    </w:p>
    <w:p w14:paraId="03C15E56" w14:textId="77777777" w:rsidR="008D3C17" w:rsidRPr="00E40CBF" w:rsidRDefault="008D3C17" w:rsidP="0075108E">
      <w:pPr>
        <w:tabs>
          <w:tab w:val="left" w:pos="5916"/>
        </w:tabs>
        <w:spacing w:line="360" w:lineRule="auto"/>
        <w:jc w:val="both"/>
        <w:rPr>
          <w:rFonts w:ascii="Arial" w:hAnsi="Arial" w:cs="Arial"/>
          <w:sz w:val="24"/>
          <w:szCs w:val="24"/>
        </w:rPr>
      </w:pPr>
    </w:p>
    <w:p w14:paraId="124BC43D" w14:textId="77777777" w:rsidR="007A29A3" w:rsidRPr="00E40CBF" w:rsidRDefault="007A29A3"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company has made extensive use of short-term credit, especially credit lines, as part of its financing strategy. There were net outflows in 2024 as a result of £102.2 billion in credit line borrowings and £120 billion in repayments. This trend of a high turnover in short-term debt persisted from previous years. Although flexible, this strategy exposes the business to interest rate volatility, refinancing risk, and liquidity strain during recessions.</w:t>
      </w:r>
    </w:p>
    <w:p w14:paraId="7FB40989" w14:textId="77777777" w:rsidR="007A29A3" w:rsidRPr="00E40CBF" w:rsidRDefault="007A29A3" w:rsidP="0075108E">
      <w:pPr>
        <w:tabs>
          <w:tab w:val="left" w:pos="5916"/>
        </w:tabs>
        <w:spacing w:line="360" w:lineRule="auto"/>
        <w:jc w:val="both"/>
        <w:rPr>
          <w:rFonts w:ascii="Arial" w:hAnsi="Arial" w:cs="Arial"/>
          <w:sz w:val="24"/>
          <w:szCs w:val="24"/>
        </w:rPr>
      </w:pPr>
    </w:p>
    <w:p w14:paraId="1ED5AA06" w14:textId="2B6AAC7F" w:rsidR="007D2DE4" w:rsidRPr="00E40CBF" w:rsidRDefault="00501095" w:rsidP="0075108E">
      <w:pPr>
        <w:tabs>
          <w:tab w:val="left" w:pos="5916"/>
        </w:tabs>
        <w:spacing w:line="360" w:lineRule="auto"/>
        <w:jc w:val="both"/>
        <w:rPr>
          <w:rFonts w:ascii="Arial" w:hAnsi="Arial" w:cs="Arial"/>
          <w:sz w:val="24"/>
          <w:szCs w:val="24"/>
        </w:rPr>
      </w:pPr>
      <w:r w:rsidRPr="00E40CBF">
        <w:rPr>
          <w:rFonts w:ascii="Arial" w:hAnsi="Arial" w:cs="Arial"/>
          <w:sz w:val="24"/>
          <w:szCs w:val="24"/>
        </w:rPr>
        <w:t xml:space="preserve">On the other hand, </w:t>
      </w:r>
      <w:r w:rsidR="007A29A3" w:rsidRPr="00E40CBF">
        <w:rPr>
          <w:rFonts w:ascii="Arial" w:hAnsi="Arial" w:cs="Arial"/>
          <w:sz w:val="24"/>
          <w:szCs w:val="24"/>
        </w:rPr>
        <w:t>Long-term financing</w:t>
      </w:r>
      <w:r w:rsidRPr="00E40CBF">
        <w:rPr>
          <w:rFonts w:ascii="Arial" w:hAnsi="Arial" w:cs="Arial"/>
          <w:sz w:val="24"/>
          <w:szCs w:val="24"/>
        </w:rPr>
        <w:t xml:space="preserve"> </w:t>
      </w:r>
      <w:r w:rsidR="007A29A3" w:rsidRPr="00E40CBF">
        <w:rPr>
          <w:rFonts w:ascii="Arial" w:hAnsi="Arial" w:cs="Arial"/>
          <w:sz w:val="24"/>
          <w:szCs w:val="24"/>
        </w:rPr>
        <w:t xml:space="preserve">provides stability and a reduced risk of rollover. Nonetheless, the business's long-term liabilities stayed low, falling from £15 billion in 2022 to £11.9 billion in 2024. This points to a potential underutilization of long-term debt, which could be used to finance strategic investments and refinance short-term commitments. </w:t>
      </w:r>
    </w:p>
    <w:p w14:paraId="2C817E6D" w14:textId="77777777" w:rsidR="006E0A22" w:rsidRPr="00E40CBF" w:rsidRDefault="006E0A22" w:rsidP="0075108E">
      <w:pPr>
        <w:tabs>
          <w:tab w:val="left" w:pos="5916"/>
        </w:tabs>
        <w:spacing w:line="360" w:lineRule="auto"/>
        <w:jc w:val="both"/>
        <w:rPr>
          <w:rFonts w:ascii="Arial" w:hAnsi="Arial" w:cs="Arial"/>
          <w:sz w:val="24"/>
          <w:szCs w:val="24"/>
        </w:rPr>
      </w:pPr>
    </w:p>
    <w:p w14:paraId="38DEC182" w14:textId="12B4FC87" w:rsidR="007A29A3" w:rsidRPr="00E40CBF" w:rsidRDefault="00731106" w:rsidP="00731106">
      <w:pPr>
        <w:pStyle w:val="Heading2"/>
        <w:rPr>
          <w:rFonts w:ascii="Arial" w:hAnsi="Arial" w:cs="Arial"/>
          <w:color w:val="auto"/>
        </w:rPr>
      </w:pPr>
      <w:bookmarkStart w:id="15" w:name="_Toc214799419"/>
      <w:r w:rsidRPr="00E40CBF">
        <w:rPr>
          <w:rFonts w:ascii="Arial" w:hAnsi="Arial" w:cs="Arial"/>
          <w:color w:val="auto"/>
        </w:rPr>
        <w:t>3.</w:t>
      </w:r>
      <w:r w:rsidR="00F36B6B" w:rsidRPr="00E40CBF">
        <w:rPr>
          <w:rFonts w:ascii="Arial" w:hAnsi="Arial" w:cs="Arial"/>
          <w:color w:val="auto"/>
        </w:rPr>
        <w:t>Options:</w:t>
      </w:r>
      <w:bookmarkEnd w:id="15"/>
    </w:p>
    <w:p w14:paraId="54B27211" w14:textId="77777777" w:rsidR="007A29A3" w:rsidRPr="00E40CBF" w:rsidRDefault="007A29A3" w:rsidP="0075108E">
      <w:pPr>
        <w:tabs>
          <w:tab w:val="left" w:pos="5916"/>
        </w:tabs>
        <w:spacing w:line="360" w:lineRule="auto"/>
        <w:jc w:val="both"/>
        <w:rPr>
          <w:rFonts w:ascii="Arial" w:hAnsi="Arial" w:cs="Arial"/>
          <w:sz w:val="24"/>
          <w:szCs w:val="24"/>
        </w:rPr>
      </w:pPr>
    </w:p>
    <w:p w14:paraId="16471826" w14:textId="5CCEC7D9" w:rsidR="008D3C17" w:rsidRPr="00E40CBF" w:rsidRDefault="007A29A3" w:rsidP="0075108E">
      <w:pPr>
        <w:tabs>
          <w:tab w:val="left" w:pos="5916"/>
        </w:tabs>
        <w:spacing w:line="360" w:lineRule="auto"/>
        <w:jc w:val="both"/>
        <w:rPr>
          <w:rFonts w:ascii="Arial" w:hAnsi="Arial" w:cs="Arial"/>
          <w:sz w:val="24"/>
          <w:szCs w:val="24"/>
        </w:rPr>
      </w:pPr>
      <w:r w:rsidRPr="00E40CBF">
        <w:rPr>
          <w:rFonts w:ascii="Arial" w:hAnsi="Arial" w:cs="Arial"/>
          <w:sz w:val="24"/>
          <w:szCs w:val="24"/>
        </w:rPr>
        <w:t>Issuing long-term bonds: Reliance on revolving credit can be decreased and low interest rates can be locked in with fixed-rate debt.</w:t>
      </w:r>
    </w:p>
    <w:p w14:paraId="386EF7E7" w14:textId="77777777" w:rsidR="005B3119" w:rsidRPr="00E40CBF" w:rsidRDefault="005B3119" w:rsidP="0075108E">
      <w:pPr>
        <w:tabs>
          <w:tab w:val="left" w:pos="5916"/>
        </w:tabs>
        <w:spacing w:line="360" w:lineRule="auto"/>
        <w:jc w:val="both"/>
        <w:rPr>
          <w:rFonts w:ascii="Arial" w:hAnsi="Arial" w:cs="Arial"/>
          <w:sz w:val="24"/>
          <w:szCs w:val="24"/>
        </w:rPr>
      </w:pPr>
      <w:r w:rsidRPr="00E40CBF">
        <w:rPr>
          <w:rFonts w:ascii="Arial" w:hAnsi="Arial" w:cs="Arial"/>
          <w:sz w:val="24"/>
          <w:szCs w:val="24"/>
        </w:rPr>
        <w:t>Asset-backed lending: Longer-term funding can be obtained by using intangible assets (£24 billion) or property, plant, and equipment (£34.2 billion in 2024) as collateral.</w:t>
      </w:r>
    </w:p>
    <w:p w14:paraId="0B67AFD5" w14:textId="77777777" w:rsidR="005B3119" w:rsidRPr="00E40CBF" w:rsidRDefault="005B3119" w:rsidP="0075108E">
      <w:pPr>
        <w:tabs>
          <w:tab w:val="left" w:pos="5916"/>
        </w:tabs>
        <w:spacing w:line="360" w:lineRule="auto"/>
        <w:jc w:val="both"/>
        <w:rPr>
          <w:rFonts w:ascii="Arial" w:hAnsi="Arial" w:cs="Arial"/>
          <w:sz w:val="24"/>
          <w:szCs w:val="24"/>
        </w:rPr>
      </w:pPr>
      <w:r w:rsidRPr="00E40CBF">
        <w:rPr>
          <w:rFonts w:ascii="Arial" w:hAnsi="Arial" w:cs="Arial"/>
          <w:sz w:val="24"/>
          <w:szCs w:val="24"/>
        </w:rPr>
        <w:t>Equity financing: Given the company's substantial paid-in capital (£344.7 billion in 2024), issuing new equity may be feasible even though shareholder dilution is a concern. On the other hand, declining book value per share and retained earnings point to investor caution.</w:t>
      </w:r>
    </w:p>
    <w:p w14:paraId="2DA8B6C1" w14:textId="77777777" w:rsidR="005B3119" w:rsidRPr="00E40CBF" w:rsidRDefault="005B3119" w:rsidP="0075108E">
      <w:pPr>
        <w:tabs>
          <w:tab w:val="left" w:pos="5916"/>
        </w:tabs>
        <w:spacing w:line="360" w:lineRule="auto"/>
        <w:jc w:val="both"/>
        <w:rPr>
          <w:rFonts w:ascii="Arial" w:hAnsi="Arial" w:cs="Arial"/>
          <w:sz w:val="24"/>
          <w:szCs w:val="24"/>
        </w:rPr>
      </w:pPr>
      <w:r w:rsidRPr="00E40CBF">
        <w:rPr>
          <w:rFonts w:ascii="Arial" w:hAnsi="Arial" w:cs="Arial"/>
          <w:sz w:val="24"/>
          <w:szCs w:val="24"/>
        </w:rPr>
        <w:t>Hybrid instruments: Preferred equity or convertible debt can strike a balance between cost and flexibility, attracting investors while saving money.</w:t>
      </w:r>
    </w:p>
    <w:p w14:paraId="5FDF5C79" w14:textId="0A1EDC2A" w:rsidR="00045486" w:rsidRPr="00E40CBF" w:rsidRDefault="005B3119" w:rsidP="00E40CBF">
      <w:pPr>
        <w:tabs>
          <w:tab w:val="left" w:pos="5916"/>
        </w:tabs>
        <w:spacing w:line="360" w:lineRule="auto"/>
        <w:jc w:val="both"/>
        <w:rPr>
          <w:rFonts w:ascii="Arial" w:hAnsi="Arial" w:cs="Arial"/>
          <w:sz w:val="24"/>
          <w:szCs w:val="24"/>
        </w:rPr>
      </w:pPr>
      <w:r w:rsidRPr="00E40CBF">
        <w:rPr>
          <w:rFonts w:ascii="Arial" w:hAnsi="Arial" w:cs="Arial"/>
          <w:sz w:val="24"/>
          <w:szCs w:val="24"/>
        </w:rPr>
        <w:lastRenderedPageBreak/>
        <w:t>In the end, a well-balanced financing mix is crucial. While long-term financing should finance capital expenditure, restructuring, and strategic growth, short-term credit should support working capital gaps and seasonal needs. The company's 2024 treasury stock purchases of £1.96 billion also point to potential opportunities to reallocate funds to debt reduction or liquidity improvement.</w:t>
      </w:r>
    </w:p>
    <w:p w14:paraId="61FD532A" w14:textId="2BCC63ED" w:rsidR="002C540F" w:rsidRDefault="00066486" w:rsidP="00CE695C">
      <w:pPr>
        <w:pStyle w:val="Heading1"/>
        <w:rPr>
          <w:rFonts w:ascii="Arial" w:hAnsi="Arial" w:cs="Arial"/>
          <w:color w:val="auto"/>
          <w:sz w:val="36"/>
          <w:szCs w:val="36"/>
        </w:rPr>
      </w:pPr>
      <w:bookmarkStart w:id="16" w:name="_Toc214799420"/>
      <w:r w:rsidRPr="00E40CBF">
        <w:rPr>
          <w:rFonts w:ascii="Arial" w:hAnsi="Arial" w:cs="Arial"/>
          <w:color w:val="auto"/>
          <w:sz w:val="36"/>
          <w:szCs w:val="36"/>
        </w:rPr>
        <w:t>3.</w:t>
      </w:r>
      <w:r w:rsidR="002C540F" w:rsidRPr="00E40CBF">
        <w:rPr>
          <w:rFonts w:ascii="Arial" w:hAnsi="Arial" w:cs="Arial"/>
          <w:color w:val="auto"/>
          <w:sz w:val="36"/>
          <w:szCs w:val="36"/>
        </w:rPr>
        <w:t>Strategic Financial Restructuring Plan</w:t>
      </w:r>
      <w:bookmarkEnd w:id="16"/>
    </w:p>
    <w:p w14:paraId="21DCFACC" w14:textId="77777777" w:rsidR="00E40CBF" w:rsidRPr="00E40CBF" w:rsidRDefault="00E40CBF" w:rsidP="00E40CBF"/>
    <w:p w14:paraId="6C5B9A19" w14:textId="77777777" w:rsidR="00045486" w:rsidRPr="00E40CBF" w:rsidRDefault="00045486" w:rsidP="0075108E">
      <w:pPr>
        <w:tabs>
          <w:tab w:val="left" w:pos="5916"/>
        </w:tabs>
        <w:spacing w:line="360" w:lineRule="auto"/>
        <w:jc w:val="both"/>
        <w:rPr>
          <w:rFonts w:ascii="Arial" w:hAnsi="Arial" w:cs="Arial"/>
          <w:sz w:val="24"/>
          <w:szCs w:val="24"/>
        </w:rPr>
      </w:pPr>
      <w:r w:rsidRPr="00E40CBF">
        <w:rPr>
          <w:rFonts w:ascii="Arial" w:hAnsi="Arial" w:cs="Arial"/>
          <w:sz w:val="24"/>
          <w:szCs w:val="24"/>
        </w:rPr>
        <w:t>The company’s financial performance has deteriorated significantly in 2023 and 2024, with consecutive net losses (£98,238m in 2023 and £24,029m in 2024), declining revenues, and shrinking equity. A restructuring plan is essential to restore profitability, strengthen the balance sheet, and enhance shareholder value. Recommended measures include divestiture of non-core assets, equity injection, and selective mergers or alliances. These strategies will rebalance debt, improve operational flexibility, and address international risks such as taxation, currency volatility, inflation, and corporate social responsibility (CSR).</w:t>
      </w:r>
    </w:p>
    <w:p w14:paraId="2E39A204" w14:textId="77777777" w:rsidR="00F86D77" w:rsidRPr="00E40CBF" w:rsidRDefault="00F86D77" w:rsidP="0075108E">
      <w:pPr>
        <w:spacing w:line="360" w:lineRule="auto"/>
        <w:ind w:right="737"/>
        <w:jc w:val="both"/>
        <w:rPr>
          <w:rFonts w:ascii="Arial" w:hAnsi="Arial" w:cs="Arial"/>
          <w:sz w:val="24"/>
          <w:szCs w:val="24"/>
        </w:rPr>
      </w:pPr>
    </w:p>
    <w:p w14:paraId="1E1D35EC" w14:textId="20C92830"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Financial Context and Challenges</w:t>
      </w:r>
    </w:p>
    <w:p w14:paraId="61AA6803"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Revenue decline: Net sales fell from £614,680m (2020) to £394,879m (2024), a 36% drop.</w:t>
      </w:r>
    </w:p>
    <w:p w14:paraId="61652DA7"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Profitability collapse: Operating losses of £85,301m (2023) and £15,297m (2024) highlight structural inefficiencies.</w:t>
      </w:r>
    </w:p>
    <w:p w14:paraId="01955576"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Balance sheet stress: Equity fell from £313,301m (2020) to £153,105m (2024), while liabilities remain high (£170,249m).</w:t>
      </w:r>
    </w:p>
    <w:p w14:paraId="58FC31A9" w14:textId="77777777" w:rsidR="00066486" w:rsidRPr="00E40CBF" w:rsidRDefault="00066486" w:rsidP="0075108E">
      <w:pPr>
        <w:numPr>
          <w:ilvl w:val="0"/>
          <w:numId w:val="11"/>
        </w:numPr>
        <w:tabs>
          <w:tab w:val="left" w:pos="5916"/>
        </w:tabs>
        <w:jc w:val="both"/>
        <w:rPr>
          <w:rFonts w:ascii="Arial" w:hAnsi="Arial" w:cs="Arial"/>
          <w:sz w:val="24"/>
          <w:szCs w:val="24"/>
        </w:rPr>
      </w:pPr>
      <w:r w:rsidRPr="00E40CBF">
        <w:rPr>
          <w:rFonts w:ascii="Arial" w:hAnsi="Arial" w:cs="Arial"/>
          <w:sz w:val="24"/>
          <w:szCs w:val="24"/>
        </w:rPr>
        <w:t>Cash flow strain: Operating cash inflows shrank from £73,392m (2020) to £14,822m (2024).</w:t>
      </w:r>
    </w:p>
    <w:p w14:paraId="5E09F729"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This trajectory indicates unsustainable operations without restructuring.</w:t>
      </w:r>
    </w:p>
    <w:p w14:paraId="00E62F26" w14:textId="77777777" w:rsidR="00F86D77" w:rsidRPr="00E40CBF" w:rsidRDefault="00F86D77" w:rsidP="0075108E">
      <w:pPr>
        <w:tabs>
          <w:tab w:val="left" w:pos="5916"/>
        </w:tabs>
        <w:jc w:val="both"/>
        <w:rPr>
          <w:rFonts w:ascii="Arial" w:hAnsi="Arial" w:cs="Arial"/>
          <w:sz w:val="24"/>
          <w:szCs w:val="24"/>
        </w:rPr>
      </w:pPr>
    </w:p>
    <w:p w14:paraId="5DC25D44" w14:textId="60178962" w:rsidR="00480A30" w:rsidRPr="00E40CBF" w:rsidRDefault="00480A30" w:rsidP="0075108E">
      <w:pPr>
        <w:tabs>
          <w:tab w:val="left" w:pos="5916"/>
        </w:tabs>
        <w:jc w:val="both"/>
        <w:rPr>
          <w:rFonts w:ascii="Arial" w:hAnsi="Arial" w:cs="Arial"/>
          <w:sz w:val="24"/>
          <w:szCs w:val="24"/>
          <w:u w:val="single"/>
        </w:rPr>
      </w:pPr>
    </w:p>
    <w:p w14:paraId="25B0DA95" w14:textId="285CFD0E" w:rsidR="007A4705" w:rsidRPr="00E40CBF" w:rsidRDefault="002F1F19" w:rsidP="002F1F19">
      <w:pPr>
        <w:pStyle w:val="Heading2"/>
        <w:rPr>
          <w:rFonts w:ascii="Arial" w:hAnsi="Arial" w:cs="Arial"/>
          <w:color w:val="auto"/>
        </w:rPr>
      </w:pPr>
      <w:bookmarkStart w:id="17" w:name="_Toc214799421"/>
      <w:r w:rsidRPr="00E40CBF">
        <w:rPr>
          <w:rFonts w:ascii="Arial" w:hAnsi="Arial" w:cs="Arial"/>
          <w:color w:val="auto"/>
        </w:rPr>
        <w:lastRenderedPageBreak/>
        <w:t>1</w:t>
      </w:r>
      <w:r w:rsidR="00D44DBC" w:rsidRPr="00E40CBF">
        <w:rPr>
          <w:rFonts w:ascii="Arial" w:hAnsi="Arial" w:cs="Arial"/>
          <w:color w:val="auto"/>
        </w:rPr>
        <w:t>.</w:t>
      </w:r>
      <w:r w:rsidR="008D4A57" w:rsidRPr="00E40CBF">
        <w:rPr>
          <w:rFonts w:ascii="Arial" w:hAnsi="Arial" w:cs="Arial"/>
          <w:color w:val="auto"/>
        </w:rPr>
        <w:t>Financial restructuring options</w:t>
      </w:r>
      <w:bookmarkEnd w:id="17"/>
    </w:p>
    <w:p w14:paraId="409D28AE" w14:textId="1382F1BC" w:rsidR="00066486" w:rsidRPr="00B442FD" w:rsidRDefault="00066486" w:rsidP="00B442FD">
      <w:pPr>
        <w:tabs>
          <w:tab w:val="left" w:pos="5916"/>
        </w:tabs>
        <w:jc w:val="both"/>
        <w:rPr>
          <w:rFonts w:ascii="Arial" w:hAnsi="Arial" w:cs="Arial"/>
          <w:sz w:val="24"/>
          <w:szCs w:val="24"/>
        </w:rPr>
      </w:pPr>
      <w:r w:rsidRPr="00B442FD">
        <w:rPr>
          <w:rFonts w:ascii="Arial" w:hAnsi="Arial" w:cs="Arial"/>
          <w:sz w:val="24"/>
          <w:szCs w:val="24"/>
        </w:rPr>
        <w:t>Divestiture of Non-Core Assets</w:t>
      </w:r>
    </w:p>
    <w:p w14:paraId="382E0679" w14:textId="51B80D4A" w:rsidR="007A4705" w:rsidRDefault="007A4705" w:rsidP="0075108E">
      <w:pPr>
        <w:tabs>
          <w:tab w:val="left" w:pos="5916"/>
        </w:tabs>
        <w:jc w:val="both"/>
        <w:rPr>
          <w:rFonts w:ascii="Arial" w:hAnsi="Arial" w:cs="Arial"/>
          <w:sz w:val="24"/>
          <w:szCs w:val="24"/>
        </w:rPr>
      </w:pPr>
      <w:r w:rsidRPr="00E40CBF">
        <w:rPr>
          <w:rFonts w:ascii="Arial" w:hAnsi="Arial" w:cs="Arial"/>
          <w:sz w:val="24"/>
          <w:szCs w:val="24"/>
        </w:rPr>
        <w:t>The first step in stabilizing a distressed balance sheet is frequently the divestiture of non-core assets. The business can make quick cash inflows by selling low-margin subsidiaries, surplus real estate, or underperforming divisions. By lowering reliance on short-term borrowing, which was £36,960 million in 2024, this liquidity can help ease debt pressures. Divestiture increases return on capital employed (ROCE) and unlocks hidden value from the standpoint of shareholders. Operationally, it enables management to focus resources on profitable segments, which lowers complexity and inefficiency.</w:t>
      </w:r>
    </w:p>
    <w:p w14:paraId="4041E213" w14:textId="77777777" w:rsidR="00B442FD" w:rsidRPr="00E40CBF" w:rsidRDefault="00B442FD" w:rsidP="0075108E">
      <w:pPr>
        <w:tabs>
          <w:tab w:val="left" w:pos="5916"/>
        </w:tabs>
        <w:jc w:val="both"/>
        <w:rPr>
          <w:rFonts w:ascii="Arial" w:hAnsi="Arial" w:cs="Arial"/>
          <w:sz w:val="24"/>
          <w:szCs w:val="24"/>
        </w:rPr>
      </w:pPr>
    </w:p>
    <w:p w14:paraId="35D02F8E" w14:textId="7E7D14E4"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Equity Injection</w:t>
      </w:r>
    </w:p>
    <w:p w14:paraId="3F4827DC" w14:textId="6349614C" w:rsidR="007A4705" w:rsidRDefault="007A4705" w:rsidP="0075108E">
      <w:pPr>
        <w:tabs>
          <w:tab w:val="left" w:pos="5916"/>
        </w:tabs>
        <w:jc w:val="both"/>
        <w:rPr>
          <w:rFonts w:ascii="Arial" w:hAnsi="Arial" w:cs="Arial"/>
          <w:sz w:val="24"/>
          <w:szCs w:val="24"/>
        </w:rPr>
      </w:pPr>
      <w:r w:rsidRPr="00E40CBF">
        <w:rPr>
          <w:rFonts w:ascii="Arial" w:hAnsi="Arial" w:cs="Arial"/>
          <w:sz w:val="24"/>
          <w:szCs w:val="24"/>
        </w:rPr>
        <w:t>The equity base is stabilized and capital reserves are strengthened through equity injection, which can be achieved by issuing new shares or drawing in strategic investors. The short-term decline in earnings per share is outweighed by the long-term advantages, despite the dilution risk for current shareholders. By lowering leverage, the extra equity lowers interest burdens like the £3,361 million recorded in 2024. Additionally, it offers a liquidity buffer to finance strategic initiatives, restructuring expenses, and innovation, strengthening resilience against outside shocks.</w:t>
      </w:r>
    </w:p>
    <w:p w14:paraId="5E580C6A" w14:textId="77777777" w:rsidR="00B442FD" w:rsidRPr="00E40CBF" w:rsidRDefault="00B442FD" w:rsidP="0075108E">
      <w:pPr>
        <w:tabs>
          <w:tab w:val="left" w:pos="5916"/>
        </w:tabs>
        <w:jc w:val="both"/>
        <w:rPr>
          <w:rFonts w:ascii="Arial" w:hAnsi="Arial" w:cs="Arial"/>
          <w:sz w:val="24"/>
          <w:szCs w:val="24"/>
        </w:rPr>
      </w:pPr>
    </w:p>
    <w:p w14:paraId="343744A1" w14:textId="137EA0D6"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Merger or Strategic Alliance</w:t>
      </w:r>
    </w:p>
    <w:p w14:paraId="0F4DBBC2" w14:textId="72243935" w:rsidR="007A4705" w:rsidRDefault="007A4705" w:rsidP="0075108E">
      <w:pPr>
        <w:tabs>
          <w:tab w:val="left" w:pos="5916"/>
        </w:tabs>
        <w:jc w:val="both"/>
        <w:rPr>
          <w:rFonts w:ascii="Arial" w:hAnsi="Arial" w:cs="Arial"/>
          <w:sz w:val="24"/>
          <w:szCs w:val="24"/>
        </w:rPr>
      </w:pPr>
      <w:r w:rsidRPr="00E40CBF">
        <w:rPr>
          <w:rFonts w:ascii="Arial" w:hAnsi="Arial" w:cs="Arial"/>
          <w:sz w:val="24"/>
          <w:szCs w:val="24"/>
        </w:rPr>
        <w:t>There are chances for growth and consolidation through mergers and strategic alliances. Economies of scale, revenue stream diversification, and improved market positioning can all be achieved through partnering with a rival or complementary company. Synergies boost future profitability and valuation multiples for investors. While operational flexibility increases through access to new markets, technologies, and talent pools, debt pressures are reduced as shared resources lower financing requirements.</w:t>
      </w:r>
    </w:p>
    <w:p w14:paraId="07053481" w14:textId="77777777" w:rsidR="00B442FD" w:rsidRPr="00E40CBF" w:rsidRDefault="00B442FD" w:rsidP="0075108E">
      <w:pPr>
        <w:tabs>
          <w:tab w:val="left" w:pos="5916"/>
        </w:tabs>
        <w:jc w:val="both"/>
        <w:rPr>
          <w:rFonts w:ascii="Arial" w:hAnsi="Arial" w:cs="Arial"/>
          <w:sz w:val="24"/>
          <w:szCs w:val="24"/>
        </w:rPr>
      </w:pPr>
    </w:p>
    <w:p w14:paraId="1B67908B" w14:textId="14F0B11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Debt Refinancing</w:t>
      </w:r>
    </w:p>
    <w:p w14:paraId="60836C7B" w14:textId="4093D63C" w:rsidR="00480A30" w:rsidRPr="00E40CBF" w:rsidRDefault="007A4705" w:rsidP="0075108E">
      <w:pPr>
        <w:tabs>
          <w:tab w:val="left" w:pos="5916"/>
        </w:tabs>
        <w:jc w:val="both"/>
        <w:rPr>
          <w:rFonts w:ascii="Arial" w:hAnsi="Arial" w:cs="Arial"/>
          <w:sz w:val="24"/>
          <w:szCs w:val="24"/>
        </w:rPr>
      </w:pPr>
      <w:r w:rsidRPr="00E40CBF">
        <w:rPr>
          <w:rFonts w:ascii="Arial" w:hAnsi="Arial" w:cs="Arial"/>
          <w:sz w:val="24"/>
          <w:szCs w:val="24"/>
        </w:rPr>
        <w:t>Short-term credit lines can be restructured into longer-term, less expensive instruments to stabilize solvency and lower liquidity risk. In addition to improving earnings stability, extending maturities and reducing interest costs free up funds for reinvestment in core business operations. This boosts investor confidence and guarantees that the business can expand without being hampered by debt commitments.</w:t>
      </w:r>
    </w:p>
    <w:p w14:paraId="307A3DA2" w14:textId="77777777" w:rsidR="007A4705" w:rsidRPr="00E40CBF" w:rsidRDefault="007A4705" w:rsidP="0075108E">
      <w:pPr>
        <w:tabs>
          <w:tab w:val="left" w:pos="5916"/>
        </w:tabs>
        <w:jc w:val="both"/>
        <w:rPr>
          <w:rFonts w:ascii="Arial" w:hAnsi="Arial" w:cs="Arial"/>
          <w:sz w:val="24"/>
          <w:szCs w:val="24"/>
        </w:rPr>
      </w:pPr>
    </w:p>
    <w:p w14:paraId="3574C164" w14:textId="701B9809" w:rsidR="00066486" w:rsidRPr="00E40CBF" w:rsidRDefault="00A71B3E" w:rsidP="00A71B3E">
      <w:pPr>
        <w:pStyle w:val="Heading2"/>
        <w:rPr>
          <w:rFonts w:ascii="Arial" w:hAnsi="Arial" w:cs="Arial"/>
          <w:color w:val="auto"/>
        </w:rPr>
      </w:pPr>
      <w:bookmarkStart w:id="18" w:name="_Toc214799422"/>
      <w:r w:rsidRPr="00E40CBF">
        <w:rPr>
          <w:rFonts w:ascii="Arial" w:hAnsi="Arial" w:cs="Arial"/>
          <w:color w:val="auto"/>
        </w:rPr>
        <w:lastRenderedPageBreak/>
        <w:t>2.</w:t>
      </w:r>
      <w:r w:rsidR="00066486" w:rsidRPr="00E40CBF">
        <w:rPr>
          <w:rFonts w:ascii="Arial" w:hAnsi="Arial" w:cs="Arial"/>
          <w:color w:val="auto"/>
        </w:rPr>
        <w:t>Impact Assessment</w:t>
      </w:r>
      <w:bookmarkEnd w:id="18"/>
    </w:p>
    <w:p w14:paraId="64944F34" w14:textId="77777777" w:rsidR="00480A30" w:rsidRPr="00E40CBF" w:rsidRDefault="00480A30" w:rsidP="0075108E">
      <w:pPr>
        <w:tabs>
          <w:tab w:val="left" w:pos="5916"/>
        </w:tabs>
        <w:jc w:val="both"/>
        <w:rPr>
          <w:rFonts w:ascii="Arial" w:hAnsi="Arial" w:cs="Arial"/>
          <w:sz w:val="24"/>
          <w:szCs w:val="24"/>
          <w:u w:val="single"/>
        </w:rPr>
      </w:pPr>
    </w:p>
    <w:p w14:paraId="5B2BF676" w14:textId="578A02A5"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Shareholder Value</w:t>
      </w:r>
    </w:p>
    <w:p w14:paraId="409B049A" w14:textId="77777777" w:rsidR="00066486" w:rsidRPr="00E40CBF" w:rsidRDefault="00066486" w:rsidP="0075108E">
      <w:pPr>
        <w:numPr>
          <w:ilvl w:val="0"/>
          <w:numId w:val="16"/>
        </w:numPr>
        <w:tabs>
          <w:tab w:val="left" w:pos="5916"/>
        </w:tabs>
        <w:jc w:val="both"/>
        <w:rPr>
          <w:rFonts w:ascii="Arial" w:hAnsi="Arial" w:cs="Arial"/>
          <w:sz w:val="24"/>
          <w:szCs w:val="24"/>
        </w:rPr>
      </w:pPr>
      <w:r w:rsidRPr="00E40CBF">
        <w:rPr>
          <w:rFonts w:ascii="Arial" w:hAnsi="Arial" w:cs="Arial"/>
          <w:sz w:val="24"/>
          <w:szCs w:val="24"/>
        </w:rPr>
        <w:t>Short-term: Equity injection may dilute EPS (already negative at -£1.85 in 2024).</w:t>
      </w:r>
    </w:p>
    <w:p w14:paraId="160C6BD4" w14:textId="77777777" w:rsidR="00066486" w:rsidRPr="00E40CBF" w:rsidRDefault="00066486" w:rsidP="0075108E">
      <w:pPr>
        <w:numPr>
          <w:ilvl w:val="0"/>
          <w:numId w:val="16"/>
        </w:numPr>
        <w:tabs>
          <w:tab w:val="left" w:pos="5916"/>
        </w:tabs>
        <w:jc w:val="both"/>
        <w:rPr>
          <w:rFonts w:ascii="Arial" w:hAnsi="Arial" w:cs="Arial"/>
          <w:sz w:val="24"/>
          <w:szCs w:val="24"/>
        </w:rPr>
      </w:pPr>
      <w:r w:rsidRPr="00E40CBF">
        <w:rPr>
          <w:rFonts w:ascii="Arial" w:hAnsi="Arial" w:cs="Arial"/>
          <w:sz w:val="24"/>
          <w:szCs w:val="24"/>
        </w:rPr>
        <w:t>Medium-term: Divestitures and mergers enhance ROCE, reversing negative trends.</w:t>
      </w:r>
    </w:p>
    <w:p w14:paraId="75915C5C" w14:textId="77777777" w:rsidR="00066486" w:rsidRPr="00E40CBF" w:rsidRDefault="00066486" w:rsidP="0075108E">
      <w:pPr>
        <w:numPr>
          <w:ilvl w:val="0"/>
          <w:numId w:val="16"/>
        </w:numPr>
        <w:tabs>
          <w:tab w:val="left" w:pos="5916"/>
        </w:tabs>
        <w:jc w:val="both"/>
        <w:rPr>
          <w:rFonts w:ascii="Arial" w:hAnsi="Arial" w:cs="Arial"/>
          <w:sz w:val="24"/>
          <w:szCs w:val="24"/>
        </w:rPr>
      </w:pPr>
      <w:r w:rsidRPr="00E40CBF">
        <w:rPr>
          <w:rFonts w:ascii="Arial" w:hAnsi="Arial" w:cs="Arial"/>
          <w:sz w:val="24"/>
          <w:szCs w:val="24"/>
        </w:rPr>
        <w:t>Long-term: Sustainable profitability restores dividends and market confidence.</w:t>
      </w:r>
    </w:p>
    <w:p w14:paraId="6491260A" w14:textId="43A34311"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Debt Structure</w:t>
      </w:r>
    </w:p>
    <w:p w14:paraId="2F6D27C6" w14:textId="77777777" w:rsidR="00066486" w:rsidRPr="00E40CBF" w:rsidRDefault="00066486" w:rsidP="0075108E">
      <w:pPr>
        <w:numPr>
          <w:ilvl w:val="0"/>
          <w:numId w:val="17"/>
        </w:numPr>
        <w:tabs>
          <w:tab w:val="left" w:pos="5916"/>
        </w:tabs>
        <w:jc w:val="both"/>
        <w:rPr>
          <w:rFonts w:ascii="Arial" w:hAnsi="Arial" w:cs="Arial"/>
          <w:sz w:val="24"/>
          <w:szCs w:val="24"/>
        </w:rPr>
      </w:pPr>
      <w:r w:rsidRPr="00E40CBF">
        <w:rPr>
          <w:rFonts w:ascii="Arial" w:hAnsi="Arial" w:cs="Arial"/>
          <w:sz w:val="24"/>
          <w:szCs w:val="24"/>
        </w:rPr>
        <w:t>Current liabilities (£158,291m in 2024) are excessive relative to cash (£26,783m).</w:t>
      </w:r>
    </w:p>
    <w:p w14:paraId="099B9E1D" w14:textId="77777777" w:rsidR="00066486" w:rsidRPr="00E40CBF" w:rsidRDefault="00066486" w:rsidP="0075108E">
      <w:pPr>
        <w:numPr>
          <w:ilvl w:val="0"/>
          <w:numId w:val="17"/>
        </w:numPr>
        <w:tabs>
          <w:tab w:val="left" w:pos="5916"/>
        </w:tabs>
        <w:jc w:val="both"/>
        <w:rPr>
          <w:rFonts w:ascii="Arial" w:hAnsi="Arial" w:cs="Arial"/>
          <w:sz w:val="24"/>
          <w:szCs w:val="24"/>
        </w:rPr>
      </w:pPr>
      <w:r w:rsidRPr="00E40CBF">
        <w:rPr>
          <w:rFonts w:ascii="Arial" w:hAnsi="Arial" w:cs="Arial"/>
          <w:sz w:val="24"/>
          <w:szCs w:val="24"/>
        </w:rPr>
        <w:t>Refinancing and asset sales reduce leverage, stabilising solvency ratios.</w:t>
      </w:r>
    </w:p>
    <w:p w14:paraId="320D8771" w14:textId="68FE54BB"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Operational Flexibility</w:t>
      </w:r>
    </w:p>
    <w:p w14:paraId="4C11C9C6" w14:textId="77777777" w:rsidR="00066486" w:rsidRPr="00E40CBF" w:rsidRDefault="00066486" w:rsidP="0075108E">
      <w:pPr>
        <w:numPr>
          <w:ilvl w:val="0"/>
          <w:numId w:val="18"/>
        </w:numPr>
        <w:tabs>
          <w:tab w:val="left" w:pos="5916"/>
        </w:tabs>
        <w:jc w:val="both"/>
        <w:rPr>
          <w:rFonts w:ascii="Arial" w:hAnsi="Arial" w:cs="Arial"/>
          <w:sz w:val="24"/>
          <w:szCs w:val="24"/>
        </w:rPr>
      </w:pPr>
      <w:r w:rsidRPr="00E40CBF">
        <w:rPr>
          <w:rFonts w:ascii="Arial" w:hAnsi="Arial" w:cs="Arial"/>
          <w:sz w:val="24"/>
          <w:szCs w:val="24"/>
        </w:rPr>
        <w:t>Divestitures streamline operations.</w:t>
      </w:r>
    </w:p>
    <w:p w14:paraId="617694F5" w14:textId="77777777" w:rsidR="00066486" w:rsidRPr="00E40CBF" w:rsidRDefault="00066486" w:rsidP="0075108E">
      <w:pPr>
        <w:numPr>
          <w:ilvl w:val="0"/>
          <w:numId w:val="18"/>
        </w:numPr>
        <w:tabs>
          <w:tab w:val="left" w:pos="5916"/>
        </w:tabs>
        <w:jc w:val="both"/>
        <w:rPr>
          <w:rFonts w:ascii="Arial" w:hAnsi="Arial" w:cs="Arial"/>
          <w:sz w:val="24"/>
          <w:szCs w:val="24"/>
        </w:rPr>
      </w:pPr>
      <w:r w:rsidRPr="00E40CBF">
        <w:rPr>
          <w:rFonts w:ascii="Arial" w:hAnsi="Arial" w:cs="Arial"/>
          <w:sz w:val="24"/>
          <w:szCs w:val="24"/>
        </w:rPr>
        <w:t>Alliances expand geographic reach and innovation capacity.</w:t>
      </w:r>
    </w:p>
    <w:p w14:paraId="1D3D67A7" w14:textId="77777777" w:rsidR="00066486" w:rsidRPr="00E40CBF" w:rsidRDefault="00066486" w:rsidP="0075108E">
      <w:pPr>
        <w:numPr>
          <w:ilvl w:val="0"/>
          <w:numId w:val="18"/>
        </w:numPr>
        <w:tabs>
          <w:tab w:val="left" w:pos="5916"/>
        </w:tabs>
        <w:jc w:val="both"/>
        <w:rPr>
          <w:rFonts w:ascii="Arial" w:hAnsi="Arial" w:cs="Arial"/>
          <w:sz w:val="24"/>
          <w:szCs w:val="24"/>
        </w:rPr>
      </w:pPr>
      <w:r w:rsidRPr="00E40CBF">
        <w:rPr>
          <w:rFonts w:ascii="Arial" w:hAnsi="Arial" w:cs="Arial"/>
          <w:sz w:val="24"/>
          <w:szCs w:val="24"/>
        </w:rPr>
        <w:t>Equity injection provides liquidity buffer against shocks.</w:t>
      </w:r>
    </w:p>
    <w:p w14:paraId="4636C280" w14:textId="77777777" w:rsidR="00F86D77" w:rsidRPr="00E40CBF" w:rsidRDefault="00F86D77" w:rsidP="0075108E">
      <w:pPr>
        <w:tabs>
          <w:tab w:val="left" w:pos="5916"/>
        </w:tabs>
        <w:jc w:val="both"/>
        <w:rPr>
          <w:rFonts w:ascii="Arial" w:hAnsi="Arial" w:cs="Arial"/>
          <w:sz w:val="24"/>
          <w:szCs w:val="24"/>
        </w:rPr>
      </w:pPr>
    </w:p>
    <w:p w14:paraId="57BE33AE" w14:textId="3585C894" w:rsidR="00066486" w:rsidRPr="00E40CBF" w:rsidRDefault="00E91BAC" w:rsidP="00E91BAC">
      <w:pPr>
        <w:pStyle w:val="Heading2"/>
        <w:rPr>
          <w:rFonts w:ascii="Arial" w:hAnsi="Arial" w:cs="Arial"/>
          <w:color w:val="auto"/>
        </w:rPr>
      </w:pPr>
      <w:bookmarkStart w:id="19" w:name="_Toc214799423"/>
      <w:r w:rsidRPr="00E40CBF">
        <w:rPr>
          <w:rFonts w:ascii="Arial" w:hAnsi="Arial" w:cs="Arial"/>
          <w:color w:val="auto"/>
        </w:rPr>
        <w:t>3</w:t>
      </w:r>
      <w:r w:rsidR="00066486" w:rsidRPr="00E40CBF">
        <w:rPr>
          <w:rFonts w:ascii="Arial" w:hAnsi="Arial" w:cs="Arial"/>
          <w:color w:val="auto"/>
        </w:rPr>
        <w:t>. International and Ethical Considerations</w:t>
      </w:r>
      <w:bookmarkEnd w:id="19"/>
    </w:p>
    <w:p w14:paraId="4FD58070" w14:textId="77777777" w:rsidR="00480A30" w:rsidRPr="00E40CBF" w:rsidRDefault="00480A30" w:rsidP="0075108E">
      <w:pPr>
        <w:tabs>
          <w:tab w:val="left" w:pos="5916"/>
        </w:tabs>
        <w:jc w:val="both"/>
        <w:rPr>
          <w:rFonts w:ascii="Arial" w:hAnsi="Arial" w:cs="Arial"/>
          <w:sz w:val="24"/>
          <w:szCs w:val="24"/>
        </w:rPr>
      </w:pPr>
    </w:p>
    <w:p w14:paraId="36D17506"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4.1 Taxation</w:t>
      </w:r>
    </w:p>
    <w:p w14:paraId="1C8346B7" w14:textId="77777777" w:rsidR="00066486" w:rsidRPr="00E40CBF" w:rsidRDefault="00066486" w:rsidP="0075108E">
      <w:pPr>
        <w:numPr>
          <w:ilvl w:val="0"/>
          <w:numId w:val="19"/>
        </w:numPr>
        <w:tabs>
          <w:tab w:val="left" w:pos="5916"/>
        </w:tabs>
        <w:jc w:val="both"/>
        <w:rPr>
          <w:rFonts w:ascii="Arial" w:hAnsi="Arial" w:cs="Arial"/>
          <w:sz w:val="24"/>
          <w:szCs w:val="24"/>
        </w:rPr>
      </w:pPr>
      <w:r w:rsidRPr="00E40CBF">
        <w:rPr>
          <w:rFonts w:ascii="Arial" w:hAnsi="Arial" w:cs="Arial"/>
          <w:sz w:val="24"/>
          <w:szCs w:val="24"/>
        </w:rPr>
        <w:t>Restructuring must optimise tax efficiency across jurisdictions. Deferred tax assets (£6,425m in 2024) should be leveraged.</w:t>
      </w:r>
    </w:p>
    <w:p w14:paraId="733CA4A8" w14:textId="77777777" w:rsidR="00066486" w:rsidRPr="00E40CBF" w:rsidRDefault="00066486" w:rsidP="0075108E">
      <w:pPr>
        <w:numPr>
          <w:ilvl w:val="0"/>
          <w:numId w:val="19"/>
        </w:numPr>
        <w:tabs>
          <w:tab w:val="left" w:pos="5916"/>
        </w:tabs>
        <w:jc w:val="both"/>
        <w:rPr>
          <w:rFonts w:ascii="Arial" w:hAnsi="Arial" w:cs="Arial"/>
          <w:sz w:val="24"/>
          <w:szCs w:val="24"/>
        </w:rPr>
      </w:pPr>
      <w:r w:rsidRPr="00E40CBF">
        <w:rPr>
          <w:rFonts w:ascii="Arial" w:hAnsi="Arial" w:cs="Arial"/>
          <w:sz w:val="24"/>
          <w:szCs w:val="24"/>
        </w:rPr>
        <w:t>Ethical tax practices are vital to CSR reputation.</w:t>
      </w:r>
    </w:p>
    <w:p w14:paraId="7885BA7D"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4.2 Currency Risk</w:t>
      </w:r>
    </w:p>
    <w:p w14:paraId="3D50382F" w14:textId="77777777" w:rsidR="00066486" w:rsidRPr="00E40CBF" w:rsidRDefault="00066486" w:rsidP="0075108E">
      <w:pPr>
        <w:numPr>
          <w:ilvl w:val="0"/>
          <w:numId w:val="20"/>
        </w:numPr>
        <w:tabs>
          <w:tab w:val="left" w:pos="5916"/>
        </w:tabs>
        <w:jc w:val="both"/>
        <w:rPr>
          <w:rFonts w:ascii="Arial" w:hAnsi="Arial" w:cs="Arial"/>
          <w:sz w:val="24"/>
          <w:szCs w:val="24"/>
        </w:rPr>
      </w:pPr>
      <w:r w:rsidRPr="00E40CBF">
        <w:rPr>
          <w:rFonts w:ascii="Arial" w:hAnsi="Arial" w:cs="Arial"/>
          <w:sz w:val="24"/>
          <w:szCs w:val="24"/>
        </w:rPr>
        <w:t>Foreign exchange volatility (cash flow impact: -£2,598m in 2024) requires hedging strategies.</w:t>
      </w:r>
    </w:p>
    <w:p w14:paraId="498836C5" w14:textId="77777777" w:rsidR="00066486" w:rsidRPr="00E40CBF" w:rsidRDefault="00066486" w:rsidP="0075108E">
      <w:pPr>
        <w:numPr>
          <w:ilvl w:val="0"/>
          <w:numId w:val="20"/>
        </w:numPr>
        <w:tabs>
          <w:tab w:val="left" w:pos="5916"/>
        </w:tabs>
        <w:jc w:val="both"/>
        <w:rPr>
          <w:rFonts w:ascii="Arial" w:hAnsi="Arial" w:cs="Arial"/>
          <w:sz w:val="24"/>
          <w:szCs w:val="24"/>
        </w:rPr>
      </w:pPr>
      <w:r w:rsidRPr="00E40CBF">
        <w:rPr>
          <w:rFonts w:ascii="Arial" w:hAnsi="Arial" w:cs="Arial"/>
          <w:sz w:val="24"/>
          <w:szCs w:val="24"/>
        </w:rPr>
        <w:t>Mergers with international firms must account for multi-currency exposures.</w:t>
      </w:r>
    </w:p>
    <w:p w14:paraId="09A9F94A"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t>4.3 Inflation</w:t>
      </w:r>
    </w:p>
    <w:p w14:paraId="58CD3791" w14:textId="77777777" w:rsidR="00066486" w:rsidRPr="00E40CBF" w:rsidRDefault="00066486" w:rsidP="0075108E">
      <w:pPr>
        <w:numPr>
          <w:ilvl w:val="0"/>
          <w:numId w:val="21"/>
        </w:numPr>
        <w:tabs>
          <w:tab w:val="left" w:pos="5916"/>
        </w:tabs>
        <w:jc w:val="both"/>
        <w:rPr>
          <w:rFonts w:ascii="Arial" w:hAnsi="Arial" w:cs="Arial"/>
          <w:sz w:val="24"/>
          <w:szCs w:val="24"/>
        </w:rPr>
      </w:pPr>
      <w:r w:rsidRPr="00E40CBF">
        <w:rPr>
          <w:rFonts w:ascii="Arial" w:hAnsi="Arial" w:cs="Arial"/>
          <w:sz w:val="24"/>
          <w:szCs w:val="24"/>
        </w:rPr>
        <w:t>Rising input costs erode margins. Divestiture of low-margin units mitigates exposure.</w:t>
      </w:r>
    </w:p>
    <w:p w14:paraId="53D98B8B" w14:textId="77777777" w:rsidR="00066486" w:rsidRPr="00E40CBF" w:rsidRDefault="00066486" w:rsidP="0075108E">
      <w:pPr>
        <w:numPr>
          <w:ilvl w:val="0"/>
          <w:numId w:val="21"/>
        </w:numPr>
        <w:tabs>
          <w:tab w:val="left" w:pos="5916"/>
        </w:tabs>
        <w:jc w:val="both"/>
        <w:rPr>
          <w:rFonts w:ascii="Arial" w:hAnsi="Arial" w:cs="Arial"/>
          <w:sz w:val="24"/>
          <w:szCs w:val="24"/>
        </w:rPr>
      </w:pPr>
      <w:r w:rsidRPr="00E40CBF">
        <w:rPr>
          <w:rFonts w:ascii="Arial" w:hAnsi="Arial" w:cs="Arial"/>
          <w:sz w:val="24"/>
          <w:szCs w:val="24"/>
        </w:rPr>
        <w:t>Equity injection provides capital to absorb inflationary shocks.</w:t>
      </w:r>
    </w:p>
    <w:p w14:paraId="5BCB337A" w14:textId="77777777" w:rsidR="00066486" w:rsidRPr="00E40CBF" w:rsidRDefault="00066486" w:rsidP="0075108E">
      <w:pPr>
        <w:tabs>
          <w:tab w:val="left" w:pos="5916"/>
        </w:tabs>
        <w:jc w:val="both"/>
        <w:rPr>
          <w:rFonts w:ascii="Arial" w:hAnsi="Arial" w:cs="Arial"/>
          <w:sz w:val="24"/>
          <w:szCs w:val="24"/>
        </w:rPr>
      </w:pPr>
      <w:r w:rsidRPr="00E40CBF">
        <w:rPr>
          <w:rFonts w:ascii="Arial" w:hAnsi="Arial" w:cs="Arial"/>
          <w:sz w:val="24"/>
          <w:szCs w:val="24"/>
        </w:rPr>
        <w:lastRenderedPageBreak/>
        <w:t>4.4 Corporate Social Responsibility (CSR)</w:t>
      </w:r>
    </w:p>
    <w:p w14:paraId="1D82C350" w14:textId="77777777" w:rsidR="00066486" w:rsidRPr="00E40CBF" w:rsidRDefault="00066486" w:rsidP="0075108E">
      <w:pPr>
        <w:numPr>
          <w:ilvl w:val="0"/>
          <w:numId w:val="22"/>
        </w:numPr>
        <w:tabs>
          <w:tab w:val="left" w:pos="5916"/>
        </w:tabs>
        <w:jc w:val="both"/>
        <w:rPr>
          <w:rFonts w:ascii="Arial" w:hAnsi="Arial" w:cs="Arial"/>
          <w:sz w:val="24"/>
          <w:szCs w:val="24"/>
        </w:rPr>
      </w:pPr>
      <w:r w:rsidRPr="00E40CBF">
        <w:rPr>
          <w:rFonts w:ascii="Arial" w:hAnsi="Arial" w:cs="Arial"/>
          <w:sz w:val="24"/>
          <w:szCs w:val="24"/>
        </w:rPr>
        <w:t>Ethical divestitures avoid job losses without support measures.</w:t>
      </w:r>
    </w:p>
    <w:p w14:paraId="3C8B8E6F" w14:textId="77777777" w:rsidR="00066486" w:rsidRPr="00E40CBF" w:rsidRDefault="00066486" w:rsidP="0075108E">
      <w:pPr>
        <w:numPr>
          <w:ilvl w:val="0"/>
          <w:numId w:val="22"/>
        </w:numPr>
        <w:tabs>
          <w:tab w:val="left" w:pos="5916"/>
        </w:tabs>
        <w:jc w:val="both"/>
        <w:rPr>
          <w:rFonts w:ascii="Arial" w:hAnsi="Arial" w:cs="Arial"/>
          <w:sz w:val="24"/>
          <w:szCs w:val="24"/>
        </w:rPr>
      </w:pPr>
      <w:r w:rsidRPr="00E40CBF">
        <w:rPr>
          <w:rFonts w:ascii="Arial" w:hAnsi="Arial" w:cs="Arial"/>
          <w:sz w:val="24"/>
          <w:szCs w:val="24"/>
        </w:rPr>
        <w:t>Equity injection should prioritise sustainable projects.</w:t>
      </w:r>
    </w:p>
    <w:p w14:paraId="50E3FEE8" w14:textId="77777777" w:rsidR="00066486" w:rsidRPr="00E40CBF" w:rsidRDefault="00066486" w:rsidP="0075108E">
      <w:pPr>
        <w:numPr>
          <w:ilvl w:val="0"/>
          <w:numId w:val="22"/>
        </w:numPr>
        <w:tabs>
          <w:tab w:val="left" w:pos="5916"/>
        </w:tabs>
        <w:jc w:val="both"/>
        <w:rPr>
          <w:rFonts w:ascii="Arial" w:hAnsi="Arial" w:cs="Arial"/>
          <w:sz w:val="24"/>
          <w:szCs w:val="24"/>
        </w:rPr>
      </w:pPr>
      <w:r w:rsidRPr="00E40CBF">
        <w:rPr>
          <w:rFonts w:ascii="Arial" w:hAnsi="Arial" w:cs="Arial"/>
          <w:sz w:val="24"/>
          <w:szCs w:val="24"/>
        </w:rPr>
        <w:t>Mergers must align with ESG standards to maintain stakeholder trust.</w:t>
      </w:r>
    </w:p>
    <w:p w14:paraId="31F7ACAC" w14:textId="77777777" w:rsidR="00A9486B" w:rsidRPr="00E40CBF" w:rsidRDefault="00A9486B" w:rsidP="0075108E">
      <w:pPr>
        <w:tabs>
          <w:tab w:val="left" w:pos="5916"/>
        </w:tabs>
        <w:ind w:left="720"/>
        <w:jc w:val="both"/>
        <w:rPr>
          <w:rFonts w:ascii="Arial" w:hAnsi="Arial" w:cs="Arial"/>
          <w:sz w:val="24"/>
          <w:szCs w:val="24"/>
        </w:rPr>
      </w:pPr>
    </w:p>
    <w:p w14:paraId="55B6E82A" w14:textId="715B5C09" w:rsidR="00066486" w:rsidRPr="00E40CBF" w:rsidRDefault="00AC68D3" w:rsidP="00AC68D3">
      <w:pPr>
        <w:pStyle w:val="Heading2"/>
        <w:rPr>
          <w:rFonts w:ascii="Arial" w:hAnsi="Arial" w:cs="Arial"/>
          <w:color w:val="auto"/>
        </w:rPr>
      </w:pPr>
      <w:bookmarkStart w:id="20" w:name="_Toc214799424"/>
      <w:r w:rsidRPr="00E40CBF">
        <w:rPr>
          <w:rFonts w:ascii="Arial" w:hAnsi="Arial" w:cs="Arial"/>
          <w:color w:val="auto"/>
        </w:rPr>
        <w:t>4</w:t>
      </w:r>
      <w:r w:rsidR="00066486" w:rsidRPr="00E40CBF">
        <w:rPr>
          <w:rFonts w:ascii="Arial" w:hAnsi="Arial" w:cs="Arial"/>
          <w:color w:val="auto"/>
        </w:rPr>
        <w:t>. Implementation Roadmap</w:t>
      </w:r>
      <w:bookmarkEnd w:id="20"/>
    </w:p>
    <w:p w14:paraId="133E0EC9" w14:textId="77777777" w:rsidR="00A9486B" w:rsidRPr="00E40CBF" w:rsidRDefault="00A9486B" w:rsidP="0075108E">
      <w:pPr>
        <w:tabs>
          <w:tab w:val="left" w:pos="5916"/>
        </w:tabs>
        <w:jc w:val="both"/>
        <w:rPr>
          <w:rFonts w:ascii="Arial" w:hAnsi="Arial" w:cs="Arial"/>
          <w:sz w:val="24"/>
          <w:szCs w:val="24"/>
        </w:rPr>
      </w:pPr>
    </w:p>
    <w:p w14:paraId="5D6984CE" w14:textId="77777777" w:rsidR="00A9486B" w:rsidRPr="00E40CBF" w:rsidRDefault="00066486" w:rsidP="0075108E">
      <w:pPr>
        <w:numPr>
          <w:ilvl w:val="0"/>
          <w:numId w:val="23"/>
        </w:numPr>
        <w:tabs>
          <w:tab w:val="left" w:pos="5916"/>
        </w:tabs>
        <w:jc w:val="both"/>
        <w:rPr>
          <w:rFonts w:ascii="Arial" w:hAnsi="Arial" w:cs="Arial"/>
          <w:sz w:val="24"/>
          <w:szCs w:val="24"/>
        </w:rPr>
      </w:pPr>
      <w:r w:rsidRPr="00E40CBF">
        <w:rPr>
          <w:rFonts w:ascii="Arial" w:hAnsi="Arial" w:cs="Arial"/>
          <w:sz w:val="24"/>
          <w:szCs w:val="24"/>
        </w:rPr>
        <w:t>Immediate (0–12 months):</w:t>
      </w:r>
      <w:r w:rsidR="00A9486B" w:rsidRPr="00E40CBF">
        <w:rPr>
          <w:rFonts w:ascii="Arial" w:hAnsi="Arial" w:cs="Arial"/>
          <w:sz w:val="24"/>
          <w:szCs w:val="24"/>
        </w:rPr>
        <w:t xml:space="preserve"> </w:t>
      </w:r>
    </w:p>
    <w:p w14:paraId="022A6690" w14:textId="6AE7E5D8" w:rsidR="00A9486B" w:rsidRPr="00E40CBF" w:rsidRDefault="00A9486B" w:rsidP="0075108E">
      <w:pPr>
        <w:tabs>
          <w:tab w:val="left" w:pos="5916"/>
        </w:tabs>
        <w:ind w:left="360"/>
        <w:jc w:val="both"/>
        <w:rPr>
          <w:rFonts w:ascii="Arial" w:hAnsi="Arial" w:cs="Arial"/>
          <w:sz w:val="24"/>
          <w:szCs w:val="24"/>
        </w:rPr>
      </w:pPr>
      <w:r w:rsidRPr="00E40CBF">
        <w:rPr>
          <w:rFonts w:ascii="Arial" w:hAnsi="Arial" w:cs="Arial"/>
          <w:sz w:val="24"/>
          <w:szCs w:val="24"/>
        </w:rPr>
        <w:t>Financial restructuring and long-term recovery are made possible by the implementation roadmap. Stabilization is the top priority in the initial phase (0–12 months). While debt refinancing negotiations seek to reduce interest costs and extend repayment schedules, improving short-term solvency, divesting non-core assets creates quick liquidity and simplifies operations. Creditors are reassured and management is given breathing room.</w:t>
      </w:r>
    </w:p>
    <w:p w14:paraId="34401C84" w14:textId="77777777" w:rsidR="00A9486B" w:rsidRPr="00E40CBF" w:rsidRDefault="00066486" w:rsidP="0075108E">
      <w:pPr>
        <w:numPr>
          <w:ilvl w:val="0"/>
          <w:numId w:val="23"/>
        </w:numPr>
        <w:tabs>
          <w:tab w:val="left" w:pos="5916"/>
        </w:tabs>
        <w:jc w:val="both"/>
        <w:rPr>
          <w:rFonts w:ascii="Arial" w:hAnsi="Arial" w:cs="Arial"/>
          <w:sz w:val="24"/>
          <w:szCs w:val="24"/>
        </w:rPr>
      </w:pPr>
      <w:r w:rsidRPr="00E40CBF">
        <w:rPr>
          <w:rFonts w:ascii="Arial" w:hAnsi="Arial" w:cs="Arial"/>
          <w:sz w:val="24"/>
          <w:szCs w:val="24"/>
        </w:rPr>
        <w:t>Medium-term (12–24 months):</w:t>
      </w:r>
      <w:r w:rsidR="00A9486B" w:rsidRPr="00E40CBF">
        <w:rPr>
          <w:rFonts w:ascii="Arial" w:hAnsi="Arial" w:cs="Arial"/>
          <w:sz w:val="24"/>
          <w:szCs w:val="24"/>
        </w:rPr>
        <w:t xml:space="preserve">  </w:t>
      </w:r>
    </w:p>
    <w:p w14:paraId="11BA72EF" w14:textId="3418BE0F" w:rsidR="00066486" w:rsidRPr="00E40CBF" w:rsidRDefault="00A9486B" w:rsidP="0075108E">
      <w:pPr>
        <w:tabs>
          <w:tab w:val="left" w:pos="5916"/>
        </w:tabs>
        <w:ind w:left="360"/>
        <w:jc w:val="both"/>
        <w:rPr>
          <w:rFonts w:ascii="Arial" w:hAnsi="Arial" w:cs="Arial"/>
          <w:sz w:val="24"/>
          <w:szCs w:val="24"/>
        </w:rPr>
      </w:pPr>
      <w:r w:rsidRPr="00E40CBF">
        <w:rPr>
          <w:rFonts w:ascii="Arial" w:hAnsi="Arial" w:cs="Arial"/>
          <w:sz w:val="24"/>
          <w:szCs w:val="24"/>
        </w:rPr>
        <w:t>The medium-term (12–24 months) focus switches to positioning for growth and fortifying the capital base. Obtaining equity infusions from strategic investors lowers leverage, increases financial resilience, and offers money for reinvestment. In high-growth markets, investigating merger opportunities can also improve competitive positioning, diversify revenue streams, and provide economies of scale. This phase strikes a balance between strategic growth and financial restoration.</w:t>
      </w:r>
    </w:p>
    <w:p w14:paraId="2C904743" w14:textId="2951AE96" w:rsidR="00A9486B" w:rsidRPr="00E40CBF" w:rsidRDefault="00066486" w:rsidP="0075108E">
      <w:pPr>
        <w:numPr>
          <w:ilvl w:val="0"/>
          <w:numId w:val="23"/>
        </w:numPr>
        <w:tabs>
          <w:tab w:val="left" w:pos="5916"/>
        </w:tabs>
        <w:jc w:val="both"/>
        <w:rPr>
          <w:rFonts w:ascii="Arial" w:hAnsi="Arial" w:cs="Arial"/>
          <w:sz w:val="24"/>
          <w:szCs w:val="24"/>
        </w:rPr>
      </w:pPr>
      <w:r w:rsidRPr="00E40CBF">
        <w:rPr>
          <w:rFonts w:ascii="Arial" w:hAnsi="Arial" w:cs="Arial"/>
          <w:sz w:val="24"/>
          <w:szCs w:val="24"/>
        </w:rPr>
        <w:t>Long-term (24–36 months)</w:t>
      </w:r>
      <w:r w:rsidR="00A9486B" w:rsidRPr="00E40CBF">
        <w:rPr>
          <w:rFonts w:ascii="Arial" w:hAnsi="Arial" w:cs="Arial"/>
          <w:sz w:val="24"/>
          <w:szCs w:val="24"/>
        </w:rPr>
        <w:t>:</w:t>
      </w:r>
    </w:p>
    <w:p w14:paraId="2E24EECC" w14:textId="1C2402E8" w:rsidR="00066486" w:rsidRPr="00E40CBF" w:rsidRDefault="00A9486B" w:rsidP="0075108E">
      <w:pPr>
        <w:tabs>
          <w:tab w:val="left" w:pos="5916"/>
        </w:tabs>
        <w:ind w:left="360"/>
        <w:jc w:val="both"/>
        <w:rPr>
          <w:rFonts w:ascii="Arial" w:hAnsi="Arial" w:cs="Arial"/>
          <w:sz w:val="24"/>
          <w:szCs w:val="24"/>
        </w:rPr>
      </w:pPr>
      <w:r w:rsidRPr="00E40CBF">
        <w:rPr>
          <w:rFonts w:ascii="Arial" w:hAnsi="Arial" w:cs="Arial"/>
          <w:sz w:val="24"/>
          <w:szCs w:val="24"/>
        </w:rPr>
        <w:t>The long-term phase (24–36 months) places a strong emphasis on value creation and sustainability. In order to ensure that the organization meets stakeholder expectations and adjusts to technological change, proceeds from previous actions should be reinvested in innovation, digitalization, and CSR initiatives. ROCE and shareholder returns are continuously monitored to guarantee accountability and gauge the effectiveness of restructuring. In general, the roadmap aligns financial health with strategic goals by moving from stabilization to growth and, ultimately, to sustainable value creation.</w:t>
      </w:r>
    </w:p>
    <w:p w14:paraId="7BD0417B" w14:textId="48529596" w:rsidR="00066486" w:rsidRPr="00E40CBF" w:rsidRDefault="00066486" w:rsidP="0075108E">
      <w:pPr>
        <w:tabs>
          <w:tab w:val="left" w:pos="5916"/>
        </w:tabs>
        <w:ind w:left="1440"/>
        <w:jc w:val="both"/>
        <w:rPr>
          <w:rFonts w:ascii="Arial" w:hAnsi="Arial" w:cs="Arial"/>
          <w:sz w:val="24"/>
          <w:szCs w:val="24"/>
        </w:rPr>
      </w:pPr>
    </w:p>
    <w:p w14:paraId="2A0DF029" w14:textId="77777777" w:rsidR="00E67B90" w:rsidRDefault="00E67B90" w:rsidP="0075108E">
      <w:pPr>
        <w:tabs>
          <w:tab w:val="left" w:pos="5916"/>
        </w:tabs>
        <w:ind w:left="1440"/>
        <w:jc w:val="both"/>
        <w:rPr>
          <w:rFonts w:ascii="Arial" w:hAnsi="Arial" w:cs="Arial"/>
          <w:sz w:val="24"/>
          <w:szCs w:val="24"/>
        </w:rPr>
      </w:pPr>
    </w:p>
    <w:p w14:paraId="2B253962" w14:textId="77777777" w:rsidR="00E40CBF" w:rsidRPr="00E40CBF" w:rsidRDefault="00E40CBF" w:rsidP="0075108E">
      <w:pPr>
        <w:tabs>
          <w:tab w:val="left" w:pos="5916"/>
        </w:tabs>
        <w:ind w:left="1440"/>
        <w:jc w:val="both"/>
        <w:rPr>
          <w:rFonts w:ascii="Arial" w:hAnsi="Arial" w:cs="Arial"/>
          <w:sz w:val="24"/>
          <w:szCs w:val="24"/>
        </w:rPr>
      </w:pPr>
    </w:p>
    <w:p w14:paraId="01B0D7EE" w14:textId="77777777" w:rsidR="008F36A0" w:rsidRPr="00E40CBF" w:rsidRDefault="008F36A0" w:rsidP="0075108E">
      <w:pPr>
        <w:tabs>
          <w:tab w:val="left" w:pos="5916"/>
        </w:tabs>
        <w:jc w:val="both"/>
        <w:rPr>
          <w:rFonts w:ascii="Arial" w:hAnsi="Arial" w:cs="Arial"/>
          <w:sz w:val="24"/>
          <w:szCs w:val="24"/>
        </w:rPr>
      </w:pPr>
    </w:p>
    <w:p w14:paraId="21AD34E5" w14:textId="0D370BBF" w:rsidR="00C630EE" w:rsidRPr="00E40CBF" w:rsidRDefault="00AC6065" w:rsidP="00AC6065">
      <w:pPr>
        <w:pStyle w:val="Heading1"/>
        <w:rPr>
          <w:rFonts w:ascii="Arial" w:hAnsi="Arial" w:cs="Arial"/>
          <w:color w:val="auto"/>
          <w:sz w:val="36"/>
          <w:szCs w:val="36"/>
        </w:rPr>
      </w:pPr>
      <w:bookmarkStart w:id="21" w:name="_Toc214799425"/>
      <w:r w:rsidRPr="00E40CBF">
        <w:rPr>
          <w:rFonts w:ascii="Arial" w:hAnsi="Arial" w:cs="Arial"/>
          <w:color w:val="auto"/>
          <w:sz w:val="36"/>
          <w:szCs w:val="36"/>
        </w:rPr>
        <w:lastRenderedPageBreak/>
        <w:t>4.</w:t>
      </w:r>
      <w:r w:rsidR="008F36A0" w:rsidRPr="00E40CBF">
        <w:rPr>
          <w:rFonts w:ascii="Arial" w:hAnsi="Arial" w:cs="Arial"/>
          <w:color w:val="auto"/>
          <w:sz w:val="36"/>
          <w:szCs w:val="36"/>
        </w:rPr>
        <w:t>I</w:t>
      </w:r>
      <w:r w:rsidR="00C630EE" w:rsidRPr="00E40CBF">
        <w:rPr>
          <w:rFonts w:ascii="Arial" w:hAnsi="Arial" w:cs="Arial"/>
          <w:color w:val="auto"/>
          <w:sz w:val="36"/>
          <w:szCs w:val="36"/>
        </w:rPr>
        <w:t>nvestment Appraisal and Capital Budgeting</w:t>
      </w:r>
      <w:bookmarkEnd w:id="21"/>
    </w:p>
    <w:p w14:paraId="0510C0A8" w14:textId="77777777" w:rsidR="00C630EE" w:rsidRPr="00E40CBF" w:rsidRDefault="00C630EE" w:rsidP="0075108E">
      <w:pPr>
        <w:tabs>
          <w:tab w:val="left" w:pos="5916"/>
        </w:tabs>
        <w:jc w:val="both"/>
        <w:rPr>
          <w:rFonts w:ascii="Arial" w:hAnsi="Arial" w:cs="Arial"/>
          <w:sz w:val="24"/>
          <w:szCs w:val="24"/>
        </w:rPr>
      </w:pPr>
    </w:p>
    <w:p w14:paraId="0CD2E6B9" w14:textId="5DCBBDC2" w:rsidR="00C630EE" w:rsidRPr="00E40CBF" w:rsidRDefault="00C630EE" w:rsidP="0075108E">
      <w:pPr>
        <w:tabs>
          <w:tab w:val="left" w:pos="5916"/>
        </w:tabs>
        <w:jc w:val="both"/>
        <w:rPr>
          <w:rFonts w:ascii="Arial" w:hAnsi="Arial" w:cs="Arial"/>
          <w:sz w:val="28"/>
          <w:szCs w:val="28"/>
        </w:rPr>
      </w:pPr>
      <w:r w:rsidRPr="00E40CBF">
        <w:rPr>
          <w:rFonts w:ascii="Arial" w:hAnsi="Arial" w:cs="Arial"/>
          <w:sz w:val="28"/>
          <w:szCs w:val="28"/>
        </w:rPr>
        <w:t>Introduction</w:t>
      </w:r>
    </w:p>
    <w:p w14:paraId="0CE43CFB" w14:textId="77777777" w:rsidR="00E67B90" w:rsidRPr="00E40CBF" w:rsidRDefault="00E67B90" w:rsidP="0075108E">
      <w:pPr>
        <w:tabs>
          <w:tab w:val="left" w:pos="5916"/>
        </w:tabs>
        <w:jc w:val="both"/>
        <w:rPr>
          <w:rFonts w:ascii="Arial" w:hAnsi="Arial" w:cs="Arial"/>
          <w:sz w:val="24"/>
          <w:szCs w:val="24"/>
        </w:rPr>
      </w:pPr>
    </w:p>
    <w:p w14:paraId="4BF30978" w14:textId="6541158A"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A crucial procedure in corporate finance is investment appraisal, which helps businesses assess rival projects and effectively distribute limited funds. Methods that offer complementary viewpoints on project viability include Payback Period (PBP), Accounting Rate of Return (ARR), Net Present Value (NPV), Profitability Index (PI), and Internal Rate of Return (IRR) (Ross et al., 2021). Under capital rationing restrictions (a maximum investment of £60 million), this report assesses three suggested projects (A, B, and C), taking into account both quantitative results and qualitative elements like profitability, liquidity, and risk.</w:t>
      </w:r>
    </w:p>
    <w:p w14:paraId="4E1E34BD" w14:textId="77777777" w:rsidR="00C630EE" w:rsidRPr="00E40CBF" w:rsidRDefault="00C630EE" w:rsidP="0075108E">
      <w:pPr>
        <w:tabs>
          <w:tab w:val="left" w:pos="5916"/>
        </w:tabs>
        <w:jc w:val="both"/>
        <w:rPr>
          <w:rFonts w:ascii="Arial" w:hAnsi="Arial" w:cs="Arial"/>
          <w:sz w:val="24"/>
          <w:szCs w:val="24"/>
        </w:rPr>
      </w:pPr>
    </w:p>
    <w:p w14:paraId="58A1B8FA" w14:textId="7EBFE44C" w:rsidR="00C630EE" w:rsidRPr="00E40CBF" w:rsidRDefault="00513AD6" w:rsidP="0075108E">
      <w:pPr>
        <w:tabs>
          <w:tab w:val="left" w:pos="5916"/>
        </w:tabs>
        <w:jc w:val="both"/>
        <w:rPr>
          <w:rFonts w:ascii="Arial" w:hAnsi="Arial" w:cs="Arial"/>
          <w:sz w:val="24"/>
          <w:szCs w:val="24"/>
        </w:rPr>
      </w:pPr>
      <w:r w:rsidRPr="00E40CBF">
        <w:rPr>
          <w:rFonts w:ascii="Arial" w:hAnsi="Arial" w:cs="Arial"/>
          <w:sz w:val="24"/>
          <w:szCs w:val="24"/>
        </w:rPr>
        <w:t xml:space="preserve"> </w:t>
      </w:r>
      <w:r w:rsidR="00C630EE" w:rsidRPr="00E40CBF">
        <w:rPr>
          <w:rFonts w:ascii="Arial" w:hAnsi="Arial" w:cs="Arial"/>
          <w:sz w:val="24"/>
          <w:szCs w:val="24"/>
        </w:rPr>
        <w:t>Project Data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C630EE" w:rsidRPr="00E40CBF" w14:paraId="0D2DADA0" w14:textId="77777777">
        <w:trPr>
          <w:tblCellSpacing w:w="15" w:type="dxa"/>
        </w:trPr>
        <w:tc>
          <w:tcPr>
            <w:tcW w:w="0" w:type="auto"/>
            <w:vAlign w:val="center"/>
            <w:hideMark/>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1420"/>
              <w:gridCol w:w="892"/>
              <w:gridCol w:w="892"/>
              <w:gridCol w:w="892"/>
              <w:gridCol w:w="892"/>
              <w:gridCol w:w="892"/>
              <w:gridCol w:w="1095"/>
              <w:gridCol w:w="1443"/>
            </w:tblGrid>
            <w:tr w:rsidR="00E40CBF" w:rsidRPr="00E40CBF" w14:paraId="3B917C88" w14:textId="77777777" w:rsidTr="00C630EE">
              <w:trPr>
                <w:tblHeader/>
                <w:tblCellSpacing w:w="15" w:type="dxa"/>
              </w:trPr>
              <w:tc>
                <w:tcPr>
                  <w:tcW w:w="0" w:type="auto"/>
                  <w:vAlign w:val="center"/>
                  <w:hideMark/>
                </w:tcPr>
                <w:p w14:paraId="338D4FC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4F3B37A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Initial Investment (£m)</w:t>
                  </w:r>
                </w:p>
              </w:tc>
              <w:tc>
                <w:tcPr>
                  <w:tcW w:w="0" w:type="auto"/>
                  <w:vAlign w:val="center"/>
                  <w:hideMark/>
                </w:tcPr>
                <w:p w14:paraId="2DD3B74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1 Inflow (£m)</w:t>
                  </w:r>
                </w:p>
              </w:tc>
              <w:tc>
                <w:tcPr>
                  <w:tcW w:w="0" w:type="auto"/>
                  <w:vAlign w:val="center"/>
                  <w:hideMark/>
                </w:tcPr>
                <w:p w14:paraId="2E2AC09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2 Inflow (£m)</w:t>
                  </w:r>
                </w:p>
              </w:tc>
              <w:tc>
                <w:tcPr>
                  <w:tcW w:w="0" w:type="auto"/>
                  <w:vAlign w:val="center"/>
                  <w:hideMark/>
                </w:tcPr>
                <w:p w14:paraId="392B114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3 Inflow (£m)</w:t>
                  </w:r>
                </w:p>
              </w:tc>
              <w:tc>
                <w:tcPr>
                  <w:tcW w:w="0" w:type="auto"/>
                  <w:vAlign w:val="center"/>
                  <w:hideMark/>
                </w:tcPr>
                <w:p w14:paraId="4441F7DA"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4 Inflow (£m)</w:t>
                  </w:r>
                </w:p>
              </w:tc>
              <w:tc>
                <w:tcPr>
                  <w:tcW w:w="0" w:type="auto"/>
                  <w:vAlign w:val="center"/>
                  <w:hideMark/>
                </w:tcPr>
                <w:p w14:paraId="31CE4F1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Year 5 Inflow (£m)</w:t>
                  </w:r>
                </w:p>
              </w:tc>
              <w:tc>
                <w:tcPr>
                  <w:tcW w:w="0" w:type="auto"/>
                  <w:vAlign w:val="center"/>
                  <w:hideMark/>
                </w:tcPr>
                <w:p w14:paraId="52BD30F2"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Discount Rate</w:t>
                  </w:r>
                </w:p>
              </w:tc>
              <w:tc>
                <w:tcPr>
                  <w:tcW w:w="134" w:type="dxa"/>
                  <w:vAlign w:val="center"/>
                  <w:hideMark/>
                </w:tcPr>
                <w:p w14:paraId="3F0B9CF7"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Depreciation (Straight-line, £m/year)</w:t>
                  </w:r>
                </w:p>
              </w:tc>
            </w:tr>
            <w:tr w:rsidR="00E40CBF" w:rsidRPr="00E40CBF" w14:paraId="58B3CEA6" w14:textId="77777777" w:rsidTr="00C630EE">
              <w:trPr>
                <w:tblCellSpacing w:w="15" w:type="dxa"/>
              </w:trPr>
              <w:tc>
                <w:tcPr>
                  <w:tcW w:w="0" w:type="auto"/>
                  <w:vAlign w:val="center"/>
                  <w:hideMark/>
                </w:tcPr>
                <w:p w14:paraId="57634E3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17BC618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30F6782C"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7A6CFAAF"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41DA0F7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658F7CA0"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4CACFBC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2343486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134" w:type="dxa"/>
                  <w:vAlign w:val="center"/>
                  <w:hideMark/>
                </w:tcPr>
                <w:p w14:paraId="673E363E"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8</w:t>
                  </w:r>
                </w:p>
              </w:tc>
            </w:tr>
            <w:tr w:rsidR="00E40CBF" w:rsidRPr="00E40CBF" w14:paraId="5EF94EFD" w14:textId="77777777" w:rsidTr="00C630EE">
              <w:trPr>
                <w:tblCellSpacing w:w="15" w:type="dxa"/>
              </w:trPr>
              <w:tc>
                <w:tcPr>
                  <w:tcW w:w="0" w:type="auto"/>
                  <w:vAlign w:val="center"/>
                  <w:hideMark/>
                </w:tcPr>
                <w:p w14:paraId="050BA640"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2AF5A6F7"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2D1310AC"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F73602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183C0DC3"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52E8ACA8"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334996C"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53EEAFC1"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134" w:type="dxa"/>
                  <w:vAlign w:val="center"/>
                  <w:hideMark/>
                </w:tcPr>
                <w:p w14:paraId="06D9720F"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6</w:t>
                  </w:r>
                </w:p>
              </w:tc>
            </w:tr>
            <w:tr w:rsidR="00E40CBF" w:rsidRPr="00E40CBF" w14:paraId="208B93C6" w14:textId="77777777" w:rsidTr="00C630EE">
              <w:trPr>
                <w:tblCellSpacing w:w="15" w:type="dxa"/>
              </w:trPr>
              <w:tc>
                <w:tcPr>
                  <w:tcW w:w="0" w:type="auto"/>
                  <w:vAlign w:val="center"/>
                  <w:hideMark/>
                </w:tcPr>
                <w:p w14:paraId="1D5819D4"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57E38C4B"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4F89EE84"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79900C8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263E6BD2"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20</w:t>
                  </w:r>
                </w:p>
              </w:tc>
              <w:tc>
                <w:tcPr>
                  <w:tcW w:w="0" w:type="auto"/>
                  <w:vAlign w:val="center"/>
                  <w:hideMark/>
                </w:tcPr>
                <w:p w14:paraId="43BB0EA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7A2E4C26"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5D2C3714"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c>
                <w:tcPr>
                  <w:tcW w:w="134" w:type="dxa"/>
                  <w:vAlign w:val="center"/>
                  <w:hideMark/>
                </w:tcPr>
                <w:p w14:paraId="0449DC0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w:t>
                  </w:r>
                </w:p>
              </w:tc>
            </w:tr>
          </w:tbl>
          <w:p w14:paraId="25B0DD7C" w14:textId="77777777" w:rsidR="00C630EE" w:rsidRPr="00E40CBF" w:rsidRDefault="00C630EE" w:rsidP="0075108E">
            <w:pPr>
              <w:tabs>
                <w:tab w:val="left" w:pos="5916"/>
              </w:tabs>
              <w:jc w:val="both"/>
              <w:rPr>
                <w:rFonts w:ascii="Arial" w:hAnsi="Arial" w:cs="Arial"/>
                <w:sz w:val="24"/>
                <w:szCs w:val="24"/>
              </w:rPr>
            </w:pPr>
          </w:p>
        </w:tc>
      </w:tr>
    </w:tbl>
    <w:p w14:paraId="5C096187" w14:textId="77777777" w:rsidR="00C630EE" w:rsidRPr="00E40CBF" w:rsidRDefault="00C630EE" w:rsidP="0075108E">
      <w:pPr>
        <w:tabs>
          <w:tab w:val="left" w:pos="5916"/>
        </w:tabs>
        <w:jc w:val="both"/>
        <w:rPr>
          <w:rFonts w:ascii="Arial" w:hAnsi="Arial" w:cs="Arial"/>
          <w:sz w:val="24"/>
          <w:szCs w:val="24"/>
        </w:rPr>
      </w:pPr>
    </w:p>
    <w:p w14:paraId="0A8B817F" w14:textId="77777777" w:rsidR="00755893" w:rsidRPr="00E40CBF" w:rsidRDefault="00755893" w:rsidP="0075108E">
      <w:pPr>
        <w:tabs>
          <w:tab w:val="left" w:pos="5916"/>
        </w:tabs>
        <w:jc w:val="both"/>
        <w:rPr>
          <w:rFonts w:ascii="Arial" w:hAnsi="Arial" w:cs="Arial"/>
          <w:sz w:val="24"/>
          <w:szCs w:val="24"/>
        </w:rPr>
      </w:pPr>
    </w:p>
    <w:p w14:paraId="3188A152" w14:textId="77777777" w:rsidR="00755893" w:rsidRPr="00E40CBF" w:rsidRDefault="00755893" w:rsidP="0075108E">
      <w:pPr>
        <w:tabs>
          <w:tab w:val="left" w:pos="5916"/>
        </w:tabs>
        <w:jc w:val="both"/>
        <w:rPr>
          <w:rFonts w:ascii="Arial" w:hAnsi="Arial" w:cs="Arial"/>
          <w:sz w:val="24"/>
          <w:szCs w:val="24"/>
        </w:rPr>
      </w:pPr>
    </w:p>
    <w:p w14:paraId="0C0A26CD" w14:textId="77777777" w:rsidR="00755893" w:rsidRPr="00E40CBF" w:rsidRDefault="00755893" w:rsidP="0075108E">
      <w:pPr>
        <w:tabs>
          <w:tab w:val="left" w:pos="5916"/>
        </w:tabs>
        <w:jc w:val="both"/>
        <w:rPr>
          <w:rFonts w:ascii="Arial" w:hAnsi="Arial" w:cs="Arial"/>
          <w:sz w:val="24"/>
          <w:szCs w:val="24"/>
        </w:rPr>
      </w:pPr>
    </w:p>
    <w:p w14:paraId="3632A438" w14:textId="77777777" w:rsidR="00755893" w:rsidRPr="00E40CBF" w:rsidRDefault="00755893" w:rsidP="0075108E">
      <w:pPr>
        <w:tabs>
          <w:tab w:val="left" w:pos="5916"/>
        </w:tabs>
        <w:jc w:val="both"/>
        <w:rPr>
          <w:rFonts w:ascii="Arial" w:hAnsi="Arial" w:cs="Arial"/>
          <w:sz w:val="24"/>
          <w:szCs w:val="24"/>
        </w:rPr>
      </w:pPr>
    </w:p>
    <w:p w14:paraId="65D06701" w14:textId="77777777" w:rsidR="00755893" w:rsidRPr="00E40CBF" w:rsidRDefault="00755893" w:rsidP="0075108E">
      <w:pPr>
        <w:tabs>
          <w:tab w:val="left" w:pos="5916"/>
        </w:tabs>
        <w:jc w:val="both"/>
        <w:rPr>
          <w:rFonts w:ascii="Arial" w:hAnsi="Arial" w:cs="Arial"/>
          <w:sz w:val="24"/>
          <w:szCs w:val="24"/>
        </w:rPr>
      </w:pPr>
    </w:p>
    <w:p w14:paraId="03A46E1E" w14:textId="77777777" w:rsidR="00755893" w:rsidRPr="00E40CBF" w:rsidRDefault="00755893" w:rsidP="0075108E">
      <w:pPr>
        <w:tabs>
          <w:tab w:val="left" w:pos="5916"/>
        </w:tabs>
        <w:jc w:val="both"/>
        <w:rPr>
          <w:rFonts w:ascii="Arial" w:hAnsi="Arial" w:cs="Arial"/>
          <w:sz w:val="24"/>
          <w:szCs w:val="24"/>
        </w:rPr>
      </w:pPr>
    </w:p>
    <w:p w14:paraId="500888B4" w14:textId="77777777" w:rsidR="00755893" w:rsidRPr="00E40CBF" w:rsidRDefault="00755893" w:rsidP="0075108E">
      <w:pPr>
        <w:tabs>
          <w:tab w:val="left" w:pos="5916"/>
        </w:tabs>
        <w:jc w:val="both"/>
        <w:rPr>
          <w:rFonts w:ascii="Arial" w:hAnsi="Arial" w:cs="Arial"/>
          <w:sz w:val="24"/>
          <w:szCs w:val="24"/>
        </w:rPr>
      </w:pPr>
    </w:p>
    <w:p w14:paraId="3C3E155F" w14:textId="77777777" w:rsidR="00755893" w:rsidRPr="00E40CBF" w:rsidRDefault="00755893" w:rsidP="0075108E">
      <w:pPr>
        <w:tabs>
          <w:tab w:val="left" w:pos="5916"/>
        </w:tabs>
        <w:jc w:val="both"/>
        <w:rPr>
          <w:rFonts w:ascii="Arial" w:hAnsi="Arial" w:cs="Arial"/>
          <w:sz w:val="24"/>
          <w:szCs w:val="24"/>
        </w:rPr>
      </w:pPr>
    </w:p>
    <w:p w14:paraId="12030960" w14:textId="030234B9" w:rsidR="00C630EE" w:rsidRPr="00E40CBF" w:rsidRDefault="00513AD6" w:rsidP="00513AD6">
      <w:pPr>
        <w:pStyle w:val="Heading2"/>
        <w:rPr>
          <w:rFonts w:ascii="Arial" w:hAnsi="Arial" w:cs="Arial"/>
          <w:color w:val="auto"/>
        </w:rPr>
      </w:pPr>
      <w:bookmarkStart w:id="22" w:name="_Toc214799426"/>
      <w:r w:rsidRPr="00E40CBF">
        <w:rPr>
          <w:rFonts w:ascii="Arial" w:hAnsi="Arial" w:cs="Arial"/>
          <w:color w:val="auto"/>
        </w:rPr>
        <w:lastRenderedPageBreak/>
        <w:t>1.</w:t>
      </w:r>
      <w:r w:rsidR="00C630EE" w:rsidRPr="00E40CBF">
        <w:rPr>
          <w:rFonts w:ascii="Arial" w:hAnsi="Arial" w:cs="Arial"/>
          <w:color w:val="auto"/>
        </w:rPr>
        <w:t>Payback Period (PBP)</w:t>
      </w:r>
      <w:bookmarkEnd w:id="22"/>
    </w:p>
    <w:p w14:paraId="198B738E" w14:textId="23904676" w:rsidR="00C630EE" w:rsidRPr="00E40CBF" w:rsidRDefault="00C630EE" w:rsidP="0075108E">
      <w:pPr>
        <w:tabs>
          <w:tab w:val="left" w:pos="5916"/>
        </w:tabs>
        <w:jc w:val="both"/>
        <w:rPr>
          <w:rFonts w:ascii="Arial" w:hAnsi="Arial" w:cs="Arial"/>
          <w:sz w:val="24"/>
          <w:szCs w:val="24"/>
        </w:rPr>
      </w:pPr>
    </w:p>
    <w:tbl>
      <w:tblPr>
        <w:tblW w:w="946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2109"/>
        <w:gridCol w:w="2270"/>
        <w:gridCol w:w="2151"/>
        <w:gridCol w:w="2094"/>
      </w:tblGrid>
      <w:tr w:rsidR="00E40CBF" w:rsidRPr="00E40CBF" w14:paraId="083F9BCC" w14:textId="77777777" w:rsidTr="00415E63">
        <w:trPr>
          <w:trHeight w:val="856"/>
          <w:tblHeader/>
          <w:tblCellSpacing w:w="15" w:type="dxa"/>
        </w:trPr>
        <w:tc>
          <w:tcPr>
            <w:tcW w:w="0" w:type="auto"/>
            <w:vAlign w:val="center"/>
            <w:hideMark/>
          </w:tcPr>
          <w:p w14:paraId="4C3B4974"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197DC374"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Initial Investment (£m)</w:t>
            </w:r>
          </w:p>
        </w:tc>
        <w:tc>
          <w:tcPr>
            <w:tcW w:w="0" w:type="auto"/>
            <w:vAlign w:val="center"/>
            <w:hideMark/>
          </w:tcPr>
          <w:p w14:paraId="08C00A97"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Cumulative Inflows (£m)</w:t>
            </w:r>
          </w:p>
        </w:tc>
        <w:tc>
          <w:tcPr>
            <w:tcW w:w="0" w:type="auto"/>
            <w:vAlign w:val="center"/>
            <w:hideMark/>
          </w:tcPr>
          <w:p w14:paraId="4A630757"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Payback Period (Years)</w:t>
            </w:r>
          </w:p>
        </w:tc>
        <w:tc>
          <w:tcPr>
            <w:tcW w:w="0" w:type="auto"/>
            <w:vAlign w:val="center"/>
            <w:hideMark/>
          </w:tcPr>
          <w:p w14:paraId="541D6F31"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Exact Payback (Years)</w:t>
            </w:r>
          </w:p>
        </w:tc>
      </w:tr>
      <w:tr w:rsidR="00E40CBF" w:rsidRPr="00E40CBF" w14:paraId="2D5295E1" w14:textId="77777777" w:rsidTr="00415E63">
        <w:trPr>
          <w:trHeight w:val="2053"/>
          <w:tblCellSpacing w:w="15" w:type="dxa"/>
        </w:trPr>
        <w:tc>
          <w:tcPr>
            <w:tcW w:w="0" w:type="auto"/>
            <w:vAlign w:val="center"/>
            <w:hideMark/>
          </w:tcPr>
          <w:p w14:paraId="0B48914B"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79FA95DA"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254C146F" w14:textId="5983B2BC"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Year1 = 10</w:t>
            </w:r>
          </w:p>
          <w:p w14:paraId="31D0FE0A" w14:textId="0B3B43B3"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Year2 = 22</w:t>
            </w:r>
          </w:p>
          <w:p w14:paraId="783D5840" w14:textId="7BA0D196"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Year3 = 36</w:t>
            </w:r>
          </w:p>
          <w:p w14:paraId="1D53C176" w14:textId="0A13A200"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Year4 = 46</w:t>
            </w:r>
          </w:p>
        </w:tc>
        <w:tc>
          <w:tcPr>
            <w:tcW w:w="0" w:type="auto"/>
            <w:vAlign w:val="center"/>
            <w:hideMark/>
          </w:tcPr>
          <w:p w14:paraId="0A731F2F" w14:textId="77777777" w:rsidR="00DB1A17"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 xml:space="preserve">Between </w:t>
            </w:r>
          </w:p>
          <w:p w14:paraId="313189AF" w14:textId="109F1C2A"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w:t>
            </w:r>
            <w:r w:rsidR="00755893" w:rsidRPr="00E40CBF">
              <w:rPr>
                <w:rFonts w:ascii="Arial" w:hAnsi="Arial" w:cs="Arial"/>
                <w:sz w:val="24"/>
                <w:szCs w:val="24"/>
              </w:rPr>
              <w:t xml:space="preserve"> </w:t>
            </w:r>
            <w:r w:rsidRPr="00E40CBF">
              <w:rPr>
                <w:rFonts w:ascii="Arial" w:hAnsi="Arial" w:cs="Arial"/>
                <w:sz w:val="24"/>
                <w:szCs w:val="24"/>
              </w:rPr>
              <w:t>3–Ye</w:t>
            </w:r>
            <w:r w:rsidR="00755893" w:rsidRPr="00E40CBF">
              <w:rPr>
                <w:rFonts w:ascii="Arial" w:hAnsi="Arial" w:cs="Arial"/>
                <w:sz w:val="24"/>
                <w:szCs w:val="24"/>
              </w:rPr>
              <w:t xml:space="preserve">ar </w:t>
            </w:r>
            <w:r w:rsidRPr="00E40CBF">
              <w:rPr>
                <w:rFonts w:ascii="Arial" w:hAnsi="Arial" w:cs="Arial"/>
                <w:sz w:val="24"/>
                <w:szCs w:val="24"/>
              </w:rPr>
              <w:t>4</w:t>
            </w:r>
          </w:p>
        </w:tc>
        <w:tc>
          <w:tcPr>
            <w:tcW w:w="0" w:type="auto"/>
            <w:vAlign w:val="center"/>
            <w:hideMark/>
          </w:tcPr>
          <w:p w14:paraId="30839979"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3.4</w:t>
            </w:r>
          </w:p>
          <w:p w14:paraId="547BD2CB" w14:textId="63F57FF6" w:rsidR="00415E63" w:rsidRPr="00E40CBF" w:rsidRDefault="00415E63" w:rsidP="0075108E">
            <w:pPr>
              <w:tabs>
                <w:tab w:val="left" w:pos="5916"/>
              </w:tabs>
              <w:jc w:val="both"/>
              <w:rPr>
                <w:rFonts w:ascii="Arial" w:hAnsi="Arial" w:cs="Arial"/>
                <w:sz w:val="24"/>
                <w:szCs w:val="24"/>
              </w:rPr>
            </w:pPr>
          </w:p>
        </w:tc>
      </w:tr>
      <w:tr w:rsidR="00E40CBF" w:rsidRPr="00E40CBF" w14:paraId="3149FADF" w14:textId="77777777" w:rsidTr="00415E63">
        <w:trPr>
          <w:trHeight w:val="2584"/>
          <w:tblCellSpacing w:w="15" w:type="dxa"/>
        </w:trPr>
        <w:tc>
          <w:tcPr>
            <w:tcW w:w="0" w:type="auto"/>
            <w:vAlign w:val="center"/>
            <w:hideMark/>
          </w:tcPr>
          <w:p w14:paraId="544CB44D"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1DADC677"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26666C52" w14:textId="63956419"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Year1 = 6</w:t>
            </w:r>
          </w:p>
          <w:p w14:paraId="04CAEA3F" w14:textId="752DEF9E"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Year2 = 12</w:t>
            </w:r>
          </w:p>
          <w:p w14:paraId="60AED0B1" w14:textId="7E4E66BF"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Year3 = 18</w:t>
            </w:r>
          </w:p>
          <w:p w14:paraId="7CE0FF2C" w14:textId="20C8B263"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Year4 = 24</w:t>
            </w:r>
          </w:p>
          <w:p w14:paraId="2EA38A90" w14:textId="5BF2DDCC"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Year5 = 30</w:t>
            </w:r>
          </w:p>
        </w:tc>
        <w:tc>
          <w:tcPr>
            <w:tcW w:w="0" w:type="auto"/>
            <w:vAlign w:val="center"/>
            <w:hideMark/>
          </w:tcPr>
          <w:p w14:paraId="53078D27" w14:textId="43083BBE"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At Year</w:t>
            </w:r>
            <w:r w:rsidR="00755893" w:rsidRPr="00E40CBF">
              <w:rPr>
                <w:rFonts w:ascii="Arial" w:hAnsi="Arial" w:cs="Arial"/>
                <w:sz w:val="24"/>
                <w:szCs w:val="24"/>
              </w:rPr>
              <w:t xml:space="preserve"> </w:t>
            </w:r>
            <w:r w:rsidRPr="00E40CBF">
              <w:rPr>
                <w:rFonts w:ascii="Arial" w:hAnsi="Arial" w:cs="Arial"/>
                <w:sz w:val="24"/>
                <w:szCs w:val="24"/>
              </w:rPr>
              <w:t>5</w:t>
            </w:r>
          </w:p>
        </w:tc>
        <w:tc>
          <w:tcPr>
            <w:tcW w:w="0" w:type="auto"/>
            <w:vAlign w:val="center"/>
            <w:hideMark/>
          </w:tcPr>
          <w:p w14:paraId="63BEFF03"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5.0</w:t>
            </w:r>
          </w:p>
        </w:tc>
      </w:tr>
      <w:tr w:rsidR="00415E63" w:rsidRPr="00E40CBF" w14:paraId="12C4BD3F" w14:textId="77777777" w:rsidTr="00415E63">
        <w:trPr>
          <w:trHeight w:val="2081"/>
          <w:tblCellSpacing w:w="15" w:type="dxa"/>
        </w:trPr>
        <w:tc>
          <w:tcPr>
            <w:tcW w:w="0" w:type="auto"/>
            <w:vAlign w:val="center"/>
            <w:hideMark/>
          </w:tcPr>
          <w:p w14:paraId="7E29FC3F"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2BBF08C8"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4459EA6D" w14:textId="4E704353"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Year1 = 5</w:t>
            </w:r>
          </w:p>
          <w:p w14:paraId="6A771998" w14:textId="43D3AC4E"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Year2 = 15</w:t>
            </w:r>
          </w:p>
          <w:p w14:paraId="6DA48632" w14:textId="2A860E6B"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Year3 = 35</w:t>
            </w:r>
          </w:p>
          <w:p w14:paraId="5AC098ED" w14:textId="15FD8431"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Year4 = 60</w:t>
            </w:r>
          </w:p>
        </w:tc>
        <w:tc>
          <w:tcPr>
            <w:tcW w:w="0" w:type="auto"/>
            <w:vAlign w:val="center"/>
            <w:hideMark/>
          </w:tcPr>
          <w:p w14:paraId="317ADEE6" w14:textId="77777777" w:rsidR="00DB1A17"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 xml:space="preserve">Between </w:t>
            </w:r>
          </w:p>
          <w:p w14:paraId="29B7A5C0" w14:textId="557ECBAA"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Year</w:t>
            </w:r>
            <w:r w:rsidR="00755893" w:rsidRPr="00E40CBF">
              <w:rPr>
                <w:rFonts w:ascii="Arial" w:hAnsi="Arial" w:cs="Arial"/>
                <w:sz w:val="24"/>
                <w:szCs w:val="24"/>
              </w:rPr>
              <w:t xml:space="preserve"> </w:t>
            </w:r>
            <w:r w:rsidRPr="00E40CBF">
              <w:rPr>
                <w:rFonts w:ascii="Arial" w:hAnsi="Arial" w:cs="Arial"/>
                <w:sz w:val="24"/>
                <w:szCs w:val="24"/>
              </w:rPr>
              <w:t>3–Year</w:t>
            </w:r>
            <w:r w:rsidR="00755893" w:rsidRPr="00E40CBF">
              <w:rPr>
                <w:rFonts w:ascii="Arial" w:hAnsi="Arial" w:cs="Arial"/>
                <w:sz w:val="24"/>
                <w:szCs w:val="24"/>
              </w:rPr>
              <w:t xml:space="preserve"> </w:t>
            </w:r>
            <w:r w:rsidRPr="00E40CBF">
              <w:rPr>
                <w:rFonts w:ascii="Arial" w:hAnsi="Arial" w:cs="Arial"/>
                <w:sz w:val="24"/>
                <w:szCs w:val="24"/>
              </w:rPr>
              <w:t>4</w:t>
            </w:r>
          </w:p>
        </w:tc>
        <w:tc>
          <w:tcPr>
            <w:tcW w:w="0" w:type="auto"/>
            <w:vAlign w:val="center"/>
            <w:hideMark/>
          </w:tcPr>
          <w:p w14:paraId="055E6E93" w14:textId="77777777" w:rsidR="00415E63" w:rsidRPr="00E40CBF" w:rsidRDefault="00415E63" w:rsidP="0075108E">
            <w:pPr>
              <w:tabs>
                <w:tab w:val="left" w:pos="5916"/>
              </w:tabs>
              <w:jc w:val="both"/>
              <w:rPr>
                <w:rFonts w:ascii="Arial" w:hAnsi="Arial" w:cs="Arial"/>
                <w:sz w:val="24"/>
                <w:szCs w:val="24"/>
              </w:rPr>
            </w:pPr>
            <w:r w:rsidRPr="00E40CBF">
              <w:rPr>
                <w:rFonts w:ascii="Arial" w:hAnsi="Arial" w:cs="Arial"/>
                <w:sz w:val="24"/>
                <w:szCs w:val="24"/>
              </w:rPr>
              <w:t>3.6</w:t>
            </w:r>
          </w:p>
        </w:tc>
      </w:tr>
    </w:tbl>
    <w:p w14:paraId="077C287E" w14:textId="77777777" w:rsidR="00DB1A17" w:rsidRPr="00E40CBF" w:rsidRDefault="00DB1A17" w:rsidP="0075108E">
      <w:pPr>
        <w:tabs>
          <w:tab w:val="left" w:pos="5916"/>
        </w:tabs>
        <w:jc w:val="both"/>
        <w:rPr>
          <w:rFonts w:ascii="Arial" w:hAnsi="Arial" w:cs="Arial"/>
          <w:sz w:val="24"/>
          <w:szCs w:val="24"/>
        </w:rPr>
      </w:pPr>
    </w:p>
    <w:p w14:paraId="720AD55B" w14:textId="5598C422" w:rsidR="00C630EE" w:rsidRPr="00E40CBF" w:rsidRDefault="0046368E" w:rsidP="0075108E">
      <w:pPr>
        <w:tabs>
          <w:tab w:val="left" w:pos="5916"/>
        </w:tabs>
        <w:jc w:val="both"/>
        <w:rPr>
          <w:rFonts w:ascii="Arial" w:hAnsi="Arial" w:cs="Arial"/>
          <w:sz w:val="24"/>
          <w:szCs w:val="24"/>
        </w:rPr>
      </w:pPr>
      <w:r w:rsidRPr="00E40CBF">
        <w:rPr>
          <w:rFonts w:ascii="Arial" w:hAnsi="Arial" w:cs="Arial"/>
          <w:sz w:val="24"/>
          <w:szCs w:val="24"/>
        </w:rPr>
        <w:t>Ranking</w:t>
      </w:r>
      <w:r w:rsidR="00C630EE" w:rsidRPr="00E40CBF">
        <w:rPr>
          <w:rFonts w:ascii="Arial" w:hAnsi="Arial" w:cs="Arial"/>
          <w:sz w:val="24"/>
          <w:szCs w:val="24"/>
        </w:rPr>
        <w:t xml:space="preserve">: A &lt; C &lt; B </w:t>
      </w:r>
    </w:p>
    <w:p w14:paraId="0B3DCE44" w14:textId="77777777" w:rsidR="00DB1A17" w:rsidRDefault="00DB1A17" w:rsidP="0075108E">
      <w:pPr>
        <w:tabs>
          <w:tab w:val="left" w:pos="5916"/>
        </w:tabs>
        <w:jc w:val="both"/>
        <w:rPr>
          <w:rFonts w:ascii="Arial" w:hAnsi="Arial" w:cs="Arial"/>
          <w:sz w:val="24"/>
          <w:szCs w:val="24"/>
        </w:rPr>
      </w:pPr>
    </w:p>
    <w:p w14:paraId="6C89C94F" w14:textId="77777777" w:rsidR="00E40CBF" w:rsidRDefault="00E40CBF" w:rsidP="0075108E">
      <w:pPr>
        <w:tabs>
          <w:tab w:val="left" w:pos="5916"/>
        </w:tabs>
        <w:jc w:val="both"/>
        <w:rPr>
          <w:rFonts w:ascii="Arial" w:hAnsi="Arial" w:cs="Arial"/>
          <w:sz w:val="24"/>
          <w:szCs w:val="24"/>
        </w:rPr>
      </w:pPr>
    </w:p>
    <w:p w14:paraId="069677D5" w14:textId="77777777" w:rsidR="00E40CBF" w:rsidRDefault="00E40CBF" w:rsidP="0075108E">
      <w:pPr>
        <w:tabs>
          <w:tab w:val="left" w:pos="5916"/>
        </w:tabs>
        <w:jc w:val="both"/>
        <w:rPr>
          <w:rFonts w:ascii="Arial" w:hAnsi="Arial" w:cs="Arial"/>
          <w:sz w:val="24"/>
          <w:szCs w:val="24"/>
        </w:rPr>
      </w:pPr>
    </w:p>
    <w:p w14:paraId="106F4400" w14:textId="12E8BF3C" w:rsidR="00742D90" w:rsidRDefault="00742D90" w:rsidP="0075108E">
      <w:pPr>
        <w:tabs>
          <w:tab w:val="left" w:pos="5916"/>
        </w:tabs>
        <w:jc w:val="both"/>
        <w:rPr>
          <w:rFonts w:ascii="Arial" w:hAnsi="Arial" w:cs="Arial"/>
          <w:sz w:val="24"/>
          <w:szCs w:val="24"/>
        </w:rPr>
      </w:pPr>
    </w:p>
    <w:p w14:paraId="5B97953A" w14:textId="77777777" w:rsidR="00742D90" w:rsidRPr="00E40CBF" w:rsidRDefault="00742D90" w:rsidP="0075108E">
      <w:pPr>
        <w:tabs>
          <w:tab w:val="left" w:pos="5916"/>
        </w:tabs>
        <w:jc w:val="both"/>
        <w:rPr>
          <w:rFonts w:ascii="Arial" w:hAnsi="Arial" w:cs="Arial"/>
          <w:sz w:val="24"/>
          <w:szCs w:val="24"/>
        </w:rPr>
      </w:pPr>
    </w:p>
    <w:p w14:paraId="7E6C0D4B" w14:textId="77777777" w:rsidR="00DB1A17" w:rsidRPr="00E40CBF" w:rsidRDefault="00DB1A17" w:rsidP="0075108E">
      <w:pPr>
        <w:tabs>
          <w:tab w:val="left" w:pos="5916"/>
        </w:tabs>
        <w:jc w:val="both"/>
        <w:rPr>
          <w:rFonts w:ascii="Arial" w:hAnsi="Arial" w:cs="Arial"/>
          <w:sz w:val="24"/>
          <w:szCs w:val="24"/>
        </w:rPr>
      </w:pPr>
    </w:p>
    <w:p w14:paraId="24A80A1B" w14:textId="36D4FDB2" w:rsidR="00C630EE" w:rsidRPr="00E40CBF" w:rsidRDefault="00513AD6" w:rsidP="00513AD6">
      <w:pPr>
        <w:pStyle w:val="Heading2"/>
        <w:rPr>
          <w:rFonts w:ascii="Arial" w:hAnsi="Arial" w:cs="Arial"/>
          <w:color w:val="auto"/>
        </w:rPr>
      </w:pPr>
      <w:bookmarkStart w:id="23" w:name="_Toc214799427"/>
      <w:r w:rsidRPr="00E40CBF">
        <w:rPr>
          <w:rFonts w:ascii="Arial" w:hAnsi="Arial" w:cs="Arial"/>
          <w:color w:val="auto"/>
        </w:rPr>
        <w:lastRenderedPageBreak/>
        <w:t>2</w:t>
      </w:r>
      <w:r w:rsidR="00C630EE" w:rsidRPr="00E40CBF">
        <w:rPr>
          <w:rFonts w:ascii="Arial" w:hAnsi="Arial" w:cs="Arial"/>
          <w:color w:val="auto"/>
        </w:rPr>
        <w:t>. Accounting Rate of Return (ARR)</w:t>
      </w:r>
      <w:bookmarkEnd w:id="23"/>
    </w:p>
    <w:p w14:paraId="53843EF9" w14:textId="77777777" w:rsidR="0046368E" w:rsidRPr="00E40CBF" w:rsidRDefault="0046368E" w:rsidP="0075108E">
      <w:pPr>
        <w:tabs>
          <w:tab w:val="left" w:pos="5916"/>
        </w:tabs>
        <w:jc w:val="both"/>
        <w:rPr>
          <w:rFonts w:ascii="Arial" w:hAnsi="Arial" w:cs="Arial"/>
          <w:sz w:val="24"/>
          <w:szCs w:val="24"/>
        </w:rPr>
      </w:pPr>
    </w:p>
    <w:p w14:paraId="34E9DA21" w14:textId="49EDACC3" w:rsidR="00DB1A17"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 xml:space="preserve">ARR = Average annual accounting profit ÷ Initial investment. </w:t>
      </w:r>
    </w:p>
    <w:p w14:paraId="6C05E32D" w14:textId="77777777" w:rsidR="00DB1A17"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 xml:space="preserve">Assume cash inflows ≈ accounting profit before depreciation. </w:t>
      </w:r>
    </w:p>
    <w:p w14:paraId="5D9885FF" w14:textId="0A61FBCF"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Depreciation = Initial ÷ 5.</w:t>
      </w:r>
    </w:p>
    <w:p w14:paraId="65145B6A" w14:textId="77777777" w:rsidR="00DB1A17" w:rsidRPr="00E40CBF" w:rsidRDefault="00DB1A17"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2344"/>
        <w:gridCol w:w="2521"/>
        <w:gridCol w:w="1640"/>
        <w:gridCol w:w="1009"/>
      </w:tblGrid>
      <w:tr w:rsidR="00E40CBF" w:rsidRPr="00E40CBF" w14:paraId="13E87E6E" w14:textId="77777777" w:rsidTr="0046368E">
        <w:trPr>
          <w:tblHeader/>
          <w:tblCellSpacing w:w="15" w:type="dxa"/>
        </w:trPr>
        <w:tc>
          <w:tcPr>
            <w:tcW w:w="0" w:type="auto"/>
            <w:vAlign w:val="center"/>
            <w:hideMark/>
          </w:tcPr>
          <w:p w14:paraId="75AC1A95"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6684B612"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Average Inflows (£m)</w:t>
            </w:r>
          </w:p>
        </w:tc>
        <w:tc>
          <w:tcPr>
            <w:tcW w:w="0" w:type="auto"/>
            <w:vAlign w:val="center"/>
            <w:hideMark/>
          </w:tcPr>
          <w:p w14:paraId="0C49B8C5"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Depreciation (£m/year)</w:t>
            </w:r>
          </w:p>
        </w:tc>
        <w:tc>
          <w:tcPr>
            <w:tcW w:w="0" w:type="auto"/>
            <w:vAlign w:val="center"/>
            <w:hideMark/>
          </w:tcPr>
          <w:p w14:paraId="03420415"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964" w:type="dxa"/>
            <w:vAlign w:val="center"/>
            <w:hideMark/>
          </w:tcPr>
          <w:p w14:paraId="16A35B0B"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ARR (%)</w:t>
            </w:r>
          </w:p>
        </w:tc>
      </w:tr>
      <w:tr w:rsidR="00E40CBF" w:rsidRPr="00E40CBF" w14:paraId="56A6B598" w14:textId="77777777" w:rsidTr="00DB1A17">
        <w:trPr>
          <w:tblCellSpacing w:w="15" w:type="dxa"/>
        </w:trPr>
        <w:tc>
          <w:tcPr>
            <w:tcW w:w="0" w:type="auto"/>
            <w:vAlign w:val="center"/>
            <w:hideMark/>
          </w:tcPr>
          <w:p w14:paraId="59470CBD"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15C09324"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10.8</w:t>
            </w:r>
          </w:p>
        </w:tc>
        <w:tc>
          <w:tcPr>
            <w:tcW w:w="0" w:type="auto"/>
            <w:vAlign w:val="center"/>
            <w:hideMark/>
          </w:tcPr>
          <w:p w14:paraId="17D995CF"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1154F5DA"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(10.8 – 8) ÷ 40</w:t>
            </w:r>
          </w:p>
        </w:tc>
        <w:tc>
          <w:tcPr>
            <w:tcW w:w="0" w:type="auto"/>
            <w:vAlign w:val="center"/>
            <w:hideMark/>
          </w:tcPr>
          <w:p w14:paraId="036862E6"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7%</w:t>
            </w:r>
          </w:p>
        </w:tc>
      </w:tr>
      <w:tr w:rsidR="00E40CBF" w:rsidRPr="00E40CBF" w14:paraId="54AB0614" w14:textId="77777777" w:rsidTr="00DB1A17">
        <w:trPr>
          <w:tblCellSpacing w:w="15" w:type="dxa"/>
        </w:trPr>
        <w:tc>
          <w:tcPr>
            <w:tcW w:w="0" w:type="auto"/>
            <w:vAlign w:val="center"/>
            <w:hideMark/>
          </w:tcPr>
          <w:p w14:paraId="54917038"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6A8AF2AD"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6F8CCAFC"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07541438"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(6 – 6) ÷ 30</w:t>
            </w:r>
          </w:p>
        </w:tc>
        <w:tc>
          <w:tcPr>
            <w:tcW w:w="0" w:type="auto"/>
            <w:vAlign w:val="center"/>
            <w:hideMark/>
          </w:tcPr>
          <w:p w14:paraId="3F9866C2"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0%</w:t>
            </w:r>
          </w:p>
        </w:tc>
      </w:tr>
      <w:tr w:rsidR="00DB1A17" w:rsidRPr="00E40CBF" w14:paraId="6FB62267" w14:textId="77777777" w:rsidTr="00DB1A17">
        <w:trPr>
          <w:tblCellSpacing w:w="15" w:type="dxa"/>
        </w:trPr>
        <w:tc>
          <w:tcPr>
            <w:tcW w:w="0" w:type="auto"/>
            <w:vAlign w:val="center"/>
            <w:hideMark/>
          </w:tcPr>
          <w:p w14:paraId="401512CB"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037ED44F"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33A39704"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25E556C3"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(15 – 10) ÷ 50</w:t>
            </w:r>
          </w:p>
        </w:tc>
        <w:tc>
          <w:tcPr>
            <w:tcW w:w="0" w:type="auto"/>
            <w:vAlign w:val="center"/>
            <w:hideMark/>
          </w:tcPr>
          <w:p w14:paraId="6A3E364D" w14:textId="77777777" w:rsidR="00DB1A17" w:rsidRPr="00E40CBF" w:rsidRDefault="00DB1A17" w:rsidP="0075108E">
            <w:pPr>
              <w:tabs>
                <w:tab w:val="left" w:pos="5916"/>
              </w:tabs>
              <w:jc w:val="both"/>
              <w:rPr>
                <w:rFonts w:ascii="Arial" w:hAnsi="Arial" w:cs="Arial"/>
                <w:sz w:val="24"/>
                <w:szCs w:val="24"/>
              </w:rPr>
            </w:pPr>
            <w:r w:rsidRPr="00E40CBF">
              <w:rPr>
                <w:rFonts w:ascii="Arial" w:hAnsi="Arial" w:cs="Arial"/>
                <w:sz w:val="24"/>
                <w:szCs w:val="24"/>
              </w:rPr>
              <w:t>10%</w:t>
            </w:r>
          </w:p>
        </w:tc>
      </w:tr>
    </w:tbl>
    <w:p w14:paraId="0D8A9007" w14:textId="77777777" w:rsidR="00DB1A17" w:rsidRPr="00E40CBF" w:rsidRDefault="00DB1A17" w:rsidP="0075108E">
      <w:pPr>
        <w:tabs>
          <w:tab w:val="left" w:pos="5916"/>
        </w:tabs>
        <w:jc w:val="both"/>
        <w:rPr>
          <w:rFonts w:ascii="Arial" w:hAnsi="Arial" w:cs="Arial"/>
          <w:sz w:val="24"/>
          <w:szCs w:val="24"/>
        </w:rPr>
      </w:pPr>
    </w:p>
    <w:p w14:paraId="2E5C551B" w14:textId="71E8DD9C"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 xml:space="preserve">Ranking: C &gt; A &gt; B </w:t>
      </w:r>
    </w:p>
    <w:p w14:paraId="495A7CB3" w14:textId="77777777" w:rsidR="00A9486B" w:rsidRPr="00E40CBF" w:rsidRDefault="00A9486B" w:rsidP="0075108E">
      <w:pPr>
        <w:tabs>
          <w:tab w:val="left" w:pos="5916"/>
        </w:tabs>
        <w:jc w:val="both"/>
        <w:rPr>
          <w:rFonts w:ascii="Arial" w:hAnsi="Arial" w:cs="Arial"/>
          <w:sz w:val="24"/>
          <w:szCs w:val="24"/>
        </w:rPr>
      </w:pPr>
    </w:p>
    <w:p w14:paraId="040469DB" w14:textId="1EED5C0F" w:rsidR="0046368E" w:rsidRPr="00E40CBF" w:rsidRDefault="00513AD6" w:rsidP="00513AD6">
      <w:pPr>
        <w:pStyle w:val="Heading2"/>
        <w:rPr>
          <w:rFonts w:ascii="Arial" w:hAnsi="Arial" w:cs="Arial"/>
          <w:color w:val="auto"/>
        </w:rPr>
      </w:pPr>
      <w:bookmarkStart w:id="24" w:name="_Toc214799428"/>
      <w:r w:rsidRPr="00E40CBF">
        <w:rPr>
          <w:rFonts w:ascii="Arial" w:hAnsi="Arial" w:cs="Arial"/>
          <w:color w:val="auto"/>
        </w:rPr>
        <w:t>3</w:t>
      </w:r>
      <w:r w:rsidR="0046368E" w:rsidRPr="00E40CBF">
        <w:rPr>
          <w:rFonts w:ascii="Arial" w:hAnsi="Arial" w:cs="Arial"/>
          <w:color w:val="auto"/>
        </w:rPr>
        <w:t>.</w:t>
      </w:r>
      <w:r w:rsidR="00C630EE" w:rsidRPr="00E40CBF">
        <w:rPr>
          <w:rFonts w:ascii="Arial" w:hAnsi="Arial" w:cs="Arial"/>
          <w:color w:val="auto"/>
        </w:rPr>
        <w:t>Net Present Value (NPV)</w:t>
      </w:r>
      <w:bookmarkEnd w:id="24"/>
    </w:p>
    <w:p w14:paraId="4141926A" w14:textId="77777777" w:rsidR="00755893" w:rsidRPr="00E40CBF" w:rsidRDefault="00755893" w:rsidP="0075108E">
      <w:pPr>
        <w:tabs>
          <w:tab w:val="left" w:pos="5916"/>
        </w:tabs>
        <w:jc w:val="both"/>
        <w:rPr>
          <w:rFonts w:ascii="Arial" w:hAnsi="Arial" w:cs="Arial"/>
          <w:sz w:val="24"/>
          <w:szCs w:val="24"/>
        </w:rPr>
      </w:pPr>
    </w:p>
    <w:p w14:paraId="405EF0B4" w14:textId="3650D3FC" w:rsidR="0046368E" w:rsidRPr="00E40CBF" w:rsidRDefault="0046368E" w:rsidP="0075108E">
      <w:pPr>
        <w:tabs>
          <w:tab w:val="left" w:pos="5916"/>
        </w:tabs>
        <w:jc w:val="both"/>
        <w:rPr>
          <w:rFonts w:ascii="Arial" w:hAnsi="Arial" w:cs="Arial"/>
          <w:sz w:val="24"/>
          <w:szCs w:val="24"/>
        </w:rPr>
      </w:pPr>
      <w:r w:rsidRPr="00E40CBF">
        <w:rPr>
          <w:rFonts w:ascii="Arial" w:hAnsi="Arial" w:cs="Arial"/>
          <w:sz w:val="24"/>
          <w:szCs w:val="24"/>
        </w:rPr>
        <w:t>Use 10% discount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258"/>
        <w:gridCol w:w="1588"/>
        <w:gridCol w:w="1614"/>
        <w:gridCol w:w="1642"/>
      </w:tblGrid>
      <w:tr w:rsidR="00E40CBF" w:rsidRPr="00E40CBF" w14:paraId="110E4D64" w14:textId="77777777" w:rsidTr="006A0A7E">
        <w:trPr>
          <w:tblHeader/>
          <w:tblCellSpacing w:w="15" w:type="dxa"/>
        </w:trPr>
        <w:tc>
          <w:tcPr>
            <w:tcW w:w="0" w:type="auto"/>
            <w:vAlign w:val="center"/>
            <w:hideMark/>
          </w:tcPr>
          <w:p w14:paraId="1EA6BB8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7D75B9E1"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DF @ 10%</w:t>
            </w:r>
          </w:p>
        </w:tc>
        <w:tc>
          <w:tcPr>
            <w:tcW w:w="0" w:type="auto"/>
            <w:vAlign w:val="center"/>
            <w:hideMark/>
          </w:tcPr>
          <w:p w14:paraId="2868ECA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A (£m)</w:t>
            </w:r>
          </w:p>
        </w:tc>
        <w:tc>
          <w:tcPr>
            <w:tcW w:w="0" w:type="auto"/>
            <w:vAlign w:val="center"/>
            <w:hideMark/>
          </w:tcPr>
          <w:p w14:paraId="5C4B2BD0"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B (£m)</w:t>
            </w:r>
          </w:p>
        </w:tc>
        <w:tc>
          <w:tcPr>
            <w:tcW w:w="0" w:type="auto"/>
            <w:vAlign w:val="center"/>
            <w:hideMark/>
          </w:tcPr>
          <w:p w14:paraId="4ADCBB67"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C (£m)</w:t>
            </w:r>
          </w:p>
        </w:tc>
      </w:tr>
      <w:tr w:rsidR="00E40CBF" w:rsidRPr="00E40CBF" w14:paraId="3CA48C7E" w14:textId="77777777" w:rsidTr="006A0A7E">
        <w:trPr>
          <w:tblCellSpacing w:w="15" w:type="dxa"/>
        </w:trPr>
        <w:tc>
          <w:tcPr>
            <w:tcW w:w="0" w:type="auto"/>
            <w:vAlign w:val="center"/>
            <w:hideMark/>
          </w:tcPr>
          <w:p w14:paraId="6CBBA92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765617D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1.000</w:t>
            </w:r>
          </w:p>
        </w:tc>
        <w:tc>
          <w:tcPr>
            <w:tcW w:w="0" w:type="auto"/>
            <w:vAlign w:val="center"/>
            <w:hideMark/>
          </w:tcPr>
          <w:p w14:paraId="5FDE3E2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(40.00)</w:t>
            </w:r>
          </w:p>
        </w:tc>
        <w:tc>
          <w:tcPr>
            <w:tcW w:w="0" w:type="auto"/>
            <w:vAlign w:val="center"/>
            <w:hideMark/>
          </w:tcPr>
          <w:p w14:paraId="6C02E89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(30.00)</w:t>
            </w:r>
          </w:p>
        </w:tc>
        <w:tc>
          <w:tcPr>
            <w:tcW w:w="0" w:type="auto"/>
            <w:vAlign w:val="center"/>
            <w:hideMark/>
          </w:tcPr>
          <w:p w14:paraId="46A17F7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(50.00)</w:t>
            </w:r>
          </w:p>
        </w:tc>
      </w:tr>
      <w:tr w:rsidR="00E40CBF" w:rsidRPr="00E40CBF" w14:paraId="5F86AC71" w14:textId="77777777" w:rsidTr="006A0A7E">
        <w:trPr>
          <w:tblCellSpacing w:w="15" w:type="dxa"/>
        </w:trPr>
        <w:tc>
          <w:tcPr>
            <w:tcW w:w="0" w:type="auto"/>
            <w:vAlign w:val="center"/>
            <w:hideMark/>
          </w:tcPr>
          <w:p w14:paraId="0FAE8C74"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364EE6F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0.909</w:t>
            </w:r>
          </w:p>
        </w:tc>
        <w:tc>
          <w:tcPr>
            <w:tcW w:w="0" w:type="auto"/>
            <w:vAlign w:val="center"/>
            <w:hideMark/>
          </w:tcPr>
          <w:p w14:paraId="0BFFDE70"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9.09</w:t>
            </w:r>
          </w:p>
        </w:tc>
        <w:tc>
          <w:tcPr>
            <w:tcW w:w="0" w:type="auto"/>
            <w:vAlign w:val="center"/>
            <w:hideMark/>
          </w:tcPr>
          <w:p w14:paraId="72052B74"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5.45</w:t>
            </w:r>
          </w:p>
        </w:tc>
        <w:tc>
          <w:tcPr>
            <w:tcW w:w="0" w:type="auto"/>
            <w:vAlign w:val="center"/>
            <w:hideMark/>
          </w:tcPr>
          <w:p w14:paraId="4B60E6E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4.55</w:t>
            </w:r>
          </w:p>
        </w:tc>
      </w:tr>
      <w:tr w:rsidR="00E40CBF" w:rsidRPr="00E40CBF" w14:paraId="31DB8014" w14:textId="77777777" w:rsidTr="006A0A7E">
        <w:trPr>
          <w:tblCellSpacing w:w="15" w:type="dxa"/>
        </w:trPr>
        <w:tc>
          <w:tcPr>
            <w:tcW w:w="0" w:type="auto"/>
            <w:vAlign w:val="center"/>
            <w:hideMark/>
          </w:tcPr>
          <w:p w14:paraId="4C924F4E"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23F93E87"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0.826</w:t>
            </w:r>
          </w:p>
        </w:tc>
        <w:tc>
          <w:tcPr>
            <w:tcW w:w="0" w:type="auto"/>
            <w:vAlign w:val="center"/>
            <w:hideMark/>
          </w:tcPr>
          <w:p w14:paraId="2BE076B1"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9.91</w:t>
            </w:r>
          </w:p>
        </w:tc>
        <w:tc>
          <w:tcPr>
            <w:tcW w:w="0" w:type="auto"/>
            <w:vAlign w:val="center"/>
            <w:hideMark/>
          </w:tcPr>
          <w:p w14:paraId="5D36403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4.96</w:t>
            </w:r>
          </w:p>
        </w:tc>
        <w:tc>
          <w:tcPr>
            <w:tcW w:w="0" w:type="auto"/>
            <w:vAlign w:val="center"/>
            <w:hideMark/>
          </w:tcPr>
          <w:p w14:paraId="054B3922"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8.26</w:t>
            </w:r>
          </w:p>
        </w:tc>
      </w:tr>
      <w:tr w:rsidR="00E40CBF" w:rsidRPr="00E40CBF" w14:paraId="4ED02F2F" w14:textId="77777777" w:rsidTr="006A0A7E">
        <w:trPr>
          <w:tblCellSpacing w:w="15" w:type="dxa"/>
        </w:trPr>
        <w:tc>
          <w:tcPr>
            <w:tcW w:w="0" w:type="auto"/>
            <w:vAlign w:val="center"/>
            <w:hideMark/>
          </w:tcPr>
          <w:p w14:paraId="4CCD57FB"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7CB5146B"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0.751</w:t>
            </w:r>
          </w:p>
        </w:tc>
        <w:tc>
          <w:tcPr>
            <w:tcW w:w="0" w:type="auto"/>
            <w:vAlign w:val="center"/>
            <w:hideMark/>
          </w:tcPr>
          <w:p w14:paraId="49DD3DB6"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10.51</w:t>
            </w:r>
          </w:p>
        </w:tc>
        <w:tc>
          <w:tcPr>
            <w:tcW w:w="0" w:type="auto"/>
            <w:vAlign w:val="center"/>
            <w:hideMark/>
          </w:tcPr>
          <w:p w14:paraId="47955E3C"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4.51</w:t>
            </w:r>
          </w:p>
        </w:tc>
        <w:tc>
          <w:tcPr>
            <w:tcW w:w="0" w:type="auto"/>
            <w:vAlign w:val="center"/>
            <w:hideMark/>
          </w:tcPr>
          <w:p w14:paraId="484D0BF2"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15.02</w:t>
            </w:r>
          </w:p>
        </w:tc>
      </w:tr>
      <w:tr w:rsidR="00E40CBF" w:rsidRPr="00E40CBF" w14:paraId="77B84D16" w14:textId="77777777" w:rsidTr="006A0A7E">
        <w:trPr>
          <w:tblCellSpacing w:w="15" w:type="dxa"/>
        </w:trPr>
        <w:tc>
          <w:tcPr>
            <w:tcW w:w="0" w:type="auto"/>
            <w:vAlign w:val="center"/>
            <w:hideMark/>
          </w:tcPr>
          <w:p w14:paraId="23AF09F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0D1E5E84"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0.683</w:t>
            </w:r>
          </w:p>
        </w:tc>
        <w:tc>
          <w:tcPr>
            <w:tcW w:w="0" w:type="auto"/>
            <w:vAlign w:val="center"/>
            <w:hideMark/>
          </w:tcPr>
          <w:p w14:paraId="611CA540"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6.83</w:t>
            </w:r>
          </w:p>
        </w:tc>
        <w:tc>
          <w:tcPr>
            <w:tcW w:w="0" w:type="auto"/>
            <w:vAlign w:val="center"/>
            <w:hideMark/>
          </w:tcPr>
          <w:p w14:paraId="22FC640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4.10</w:t>
            </w:r>
          </w:p>
        </w:tc>
        <w:tc>
          <w:tcPr>
            <w:tcW w:w="0" w:type="auto"/>
            <w:vAlign w:val="center"/>
            <w:hideMark/>
          </w:tcPr>
          <w:p w14:paraId="47969AA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17.08</w:t>
            </w:r>
          </w:p>
        </w:tc>
      </w:tr>
      <w:tr w:rsidR="006A0A7E" w:rsidRPr="00E40CBF" w14:paraId="4E89F250" w14:textId="77777777" w:rsidTr="006A0A7E">
        <w:trPr>
          <w:tblCellSpacing w:w="15" w:type="dxa"/>
        </w:trPr>
        <w:tc>
          <w:tcPr>
            <w:tcW w:w="0" w:type="auto"/>
            <w:vAlign w:val="center"/>
            <w:hideMark/>
          </w:tcPr>
          <w:p w14:paraId="74724352"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5E8D8438"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0.621</w:t>
            </w:r>
          </w:p>
        </w:tc>
        <w:tc>
          <w:tcPr>
            <w:tcW w:w="0" w:type="auto"/>
            <w:vAlign w:val="center"/>
            <w:hideMark/>
          </w:tcPr>
          <w:p w14:paraId="761633AE"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4.97</w:t>
            </w:r>
          </w:p>
        </w:tc>
        <w:tc>
          <w:tcPr>
            <w:tcW w:w="0" w:type="auto"/>
            <w:vAlign w:val="center"/>
            <w:hideMark/>
          </w:tcPr>
          <w:p w14:paraId="4CC9842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3.73</w:t>
            </w:r>
          </w:p>
        </w:tc>
        <w:tc>
          <w:tcPr>
            <w:tcW w:w="0" w:type="auto"/>
            <w:vAlign w:val="center"/>
            <w:hideMark/>
          </w:tcPr>
          <w:p w14:paraId="69DFECB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9.32</w:t>
            </w:r>
          </w:p>
        </w:tc>
      </w:tr>
    </w:tbl>
    <w:p w14:paraId="56BBDE2A" w14:textId="77777777" w:rsidR="006A0A7E" w:rsidRDefault="006A0A7E" w:rsidP="0075108E">
      <w:pPr>
        <w:tabs>
          <w:tab w:val="left" w:pos="5916"/>
        </w:tabs>
        <w:jc w:val="both"/>
        <w:rPr>
          <w:rFonts w:ascii="Arial" w:hAnsi="Arial" w:cs="Arial"/>
          <w:sz w:val="24"/>
          <w:szCs w:val="24"/>
        </w:rPr>
      </w:pPr>
    </w:p>
    <w:p w14:paraId="2CAD1043" w14:textId="77777777" w:rsidR="00BD0FAF" w:rsidRPr="00E40CBF" w:rsidRDefault="00BD0FAF" w:rsidP="0075108E">
      <w:pPr>
        <w:tabs>
          <w:tab w:val="left" w:pos="5916"/>
        </w:tabs>
        <w:jc w:val="both"/>
        <w:rPr>
          <w:rFonts w:ascii="Arial" w:hAnsi="Arial" w:cs="Arial"/>
          <w:sz w:val="24"/>
          <w:szCs w:val="24"/>
        </w:rPr>
      </w:pPr>
    </w:p>
    <w:p w14:paraId="1D21D73C" w14:textId="2A2E8BF4"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lastRenderedPageBreak/>
        <w:t>Totals &amp; NPVs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5"/>
        <w:gridCol w:w="1588"/>
        <w:gridCol w:w="1614"/>
        <w:gridCol w:w="1642"/>
      </w:tblGrid>
      <w:tr w:rsidR="00E40CBF" w:rsidRPr="00E40CBF" w14:paraId="2A56D0CC" w14:textId="77777777" w:rsidTr="006A0A7E">
        <w:trPr>
          <w:tblHeader/>
          <w:tblCellSpacing w:w="15" w:type="dxa"/>
        </w:trPr>
        <w:tc>
          <w:tcPr>
            <w:tcW w:w="0" w:type="auto"/>
            <w:vAlign w:val="center"/>
            <w:hideMark/>
          </w:tcPr>
          <w:p w14:paraId="364AC90D"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Metric</w:t>
            </w:r>
          </w:p>
        </w:tc>
        <w:tc>
          <w:tcPr>
            <w:tcW w:w="0" w:type="auto"/>
            <w:vAlign w:val="center"/>
            <w:hideMark/>
          </w:tcPr>
          <w:p w14:paraId="6E0FD0A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A (£m)</w:t>
            </w:r>
          </w:p>
        </w:tc>
        <w:tc>
          <w:tcPr>
            <w:tcW w:w="0" w:type="auto"/>
            <w:vAlign w:val="center"/>
            <w:hideMark/>
          </w:tcPr>
          <w:p w14:paraId="6FC4D489"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B (£m)</w:t>
            </w:r>
          </w:p>
        </w:tc>
        <w:tc>
          <w:tcPr>
            <w:tcW w:w="0" w:type="auto"/>
            <w:vAlign w:val="center"/>
            <w:hideMark/>
          </w:tcPr>
          <w:p w14:paraId="6D1A706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Project C (£m)</w:t>
            </w:r>
          </w:p>
        </w:tc>
      </w:tr>
      <w:tr w:rsidR="00E40CBF" w:rsidRPr="00E40CBF" w14:paraId="6AB7C4DE" w14:textId="77777777" w:rsidTr="006A0A7E">
        <w:trPr>
          <w:tblCellSpacing w:w="15" w:type="dxa"/>
        </w:trPr>
        <w:tc>
          <w:tcPr>
            <w:tcW w:w="0" w:type="auto"/>
            <w:vAlign w:val="center"/>
            <w:hideMark/>
          </w:tcPr>
          <w:p w14:paraId="5F94F08F"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Total PV Inflows</w:t>
            </w:r>
          </w:p>
        </w:tc>
        <w:tc>
          <w:tcPr>
            <w:tcW w:w="0" w:type="auto"/>
            <w:vAlign w:val="center"/>
            <w:hideMark/>
          </w:tcPr>
          <w:p w14:paraId="6FDD7E9B"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41.31</w:t>
            </w:r>
          </w:p>
        </w:tc>
        <w:tc>
          <w:tcPr>
            <w:tcW w:w="0" w:type="auto"/>
            <w:vAlign w:val="center"/>
            <w:hideMark/>
          </w:tcPr>
          <w:p w14:paraId="1F4EE64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22.75</w:t>
            </w:r>
          </w:p>
        </w:tc>
        <w:tc>
          <w:tcPr>
            <w:tcW w:w="0" w:type="auto"/>
            <w:vAlign w:val="center"/>
            <w:hideMark/>
          </w:tcPr>
          <w:p w14:paraId="30E5609A"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54.23</w:t>
            </w:r>
          </w:p>
        </w:tc>
      </w:tr>
      <w:tr w:rsidR="006A0A7E" w:rsidRPr="00E40CBF" w14:paraId="64B9FA38" w14:textId="77777777" w:rsidTr="006A0A7E">
        <w:trPr>
          <w:tblCellSpacing w:w="15" w:type="dxa"/>
        </w:trPr>
        <w:tc>
          <w:tcPr>
            <w:tcW w:w="0" w:type="auto"/>
            <w:vAlign w:val="center"/>
            <w:hideMark/>
          </w:tcPr>
          <w:p w14:paraId="2708591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Net Present Value</w:t>
            </w:r>
          </w:p>
        </w:tc>
        <w:tc>
          <w:tcPr>
            <w:tcW w:w="0" w:type="auto"/>
            <w:vAlign w:val="center"/>
            <w:hideMark/>
          </w:tcPr>
          <w:p w14:paraId="064E4BB5"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+1.31</w:t>
            </w:r>
          </w:p>
        </w:tc>
        <w:tc>
          <w:tcPr>
            <w:tcW w:w="0" w:type="auto"/>
            <w:vAlign w:val="center"/>
            <w:hideMark/>
          </w:tcPr>
          <w:p w14:paraId="04BB0067"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–7.25</w:t>
            </w:r>
          </w:p>
        </w:tc>
        <w:tc>
          <w:tcPr>
            <w:tcW w:w="0" w:type="auto"/>
            <w:vAlign w:val="center"/>
            <w:hideMark/>
          </w:tcPr>
          <w:p w14:paraId="150B11E3" w14:textId="77777777" w:rsidR="006A0A7E" w:rsidRPr="00E40CBF" w:rsidRDefault="006A0A7E" w:rsidP="0075108E">
            <w:pPr>
              <w:tabs>
                <w:tab w:val="left" w:pos="5916"/>
              </w:tabs>
              <w:jc w:val="both"/>
              <w:rPr>
                <w:rFonts w:ascii="Arial" w:hAnsi="Arial" w:cs="Arial"/>
                <w:sz w:val="24"/>
                <w:szCs w:val="24"/>
              </w:rPr>
            </w:pPr>
            <w:r w:rsidRPr="00E40CBF">
              <w:rPr>
                <w:rFonts w:ascii="Arial" w:hAnsi="Arial" w:cs="Arial"/>
                <w:sz w:val="24"/>
                <w:szCs w:val="24"/>
              </w:rPr>
              <w:t>+4.23</w:t>
            </w:r>
          </w:p>
        </w:tc>
      </w:tr>
    </w:tbl>
    <w:p w14:paraId="4AA4226B" w14:textId="77777777" w:rsidR="00755893" w:rsidRPr="00E40CBF" w:rsidRDefault="00755893" w:rsidP="0075108E">
      <w:pPr>
        <w:tabs>
          <w:tab w:val="left" w:pos="5916"/>
        </w:tabs>
        <w:jc w:val="both"/>
        <w:rPr>
          <w:rFonts w:ascii="Arial" w:hAnsi="Arial" w:cs="Arial"/>
          <w:sz w:val="24"/>
          <w:szCs w:val="24"/>
        </w:rPr>
      </w:pPr>
    </w:p>
    <w:p w14:paraId="0AF73ADF" w14:textId="0B9ABF28" w:rsidR="0046368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Ranking: C</w:t>
      </w:r>
      <w:r w:rsidR="0046368E" w:rsidRPr="00E40CBF">
        <w:rPr>
          <w:rFonts w:ascii="Arial" w:hAnsi="Arial" w:cs="Arial"/>
          <w:sz w:val="24"/>
          <w:szCs w:val="24"/>
        </w:rPr>
        <w:t xml:space="preserve"> </w:t>
      </w:r>
      <w:r w:rsidRPr="00E40CBF">
        <w:rPr>
          <w:rFonts w:ascii="Arial" w:hAnsi="Arial" w:cs="Arial"/>
          <w:sz w:val="24"/>
          <w:szCs w:val="24"/>
        </w:rPr>
        <w:t>&gt; A &gt; B.</w:t>
      </w:r>
    </w:p>
    <w:p w14:paraId="4193453F" w14:textId="77777777" w:rsidR="00480A30" w:rsidRPr="00E40CBF" w:rsidRDefault="00480A30" w:rsidP="0075108E">
      <w:pPr>
        <w:tabs>
          <w:tab w:val="left" w:pos="5916"/>
        </w:tabs>
        <w:spacing w:line="360" w:lineRule="auto"/>
        <w:jc w:val="both"/>
        <w:rPr>
          <w:rFonts w:ascii="Arial" w:hAnsi="Arial" w:cs="Arial"/>
          <w:sz w:val="24"/>
          <w:szCs w:val="24"/>
        </w:rPr>
      </w:pPr>
    </w:p>
    <w:p w14:paraId="428503D7" w14:textId="59F50B36" w:rsidR="0046368E" w:rsidRPr="00E40CBF" w:rsidRDefault="00755893" w:rsidP="005D38B0">
      <w:pPr>
        <w:tabs>
          <w:tab w:val="left" w:pos="5916"/>
        </w:tabs>
        <w:spacing w:line="360" w:lineRule="auto"/>
        <w:jc w:val="both"/>
        <w:rPr>
          <w:rFonts w:ascii="Arial" w:hAnsi="Arial" w:cs="Arial"/>
          <w:sz w:val="24"/>
          <w:szCs w:val="24"/>
        </w:rPr>
      </w:pPr>
      <w:r w:rsidRPr="00E40CBF">
        <w:rPr>
          <w:rFonts w:ascii="Arial" w:hAnsi="Arial" w:cs="Arial"/>
          <w:sz w:val="24"/>
          <w:szCs w:val="24"/>
        </w:rPr>
        <w:t>Project A has a modest net present value (NPV) of £1.31 million after generating total present value inflows of £41.31 million with an initial investment of £40 million. Project B, which requires £30 million up front, only generates discounted inflows of £22.75 million, resulting in a negative net present value (NPV) of –£7.25 million, indicating value destruction. With the biggest investment of £50 million, Project C generates total discounted inflows of £54.23 million, yielding a positive net present value of £4.23 million. These findings indicate that Project C is the most appealing choice,followed by Project A. Project B is the least appealing.</w:t>
      </w:r>
    </w:p>
    <w:p w14:paraId="4C88EFBC" w14:textId="77777777" w:rsidR="005D38B0" w:rsidRPr="00E40CBF" w:rsidRDefault="005D38B0" w:rsidP="005D38B0">
      <w:pPr>
        <w:tabs>
          <w:tab w:val="left" w:pos="5916"/>
        </w:tabs>
        <w:spacing w:line="360" w:lineRule="auto"/>
        <w:jc w:val="both"/>
        <w:rPr>
          <w:rFonts w:ascii="Arial" w:hAnsi="Arial" w:cs="Arial"/>
          <w:sz w:val="24"/>
          <w:szCs w:val="24"/>
        </w:rPr>
      </w:pPr>
    </w:p>
    <w:p w14:paraId="511783C5" w14:textId="5025FFEB" w:rsidR="00C630EE" w:rsidRPr="00E40CBF" w:rsidRDefault="00513AD6" w:rsidP="00513AD6">
      <w:pPr>
        <w:pStyle w:val="Heading2"/>
        <w:rPr>
          <w:rFonts w:ascii="Arial" w:hAnsi="Arial" w:cs="Arial"/>
          <w:color w:val="auto"/>
        </w:rPr>
      </w:pPr>
      <w:bookmarkStart w:id="25" w:name="_Toc214799429"/>
      <w:r w:rsidRPr="00E40CBF">
        <w:rPr>
          <w:rFonts w:ascii="Arial" w:hAnsi="Arial" w:cs="Arial"/>
          <w:color w:val="auto"/>
        </w:rPr>
        <w:t>4</w:t>
      </w:r>
      <w:r w:rsidR="00C630EE" w:rsidRPr="00E40CBF">
        <w:rPr>
          <w:rFonts w:ascii="Arial" w:hAnsi="Arial" w:cs="Arial"/>
          <w:color w:val="auto"/>
        </w:rPr>
        <w:t>. Profitability Index (PI)</w:t>
      </w:r>
      <w:bookmarkEnd w:id="25"/>
    </w:p>
    <w:p w14:paraId="0E26EC38"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PI = PV inflows ÷ Initial investment (Brealey et al., 2020).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2041"/>
        <w:gridCol w:w="2441"/>
        <w:gridCol w:w="2308"/>
      </w:tblGrid>
      <w:tr w:rsidR="00E40CBF" w:rsidRPr="00E40CBF" w14:paraId="17312CAE" w14:textId="77777777" w:rsidTr="008A54EA">
        <w:trPr>
          <w:tblHeader/>
          <w:tblCellSpacing w:w="15" w:type="dxa"/>
        </w:trPr>
        <w:tc>
          <w:tcPr>
            <w:tcW w:w="0" w:type="auto"/>
            <w:vAlign w:val="center"/>
            <w:hideMark/>
          </w:tcPr>
          <w:p w14:paraId="334F70A0"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09A07FF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PV of Inflows (£m)</w:t>
            </w:r>
          </w:p>
        </w:tc>
        <w:tc>
          <w:tcPr>
            <w:tcW w:w="0" w:type="auto"/>
            <w:vAlign w:val="center"/>
            <w:hideMark/>
          </w:tcPr>
          <w:p w14:paraId="6D5B1341"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Initial Investment (£m)</w:t>
            </w:r>
          </w:p>
        </w:tc>
        <w:tc>
          <w:tcPr>
            <w:tcW w:w="0" w:type="auto"/>
            <w:vAlign w:val="center"/>
            <w:hideMark/>
          </w:tcPr>
          <w:p w14:paraId="59FE989A"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PI (PV ÷ Investment)</w:t>
            </w:r>
          </w:p>
        </w:tc>
      </w:tr>
      <w:tr w:rsidR="00E40CBF" w:rsidRPr="00E40CBF" w14:paraId="29F9978E" w14:textId="77777777" w:rsidTr="008A54EA">
        <w:trPr>
          <w:tblCellSpacing w:w="15" w:type="dxa"/>
        </w:trPr>
        <w:tc>
          <w:tcPr>
            <w:tcW w:w="0" w:type="auto"/>
            <w:vAlign w:val="center"/>
            <w:hideMark/>
          </w:tcPr>
          <w:p w14:paraId="548BD5CB"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1395AAA2"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41.7</w:t>
            </w:r>
          </w:p>
        </w:tc>
        <w:tc>
          <w:tcPr>
            <w:tcW w:w="0" w:type="auto"/>
            <w:vAlign w:val="center"/>
            <w:hideMark/>
          </w:tcPr>
          <w:p w14:paraId="6FBFD32E"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2D156CB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1.04</w:t>
            </w:r>
          </w:p>
        </w:tc>
      </w:tr>
      <w:tr w:rsidR="00E40CBF" w:rsidRPr="00E40CBF" w14:paraId="03DBD4C1" w14:textId="77777777" w:rsidTr="008A54EA">
        <w:trPr>
          <w:tblCellSpacing w:w="15" w:type="dxa"/>
        </w:trPr>
        <w:tc>
          <w:tcPr>
            <w:tcW w:w="0" w:type="auto"/>
            <w:vAlign w:val="center"/>
            <w:hideMark/>
          </w:tcPr>
          <w:p w14:paraId="6737F6F4"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6909DCB5"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22.75</w:t>
            </w:r>
          </w:p>
        </w:tc>
        <w:tc>
          <w:tcPr>
            <w:tcW w:w="0" w:type="auto"/>
            <w:vAlign w:val="center"/>
            <w:hideMark/>
          </w:tcPr>
          <w:p w14:paraId="3A650570"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508E72E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0.76</w:t>
            </w:r>
          </w:p>
        </w:tc>
      </w:tr>
      <w:tr w:rsidR="008A54EA" w:rsidRPr="00E40CBF" w14:paraId="0816FF32" w14:textId="77777777" w:rsidTr="008A54EA">
        <w:trPr>
          <w:tblCellSpacing w:w="15" w:type="dxa"/>
        </w:trPr>
        <w:tc>
          <w:tcPr>
            <w:tcW w:w="0" w:type="auto"/>
            <w:vAlign w:val="center"/>
            <w:hideMark/>
          </w:tcPr>
          <w:p w14:paraId="237D9DB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2519739E"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54.23</w:t>
            </w:r>
          </w:p>
        </w:tc>
        <w:tc>
          <w:tcPr>
            <w:tcW w:w="0" w:type="auto"/>
            <w:vAlign w:val="center"/>
            <w:hideMark/>
          </w:tcPr>
          <w:p w14:paraId="5C7535F6"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17A3F5B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1.08</w:t>
            </w:r>
          </w:p>
        </w:tc>
      </w:tr>
    </w:tbl>
    <w:p w14:paraId="3DD3BCFD" w14:textId="77777777" w:rsidR="008A54EA" w:rsidRPr="00E40CBF" w:rsidRDefault="008A54EA" w:rsidP="0075108E">
      <w:pPr>
        <w:tabs>
          <w:tab w:val="left" w:pos="5916"/>
        </w:tabs>
        <w:jc w:val="both"/>
        <w:rPr>
          <w:rFonts w:ascii="Arial" w:hAnsi="Arial" w:cs="Arial"/>
          <w:sz w:val="24"/>
          <w:szCs w:val="24"/>
        </w:rPr>
      </w:pPr>
    </w:p>
    <w:p w14:paraId="16D4E76D" w14:textId="2D74E758"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Ranking: C &gt; A &gt; B.</w:t>
      </w:r>
    </w:p>
    <w:p w14:paraId="13CDAE35" w14:textId="1C24763E" w:rsidR="008A54EA" w:rsidRPr="00E40CBF" w:rsidRDefault="00755893" w:rsidP="0075108E">
      <w:pPr>
        <w:tabs>
          <w:tab w:val="left" w:pos="5916"/>
        </w:tabs>
        <w:jc w:val="both"/>
        <w:rPr>
          <w:rFonts w:ascii="Arial" w:hAnsi="Arial" w:cs="Arial"/>
          <w:sz w:val="24"/>
          <w:szCs w:val="24"/>
        </w:rPr>
      </w:pPr>
      <w:r w:rsidRPr="00E40CBF">
        <w:rPr>
          <w:rFonts w:ascii="Arial" w:hAnsi="Arial" w:cs="Arial"/>
          <w:sz w:val="24"/>
          <w:szCs w:val="24"/>
        </w:rPr>
        <w:t xml:space="preserve">The profitability index (PI) illustrates how effectively each project creates value by comparing the present value of inflows to the initial investment. Project A achieves a PI of 1.04, indicating a modest return above cost, with inflows of £41.7 million compared to </w:t>
      </w:r>
      <w:r w:rsidRPr="00E40CBF">
        <w:rPr>
          <w:rFonts w:ascii="Arial" w:hAnsi="Arial" w:cs="Arial"/>
          <w:sz w:val="24"/>
          <w:szCs w:val="24"/>
        </w:rPr>
        <w:lastRenderedPageBreak/>
        <w:t>an investment of £40 million. With a PI of 0.76, which is less than 1 and indicates value destruction, Project B, on the other hand, generates inflows of just £22.75 million from a £30 million investment. With inflows of £54.23 million from a £50 million investment and a PI of 1.08, Project C performs the best. According to these findings, Project B is the least appealing choice, while Project C is ranked highest, followed by Project A.</w:t>
      </w:r>
    </w:p>
    <w:p w14:paraId="0C6CF650" w14:textId="77777777" w:rsidR="005D38B0" w:rsidRDefault="005D38B0" w:rsidP="0075108E">
      <w:pPr>
        <w:tabs>
          <w:tab w:val="left" w:pos="5916"/>
        </w:tabs>
        <w:jc w:val="both"/>
        <w:rPr>
          <w:rFonts w:ascii="Arial" w:hAnsi="Arial" w:cs="Arial"/>
          <w:sz w:val="24"/>
          <w:szCs w:val="24"/>
        </w:rPr>
      </w:pPr>
    </w:p>
    <w:p w14:paraId="06743D60" w14:textId="77777777" w:rsidR="00E40CBF" w:rsidRPr="00E40CBF" w:rsidRDefault="00E40CBF" w:rsidP="0075108E">
      <w:pPr>
        <w:tabs>
          <w:tab w:val="left" w:pos="5916"/>
        </w:tabs>
        <w:jc w:val="both"/>
        <w:rPr>
          <w:rFonts w:ascii="Arial" w:hAnsi="Arial" w:cs="Arial"/>
          <w:sz w:val="24"/>
          <w:szCs w:val="24"/>
        </w:rPr>
      </w:pPr>
    </w:p>
    <w:p w14:paraId="00BEF37A" w14:textId="6F8C2499" w:rsidR="00C630EE" w:rsidRPr="00E40CBF" w:rsidRDefault="00E1279F" w:rsidP="00E1279F">
      <w:pPr>
        <w:pStyle w:val="Heading2"/>
        <w:rPr>
          <w:rFonts w:ascii="Arial" w:hAnsi="Arial" w:cs="Arial"/>
          <w:color w:val="auto"/>
        </w:rPr>
      </w:pPr>
      <w:bookmarkStart w:id="26" w:name="_Toc214799430"/>
      <w:r w:rsidRPr="00E40CBF">
        <w:rPr>
          <w:rFonts w:ascii="Arial" w:hAnsi="Arial" w:cs="Arial"/>
          <w:color w:val="auto"/>
        </w:rPr>
        <w:t>5</w:t>
      </w:r>
      <w:r w:rsidR="00C630EE" w:rsidRPr="00E40CBF">
        <w:rPr>
          <w:rFonts w:ascii="Arial" w:hAnsi="Arial" w:cs="Arial"/>
          <w:color w:val="auto"/>
        </w:rPr>
        <w:t>. Internal Rate of Return (IRR)</w:t>
      </w:r>
      <w:bookmarkEnd w:id="26"/>
    </w:p>
    <w:p w14:paraId="388F4F9C" w14:textId="75737A43"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IRR = discount rate where NPV = 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42"/>
        <w:gridCol w:w="934"/>
        <w:gridCol w:w="3777"/>
      </w:tblGrid>
      <w:tr w:rsidR="00E40CBF" w:rsidRPr="00E40CBF" w14:paraId="1E694D52" w14:textId="77777777" w:rsidTr="008A54EA">
        <w:trPr>
          <w:tblHeader/>
          <w:tblCellSpacing w:w="15" w:type="dxa"/>
        </w:trPr>
        <w:tc>
          <w:tcPr>
            <w:tcW w:w="0" w:type="auto"/>
            <w:vAlign w:val="center"/>
            <w:hideMark/>
          </w:tcPr>
          <w:p w14:paraId="10384E5C"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0" w:type="auto"/>
            <w:vAlign w:val="center"/>
            <w:hideMark/>
          </w:tcPr>
          <w:p w14:paraId="5B22CE2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IRR (%)</w:t>
            </w:r>
          </w:p>
        </w:tc>
        <w:tc>
          <w:tcPr>
            <w:tcW w:w="0" w:type="auto"/>
            <w:vAlign w:val="center"/>
            <w:hideMark/>
          </w:tcPr>
          <w:p w14:paraId="614C7B5F"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Comparison to 10% Discount Rate</w:t>
            </w:r>
          </w:p>
        </w:tc>
      </w:tr>
      <w:tr w:rsidR="00E40CBF" w:rsidRPr="00E40CBF" w14:paraId="4DFCE9E2" w14:textId="77777777" w:rsidTr="008A54EA">
        <w:trPr>
          <w:tblCellSpacing w:w="15" w:type="dxa"/>
        </w:trPr>
        <w:tc>
          <w:tcPr>
            <w:tcW w:w="0" w:type="auto"/>
            <w:vAlign w:val="center"/>
            <w:hideMark/>
          </w:tcPr>
          <w:p w14:paraId="48C80639"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A</w:t>
            </w:r>
          </w:p>
        </w:tc>
        <w:tc>
          <w:tcPr>
            <w:tcW w:w="0" w:type="auto"/>
            <w:vAlign w:val="center"/>
            <w:hideMark/>
          </w:tcPr>
          <w:p w14:paraId="3CA3A4D4"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 11%</w:t>
            </w:r>
          </w:p>
        </w:tc>
        <w:tc>
          <w:tcPr>
            <w:tcW w:w="0" w:type="auto"/>
            <w:vAlign w:val="center"/>
            <w:hideMark/>
          </w:tcPr>
          <w:p w14:paraId="6CF736F9"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Slightly above 10%</w:t>
            </w:r>
          </w:p>
        </w:tc>
      </w:tr>
      <w:tr w:rsidR="00E40CBF" w:rsidRPr="00E40CBF" w14:paraId="6A73C1F0" w14:textId="77777777" w:rsidTr="008A54EA">
        <w:trPr>
          <w:tblCellSpacing w:w="15" w:type="dxa"/>
        </w:trPr>
        <w:tc>
          <w:tcPr>
            <w:tcW w:w="0" w:type="auto"/>
            <w:vAlign w:val="center"/>
            <w:hideMark/>
          </w:tcPr>
          <w:p w14:paraId="7AA56CE6"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B</w:t>
            </w:r>
          </w:p>
        </w:tc>
        <w:tc>
          <w:tcPr>
            <w:tcW w:w="0" w:type="auto"/>
            <w:vAlign w:val="center"/>
            <w:hideMark/>
          </w:tcPr>
          <w:p w14:paraId="374F9FA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 3%</w:t>
            </w:r>
          </w:p>
        </w:tc>
        <w:tc>
          <w:tcPr>
            <w:tcW w:w="0" w:type="auto"/>
            <w:vAlign w:val="center"/>
            <w:hideMark/>
          </w:tcPr>
          <w:p w14:paraId="04AD8DE3"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Below 10%</w:t>
            </w:r>
          </w:p>
        </w:tc>
      </w:tr>
      <w:tr w:rsidR="008A54EA" w:rsidRPr="00E40CBF" w14:paraId="2B5E066E" w14:textId="77777777" w:rsidTr="008A54EA">
        <w:trPr>
          <w:tblCellSpacing w:w="15" w:type="dxa"/>
        </w:trPr>
        <w:tc>
          <w:tcPr>
            <w:tcW w:w="0" w:type="auto"/>
            <w:vAlign w:val="center"/>
            <w:hideMark/>
          </w:tcPr>
          <w:p w14:paraId="75E3F764"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C</w:t>
            </w:r>
          </w:p>
        </w:tc>
        <w:tc>
          <w:tcPr>
            <w:tcW w:w="0" w:type="auto"/>
            <w:vAlign w:val="center"/>
            <w:hideMark/>
          </w:tcPr>
          <w:p w14:paraId="4596A40D"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 13%</w:t>
            </w:r>
          </w:p>
        </w:tc>
        <w:tc>
          <w:tcPr>
            <w:tcW w:w="0" w:type="auto"/>
            <w:vAlign w:val="center"/>
            <w:hideMark/>
          </w:tcPr>
          <w:p w14:paraId="3F204FC7" w14:textId="77777777" w:rsidR="008A54EA" w:rsidRPr="00E40CBF" w:rsidRDefault="008A54EA" w:rsidP="0075108E">
            <w:pPr>
              <w:tabs>
                <w:tab w:val="left" w:pos="5916"/>
              </w:tabs>
              <w:jc w:val="both"/>
              <w:rPr>
                <w:rFonts w:ascii="Arial" w:hAnsi="Arial" w:cs="Arial"/>
                <w:sz w:val="24"/>
                <w:szCs w:val="24"/>
              </w:rPr>
            </w:pPr>
            <w:r w:rsidRPr="00E40CBF">
              <w:rPr>
                <w:rFonts w:ascii="Arial" w:hAnsi="Arial" w:cs="Arial"/>
                <w:sz w:val="24"/>
                <w:szCs w:val="24"/>
              </w:rPr>
              <w:t>Well above 10%</w:t>
            </w:r>
          </w:p>
        </w:tc>
      </w:tr>
    </w:tbl>
    <w:p w14:paraId="25F2E169" w14:textId="77777777" w:rsidR="00480A30" w:rsidRPr="00E40CBF" w:rsidRDefault="00480A30" w:rsidP="0075108E">
      <w:pPr>
        <w:tabs>
          <w:tab w:val="left" w:pos="5916"/>
        </w:tabs>
        <w:jc w:val="both"/>
        <w:rPr>
          <w:rFonts w:ascii="Arial" w:hAnsi="Arial" w:cs="Arial"/>
          <w:sz w:val="24"/>
          <w:szCs w:val="24"/>
        </w:rPr>
      </w:pPr>
    </w:p>
    <w:p w14:paraId="2631F090" w14:textId="78DBDE7A"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Ranking: C &gt; A &gt; B</w:t>
      </w:r>
      <w:r w:rsidR="008A54EA" w:rsidRPr="00E40CBF">
        <w:rPr>
          <w:rFonts w:ascii="Arial" w:hAnsi="Arial" w:cs="Arial"/>
          <w:sz w:val="24"/>
          <w:szCs w:val="24"/>
        </w:rPr>
        <w:t>.</w:t>
      </w:r>
    </w:p>
    <w:p w14:paraId="2D825F38" w14:textId="77777777" w:rsidR="00480A30" w:rsidRPr="00E40CBF" w:rsidRDefault="00480A30" w:rsidP="0075108E">
      <w:pPr>
        <w:tabs>
          <w:tab w:val="left" w:pos="5916"/>
        </w:tabs>
        <w:jc w:val="both"/>
        <w:rPr>
          <w:rFonts w:ascii="Arial" w:hAnsi="Arial" w:cs="Arial"/>
          <w:sz w:val="24"/>
          <w:szCs w:val="24"/>
        </w:rPr>
      </w:pPr>
    </w:p>
    <w:p w14:paraId="64E685A6" w14:textId="18CADF8A" w:rsidR="00C630EE" w:rsidRPr="00E40CBF" w:rsidRDefault="00E72C31" w:rsidP="00E72C31">
      <w:pPr>
        <w:pStyle w:val="Heading2"/>
        <w:rPr>
          <w:rFonts w:ascii="Arial" w:hAnsi="Arial" w:cs="Arial"/>
          <w:color w:val="auto"/>
        </w:rPr>
      </w:pPr>
      <w:bookmarkStart w:id="27" w:name="_Toc214799431"/>
      <w:r w:rsidRPr="00E40CBF">
        <w:rPr>
          <w:rFonts w:ascii="Arial" w:hAnsi="Arial" w:cs="Arial"/>
          <w:color w:val="auto"/>
        </w:rPr>
        <w:t>6</w:t>
      </w:r>
      <w:r w:rsidR="00C630EE" w:rsidRPr="00E40CBF">
        <w:rPr>
          <w:rFonts w:ascii="Arial" w:hAnsi="Arial" w:cs="Arial"/>
          <w:color w:val="auto"/>
        </w:rPr>
        <w:t>. Capital Rationing Decision</w:t>
      </w:r>
      <w:bookmarkEnd w:id="27"/>
    </w:p>
    <w:p w14:paraId="7AA21A20"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Budget = £60m.</w:t>
      </w:r>
    </w:p>
    <w:p w14:paraId="37D14240"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Project A (£40m) and Project C (£50m) cannot both be funded (total £90m).</w:t>
      </w:r>
    </w:p>
    <w:p w14:paraId="71E75834"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Project B (£30m) is unattractive (negative NPV, low IRR).</w:t>
      </w:r>
    </w:p>
    <w:p w14:paraId="532FC39E"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Best combination: Projects A (£40m) + B (£30m) exceeds budget (£70m).</w:t>
      </w:r>
    </w:p>
    <w:p w14:paraId="6A7060A2"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Therefore, the optimal choice is Project C (£50m) alone.</w:t>
      </w:r>
    </w:p>
    <w:p w14:paraId="743817B1" w14:textId="77777777" w:rsidR="00C630EE" w:rsidRPr="00E40CBF" w:rsidRDefault="00C630EE" w:rsidP="0075108E">
      <w:pPr>
        <w:numPr>
          <w:ilvl w:val="0"/>
          <w:numId w:val="32"/>
        </w:numPr>
        <w:tabs>
          <w:tab w:val="num" w:pos="720"/>
          <w:tab w:val="left" w:pos="5916"/>
        </w:tabs>
        <w:jc w:val="both"/>
        <w:rPr>
          <w:rFonts w:ascii="Arial" w:hAnsi="Arial" w:cs="Arial"/>
          <w:sz w:val="24"/>
          <w:szCs w:val="24"/>
        </w:rPr>
      </w:pPr>
      <w:r w:rsidRPr="00E40CBF">
        <w:rPr>
          <w:rFonts w:ascii="Arial" w:hAnsi="Arial" w:cs="Arial"/>
          <w:sz w:val="24"/>
          <w:szCs w:val="24"/>
        </w:rPr>
        <w:t>Alternatively, Project A (£40m) leaves £20m unused but yields lower NPV.</w:t>
      </w:r>
    </w:p>
    <w:p w14:paraId="26F1D045" w14:textId="26E1F161"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Recommendation:Project C.</w:t>
      </w:r>
    </w:p>
    <w:p w14:paraId="76DCEADF" w14:textId="77777777" w:rsidR="00480A30" w:rsidRPr="00E40CBF" w:rsidRDefault="00480A30" w:rsidP="0075108E">
      <w:pPr>
        <w:tabs>
          <w:tab w:val="left" w:pos="5916"/>
        </w:tabs>
        <w:jc w:val="both"/>
        <w:rPr>
          <w:rFonts w:ascii="Arial" w:hAnsi="Arial" w:cs="Arial"/>
          <w:sz w:val="24"/>
          <w:szCs w:val="24"/>
        </w:rPr>
      </w:pPr>
    </w:p>
    <w:p w14:paraId="02E3DB9A" w14:textId="77777777" w:rsidR="00326AF5" w:rsidRPr="00E40CBF" w:rsidRDefault="00326AF5" w:rsidP="0075108E">
      <w:pPr>
        <w:tabs>
          <w:tab w:val="left" w:pos="5916"/>
        </w:tabs>
        <w:jc w:val="both"/>
        <w:rPr>
          <w:rFonts w:ascii="Arial" w:hAnsi="Arial" w:cs="Arial"/>
          <w:sz w:val="24"/>
          <w:szCs w:val="24"/>
        </w:rPr>
      </w:pPr>
    </w:p>
    <w:p w14:paraId="27A13167" w14:textId="77777777" w:rsidR="00326AF5" w:rsidRPr="00E40CBF" w:rsidRDefault="00326AF5" w:rsidP="0075108E">
      <w:pPr>
        <w:tabs>
          <w:tab w:val="left" w:pos="5916"/>
        </w:tabs>
        <w:jc w:val="both"/>
        <w:rPr>
          <w:rFonts w:ascii="Arial" w:hAnsi="Arial" w:cs="Arial"/>
          <w:sz w:val="24"/>
          <w:szCs w:val="24"/>
        </w:rPr>
      </w:pPr>
    </w:p>
    <w:p w14:paraId="54A4F703" w14:textId="77777777" w:rsidR="00326AF5" w:rsidRPr="00E40CBF" w:rsidRDefault="00326AF5" w:rsidP="0075108E">
      <w:pPr>
        <w:tabs>
          <w:tab w:val="left" w:pos="5916"/>
        </w:tabs>
        <w:jc w:val="both"/>
        <w:rPr>
          <w:rFonts w:ascii="Arial" w:hAnsi="Arial" w:cs="Arial"/>
          <w:sz w:val="28"/>
          <w:szCs w:val="28"/>
        </w:rPr>
      </w:pPr>
    </w:p>
    <w:p w14:paraId="25CFC15B" w14:textId="4FC19C03" w:rsidR="00C630EE" w:rsidRPr="00E40CBF" w:rsidRDefault="006E7C67" w:rsidP="006E7C67">
      <w:pPr>
        <w:pStyle w:val="Heading2"/>
        <w:rPr>
          <w:rFonts w:ascii="Arial" w:hAnsi="Arial" w:cs="Arial"/>
          <w:color w:val="auto"/>
          <w:sz w:val="28"/>
          <w:szCs w:val="28"/>
        </w:rPr>
      </w:pPr>
      <w:bookmarkStart w:id="28" w:name="_Toc214799432"/>
      <w:r w:rsidRPr="00E40CBF">
        <w:rPr>
          <w:rFonts w:ascii="Arial" w:hAnsi="Arial" w:cs="Arial"/>
          <w:color w:val="auto"/>
          <w:sz w:val="28"/>
          <w:szCs w:val="28"/>
        </w:rPr>
        <w:lastRenderedPageBreak/>
        <w:t>7</w:t>
      </w:r>
      <w:r w:rsidR="00C630EE" w:rsidRPr="00E40CBF">
        <w:rPr>
          <w:rFonts w:ascii="Arial" w:hAnsi="Arial" w:cs="Arial"/>
          <w:color w:val="auto"/>
          <w:sz w:val="28"/>
          <w:szCs w:val="28"/>
        </w:rPr>
        <w:t>. Justification</w:t>
      </w:r>
      <w:r w:rsidR="00A34F7B" w:rsidRPr="00E40CBF">
        <w:rPr>
          <w:rFonts w:ascii="Arial" w:hAnsi="Arial" w:cs="Arial"/>
          <w:color w:val="auto"/>
          <w:sz w:val="28"/>
          <w:szCs w:val="28"/>
        </w:rPr>
        <w:t xml:space="preserve"> of </w:t>
      </w:r>
      <w:r w:rsidRPr="00E40CBF">
        <w:rPr>
          <w:rFonts w:ascii="Arial" w:hAnsi="Arial" w:cs="Arial"/>
          <w:color w:val="auto"/>
          <w:sz w:val="28"/>
          <w:szCs w:val="28"/>
        </w:rPr>
        <w:t>company’s financial performance</w:t>
      </w:r>
      <w:bookmarkEnd w:id="28"/>
    </w:p>
    <w:p w14:paraId="609F4D96" w14:textId="77777777" w:rsidR="00480A30" w:rsidRPr="00E40CBF" w:rsidRDefault="00480A30" w:rsidP="0075108E">
      <w:pPr>
        <w:tabs>
          <w:tab w:val="left" w:pos="5916"/>
        </w:tabs>
        <w:jc w:val="both"/>
        <w:rPr>
          <w:rFonts w:ascii="Arial" w:hAnsi="Arial" w:cs="Arial"/>
          <w:sz w:val="24"/>
          <w:szCs w:val="24"/>
        </w:rPr>
      </w:pPr>
    </w:p>
    <w:p w14:paraId="2E39952E"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9.1 Financial Performance Context</w:t>
      </w:r>
    </w:p>
    <w:p w14:paraId="721CC65F"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The company’s recent financials show declining profitability and liquidity (net losses in 2023–24, shrinking cash reserves). Projects must deliver strong NPV and IRR to restore shareholder value. Project C offers the highest NPV (£4.23m) and IRR (13%), aligning with recovery needs.</w:t>
      </w:r>
    </w:p>
    <w:p w14:paraId="54F3215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9.2 Liquidity Considerations</w:t>
      </w:r>
    </w:p>
    <w:p w14:paraId="0E533079"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Project C requires £50m, leaving £10m buffer under rationing. Its cash inflows accelerate from Year 3 onwards (£20m, £25m), supporting medium-term liquidity. Project A’s inflows are steadier but smaller, less suited to turnaround needs.</w:t>
      </w:r>
    </w:p>
    <w:p w14:paraId="28773CF8"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9.3 Risk Characteristics</w:t>
      </w:r>
    </w:p>
    <w:p w14:paraId="016AB39D" w14:textId="77777777" w:rsidR="00C630EE" w:rsidRPr="00E40CBF" w:rsidRDefault="00C630EE" w:rsidP="0075108E">
      <w:pPr>
        <w:numPr>
          <w:ilvl w:val="0"/>
          <w:numId w:val="33"/>
        </w:numPr>
        <w:tabs>
          <w:tab w:val="left" w:pos="5916"/>
        </w:tabs>
        <w:jc w:val="both"/>
        <w:rPr>
          <w:rFonts w:ascii="Arial" w:hAnsi="Arial" w:cs="Arial"/>
          <w:sz w:val="24"/>
          <w:szCs w:val="24"/>
        </w:rPr>
      </w:pPr>
      <w:r w:rsidRPr="00E40CBF">
        <w:rPr>
          <w:rFonts w:ascii="Arial" w:hAnsi="Arial" w:cs="Arial"/>
          <w:sz w:val="24"/>
          <w:szCs w:val="24"/>
        </w:rPr>
        <w:t>Project A: Moderate risk, stable inflows, but limited upside.</w:t>
      </w:r>
    </w:p>
    <w:p w14:paraId="75794661" w14:textId="77777777" w:rsidR="00C630EE" w:rsidRPr="00E40CBF" w:rsidRDefault="00C630EE" w:rsidP="0075108E">
      <w:pPr>
        <w:numPr>
          <w:ilvl w:val="0"/>
          <w:numId w:val="33"/>
        </w:numPr>
        <w:tabs>
          <w:tab w:val="left" w:pos="5916"/>
        </w:tabs>
        <w:jc w:val="both"/>
        <w:rPr>
          <w:rFonts w:ascii="Arial" w:hAnsi="Arial" w:cs="Arial"/>
          <w:sz w:val="24"/>
          <w:szCs w:val="24"/>
        </w:rPr>
      </w:pPr>
      <w:r w:rsidRPr="00E40CBF">
        <w:rPr>
          <w:rFonts w:ascii="Arial" w:hAnsi="Arial" w:cs="Arial"/>
          <w:sz w:val="24"/>
          <w:szCs w:val="24"/>
        </w:rPr>
        <w:t>Project B: Very low risk, but financially unattractive (negative NPV).</w:t>
      </w:r>
    </w:p>
    <w:p w14:paraId="488DE7DB" w14:textId="77777777" w:rsidR="00C630EE" w:rsidRPr="00E40CBF" w:rsidRDefault="00C630EE" w:rsidP="0075108E">
      <w:pPr>
        <w:numPr>
          <w:ilvl w:val="0"/>
          <w:numId w:val="33"/>
        </w:numPr>
        <w:tabs>
          <w:tab w:val="left" w:pos="5916"/>
        </w:tabs>
        <w:jc w:val="both"/>
        <w:rPr>
          <w:rFonts w:ascii="Arial" w:hAnsi="Arial" w:cs="Arial"/>
          <w:sz w:val="24"/>
          <w:szCs w:val="24"/>
        </w:rPr>
      </w:pPr>
      <w:r w:rsidRPr="00E40CBF">
        <w:rPr>
          <w:rFonts w:ascii="Arial" w:hAnsi="Arial" w:cs="Arial"/>
          <w:sz w:val="24"/>
          <w:szCs w:val="24"/>
        </w:rPr>
        <w:t>Project C: Higher volatility (low inflows in Years 1–2, surge in Years 3–4), but superior returns. Given the firm’s need for growth, risk is acceptable.</w:t>
      </w:r>
    </w:p>
    <w:p w14:paraId="0704A23D"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9.4 Strategic Fit</w:t>
      </w:r>
    </w:p>
    <w:p w14:paraId="57D0C44B"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Project C’s strong profitability aligns with shareholder expectations and capital efficiency. Its higher ARR and PI indicate better utilisation of scarce capital.</w:t>
      </w:r>
    </w:p>
    <w:p w14:paraId="7F074BAE"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10. Conclusion</w:t>
      </w:r>
    </w:p>
    <w:p w14:paraId="55EF5BA1" w14:textId="77777777" w:rsidR="00C630EE" w:rsidRPr="00E40CBF" w:rsidRDefault="00C630EE" w:rsidP="0075108E">
      <w:pPr>
        <w:tabs>
          <w:tab w:val="left" w:pos="5916"/>
        </w:tabs>
        <w:jc w:val="both"/>
        <w:rPr>
          <w:rFonts w:ascii="Arial" w:hAnsi="Arial" w:cs="Arial"/>
          <w:sz w:val="24"/>
          <w:szCs w:val="24"/>
        </w:rPr>
      </w:pPr>
      <w:r w:rsidRPr="00E40CBF">
        <w:rPr>
          <w:rFonts w:ascii="Arial" w:hAnsi="Arial" w:cs="Arial"/>
          <w:sz w:val="24"/>
          <w:szCs w:val="24"/>
        </w:rPr>
        <w:t>Using PBP, ARR, NPV, PI, and IRR, Project C emerges as the optimal investment under capital rationing. Despite cash flow volatility, its superior NPV (£4.23m), IRR (13%), and ARR (10%) outweigh Project A’s modest returns and Project B’s unattractiveness. In the context of declining profitability and liquidity, Project C offers the best chance to restore financial health and shareholder value.</w:t>
      </w:r>
    </w:p>
    <w:p w14:paraId="19B04D23" w14:textId="77777777" w:rsidR="004447FC" w:rsidRPr="00E40CBF" w:rsidRDefault="004447FC" w:rsidP="0075108E">
      <w:pPr>
        <w:tabs>
          <w:tab w:val="left" w:pos="5916"/>
        </w:tabs>
        <w:jc w:val="both"/>
        <w:rPr>
          <w:rFonts w:ascii="Arial" w:hAnsi="Arial" w:cs="Arial"/>
          <w:sz w:val="24"/>
          <w:szCs w:val="24"/>
        </w:rPr>
      </w:pPr>
    </w:p>
    <w:p w14:paraId="653FE0A3" w14:textId="77777777" w:rsidR="004447FC" w:rsidRPr="00E40CBF" w:rsidRDefault="004447FC" w:rsidP="0075108E">
      <w:pPr>
        <w:tabs>
          <w:tab w:val="left" w:pos="5916"/>
        </w:tabs>
        <w:jc w:val="both"/>
        <w:rPr>
          <w:rFonts w:ascii="Arial" w:hAnsi="Arial" w:cs="Arial"/>
          <w:sz w:val="24"/>
          <w:szCs w:val="24"/>
        </w:rPr>
      </w:pPr>
    </w:p>
    <w:p w14:paraId="0A60637C" w14:textId="77777777" w:rsidR="004447FC" w:rsidRPr="00E40CBF" w:rsidRDefault="004447FC" w:rsidP="0075108E">
      <w:pPr>
        <w:tabs>
          <w:tab w:val="left" w:pos="5916"/>
        </w:tabs>
        <w:jc w:val="both"/>
        <w:rPr>
          <w:rFonts w:ascii="Arial" w:hAnsi="Arial" w:cs="Arial"/>
          <w:sz w:val="24"/>
          <w:szCs w:val="24"/>
        </w:rPr>
      </w:pPr>
    </w:p>
    <w:p w14:paraId="57A53620" w14:textId="77777777" w:rsidR="00846A08" w:rsidRPr="00E40CBF" w:rsidRDefault="00846A08" w:rsidP="0075108E">
      <w:pPr>
        <w:tabs>
          <w:tab w:val="left" w:pos="5916"/>
        </w:tabs>
        <w:jc w:val="both"/>
        <w:rPr>
          <w:rFonts w:ascii="Arial" w:hAnsi="Arial" w:cs="Arial"/>
          <w:sz w:val="24"/>
          <w:szCs w:val="24"/>
        </w:rPr>
      </w:pPr>
    </w:p>
    <w:p w14:paraId="48FAE66F" w14:textId="77777777" w:rsidR="004447FC" w:rsidRPr="00E40CBF" w:rsidRDefault="004447FC" w:rsidP="0075108E">
      <w:pPr>
        <w:tabs>
          <w:tab w:val="left" w:pos="5916"/>
        </w:tabs>
        <w:jc w:val="both"/>
        <w:rPr>
          <w:rFonts w:ascii="Arial" w:hAnsi="Arial" w:cs="Arial"/>
          <w:sz w:val="24"/>
          <w:szCs w:val="24"/>
        </w:rPr>
      </w:pPr>
    </w:p>
    <w:p w14:paraId="77E6BFF6" w14:textId="77777777" w:rsidR="004447FC" w:rsidRPr="00E40CBF" w:rsidRDefault="004447FC" w:rsidP="0075108E">
      <w:pPr>
        <w:tabs>
          <w:tab w:val="left" w:pos="5916"/>
        </w:tabs>
        <w:jc w:val="both"/>
        <w:rPr>
          <w:rFonts w:ascii="Arial" w:hAnsi="Arial" w:cs="Arial"/>
          <w:sz w:val="24"/>
          <w:szCs w:val="24"/>
        </w:rPr>
      </w:pPr>
    </w:p>
    <w:p w14:paraId="09BAE6ED" w14:textId="77777777" w:rsidR="003E3D29" w:rsidRPr="00E40CBF" w:rsidRDefault="003E3D29" w:rsidP="0075108E">
      <w:pPr>
        <w:tabs>
          <w:tab w:val="left" w:pos="5916"/>
        </w:tabs>
        <w:jc w:val="both"/>
        <w:rPr>
          <w:rFonts w:ascii="Arial" w:hAnsi="Arial" w:cs="Arial"/>
          <w:sz w:val="24"/>
          <w:szCs w:val="24"/>
        </w:rPr>
      </w:pPr>
    </w:p>
    <w:p w14:paraId="5AF645C0" w14:textId="7EFB14E3" w:rsidR="003E3D29" w:rsidRPr="00E40CBF" w:rsidRDefault="00114A68" w:rsidP="0057530C">
      <w:pPr>
        <w:pStyle w:val="Heading1"/>
        <w:jc w:val="center"/>
        <w:rPr>
          <w:rFonts w:ascii="Arial" w:hAnsi="Arial" w:cs="Arial"/>
          <w:color w:val="auto"/>
        </w:rPr>
      </w:pPr>
      <w:bookmarkStart w:id="29" w:name="_Toc214799433"/>
      <w:r w:rsidRPr="00E40CBF">
        <w:rPr>
          <w:rFonts w:ascii="Arial" w:hAnsi="Arial" w:cs="Arial"/>
          <w:color w:val="auto"/>
        </w:rPr>
        <w:lastRenderedPageBreak/>
        <w:t>CONCLUSION</w:t>
      </w:r>
      <w:bookmarkEnd w:id="29"/>
    </w:p>
    <w:p w14:paraId="426C3D5D" w14:textId="77777777" w:rsidR="00114A68" w:rsidRPr="00E40CBF" w:rsidRDefault="00114A68" w:rsidP="00114A68">
      <w:pPr>
        <w:tabs>
          <w:tab w:val="left" w:pos="5916"/>
        </w:tabs>
        <w:jc w:val="center"/>
        <w:rPr>
          <w:rFonts w:ascii="Arial" w:hAnsi="Arial" w:cs="Arial"/>
          <w:sz w:val="24"/>
          <w:szCs w:val="24"/>
        </w:rPr>
      </w:pPr>
    </w:p>
    <w:p w14:paraId="2A8F74C2" w14:textId="1553E4B4" w:rsidR="004975C9" w:rsidRPr="00E40CBF" w:rsidRDefault="004975C9" w:rsidP="00114A68">
      <w:pPr>
        <w:tabs>
          <w:tab w:val="left" w:pos="5916"/>
        </w:tabs>
        <w:spacing w:line="360" w:lineRule="auto"/>
        <w:jc w:val="both"/>
        <w:rPr>
          <w:rFonts w:ascii="Arial" w:hAnsi="Arial" w:cs="Arial"/>
          <w:sz w:val="24"/>
          <w:szCs w:val="24"/>
        </w:rPr>
      </w:pPr>
      <w:r w:rsidRPr="00E40CBF">
        <w:rPr>
          <w:rFonts w:ascii="Arial" w:hAnsi="Arial" w:cs="Arial"/>
          <w:sz w:val="24"/>
          <w:szCs w:val="24"/>
        </w:rPr>
        <w:t>The company's financial trajectory from 2020 to 2024 shows a notable decline in shareholder value, liquidity, and profitability. Operating and net margins went negative due to structural inefficiencies and growing expenses, but gross margins stayed mostly steady. Although declining receivables turnover and negative interest coverage reveal cash flow vulnerabilities, liquidity ratios indicate short-term solvency. Weaker credit control counteracted efficiency gains in inventory management and asset turnover, extending the cash operating cycle. Financial risk was further increased by rising debt-to-equity ratios, and investor confidence was damaged by declining book value and negative EPS. Thus, strategic restructuring is crucial. Debt refinancing can stabilize solvency, equity infusion will bolster the capital base, and immediate divestiture of non-core assets can produce liquidity.</w:t>
      </w:r>
      <w:r w:rsidR="00114A68" w:rsidRPr="00E40CBF">
        <w:rPr>
          <w:rFonts w:ascii="Arial" w:hAnsi="Arial" w:cs="Arial"/>
        </w:rPr>
        <w:t xml:space="preserve"> </w:t>
      </w:r>
      <w:r w:rsidR="00114A68" w:rsidRPr="00E40CBF">
        <w:rPr>
          <w:rFonts w:ascii="Arial" w:hAnsi="Arial" w:cs="Arial"/>
          <w:sz w:val="24"/>
          <w:szCs w:val="24"/>
        </w:rPr>
        <w:t>Long-term partnerships or mergers have the potential to create synergies and diversify income. Reinvesting in innovation, digitalization, and CSR initiatives is necessary for long-term sustainability. When taken as a whole, these actions offer a path toward rebuilding resilience, profitability, and shareholder confidence.</w:t>
      </w:r>
    </w:p>
    <w:p w14:paraId="402B56D9" w14:textId="77777777" w:rsidR="004975C9" w:rsidRPr="00E40CBF" w:rsidRDefault="004975C9" w:rsidP="0075108E">
      <w:pPr>
        <w:tabs>
          <w:tab w:val="left" w:pos="5916"/>
        </w:tabs>
        <w:jc w:val="both"/>
        <w:rPr>
          <w:rFonts w:ascii="Arial" w:hAnsi="Arial" w:cs="Arial"/>
          <w:sz w:val="24"/>
          <w:szCs w:val="24"/>
        </w:rPr>
      </w:pPr>
    </w:p>
    <w:p w14:paraId="4375E8FF" w14:textId="77777777" w:rsidR="004975C9" w:rsidRPr="00E40CBF" w:rsidRDefault="004975C9" w:rsidP="0075108E">
      <w:pPr>
        <w:tabs>
          <w:tab w:val="left" w:pos="5916"/>
        </w:tabs>
        <w:jc w:val="both"/>
        <w:rPr>
          <w:rFonts w:ascii="Arial" w:hAnsi="Arial" w:cs="Arial"/>
          <w:sz w:val="24"/>
          <w:szCs w:val="24"/>
        </w:rPr>
      </w:pPr>
    </w:p>
    <w:p w14:paraId="3F200EEC" w14:textId="77777777" w:rsidR="004346DA" w:rsidRPr="00E40CBF" w:rsidRDefault="004346DA" w:rsidP="0075108E">
      <w:pPr>
        <w:tabs>
          <w:tab w:val="left" w:pos="5916"/>
        </w:tabs>
        <w:jc w:val="both"/>
        <w:rPr>
          <w:rFonts w:ascii="Arial" w:hAnsi="Arial" w:cs="Arial"/>
          <w:sz w:val="24"/>
          <w:szCs w:val="24"/>
        </w:rPr>
      </w:pPr>
    </w:p>
    <w:p w14:paraId="51040A0E" w14:textId="77777777" w:rsidR="004346DA" w:rsidRPr="00E40CBF" w:rsidRDefault="004346DA" w:rsidP="0075108E">
      <w:pPr>
        <w:tabs>
          <w:tab w:val="left" w:pos="5916"/>
        </w:tabs>
        <w:jc w:val="both"/>
        <w:rPr>
          <w:rFonts w:ascii="Arial" w:hAnsi="Arial" w:cs="Arial"/>
          <w:sz w:val="24"/>
          <w:szCs w:val="24"/>
        </w:rPr>
      </w:pPr>
    </w:p>
    <w:p w14:paraId="36FB040B" w14:textId="77777777" w:rsidR="004346DA" w:rsidRPr="00E40CBF" w:rsidRDefault="004346DA" w:rsidP="0075108E">
      <w:pPr>
        <w:tabs>
          <w:tab w:val="left" w:pos="5916"/>
        </w:tabs>
        <w:jc w:val="both"/>
        <w:rPr>
          <w:rFonts w:ascii="Arial" w:hAnsi="Arial" w:cs="Arial"/>
          <w:sz w:val="24"/>
          <w:szCs w:val="24"/>
        </w:rPr>
      </w:pPr>
    </w:p>
    <w:p w14:paraId="0EFEEE4C" w14:textId="77777777" w:rsidR="004346DA" w:rsidRPr="00E40CBF" w:rsidRDefault="004346DA" w:rsidP="0075108E">
      <w:pPr>
        <w:tabs>
          <w:tab w:val="left" w:pos="5916"/>
        </w:tabs>
        <w:jc w:val="both"/>
        <w:rPr>
          <w:rFonts w:ascii="Arial" w:hAnsi="Arial" w:cs="Arial"/>
          <w:sz w:val="24"/>
          <w:szCs w:val="24"/>
        </w:rPr>
      </w:pPr>
    </w:p>
    <w:p w14:paraId="154FC8B3" w14:textId="77777777" w:rsidR="004346DA" w:rsidRPr="00E40CBF" w:rsidRDefault="004346DA" w:rsidP="0075108E">
      <w:pPr>
        <w:tabs>
          <w:tab w:val="left" w:pos="5916"/>
        </w:tabs>
        <w:jc w:val="both"/>
        <w:rPr>
          <w:rFonts w:ascii="Arial" w:hAnsi="Arial" w:cs="Arial"/>
          <w:sz w:val="24"/>
          <w:szCs w:val="24"/>
        </w:rPr>
      </w:pPr>
    </w:p>
    <w:p w14:paraId="32E502EE" w14:textId="77777777" w:rsidR="004346DA" w:rsidRPr="00E40CBF" w:rsidRDefault="004346DA" w:rsidP="0075108E">
      <w:pPr>
        <w:tabs>
          <w:tab w:val="left" w:pos="5916"/>
        </w:tabs>
        <w:jc w:val="both"/>
        <w:rPr>
          <w:rFonts w:ascii="Arial" w:hAnsi="Arial" w:cs="Arial"/>
          <w:sz w:val="24"/>
          <w:szCs w:val="24"/>
        </w:rPr>
      </w:pPr>
    </w:p>
    <w:p w14:paraId="33FAF445" w14:textId="77777777" w:rsidR="004346DA" w:rsidRPr="00E40CBF" w:rsidRDefault="004346DA" w:rsidP="0075108E">
      <w:pPr>
        <w:tabs>
          <w:tab w:val="left" w:pos="5916"/>
        </w:tabs>
        <w:jc w:val="both"/>
        <w:rPr>
          <w:rFonts w:ascii="Arial" w:hAnsi="Arial" w:cs="Arial"/>
          <w:sz w:val="24"/>
          <w:szCs w:val="24"/>
        </w:rPr>
      </w:pPr>
    </w:p>
    <w:p w14:paraId="02CA7DE9" w14:textId="77777777" w:rsidR="004346DA" w:rsidRPr="00E40CBF" w:rsidRDefault="004346DA" w:rsidP="0075108E">
      <w:pPr>
        <w:tabs>
          <w:tab w:val="left" w:pos="5916"/>
        </w:tabs>
        <w:jc w:val="both"/>
        <w:rPr>
          <w:rFonts w:ascii="Arial" w:hAnsi="Arial" w:cs="Arial"/>
          <w:sz w:val="24"/>
          <w:szCs w:val="24"/>
        </w:rPr>
      </w:pPr>
    </w:p>
    <w:p w14:paraId="7E3C8BC3" w14:textId="77777777" w:rsidR="004346DA" w:rsidRPr="00E40CBF" w:rsidRDefault="004346DA" w:rsidP="0075108E">
      <w:pPr>
        <w:tabs>
          <w:tab w:val="left" w:pos="5916"/>
        </w:tabs>
        <w:jc w:val="both"/>
        <w:rPr>
          <w:rFonts w:ascii="Arial" w:hAnsi="Arial" w:cs="Arial"/>
          <w:sz w:val="24"/>
          <w:szCs w:val="24"/>
        </w:rPr>
      </w:pPr>
    </w:p>
    <w:p w14:paraId="41964018" w14:textId="77777777" w:rsidR="004346DA" w:rsidRPr="00E40CBF" w:rsidRDefault="004346DA" w:rsidP="0075108E">
      <w:pPr>
        <w:tabs>
          <w:tab w:val="left" w:pos="5916"/>
        </w:tabs>
        <w:jc w:val="both"/>
        <w:rPr>
          <w:rFonts w:ascii="Arial" w:hAnsi="Arial" w:cs="Arial"/>
          <w:sz w:val="24"/>
          <w:szCs w:val="24"/>
        </w:rPr>
      </w:pPr>
    </w:p>
    <w:p w14:paraId="0B2381F0" w14:textId="77777777" w:rsidR="004346DA" w:rsidRPr="00E40CBF" w:rsidRDefault="004346DA" w:rsidP="0075108E">
      <w:pPr>
        <w:tabs>
          <w:tab w:val="left" w:pos="5916"/>
        </w:tabs>
        <w:jc w:val="both"/>
        <w:rPr>
          <w:rFonts w:ascii="Arial" w:hAnsi="Arial" w:cs="Arial"/>
          <w:sz w:val="24"/>
          <w:szCs w:val="24"/>
        </w:rPr>
      </w:pPr>
    </w:p>
    <w:p w14:paraId="2F5F758B" w14:textId="2DCBF725" w:rsidR="004975C9" w:rsidRPr="00E40CBF" w:rsidRDefault="0057530C" w:rsidP="004346DA">
      <w:pPr>
        <w:pStyle w:val="Heading1"/>
        <w:jc w:val="center"/>
        <w:rPr>
          <w:rFonts w:ascii="Arial" w:hAnsi="Arial" w:cs="Arial"/>
          <w:color w:val="auto"/>
        </w:rPr>
      </w:pPr>
      <w:bookmarkStart w:id="30" w:name="_Toc214799434"/>
      <w:r w:rsidRPr="00E40CBF">
        <w:rPr>
          <w:rFonts w:ascii="Arial" w:hAnsi="Arial" w:cs="Arial"/>
          <w:color w:val="auto"/>
        </w:rPr>
        <w:lastRenderedPageBreak/>
        <w:t>REFERENCES</w:t>
      </w:r>
      <w:bookmarkEnd w:id="30"/>
    </w:p>
    <w:p w14:paraId="74A7A5B3" w14:textId="77777777" w:rsidR="00BB0AEB" w:rsidRPr="00E40CBF" w:rsidRDefault="00BB0AEB" w:rsidP="0075108E">
      <w:pPr>
        <w:tabs>
          <w:tab w:val="left" w:pos="5916"/>
        </w:tabs>
        <w:jc w:val="both"/>
        <w:rPr>
          <w:rFonts w:ascii="Arial" w:hAnsi="Arial" w:cs="Arial"/>
          <w:sz w:val="24"/>
          <w:szCs w:val="24"/>
        </w:rPr>
      </w:pPr>
    </w:p>
    <w:p w14:paraId="556B6150" w14:textId="617ADB19" w:rsidR="00FA479E" w:rsidRPr="00E40CBF" w:rsidRDefault="00BB0AEB"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Lyandres, E. and Zhdanov, A. (2014). Convertible debt and investment timing. </w:t>
      </w:r>
      <w:r w:rsidRPr="00E40CBF">
        <w:rPr>
          <w:rFonts w:ascii="Arial" w:hAnsi="Arial" w:cs="Arial"/>
          <w:i/>
          <w:iCs/>
          <w:sz w:val="24"/>
          <w:szCs w:val="24"/>
        </w:rPr>
        <w:t>Journal of Corporate Finance</w:t>
      </w:r>
      <w:r w:rsidRPr="00E40CBF">
        <w:rPr>
          <w:rFonts w:ascii="Arial" w:hAnsi="Arial" w:cs="Arial"/>
          <w:sz w:val="24"/>
          <w:szCs w:val="24"/>
        </w:rPr>
        <w:t>, 24, pp.21–37. doi:https://doi.org/10.1016/j.jcorpfin.2013.06.006</w:t>
      </w:r>
      <w:r w:rsidR="00FA479E" w:rsidRPr="00E40CBF">
        <w:rPr>
          <w:rFonts w:ascii="Arial" w:hAnsi="Arial" w:cs="Arial"/>
          <w:sz w:val="24"/>
          <w:szCs w:val="24"/>
        </w:rPr>
        <w:t>.</w:t>
      </w:r>
    </w:p>
    <w:p w14:paraId="3EE37A40" w14:textId="77777777" w:rsidR="00415650" w:rsidRPr="00E40CBF" w:rsidRDefault="00415650"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Marsh, C. (2012) </w:t>
      </w:r>
      <w:r w:rsidRPr="00E40CBF">
        <w:rPr>
          <w:rFonts w:ascii="Arial" w:hAnsi="Arial" w:cs="Arial"/>
          <w:i/>
          <w:iCs/>
          <w:sz w:val="24"/>
          <w:szCs w:val="24"/>
        </w:rPr>
        <w:t>Financial management for non-financial managers</w:t>
      </w:r>
      <w:r w:rsidRPr="00E40CBF">
        <w:rPr>
          <w:rFonts w:ascii="Arial" w:hAnsi="Arial" w:cs="Arial"/>
          <w:sz w:val="24"/>
          <w:szCs w:val="24"/>
        </w:rPr>
        <w:t>. London ; Kogan Page.</w:t>
      </w:r>
    </w:p>
    <w:p w14:paraId="7B0B4C39" w14:textId="77777777" w:rsidR="00FA479E" w:rsidRPr="00E40CBF" w:rsidRDefault="00FA479E"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Arnold, G. and Lewis, D.S., 2019. </w:t>
      </w:r>
      <w:r w:rsidRPr="00E40CBF">
        <w:rPr>
          <w:rFonts w:ascii="Arial" w:hAnsi="Arial" w:cs="Arial"/>
          <w:i/>
          <w:iCs/>
          <w:sz w:val="24"/>
          <w:szCs w:val="24"/>
        </w:rPr>
        <w:t>Corporate financial management</w:t>
      </w:r>
      <w:r w:rsidRPr="00E40CBF">
        <w:rPr>
          <w:rFonts w:ascii="Arial" w:hAnsi="Arial" w:cs="Arial"/>
          <w:sz w:val="24"/>
          <w:szCs w:val="24"/>
        </w:rPr>
        <w:t>. Pearson UK.</w:t>
      </w:r>
    </w:p>
    <w:p w14:paraId="7B782927"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Azad, M.A., 2025. Leveraging supply chain analytics for real-time decision making in apparel manufacturing. </w:t>
      </w:r>
      <w:r w:rsidRPr="00E40CBF">
        <w:rPr>
          <w:rFonts w:ascii="Arial" w:hAnsi="Arial" w:cs="Arial"/>
          <w:i/>
          <w:iCs/>
          <w:sz w:val="24"/>
          <w:szCs w:val="24"/>
        </w:rPr>
        <w:t>Authorea Preprints</w:t>
      </w:r>
      <w:r w:rsidRPr="00E40CBF">
        <w:rPr>
          <w:rFonts w:ascii="Arial" w:hAnsi="Arial" w:cs="Arial"/>
          <w:sz w:val="24"/>
          <w:szCs w:val="24"/>
        </w:rPr>
        <w:t>.</w:t>
      </w:r>
    </w:p>
    <w:p w14:paraId="37FE2CB9" w14:textId="6226A37B" w:rsidR="00ED25D4" w:rsidRPr="00E40CBF" w:rsidRDefault="00EB4868"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 xml:space="preserve">Atrill, P. and McLaney, E.J. (2016) </w:t>
      </w:r>
      <w:r w:rsidRPr="00E40CBF">
        <w:rPr>
          <w:rFonts w:ascii="Arial" w:hAnsi="Arial" w:cs="Arial"/>
          <w:i/>
          <w:iCs/>
          <w:sz w:val="24"/>
          <w:szCs w:val="24"/>
        </w:rPr>
        <w:t>Financial accounting for decision makers</w:t>
      </w:r>
      <w:r w:rsidRPr="00E40CBF">
        <w:rPr>
          <w:rFonts w:ascii="Arial" w:hAnsi="Arial" w:cs="Arial"/>
          <w:sz w:val="24"/>
          <w:szCs w:val="24"/>
        </w:rPr>
        <w:t>. Eighth edition. Harlow, England: Pearson Education Limited.</w:t>
      </w:r>
    </w:p>
    <w:p w14:paraId="4BCFC683" w14:textId="61594021"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Boland, M.J., 2025. The Rise in Corporate Insolvencies-A Return to Normal or Something Deeper?. </w:t>
      </w:r>
      <w:r w:rsidRPr="00E40CBF">
        <w:rPr>
          <w:rFonts w:ascii="Arial" w:hAnsi="Arial" w:cs="Arial"/>
          <w:i/>
          <w:iCs/>
          <w:sz w:val="24"/>
          <w:szCs w:val="24"/>
        </w:rPr>
        <w:t>Commercial Law Practitioner</w:t>
      </w:r>
      <w:r w:rsidRPr="00E40CBF">
        <w:rPr>
          <w:rFonts w:ascii="Arial" w:hAnsi="Arial" w:cs="Arial"/>
          <w:sz w:val="24"/>
          <w:szCs w:val="24"/>
        </w:rPr>
        <w:t>, </w:t>
      </w:r>
      <w:r w:rsidRPr="00E40CBF">
        <w:rPr>
          <w:rFonts w:ascii="Arial" w:hAnsi="Arial" w:cs="Arial"/>
          <w:i/>
          <w:iCs/>
          <w:sz w:val="24"/>
          <w:szCs w:val="24"/>
        </w:rPr>
        <w:t>32</w:t>
      </w:r>
      <w:r w:rsidRPr="00E40CBF">
        <w:rPr>
          <w:rFonts w:ascii="Arial" w:hAnsi="Arial" w:cs="Arial"/>
          <w:sz w:val="24"/>
          <w:szCs w:val="24"/>
        </w:rPr>
        <w:t>(6), pp.75-83.</w:t>
      </w:r>
    </w:p>
    <w:p w14:paraId="1F975E06" w14:textId="014EA4D8" w:rsidR="00B50440" w:rsidRPr="00E40CBF" w:rsidRDefault="00B50440"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 xml:space="preserve">Atrill, P. and McLaney, E.J. (2017) </w:t>
      </w:r>
      <w:r w:rsidRPr="00E40CBF">
        <w:rPr>
          <w:rFonts w:ascii="Arial" w:hAnsi="Arial" w:cs="Arial"/>
          <w:i/>
          <w:iCs/>
          <w:sz w:val="24"/>
          <w:szCs w:val="24"/>
        </w:rPr>
        <w:t>Accounting and finance for non-specialists</w:t>
      </w:r>
      <w:r w:rsidRPr="00E40CBF">
        <w:rPr>
          <w:rFonts w:ascii="Arial" w:hAnsi="Arial" w:cs="Arial"/>
          <w:sz w:val="24"/>
          <w:szCs w:val="24"/>
        </w:rPr>
        <w:t>. Tenth edition. Harlow, England ; Pearson.</w:t>
      </w:r>
    </w:p>
    <w:p w14:paraId="7CFF677A" w14:textId="47E4622E"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Johansson, M. and Malmqvist, J., 2013. Increasing Working Capital Efficiency-Accelerating Cash Flows by Identifying and Reducing Excess Tied-Up Capital in Finished Goods Inventories.</w:t>
      </w:r>
    </w:p>
    <w:p w14:paraId="6D31B5FE"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Belhani, Y., 2025. Cargotec demerger: drivers of corporate restructuring in Finland.</w:t>
      </w:r>
    </w:p>
    <w:p w14:paraId="271FC916"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Damodaran, A., 2012. </w:t>
      </w:r>
      <w:r w:rsidRPr="00E40CBF">
        <w:rPr>
          <w:rFonts w:ascii="Arial" w:hAnsi="Arial" w:cs="Arial"/>
          <w:i/>
          <w:iCs/>
          <w:sz w:val="24"/>
          <w:szCs w:val="24"/>
        </w:rPr>
        <w:t>Investment valuation: Tools and techniques for determining the value of any asset</w:t>
      </w:r>
      <w:r w:rsidRPr="00E40CBF">
        <w:rPr>
          <w:rFonts w:ascii="Arial" w:hAnsi="Arial" w:cs="Arial"/>
          <w:sz w:val="24"/>
          <w:szCs w:val="24"/>
        </w:rPr>
        <w:t>. John Wiley &amp; Sons.</w:t>
      </w:r>
    </w:p>
    <w:p w14:paraId="0972158E"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Hao, R., 2024, October. Streamlining SCM: Integrating Demand Forecasting and Inventory Optimization. In </w:t>
      </w:r>
      <w:r w:rsidRPr="00E40CBF">
        <w:rPr>
          <w:rFonts w:ascii="Arial" w:hAnsi="Arial" w:cs="Arial"/>
          <w:i/>
          <w:iCs/>
          <w:sz w:val="24"/>
          <w:szCs w:val="24"/>
        </w:rPr>
        <w:t>2024 2nd International Conference on Management Innovation and Economy Development (MIED 2024)</w:t>
      </w:r>
      <w:r w:rsidRPr="00E40CBF">
        <w:rPr>
          <w:rFonts w:ascii="Arial" w:hAnsi="Arial" w:cs="Arial"/>
          <w:sz w:val="24"/>
          <w:szCs w:val="24"/>
        </w:rPr>
        <w:t> (pp. 550-558). Atlantis Press.</w:t>
      </w:r>
    </w:p>
    <w:p w14:paraId="78B1A3C7" w14:textId="77777777" w:rsidR="00FA479E" w:rsidRPr="00E40CBF" w:rsidRDefault="00FA479E" w:rsidP="00AA258A">
      <w:pPr>
        <w:pStyle w:val="ListParagraph"/>
        <w:numPr>
          <w:ilvl w:val="0"/>
          <w:numId w:val="42"/>
        </w:numPr>
        <w:spacing w:line="276" w:lineRule="auto"/>
        <w:rPr>
          <w:rFonts w:ascii="Arial" w:hAnsi="Arial" w:cs="Arial"/>
          <w:sz w:val="24"/>
          <w:szCs w:val="24"/>
        </w:rPr>
      </w:pPr>
      <w:r w:rsidRPr="00E40CBF">
        <w:rPr>
          <w:rFonts w:ascii="Arial" w:hAnsi="Arial" w:cs="Arial"/>
          <w:sz w:val="24"/>
          <w:szCs w:val="24"/>
        </w:rPr>
        <w:t>Azad, M.A., 2025. Leveraging supply chain analytics for real-time decision making in apparel manufacturing. </w:t>
      </w:r>
      <w:r w:rsidRPr="00E40CBF">
        <w:rPr>
          <w:rFonts w:ascii="Arial" w:hAnsi="Arial" w:cs="Arial"/>
          <w:i/>
          <w:iCs/>
          <w:sz w:val="24"/>
          <w:szCs w:val="24"/>
        </w:rPr>
        <w:t>Authorea Preprints</w:t>
      </w:r>
      <w:r w:rsidRPr="00E40CBF">
        <w:rPr>
          <w:rFonts w:ascii="Arial" w:hAnsi="Arial" w:cs="Arial"/>
          <w:sz w:val="24"/>
          <w:szCs w:val="24"/>
        </w:rPr>
        <w:t>.</w:t>
      </w:r>
    </w:p>
    <w:p w14:paraId="4113FA98" w14:textId="5BBAB66C" w:rsidR="00B4727A" w:rsidRPr="00E40CBF" w:rsidRDefault="00B4727A"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Duffin, D. and Gunawan, E. (2023). Liquidity Ratio Analysis in Financing Short Term Liabilities. </w:t>
      </w:r>
      <w:r w:rsidRPr="00E40CBF">
        <w:rPr>
          <w:rFonts w:ascii="Arial" w:hAnsi="Arial" w:cs="Arial"/>
          <w:i/>
          <w:iCs/>
          <w:sz w:val="24"/>
          <w:szCs w:val="24"/>
        </w:rPr>
        <w:t>International Journal of Health Economics and Social Sciences (IJHESS)</w:t>
      </w:r>
      <w:r w:rsidRPr="00E40CBF">
        <w:rPr>
          <w:rFonts w:ascii="Arial" w:hAnsi="Arial" w:cs="Arial"/>
          <w:sz w:val="24"/>
          <w:szCs w:val="24"/>
        </w:rPr>
        <w:t>, 5(2), pp.157–162. doi:https://doi.org/10.56338/ijhess.v5i2.3611.</w:t>
      </w:r>
    </w:p>
    <w:p w14:paraId="35D74BEF" w14:textId="77777777" w:rsidR="00B01157" w:rsidRPr="00E40CBF" w:rsidRDefault="00B01157" w:rsidP="00AA258A">
      <w:pPr>
        <w:pStyle w:val="NormalWeb"/>
        <w:numPr>
          <w:ilvl w:val="0"/>
          <w:numId w:val="42"/>
        </w:numPr>
        <w:spacing w:line="276" w:lineRule="auto"/>
        <w:rPr>
          <w:rFonts w:ascii="Arial" w:hAnsi="Arial" w:cs="Arial"/>
        </w:rPr>
      </w:pPr>
      <w:r w:rsidRPr="00E40CBF">
        <w:rPr>
          <w:rFonts w:ascii="Arial" w:hAnsi="Arial" w:cs="Arial"/>
        </w:rPr>
        <w:t xml:space="preserve">Damodaran, A. (2012) </w:t>
      </w:r>
      <w:r w:rsidRPr="00E40CBF">
        <w:rPr>
          <w:rStyle w:val="Emphasis"/>
          <w:rFonts w:ascii="Arial" w:eastAsiaTheme="majorEastAsia" w:hAnsi="Arial" w:cs="Arial"/>
        </w:rPr>
        <w:t>Investment Valuation: Tools and Techniques for Determining the Value of Any Asset</w:t>
      </w:r>
      <w:r w:rsidRPr="00E40CBF">
        <w:rPr>
          <w:rFonts w:ascii="Arial" w:hAnsi="Arial" w:cs="Arial"/>
        </w:rPr>
        <w:t>. 3rd edn. Hoboken: Wiley.</w:t>
      </w:r>
    </w:p>
    <w:p w14:paraId="711FA24E" w14:textId="0ECBFF9B" w:rsidR="00F72276" w:rsidRPr="00E40CBF" w:rsidRDefault="00C46800"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Brealey, R.A., Myers, S.C. and Allen, F. (2020) Principles of Corporate Finance. 13th edn. New York: McGraw-Hill Education.</w:t>
      </w:r>
    </w:p>
    <w:p w14:paraId="3E3CE46D" w14:textId="3A2D2635" w:rsidR="00B4727A" w:rsidRPr="00E40CBF" w:rsidRDefault="00C46800"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Brigham, E.F. and Ehrhardt, M.C. (2022) Financial Management: Theory and Practice. 17th edn. Boston: Cengage Learning.</w:t>
      </w:r>
    </w:p>
    <w:p w14:paraId="4A12FB51" w14:textId="3AF14F18" w:rsidR="00BB725C" w:rsidRPr="00E40CBF" w:rsidRDefault="00A53CCE"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lastRenderedPageBreak/>
        <w:t xml:space="preserve">Elliott, J. and Elliott, B. (2022) </w:t>
      </w:r>
      <w:r w:rsidRPr="00E40CBF">
        <w:rPr>
          <w:rFonts w:ascii="Arial" w:hAnsi="Arial" w:cs="Arial"/>
          <w:i/>
          <w:iCs/>
          <w:sz w:val="24"/>
          <w:szCs w:val="24"/>
        </w:rPr>
        <w:t>Financial accounting and reporting</w:t>
      </w:r>
      <w:r w:rsidRPr="00E40CBF">
        <w:rPr>
          <w:rFonts w:ascii="Arial" w:hAnsi="Arial" w:cs="Arial"/>
          <w:sz w:val="24"/>
          <w:szCs w:val="24"/>
        </w:rPr>
        <w:t>. Twentieth Edition. Harlow, Essex: Pearson.</w:t>
      </w:r>
    </w:p>
    <w:p w14:paraId="2AC5AF82" w14:textId="77777777" w:rsidR="00527627" w:rsidRPr="00E40CBF" w:rsidRDefault="00527627"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Morin, S.L., 2024. The financial trap of short-term focus eroding long-term value in financial management: a theoretical analysis. </w:t>
      </w:r>
      <w:r w:rsidRPr="00E40CBF">
        <w:rPr>
          <w:rFonts w:ascii="Arial" w:hAnsi="Arial" w:cs="Arial"/>
          <w:i/>
          <w:iCs/>
          <w:sz w:val="24"/>
          <w:szCs w:val="24"/>
        </w:rPr>
        <w:t>Financial Markets, Institutions and Risks</w:t>
      </w:r>
      <w:r w:rsidRPr="00E40CBF">
        <w:rPr>
          <w:rFonts w:ascii="Arial" w:hAnsi="Arial" w:cs="Arial"/>
          <w:sz w:val="24"/>
          <w:szCs w:val="24"/>
        </w:rPr>
        <w:t>, </w:t>
      </w:r>
      <w:r w:rsidRPr="00E40CBF">
        <w:rPr>
          <w:rFonts w:ascii="Arial" w:hAnsi="Arial" w:cs="Arial"/>
          <w:i/>
          <w:iCs/>
          <w:sz w:val="24"/>
          <w:szCs w:val="24"/>
        </w:rPr>
        <w:t>8</w:t>
      </w:r>
      <w:r w:rsidRPr="00E40CBF">
        <w:rPr>
          <w:rFonts w:ascii="Arial" w:hAnsi="Arial" w:cs="Arial"/>
          <w:sz w:val="24"/>
          <w:szCs w:val="24"/>
        </w:rPr>
        <w:t>(4), pp.148-162.</w:t>
      </w:r>
    </w:p>
    <w:p w14:paraId="7CEAEAFC" w14:textId="77777777" w:rsidR="00527627" w:rsidRPr="00E40CBF" w:rsidRDefault="00527627"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Porter, M.E. (1985) </w:t>
      </w:r>
      <w:r w:rsidRPr="00E40CBF">
        <w:rPr>
          <w:rFonts w:ascii="Arial" w:hAnsi="Arial" w:cs="Arial"/>
          <w:i/>
          <w:iCs/>
          <w:sz w:val="24"/>
          <w:szCs w:val="24"/>
        </w:rPr>
        <w:t>Competitive Advantage: Creating and Sustaining Superior Performance</w:t>
      </w:r>
      <w:r w:rsidRPr="00E40CBF">
        <w:rPr>
          <w:rFonts w:ascii="Arial" w:hAnsi="Arial" w:cs="Arial"/>
          <w:sz w:val="24"/>
          <w:szCs w:val="24"/>
        </w:rPr>
        <w:t>. New York: Free Press.</w:t>
      </w:r>
    </w:p>
    <w:p w14:paraId="42D09C05" w14:textId="77777777" w:rsidR="00E22EF4" w:rsidRPr="00E40CBF" w:rsidRDefault="00527627"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Damodaran, A. (2012) </w:t>
      </w:r>
      <w:r w:rsidRPr="00E40CBF">
        <w:rPr>
          <w:rFonts w:ascii="Arial" w:hAnsi="Arial" w:cs="Arial"/>
          <w:i/>
          <w:iCs/>
          <w:sz w:val="24"/>
          <w:szCs w:val="24"/>
        </w:rPr>
        <w:t>Investment Valuation: Tools and Techniques for Determining the Value of Any Asset</w:t>
      </w:r>
      <w:r w:rsidRPr="00E40CBF">
        <w:rPr>
          <w:rFonts w:ascii="Arial" w:hAnsi="Arial" w:cs="Arial"/>
          <w:sz w:val="24"/>
          <w:szCs w:val="24"/>
        </w:rPr>
        <w:t>. 3rd edn. Hoboken: Wiley.</w:t>
      </w:r>
    </w:p>
    <w:p w14:paraId="2A99BFDB" w14:textId="744CD692" w:rsidR="00E22EF4" w:rsidRPr="00E40CBF" w:rsidRDefault="00E22EF4" w:rsidP="00AA258A">
      <w:pPr>
        <w:pStyle w:val="ListParagraph"/>
        <w:numPr>
          <w:ilvl w:val="0"/>
          <w:numId w:val="42"/>
        </w:numPr>
        <w:tabs>
          <w:tab w:val="left" w:pos="5916"/>
        </w:tabs>
        <w:spacing w:line="276" w:lineRule="auto"/>
        <w:jc w:val="both"/>
        <w:rPr>
          <w:rFonts w:ascii="Arial" w:hAnsi="Arial" w:cs="Arial"/>
          <w:sz w:val="24"/>
          <w:szCs w:val="24"/>
        </w:rPr>
      </w:pPr>
      <w:r w:rsidRPr="00E40CBF">
        <w:rPr>
          <w:rFonts w:ascii="Arial" w:hAnsi="Arial" w:cs="Arial"/>
          <w:sz w:val="24"/>
          <w:szCs w:val="24"/>
        </w:rPr>
        <w:t xml:space="preserve">Alexander, D., Britton, A. and Jorissen, A. (2014) </w:t>
      </w:r>
      <w:r w:rsidRPr="00E40CBF">
        <w:rPr>
          <w:rFonts w:ascii="Arial" w:hAnsi="Arial" w:cs="Arial"/>
          <w:i/>
          <w:iCs/>
          <w:sz w:val="24"/>
          <w:szCs w:val="24"/>
        </w:rPr>
        <w:t>International financial reporting and analysis</w:t>
      </w:r>
      <w:r w:rsidRPr="00E40CBF">
        <w:rPr>
          <w:rFonts w:ascii="Arial" w:hAnsi="Arial" w:cs="Arial"/>
          <w:sz w:val="24"/>
          <w:szCs w:val="24"/>
        </w:rPr>
        <w:t>. Sixth edition. Andover: Cengage Learning.</w:t>
      </w:r>
    </w:p>
    <w:p w14:paraId="011312F2" w14:textId="77777777" w:rsidR="00C05902" w:rsidRPr="00E40CBF" w:rsidRDefault="00C05902" w:rsidP="00C05902">
      <w:pPr>
        <w:pStyle w:val="ListParagraph"/>
        <w:numPr>
          <w:ilvl w:val="0"/>
          <w:numId w:val="42"/>
        </w:numPr>
        <w:spacing w:after="0" w:line="240" w:lineRule="auto"/>
        <w:rPr>
          <w:rFonts w:ascii="Arial" w:eastAsia="Times New Roman" w:hAnsi="Arial" w:cs="Arial"/>
          <w:kern w:val="0"/>
          <w:sz w:val="24"/>
          <w:szCs w:val="24"/>
          <w14:ligatures w14:val="none"/>
        </w:rPr>
      </w:pPr>
      <w:r w:rsidRPr="00E40CBF">
        <w:rPr>
          <w:rFonts w:ascii="Arial" w:eastAsia="Times New Roman" w:hAnsi="Arial" w:cs="Arial"/>
          <w:kern w:val="0"/>
          <w:sz w:val="24"/>
          <w:szCs w:val="24"/>
          <w14:ligatures w14:val="none"/>
        </w:rPr>
        <w:t xml:space="preserve">Financial Management Association, issuing body and Financial Management Association International, issuing body (1972) </w:t>
      </w:r>
      <w:r w:rsidRPr="00E40CBF">
        <w:rPr>
          <w:rFonts w:ascii="Arial" w:eastAsia="Times New Roman" w:hAnsi="Arial" w:cs="Arial"/>
          <w:i/>
          <w:iCs/>
          <w:kern w:val="0"/>
          <w:sz w:val="24"/>
          <w:szCs w:val="24"/>
          <w14:ligatures w14:val="none"/>
        </w:rPr>
        <w:t>Financial management.</w:t>
      </w:r>
      <w:r w:rsidRPr="00E40CBF">
        <w:rPr>
          <w:rFonts w:ascii="Arial" w:eastAsia="Times New Roman" w:hAnsi="Arial" w:cs="Arial"/>
          <w:kern w:val="0"/>
          <w:sz w:val="24"/>
          <w:szCs w:val="24"/>
          <w14:ligatures w14:val="none"/>
        </w:rPr>
        <w:t xml:space="preserve"> Atlanta, Ga: Financial Management Association.</w:t>
      </w:r>
    </w:p>
    <w:p w14:paraId="68C93297" w14:textId="77777777" w:rsidR="004975C9" w:rsidRPr="00E40CBF" w:rsidRDefault="004975C9" w:rsidP="00AA258A">
      <w:pPr>
        <w:tabs>
          <w:tab w:val="left" w:pos="5916"/>
        </w:tabs>
        <w:spacing w:line="276" w:lineRule="auto"/>
        <w:jc w:val="both"/>
        <w:rPr>
          <w:rFonts w:ascii="Arial" w:hAnsi="Arial" w:cs="Arial"/>
          <w:sz w:val="24"/>
          <w:szCs w:val="24"/>
        </w:rPr>
      </w:pPr>
    </w:p>
    <w:p w14:paraId="5B8CF55E" w14:textId="77777777" w:rsidR="004975C9" w:rsidRPr="00E40CBF" w:rsidRDefault="004975C9" w:rsidP="0075108E">
      <w:pPr>
        <w:tabs>
          <w:tab w:val="left" w:pos="5916"/>
        </w:tabs>
        <w:jc w:val="both"/>
        <w:rPr>
          <w:rFonts w:ascii="Arial" w:hAnsi="Arial" w:cs="Arial"/>
          <w:sz w:val="24"/>
          <w:szCs w:val="24"/>
        </w:rPr>
      </w:pPr>
    </w:p>
    <w:p w14:paraId="3095B07F" w14:textId="77777777" w:rsidR="004975C9" w:rsidRPr="00E40CBF" w:rsidRDefault="004975C9" w:rsidP="0075108E">
      <w:pPr>
        <w:tabs>
          <w:tab w:val="left" w:pos="5916"/>
        </w:tabs>
        <w:jc w:val="both"/>
        <w:rPr>
          <w:rFonts w:ascii="Arial" w:hAnsi="Arial" w:cs="Arial"/>
          <w:sz w:val="24"/>
          <w:szCs w:val="24"/>
        </w:rPr>
      </w:pPr>
    </w:p>
    <w:p w14:paraId="2A0BB0D7" w14:textId="77777777" w:rsidR="004975C9" w:rsidRPr="00E40CBF" w:rsidRDefault="004975C9" w:rsidP="0075108E">
      <w:pPr>
        <w:tabs>
          <w:tab w:val="left" w:pos="5916"/>
        </w:tabs>
        <w:jc w:val="both"/>
        <w:rPr>
          <w:rFonts w:ascii="Arial" w:hAnsi="Arial" w:cs="Arial"/>
          <w:sz w:val="24"/>
          <w:szCs w:val="24"/>
        </w:rPr>
      </w:pPr>
    </w:p>
    <w:p w14:paraId="1A2BAC87" w14:textId="77777777" w:rsidR="004975C9" w:rsidRPr="00E40CBF" w:rsidRDefault="004975C9" w:rsidP="0075108E">
      <w:pPr>
        <w:tabs>
          <w:tab w:val="left" w:pos="5916"/>
        </w:tabs>
        <w:jc w:val="both"/>
        <w:rPr>
          <w:rFonts w:ascii="Arial" w:hAnsi="Arial" w:cs="Arial"/>
          <w:sz w:val="24"/>
          <w:szCs w:val="24"/>
        </w:rPr>
      </w:pPr>
    </w:p>
    <w:p w14:paraId="7857FA7C" w14:textId="77777777" w:rsidR="004975C9" w:rsidRPr="00E40CBF" w:rsidRDefault="004975C9" w:rsidP="0075108E">
      <w:pPr>
        <w:tabs>
          <w:tab w:val="left" w:pos="5916"/>
        </w:tabs>
        <w:jc w:val="both"/>
        <w:rPr>
          <w:rFonts w:ascii="Arial" w:hAnsi="Arial" w:cs="Arial"/>
          <w:sz w:val="24"/>
          <w:szCs w:val="24"/>
        </w:rPr>
      </w:pPr>
    </w:p>
    <w:p w14:paraId="1AEE6409" w14:textId="77777777" w:rsidR="004975C9" w:rsidRPr="00E40CBF" w:rsidRDefault="004975C9" w:rsidP="0075108E">
      <w:pPr>
        <w:tabs>
          <w:tab w:val="left" w:pos="5916"/>
        </w:tabs>
        <w:jc w:val="both"/>
        <w:rPr>
          <w:rFonts w:ascii="Arial" w:hAnsi="Arial" w:cs="Arial"/>
          <w:sz w:val="24"/>
          <w:szCs w:val="24"/>
        </w:rPr>
      </w:pPr>
    </w:p>
    <w:p w14:paraId="4A76A469" w14:textId="77777777" w:rsidR="004975C9" w:rsidRPr="00E40CBF" w:rsidRDefault="004975C9" w:rsidP="0075108E">
      <w:pPr>
        <w:tabs>
          <w:tab w:val="left" w:pos="5916"/>
        </w:tabs>
        <w:jc w:val="both"/>
        <w:rPr>
          <w:rFonts w:ascii="Arial" w:hAnsi="Arial" w:cs="Arial"/>
          <w:sz w:val="24"/>
          <w:szCs w:val="24"/>
        </w:rPr>
      </w:pPr>
    </w:p>
    <w:p w14:paraId="60EB7D7B" w14:textId="77777777" w:rsidR="0004163F" w:rsidRPr="00E40CBF" w:rsidRDefault="0004163F" w:rsidP="0075108E">
      <w:pPr>
        <w:tabs>
          <w:tab w:val="left" w:pos="5916"/>
        </w:tabs>
        <w:jc w:val="both"/>
        <w:rPr>
          <w:rFonts w:ascii="Arial" w:hAnsi="Arial" w:cs="Arial"/>
          <w:sz w:val="24"/>
          <w:szCs w:val="24"/>
        </w:rPr>
      </w:pPr>
    </w:p>
    <w:p w14:paraId="6E4FF9E5" w14:textId="77777777" w:rsidR="006E3364" w:rsidRPr="00E40CBF" w:rsidRDefault="006E3364" w:rsidP="0075108E">
      <w:pPr>
        <w:tabs>
          <w:tab w:val="left" w:pos="5916"/>
        </w:tabs>
        <w:jc w:val="both"/>
        <w:rPr>
          <w:rFonts w:ascii="Arial" w:hAnsi="Arial" w:cs="Arial"/>
          <w:sz w:val="24"/>
          <w:szCs w:val="24"/>
        </w:rPr>
      </w:pPr>
    </w:p>
    <w:p w14:paraId="6FF1E270" w14:textId="77777777" w:rsidR="006E3364" w:rsidRPr="00E40CBF" w:rsidRDefault="006E3364" w:rsidP="0075108E">
      <w:pPr>
        <w:tabs>
          <w:tab w:val="left" w:pos="5916"/>
        </w:tabs>
        <w:jc w:val="both"/>
        <w:rPr>
          <w:rFonts w:ascii="Arial" w:hAnsi="Arial" w:cs="Arial"/>
          <w:sz w:val="24"/>
          <w:szCs w:val="24"/>
        </w:rPr>
      </w:pPr>
    </w:p>
    <w:p w14:paraId="72AF6D9C" w14:textId="77777777" w:rsidR="006E3364" w:rsidRPr="00E40CBF" w:rsidRDefault="006E3364" w:rsidP="0075108E">
      <w:pPr>
        <w:tabs>
          <w:tab w:val="left" w:pos="5916"/>
        </w:tabs>
        <w:jc w:val="both"/>
        <w:rPr>
          <w:rFonts w:ascii="Arial" w:hAnsi="Arial" w:cs="Arial"/>
          <w:sz w:val="24"/>
          <w:szCs w:val="24"/>
        </w:rPr>
      </w:pPr>
    </w:p>
    <w:p w14:paraId="3FE377CF" w14:textId="77777777" w:rsidR="006E3364" w:rsidRPr="00E40CBF" w:rsidRDefault="006E3364" w:rsidP="0075108E">
      <w:pPr>
        <w:tabs>
          <w:tab w:val="left" w:pos="5916"/>
        </w:tabs>
        <w:jc w:val="both"/>
        <w:rPr>
          <w:rFonts w:ascii="Arial" w:hAnsi="Arial" w:cs="Arial"/>
          <w:sz w:val="24"/>
          <w:szCs w:val="24"/>
        </w:rPr>
      </w:pPr>
    </w:p>
    <w:p w14:paraId="5EB6E15D" w14:textId="77777777" w:rsidR="006E3364" w:rsidRPr="00E40CBF" w:rsidRDefault="006E3364" w:rsidP="0075108E">
      <w:pPr>
        <w:tabs>
          <w:tab w:val="left" w:pos="5916"/>
        </w:tabs>
        <w:jc w:val="both"/>
        <w:rPr>
          <w:rFonts w:ascii="Arial" w:hAnsi="Arial" w:cs="Arial"/>
          <w:sz w:val="24"/>
          <w:szCs w:val="24"/>
        </w:rPr>
      </w:pPr>
    </w:p>
    <w:p w14:paraId="309440D7" w14:textId="77777777" w:rsidR="006E3364" w:rsidRPr="00E40CBF" w:rsidRDefault="006E3364" w:rsidP="0075108E">
      <w:pPr>
        <w:tabs>
          <w:tab w:val="left" w:pos="5916"/>
        </w:tabs>
        <w:jc w:val="both"/>
        <w:rPr>
          <w:rFonts w:ascii="Arial" w:hAnsi="Arial" w:cs="Arial"/>
          <w:sz w:val="24"/>
          <w:szCs w:val="24"/>
        </w:rPr>
      </w:pPr>
    </w:p>
    <w:p w14:paraId="7E7553DB" w14:textId="77777777" w:rsidR="006E3364" w:rsidRPr="00E40CBF" w:rsidRDefault="006E3364" w:rsidP="0075108E">
      <w:pPr>
        <w:tabs>
          <w:tab w:val="left" w:pos="5916"/>
        </w:tabs>
        <w:jc w:val="both"/>
        <w:rPr>
          <w:rFonts w:ascii="Arial" w:hAnsi="Arial" w:cs="Arial"/>
          <w:sz w:val="24"/>
          <w:szCs w:val="24"/>
        </w:rPr>
      </w:pPr>
    </w:p>
    <w:p w14:paraId="1D71B446" w14:textId="77777777" w:rsidR="004975C9" w:rsidRPr="00E40CBF" w:rsidRDefault="004975C9" w:rsidP="0075108E">
      <w:pPr>
        <w:tabs>
          <w:tab w:val="left" w:pos="5916"/>
        </w:tabs>
        <w:jc w:val="both"/>
        <w:rPr>
          <w:rFonts w:ascii="Arial" w:hAnsi="Arial" w:cs="Arial"/>
          <w:sz w:val="24"/>
          <w:szCs w:val="24"/>
        </w:rPr>
      </w:pPr>
    </w:p>
    <w:p w14:paraId="0851A9E3" w14:textId="5247E8BF" w:rsidR="003E3D29" w:rsidRPr="00E40CBF" w:rsidRDefault="0004163F" w:rsidP="0057530C">
      <w:pPr>
        <w:pStyle w:val="Heading1"/>
        <w:jc w:val="center"/>
        <w:rPr>
          <w:rFonts w:ascii="Arial" w:hAnsi="Arial" w:cs="Arial"/>
          <w:color w:val="auto"/>
        </w:rPr>
      </w:pPr>
      <w:bookmarkStart w:id="31" w:name="_Toc214799435"/>
      <w:r w:rsidRPr="00E40CBF">
        <w:rPr>
          <w:rFonts w:ascii="Arial" w:hAnsi="Arial" w:cs="Arial"/>
          <w:color w:val="auto"/>
        </w:rPr>
        <w:lastRenderedPageBreak/>
        <w:t>5.</w:t>
      </w:r>
      <w:r w:rsidR="003E3D29" w:rsidRPr="00E40CBF">
        <w:rPr>
          <w:rFonts w:ascii="Arial" w:hAnsi="Arial" w:cs="Arial"/>
          <w:color w:val="auto"/>
        </w:rPr>
        <w:t>APPENDICES</w:t>
      </w:r>
      <w:bookmarkEnd w:id="31"/>
    </w:p>
    <w:p w14:paraId="5E06E414" w14:textId="77777777" w:rsidR="003E3D29" w:rsidRPr="00E40CBF" w:rsidRDefault="003E3D29" w:rsidP="0075108E">
      <w:pPr>
        <w:tabs>
          <w:tab w:val="left" w:pos="5916"/>
        </w:tabs>
        <w:jc w:val="both"/>
        <w:rPr>
          <w:rFonts w:ascii="Arial" w:hAnsi="Arial" w:cs="Arial"/>
          <w:sz w:val="24"/>
          <w:szCs w:val="24"/>
        </w:rPr>
      </w:pPr>
    </w:p>
    <w:p w14:paraId="0C47D727" w14:textId="41CD8DA0" w:rsidR="009A5E6A" w:rsidRPr="00E40CBF" w:rsidRDefault="009A5E6A" w:rsidP="0075108E">
      <w:pPr>
        <w:tabs>
          <w:tab w:val="left" w:pos="5916"/>
        </w:tabs>
        <w:jc w:val="both"/>
        <w:rPr>
          <w:rFonts w:ascii="Arial" w:hAnsi="Arial" w:cs="Arial"/>
          <w:sz w:val="24"/>
          <w:szCs w:val="24"/>
        </w:rPr>
      </w:pPr>
    </w:p>
    <w:tbl>
      <w:tblPr>
        <w:tblW w:w="10800" w:type="dxa"/>
        <w:tblCellSpacing w:w="15"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90"/>
        <w:gridCol w:w="1890"/>
        <w:gridCol w:w="1620"/>
        <w:gridCol w:w="1170"/>
        <w:gridCol w:w="1170"/>
        <w:gridCol w:w="990"/>
        <w:gridCol w:w="1170"/>
      </w:tblGrid>
      <w:tr w:rsidR="00E40CBF" w:rsidRPr="00E40CBF" w14:paraId="703E20C2" w14:textId="77777777" w:rsidTr="000F0A0E">
        <w:trPr>
          <w:tblHeader/>
          <w:tblCellSpacing w:w="15" w:type="dxa"/>
        </w:trPr>
        <w:tc>
          <w:tcPr>
            <w:tcW w:w="2745" w:type="dxa"/>
            <w:vAlign w:val="center"/>
            <w:hideMark/>
          </w:tcPr>
          <w:p w14:paraId="3B15A91E" w14:textId="5B652E7F" w:rsidR="003145C1"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 xml:space="preserve">Profitability </w:t>
            </w:r>
            <w:r w:rsidR="003145C1" w:rsidRPr="00E40CBF">
              <w:rPr>
                <w:rFonts w:ascii="Arial" w:hAnsi="Arial" w:cs="Arial"/>
                <w:sz w:val="24"/>
                <w:szCs w:val="24"/>
              </w:rPr>
              <w:t>Ratio</w:t>
            </w:r>
          </w:p>
        </w:tc>
        <w:tc>
          <w:tcPr>
            <w:tcW w:w="1860" w:type="dxa"/>
            <w:vAlign w:val="center"/>
            <w:hideMark/>
          </w:tcPr>
          <w:p w14:paraId="4905B558"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1590" w:type="dxa"/>
            <w:vAlign w:val="center"/>
            <w:hideMark/>
          </w:tcPr>
          <w:p w14:paraId="7B0ADBD0" w14:textId="20C6B68E"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1140" w:type="dxa"/>
            <w:vAlign w:val="center"/>
            <w:hideMark/>
          </w:tcPr>
          <w:p w14:paraId="6A9FBB83" w14:textId="02561EAF"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140" w:type="dxa"/>
            <w:vAlign w:val="center"/>
            <w:hideMark/>
          </w:tcPr>
          <w:p w14:paraId="0CE981A9" w14:textId="3CE3E2C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960" w:type="dxa"/>
            <w:vAlign w:val="center"/>
            <w:hideMark/>
          </w:tcPr>
          <w:p w14:paraId="751FE78A" w14:textId="0D80103E"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125" w:type="dxa"/>
            <w:vAlign w:val="center"/>
            <w:hideMark/>
          </w:tcPr>
          <w:p w14:paraId="64028D58" w14:textId="04FBCF21"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453B31F2" w14:textId="77777777" w:rsidTr="000F0A0E">
        <w:trPr>
          <w:tblCellSpacing w:w="15" w:type="dxa"/>
        </w:trPr>
        <w:tc>
          <w:tcPr>
            <w:tcW w:w="2745" w:type="dxa"/>
            <w:vAlign w:val="center"/>
            <w:hideMark/>
          </w:tcPr>
          <w:p w14:paraId="1A7BB3BB"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Gross Profit Margin (%)</w:t>
            </w:r>
          </w:p>
        </w:tc>
        <w:tc>
          <w:tcPr>
            <w:tcW w:w="1860" w:type="dxa"/>
            <w:vAlign w:val="center"/>
            <w:hideMark/>
          </w:tcPr>
          <w:p w14:paraId="16AACD26"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Gross Profit ÷ Revenue × 100</w:t>
            </w:r>
          </w:p>
        </w:tc>
        <w:tc>
          <w:tcPr>
            <w:tcW w:w="1590" w:type="dxa"/>
            <w:vAlign w:val="center"/>
            <w:hideMark/>
          </w:tcPr>
          <w:p w14:paraId="318CF7D5"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GP 176,256 / Rev 614,680</w:t>
            </w:r>
          </w:p>
        </w:tc>
        <w:tc>
          <w:tcPr>
            <w:tcW w:w="1140" w:type="dxa"/>
            <w:vAlign w:val="center"/>
            <w:hideMark/>
          </w:tcPr>
          <w:p w14:paraId="080C75BB"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173,016 / 601,602</w:t>
            </w:r>
          </w:p>
        </w:tc>
        <w:tc>
          <w:tcPr>
            <w:tcW w:w="1140" w:type="dxa"/>
            <w:vAlign w:val="center"/>
            <w:hideMark/>
          </w:tcPr>
          <w:p w14:paraId="610D481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152,292 / 542,751</w:t>
            </w:r>
          </w:p>
        </w:tc>
        <w:tc>
          <w:tcPr>
            <w:tcW w:w="960" w:type="dxa"/>
            <w:vAlign w:val="center"/>
            <w:hideMark/>
          </w:tcPr>
          <w:p w14:paraId="5594A826"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97,560 / 420,457</w:t>
            </w:r>
          </w:p>
        </w:tc>
        <w:tc>
          <w:tcPr>
            <w:tcW w:w="1125" w:type="dxa"/>
            <w:vAlign w:val="center"/>
            <w:hideMark/>
          </w:tcPr>
          <w:p w14:paraId="4303A04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113,994 / 394,879</w:t>
            </w:r>
          </w:p>
        </w:tc>
      </w:tr>
      <w:tr w:rsidR="00E40CBF" w:rsidRPr="00E40CBF" w14:paraId="24CB241E" w14:textId="77777777" w:rsidTr="000F0A0E">
        <w:trPr>
          <w:tblCellSpacing w:w="15" w:type="dxa"/>
        </w:trPr>
        <w:tc>
          <w:tcPr>
            <w:tcW w:w="2745" w:type="dxa"/>
            <w:vAlign w:val="center"/>
          </w:tcPr>
          <w:p w14:paraId="1804F1DE" w14:textId="77777777" w:rsidR="003145C1" w:rsidRPr="00E40CBF" w:rsidRDefault="003145C1" w:rsidP="0075108E">
            <w:pPr>
              <w:tabs>
                <w:tab w:val="left" w:pos="5916"/>
              </w:tabs>
              <w:jc w:val="both"/>
              <w:rPr>
                <w:rFonts w:ascii="Arial" w:hAnsi="Arial" w:cs="Arial"/>
                <w:sz w:val="24"/>
                <w:szCs w:val="24"/>
              </w:rPr>
            </w:pPr>
          </w:p>
        </w:tc>
        <w:tc>
          <w:tcPr>
            <w:tcW w:w="1860" w:type="dxa"/>
            <w:vAlign w:val="center"/>
          </w:tcPr>
          <w:p w14:paraId="10BF978F" w14:textId="44B08B05"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590" w:type="dxa"/>
            <w:vAlign w:val="center"/>
          </w:tcPr>
          <w:p w14:paraId="21260E7C" w14:textId="36E21506"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28.7</w:t>
            </w:r>
          </w:p>
        </w:tc>
        <w:tc>
          <w:tcPr>
            <w:tcW w:w="1140" w:type="dxa"/>
            <w:vAlign w:val="center"/>
          </w:tcPr>
          <w:p w14:paraId="4C06741A" w14:textId="70BDAF9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28.7</w:t>
            </w:r>
          </w:p>
        </w:tc>
        <w:tc>
          <w:tcPr>
            <w:tcW w:w="1140" w:type="dxa"/>
            <w:vAlign w:val="center"/>
          </w:tcPr>
          <w:p w14:paraId="2EA0E71B" w14:textId="19150F18"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28.1</w:t>
            </w:r>
          </w:p>
        </w:tc>
        <w:tc>
          <w:tcPr>
            <w:tcW w:w="960" w:type="dxa"/>
            <w:vAlign w:val="center"/>
          </w:tcPr>
          <w:p w14:paraId="6DCED298" w14:textId="78C8F503"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23.2</w:t>
            </w:r>
          </w:p>
        </w:tc>
        <w:tc>
          <w:tcPr>
            <w:tcW w:w="1125" w:type="dxa"/>
            <w:vAlign w:val="center"/>
          </w:tcPr>
          <w:p w14:paraId="3271FE9D" w14:textId="2ACAC9FE"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28.7</w:t>
            </w:r>
          </w:p>
        </w:tc>
      </w:tr>
      <w:tr w:rsidR="00E40CBF" w:rsidRPr="00E40CBF" w14:paraId="1F72D36A" w14:textId="77777777" w:rsidTr="000F0A0E">
        <w:trPr>
          <w:tblCellSpacing w:w="15" w:type="dxa"/>
        </w:trPr>
        <w:tc>
          <w:tcPr>
            <w:tcW w:w="2745" w:type="dxa"/>
            <w:vAlign w:val="center"/>
            <w:hideMark/>
          </w:tcPr>
          <w:p w14:paraId="0AF7F83E"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Operating Profit Margin (%)</w:t>
            </w:r>
          </w:p>
        </w:tc>
        <w:tc>
          <w:tcPr>
            <w:tcW w:w="1860" w:type="dxa"/>
            <w:vAlign w:val="center"/>
            <w:hideMark/>
          </w:tcPr>
          <w:p w14:paraId="65FB2881"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EBIT ÷ Revenue × 100</w:t>
            </w:r>
          </w:p>
        </w:tc>
        <w:tc>
          <w:tcPr>
            <w:tcW w:w="1590" w:type="dxa"/>
            <w:vAlign w:val="center"/>
            <w:hideMark/>
          </w:tcPr>
          <w:p w14:paraId="6F4DCFBA"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EBIT 37,267 / 614,680</w:t>
            </w:r>
          </w:p>
        </w:tc>
        <w:tc>
          <w:tcPr>
            <w:tcW w:w="1140" w:type="dxa"/>
            <w:vAlign w:val="center"/>
            <w:hideMark/>
          </w:tcPr>
          <w:p w14:paraId="1726FDD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23,253 / 601,602</w:t>
            </w:r>
          </w:p>
        </w:tc>
        <w:tc>
          <w:tcPr>
            <w:tcW w:w="1140" w:type="dxa"/>
            <w:vAlign w:val="center"/>
            <w:hideMark/>
          </w:tcPr>
          <w:p w14:paraId="4DE60BA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14,854 / 542,751</w:t>
            </w:r>
          </w:p>
        </w:tc>
        <w:tc>
          <w:tcPr>
            <w:tcW w:w="960" w:type="dxa"/>
            <w:vAlign w:val="center"/>
            <w:hideMark/>
          </w:tcPr>
          <w:p w14:paraId="0D5B10D8"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–45,107 / 420,457</w:t>
            </w:r>
          </w:p>
        </w:tc>
        <w:tc>
          <w:tcPr>
            <w:tcW w:w="1125" w:type="dxa"/>
            <w:vAlign w:val="center"/>
            <w:hideMark/>
          </w:tcPr>
          <w:p w14:paraId="79A1E0E4"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–15,297 / 394,879</w:t>
            </w:r>
          </w:p>
        </w:tc>
      </w:tr>
      <w:tr w:rsidR="00E40CBF" w:rsidRPr="00E40CBF" w14:paraId="1A68BDDB" w14:textId="77777777" w:rsidTr="000F0A0E">
        <w:trPr>
          <w:tblCellSpacing w:w="15" w:type="dxa"/>
        </w:trPr>
        <w:tc>
          <w:tcPr>
            <w:tcW w:w="2745" w:type="dxa"/>
            <w:vAlign w:val="center"/>
          </w:tcPr>
          <w:p w14:paraId="215E9D5E" w14:textId="77777777" w:rsidR="003145C1" w:rsidRPr="00E40CBF" w:rsidRDefault="003145C1" w:rsidP="0075108E">
            <w:pPr>
              <w:tabs>
                <w:tab w:val="left" w:pos="5916"/>
              </w:tabs>
              <w:jc w:val="both"/>
              <w:rPr>
                <w:rFonts w:ascii="Arial" w:hAnsi="Arial" w:cs="Arial"/>
                <w:sz w:val="24"/>
                <w:szCs w:val="24"/>
              </w:rPr>
            </w:pPr>
          </w:p>
        </w:tc>
        <w:tc>
          <w:tcPr>
            <w:tcW w:w="1860" w:type="dxa"/>
            <w:vAlign w:val="center"/>
          </w:tcPr>
          <w:p w14:paraId="45C7DBD7" w14:textId="091D011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590" w:type="dxa"/>
            <w:vAlign w:val="center"/>
          </w:tcPr>
          <w:p w14:paraId="1F49A5E4" w14:textId="7DFED80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6.1</w:t>
            </w:r>
          </w:p>
        </w:tc>
        <w:tc>
          <w:tcPr>
            <w:tcW w:w="1140" w:type="dxa"/>
            <w:vAlign w:val="center"/>
          </w:tcPr>
          <w:p w14:paraId="676DED0C" w14:textId="285ABA0C"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3.8</w:t>
            </w:r>
          </w:p>
        </w:tc>
        <w:tc>
          <w:tcPr>
            <w:tcW w:w="1140" w:type="dxa"/>
            <w:vAlign w:val="center"/>
          </w:tcPr>
          <w:p w14:paraId="7F2BE1A9" w14:textId="6543589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2.8</w:t>
            </w:r>
          </w:p>
        </w:tc>
        <w:tc>
          <w:tcPr>
            <w:tcW w:w="960" w:type="dxa"/>
            <w:vAlign w:val="center"/>
          </w:tcPr>
          <w:p w14:paraId="517D1DB5" w14:textId="3D39E34F"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10.7</w:t>
            </w:r>
          </w:p>
        </w:tc>
        <w:tc>
          <w:tcPr>
            <w:tcW w:w="1125" w:type="dxa"/>
            <w:vAlign w:val="center"/>
          </w:tcPr>
          <w:p w14:paraId="47E998C6" w14:textId="18906682"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3.9</w:t>
            </w:r>
          </w:p>
        </w:tc>
      </w:tr>
      <w:tr w:rsidR="00E40CBF" w:rsidRPr="00E40CBF" w14:paraId="6BAC5EE2" w14:textId="77777777" w:rsidTr="000F0A0E">
        <w:trPr>
          <w:tblCellSpacing w:w="15" w:type="dxa"/>
        </w:trPr>
        <w:tc>
          <w:tcPr>
            <w:tcW w:w="2745" w:type="dxa"/>
            <w:vAlign w:val="center"/>
            <w:hideMark/>
          </w:tcPr>
          <w:p w14:paraId="1325527E"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Net Profit Margin (%)</w:t>
            </w:r>
          </w:p>
        </w:tc>
        <w:tc>
          <w:tcPr>
            <w:tcW w:w="1860" w:type="dxa"/>
            <w:vAlign w:val="center"/>
            <w:hideMark/>
          </w:tcPr>
          <w:p w14:paraId="19DA5C1B"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Net Profit ÷ Revenue × 100</w:t>
            </w:r>
          </w:p>
        </w:tc>
        <w:tc>
          <w:tcPr>
            <w:tcW w:w="1590" w:type="dxa"/>
            <w:vAlign w:val="center"/>
            <w:hideMark/>
          </w:tcPr>
          <w:p w14:paraId="690C315A"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NP 38,572 / 614,680</w:t>
            </w:r>
          </w:p>
        </w:tc>
        <w:tc>
          <w:tcPr>
            <w:tcW w:w="1140" w:type="dxa"/>
            <w:vAlign w:val="center"/>
            <w:hideMark/>
          </w:tcPr>
          <w:p w14:paraId="13CE36B8"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5,301 / 601,602</w:t>
            </w:r>
          </w:p>
        </w:tc>
        <w:tc>
          <w:tcPr>
            <w:tcW w:w="1140" w:type="dxa"/>
            <w:vAlign w:val="center"/>
            <w:hideMark/>
          </w:tcPr>
          <w:p w14:paraId="6915EF55"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407 / 542,751</w:t>
            </w:r>
          </w:p>
        </w:tc>
        <w:tc>
          <w:tcPr>
            <w:tcW w:w="960" w:type="dxa"/>
            <w:vAlign w:val="center"/>
            <w:hideMark/>
          </w:tcPr>
          <w:p w14:paraId="098B7C74"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–98,238 / 420,457</w:t>
            </w:r>
          </w:p>
        </w:tc>
        <w:tc>
          <w:tcPr>
            <w:tcW w:w="1125" w:type="dxa"/>
            <w:vAlign w:val="center"/>
            <w:hideMark/>
          </w:tcPr>
          <w:p w14:paraId="4732292F" w14:textId="77777777"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–24,029 / 394,879</w:t>
            </w:r>
          </w:p>
        </w:tc>
      </w:tr>
      <w:tr w:rsidR="00E40CBF" w:rsidRPr="00E40CBF" w14:paraId="49E5D600" w14:textId="77777777" w:rsidTr="000F0A0E">
        <w:trPr>
          <w:tblCellSpacing w:w="15" w:type="dxa"/>
        </w:trPr>
        <w:tc>
          <w:tcPr>
            <w:tcW w:w="2745" w:type="dxa"/>
            <w:vAlign w:val="center"/>
          </w:tcPr>
          <w:p w14:paraId="1A611AF2" w14:textId="77777777" w:rsidR="003145C1" w:rsidRPr="00E40CBF" w:rsidRDefault="003145C1" w:rsidP="0075108E">
            <w:pPr>
              <w:tabs>
                <w:tab w:val="left" w:pos="5916"/>
              </w:tabs>
              <w:jc w:val="both"/>
              <w:rPr>
                <w:rFonts w:ascii="Arial" w:hAnsi="Arial" w:cs="Arial"/>
                <w:sz w:val="24"/>
                <w:szCs w:val="24"/>
              </w:rPr>
            </w:pPr>
          </w:p>
        </w:tc>
        <w:tc>
          <w:tcPr>
            <w:tcW w:w="1860" w:type="dxa"/>
            <w:vAlign w:val="center"/>
          </w:tcPr>
          <w:p w14:paraId="1A53815F" w14:textId="7ED3AF91"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590" w:type="dxa"/>
            <w:vAlign w:val="center"/>
          </w:tcPr>
          <w:p w14:paraId="1096C99E" w14:textId="7C42E054"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6.28</w:t>
            </w:r>
          </w:p>
        </w:tc>
        <w:tc>
          <w:tcPr>
            <w:tcW w:w="1140" w:type="dxa"/>
            <w:vAlign w:val="center"/>
          </w:tcPr>
          <w:p w14:paraId="03C17D68" w14:textId="2BEBD589"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0.88</w:t>
            </w:r>
          </w:p>
        </w:tc>
        <w:tc>
          <w:tcPr>
            <w:tcW w:w="1140" w:type="dxa"/>
            <w:vAlign w:val="center"/>
          </w:tcPr>
          <w:p w14:paraId="30F4AB71" w14:textId="0047402C"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0.07</w:t>
            </w:r>
          </w:p>
        </w:tc>
        <w:tc>
          <w:tcPr>
            <w:tcW w:w="960" w:type="dxa"/>
            <w:vAlign w:val="center"/>
          </w:tcPr>
          <w:p w14:paraId="3561CB6B" w14:textId="4FE1EEE2"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23.36</w:t>
            </w:r>
          </w:p>
        </w:tc>
        <w:tc>
          <w:tcPr>
            <w:tcW w:w="1125" w:type="dxa"/>
            <w:vAlign w:val="center"/>
          </w:tcPr>
          <w:p w14:paraId="03C598A6" w14:textId="3B850B60" w:rsidR="003145C1" w:rsidRPr="00E40CBF" w:rsidRDefault="003145C1" w:rsidP="0075108E">
            <w:pPr>
              <w:tabs>
                <w:tab w:val="left" w:pos="5916"/>
              </w:tabs>
              <w:jc w:val="both"/>
              <w:rPr>
                <w:rFonts w:ascii="Arial" w:hAnsi="Arial" w:cs="Arial"/>
                <w:sz w:val="24"/>
                <w:szCs w:val="24"/>
              </w:rPr>
            </w:pPr>
            <w:r w:rsidRPr="00E40CBF">
              <w:rPr>
                <w:rFonts w:ascii="Arial" w:hAnsi="Arial" w:cs="Arial"/>
                <w:sz w:val="24"/>
                <w:szCs w:val="24"/>
              </w:rPr>
              <w:t>6.09</w:t>
            </w:r>
          </w:p>
        </w:tc>
      </w:tr>
    </w:tbl>
    <w:p w14:paraId="0F6EEE7A" w14:textId="0AD4442B" w:rsidR="009A5E6A" w:rsidRPr="00E40CBF" w:rsidRDefault="009A5E6A" w:rsidP="0075108E">
      <w:pPr>
        <w:tabs>
          <w:tab w:val="left" w:pos="5916"/>
        </w:tabs>
        <w:jc w:val="both"/>
        <w:rPr>
          <w:rFonts w:ascii="Arial" w:hAnsi="Arial" w:cs="Arial"/>
          <w:sz w:val="24"/>
          <w:szCs w:val="24"/>
        </w:rPr>
      </w:pPr>
    </w:p>
    <w:tbl>
      <w:tblPr>
        <w:tblW w:w="10800" w:type="dxa"/>
        <w:tblCellSpacing w:w="15"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90"/>
        <w:gridCol w:w="2070"/>
        <w:gridCol w:w="1170"/>
        <w:gridCol w:w="1170"/>
        <w:gridCol w:w="1170"/>
        <w:gridCol w:w="1260"/>
        <w:gridCol w:w="1170"/>
      </w:tblGrid>
      <w:tr w:rsidR="00E40CBF" w:rsidRPr="00E40CBF" w14:paraId="64E94B82" w14:textId="77777777" w:rsidTr="000F0A0E">
        <w:trPr>
          <w:tblHeader/>
          <w:tblCellSpacing w:w="15" w:type="dxa"/>
        </w:trPr>
        <w:tc>
          <w:tcPr>
            <w:tcW w:w="2745" w:type="dxa"/>
            <w:vAlign w:val="center"/>
            <w:hideMark/>
          </w:tcPr>
          <w:p w14:paraId="0ED83A3A" w14:textId="578001C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Liquidity Ratio</w:t>
            </w:r>
          </w:p>
        </w:tc>
        <w:tc>
          <w:tcPr>
            <w:tcW w:w="2040" w:type="dxa"/>
            <w:vAlign w:val="center"/>
            <w:hideMark/>
          </w:tcPr>
          <w:p w14:paraId="183E80A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1140" w:type="dxa"/>
            <w:vAlign w:val="center"/>
            <w:hideMark/>
          </w:tcPr>
          <w:p w14:paraId="30DAB913" w14:textId="4B45C5B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1140" w:type="dxa"/>
            <w:vAlign w:val="center"/>
            <w:hideMark/>
          </w:tcPr>
          <w:p w14:paraId="51FAD409" w14:textId="4EBF7F3C"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140" w:type="dxa"/>
            <w:vAlign w:val="center"/>
            <w:hideMark/>
          </w:tcPr>
          <w:p w14:paraId="1EA537B6" w14:textId="2380F4A5"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1230" w:type="dxa"/>
            <w:vAlign w:val="center"/>
            <w:hideMark/>
          </w:tcPr>
          <w:p w14:paraId="4356FDCF" w14:textId="25361B3C"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125" w:type="dxa"/>
            <w:vAlign w:val="center"/>
            <w:hideMark/>
          </w:tcPr>
          <w:p w14:paraId="7B53CCFB" w14:textId="27BF969A"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520251BC" w14:textId="77777777" w:rsidTr="000F0A0E">
        <w:trPr>
          <w:tblCellSpacing w:w="15" w:type="dxa"/>
        </w:trPr>
        <w:tc>
          <w:tcPr>
            <w:tcW w:w="2745" w:type="dxa"/>
            <w:vAlign w:val="center"/>
            <w:hideMark/>
          </w:tcPr>
          <w:p w14:paraId="6502A12D"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Current Ratio (x)</w:t>
            </w:r>
          </w:p>
        </w:tc>
        <w:tc>
          <w:tcPr>
            <w:tcW w:w="2040" w:type="dxa"/>
            <w:vAlign w:val="center"/>
            <w:hideMark/>
          </w:tcPr>
          <w:p w14:paraId="30EE2B38"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Current Assets ÷ Current Liabilities</w:t>
            </w:r>
          </w:p>
        </w:tc>
        <w:tc>
          <w:tcPr>
            <w:tcW w:w="1140" w:type="dxa"/>
            <w:vAlign w:val="center"/>
            <w:hideMark/>
          </w:tcPr>
          <w:p w14:paraId="3BFCBE17"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326,843 ÷ 179,510</w:t>
            </w:r>
          </w:p>
        </w:tc>
        <w:tc>
          <w:tcPr>
            <w:tcW w:w="1140" w:type="dxa"/>
            <w:vAlign w:val="center"/>
            <w:hideMark/>
          </w:tcPr>
          <w:p w14:paraId="6A153B6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337,146 ÷ 216,787</w:t>
            </w:r>
          </w:p>
        </w:tc>
        <w:tc>
          <w:tcPr>
            <w:tcW w:w="1140" w:type="dxa"/>
            <w:vAlign w:val="center"/>
            <w:hideMark/>
          </w:tcPr>
          <w:p w14:paraId="4B954127"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300,840 ÷ 192,430</w:t>
            </w:r>
          </w:p>
        </w:tc>
        <w:tc>
          <w:tcPr>
            <w:tcW w:w="1230" w:type="dxa"/>
            <w:vAlign w:val="center"/>
            <w:hideMark/>
          </w:tcPr>
          <w:p w14:paraId="37F1415F"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258,851 ÷ 161,148</w:t>
            </w:r>
          </w:p>
        </w:tc>
        <w:tc>
          <w:tcPr>
            <w:tcW w:w="1125" w:type="dxa"/>
            <w:vAlign w:val="center"/>
            <w:hideMark/>
          </w:tcPr>
          <w:p w14:paraId="3D65A8F0"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242,494 ÷ 158,291</w:t>
            </w:r>
          </w:p>
        </w:tc>
      </w:tr>
      <w:tr w:rsidR="00E40CBF" w:rsidRPr="00E40CBF" w14:paraId="4AFA7CE4" w14:textId="77777777" w:rsidTr="000F0A0E">
        <w:trPr>
          <w:tblCellSpacing w:w="15" w:type="dxa"/>
        </w:trPr>
        <w:tc>
          <w:tcPr>
            <w:tcW w:w="2745" w:type="dxa"/>
            <w:vAlign w:val="center"/>
          </w:tcPr>
          <w:p w14:paraId="70F02C74" w14:textId="77777777" w:rsidR="000F0A0E" w:rsidRPr="00E40CBF" w:rsidRDefault="000F0A0E" w:rsidP="0075108E">
            <w:pPr>
              <w:tabs>
                <w:tab w:val="left" w:pos="5916"/>
              </w:tabs>
              <w:jc w:val="both"/>
              <w:rPr>
                <w:rFonts w:ascii="Arial" w:hAnsi="Arial" w:cs="Arial"/>
                <w:sz w:val="24"/>
                <w:szCs w:val="24"/>
              </w:rPr>
            </w:pPr>
          </w:p>
        </w:tc>
        <w:tc>
          <w:tcPr>
            <w:tcW w:w="2040" w:type="dxa"/>
            <w:vAlign w:val="center"/>
          </w:tcPr>
          <w:p w14:paraId="48E63F53" w14:textId="451D8E6E"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140" w:type="dxa"/>
            <w:vAlign w:val="center"/>
          </w:tcPr>
          <w:p w14:paraId="44181D42" w14:textId="21B8C839"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1.82</w:t>
            </w:r>
          </w:p>
        </w:tc>
        <w:tc>
          <w:tcPr>
            <w:tcW w:w="1140" w:type="dxa"/>
            <w:vAlign w:val="center"/>
          </w:tcPr>
          <w:p w14:paraId="6C27391A" w14:textId="2B2B4EF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1.56</w:t>
            </w:r>
          </w:p>
        </w:tc>
        <w:tc>
          <w:tcPr>
            <w:tcW w:w="1140" w:type="dxa"/>
            <w:vAlign w:val="center"/>
          </w:tcPr>
          <w:p w14:paraId="37C68944" w14:textId="19409533"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1.56</w:t>
            </w:r>
          </w:p>
        </w:tc>
        <w:tc>
          <w:tcPr>
            <w:tcW w:w="1230" w:type="dxa"/>
            <w:vAlign w:val="center"/>
          </w:tcPr>
          <w:p w14:paraId="568CC20E" w14:textId="6BC07DD1"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1.61</w:t>
            </w:r>
          </w:p>
        </w:tc>
        <w:tc>
          <w:tcPr>
            <w:tcW w:w="1125" w:type="dxa"/>
            <w:vAlign w:val="center"/>
          </w:tcPr>
          <w:p w14:paraId="70FD7072" w14:textId="56B1184E"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1.54</w:t>
            </w:r>
          </w:p>
        </w:tc>
      </w:tr>
      <w:tr w:rsidR="00E40CBF" w:rsidRPr="00E40CBF" w14:paraId="6E3FAA0B" w14:textId="77777777" w:rsidTr="000F0A0E">
        <w:trPr>
          <w:tblCellSpacing w:w="15" w:type="dxa"/>
        </w:trPr>
        <w:tc>
          <w:tcPr>
            <w:tcW w:w="2745" w:type="dxa"/>
            <w:vAlign w:val="center"/>
            <w:hideMark/>
          </w:tcPr>
          <w:p w14:paraId="3E06802D"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Quick Ratio (x)</w:t>
            </w:r>
          </w:p>
        </w:tc>
        <w:tc>
          <w:tcPr>
            <w:tcW w:w="2040" w:type="dxa"/>
            <w:vAlign w:val="center"/>
            <w:hideMark/>
          </w:tcPr>
          <w:p w14:paraId="1A700E86"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(CA – Inventories – Prepaid) ÷ CL</w:t>
            </w:r>
          </w:p>
        </w:tc>
        <w:tc>
          <w:tcPr>
            <w:tcW w:w="1140" w:type="dxa"/>
            <w:vAlign w:val="center"/>
            <w:hideMark/>
          </w:tcPr>
          <w:p w14:paraId="57E9EBCB"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(326,843 − 124,300 − 13,469) ÷ 179,510</w:t>
            </w:r>
          </w:p>
        </w:tc>
        <w:tc>
          <w:tcPr>
            <w:tcW w:w="1140" w:type="dxa"/>
            <w:vAlign w:val="center"/>
            <w:hideMark/>
          </w:tcPr>
          <w:p w14:paraId="44079EA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(337,146 − 140,326 − 10,470) ÷ 216,787</w:t>
            </w:r>
          </w:p>
        </w:tc>
        <w:tc>
          <w:tcPr>
            <w:tcW w:w="1140" w:type="dxa"/>
            <w:vAlign w:val="center"/>
            <w:hideMark/>
          </w:tcPr>
          <w:p w14:paraId="735ECA61"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(338,040 − 140,070 − 9,131) ÷ 192,430</w:t>
            </w:r>
          </w:p>
        </w:tc>
        <w:tc>
          <w:tcPr>
            <w:tcW w:w="1230" w:type="dxa"/>
            <w:vAlign w:val="center"/>
            <w:hideMark/>
          </w:tcPr>
          <w:p w14:paraId="1686D74A"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(258,851 − 96,000 − 0) ÷ 161,148</w:t>
            </w:r>
          </w:p>
        </w:tc>
        <w:tc>
          <w:tcPr>
            <w:tcW w:w="1125" w:type="dxa"/>
            <w:vAlign w:val="center"/>
            <w:hideMark/>
          </w:tcPr>
          <w:p w14:paraId="4DFDE2A9" w14:textId="7777777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(242,494 − 108,375 − 0) ÷ 158,291</w:t>
            </w:r>
          </w:p>
        </w:tc>
      </w:tr>
      <w:tr w:rsidR="00E40CBF" w:rsidRPr="00E40CBF" w14:paraId="1ABE10A2" w14:textId="77777777" w:rsidTr="000F0A0E">
        <w:trPr>
          <w:tblCellSpacing w:w="15" w:type="dxa"/>
        </w:trPr>
        <w:tc>
          <w:tcPr>
            <w:tcW w:w="2745" w:type="dxa"/>
            <w:vAlign w:val="center"/>
          </w:tcPr>
          <w:p w14:paraId="27B5D2FE" w14:textId="77777777" w:rsidR="000F0A0E" w:rsidRPr="00E40CBF" w:rsidRDefault="000F0A0E" w:rsidP="0075108E">
            <w:pPr>
              <w:tabs>
                <w:tab w:val="left" w:pos="5916"/>
              </w:tabs>
              <w:jc w:val="both"/>
              <w:rPr>
                <w:rFonts w:ascii="Arial" w:hAnsi="Arial" w:cs="Arial"/>
                <w:sz w:val="24"/>
                <w:szCs w:val="24"/>
              </w:rPr>
            </w:pPr>
          </w:p>
        </w:tc>
        <w:tc>
          <w:tcPr>
            <w:tcW w:w="2040" w:type="dxa"/>
            <w:vAlign w:val="center"/>
          </w:tcPr>
          <w:p w14:paraId="056C2E6C" w14:textId="2E01FE9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Ans.</w:t>
            </w:r>
          </w:p>
        </w:tc>
        <w:tc>
          <w:tcPr>
            <w:tcW w:w="1140" w:type="dxa"/>
            <w:vAlign w:val="center"/>
          </w:tcPr>
          <w:p w14:paraId="223D980A" w14:textId="388A1993"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1.15</w:t>
            </w:r>
          </w:p>
        </w:tc>
        <w:tc>
          <w:tcPr>
            <w:tcW w:w="1140" w:type="dxa"/>
            <w:vAlign w:val="center"/>
          </w:tcPr>
          <w:p w14:paraId="2FFE70F4" w14:textId="463CBF9F"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0.93</w:t>
            </w:r>
          </w:p>
        </w:tc>
        <w:tc>
          <w:tcPr>
            <w:tcW w:w="1140" w:type="dxa"/>
            <w:vAlign w:val="center"/>
          </w:tcPr>
          <w:p w14:paraId="4F4018C1" w14:textId="6A050CE0"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0.91</w:t>
            </w:r>
          </w:p>
        </w:tc>
        <w:tc>
          <w:tcPr>
            <w:tcW w:w="1230" w:type="dxa"/>
            <w:vAlign w:val="center"/>
          </w:tcPr>
          <w:p w14:paraId="69029554" w14:textId="5E8EA997"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1.06</w:t>
            </w:r>
          </w:p>
        </w:tc>
        <w:tc>
          <w:tcPr>
            <w:tcW w:w="1125" w:type="dxa"/>
            <w:vAlign w:val="center"/>
          </w:tcPr>
          <w:p w14:paraId="2327A2F7" w14:textId="122B977B" w:rsidR="000F0A0E" w:rsidRPr="00E40CBF" w:rsidRDefault="000F0A0E" w:rsidP="0075108E">
            <w:pPr>
              <w:tabs>
                <w:tab w:val="left" w:pos="5916"/>
              </w:tabs>
              <w:jc w:val="both"/>
              <w:rPr>
                <w:rFonts w:ascii="Arial" w:hAnsi="Arial" w:cs="Arial"/>
                <w:sz w:val="24"/>
                <w:szCs w:val="24"/>
              </w:rPr>
            </w:pPr>
            <w:r w:rsidRPr="00E40CBF">
              <w:rPr>
                <w:rFonts w:ascii="Arial" w:hAnsi="Arial" w:cs="Arial"/>
                <w:sz w:val="24"/>
                <w:szCs w:val="24"/>
              </w:rPr>
              <w:t>1.03</w:t>
            </w:r>
          </w:p>
        </w:tc>
      </w:tr>
    </w:tbl>
    <w:p w14:paraId="1581D5AE" w14:textId="77777777" w:rsidR="00BF0F38" w:rsidRPr="00E40CBF" w:rsidRDefault="00BF0F38" w:rsidP="0075108E">
      <w:pPr>
        <w:tabs>
          <w:tab w:val="left" w:pos="5916"/>
        </w:tabs>
        <w:jc w:val="both"/>
        <w:rPr>
          <w:rFonts w:ascii="Arial" w:hAnsi="Arial" w:cs="Arial"/>
          <w:sz w:val="24"/>
          <w:szCs w:val="24"/>
        </w:rPr>
      </w:pPr>
    </w:p>
    <w:p w14:paraId="4F0628FC" w14:textId="77777777" w:rsidR="00326AF5" w:rsidRPr="00E40CBF" w:rsidRDefault="00326AF5" w:rsidP="0075108E">
      <w:pPr>
        <w:tabs>
          <w:tab w:val="left" w:pos="5916"/>
        </w:tabs>
        <w:jc w:val="both"/>
        <w:rPr>
          <w:rFonts w:ascii="Arial" w:hAnsi="Arial" w:cs="Arial"/>
          <w:sz w:val="24"/>
          <w:szCs w:val="24"/>
        </w:rPr>
      </w:pPr>
    </w:p>
    <w:p w14:paraId="51D78887" w14:textId="77777777" w:rsidR="004447FC" w:rsidRPr="00E40CBF" w:rsidRDefault="004447FC" w:rsidP="0075108E">
      <w:pPr>
        <w:tabs>
          <w:tab w:val="left" w:pos="5916"/>
        </w:tabs>
        <w:jc w:val="both"/>
        <w:rPr>
          <w:rFonts w:ascii="Arial" w:hAnsi="Arial" w:cs="Arial"/>
          <w:sz w:val="24"/>
          <w:szCs w:val="24"/>
        </w:rPr>
      </w:pPr>
    </w:p>
    <w:p w14:paraId="37AA68D6" w14:textId="77777777" w:rsidR="004447FC" w:rsidRPr="00E40CBF" w:rsidRDefault="004447FC" w:rsidP="0075108E">
      <w:pPr>
        <w:tabs>
          <w:tab w:val="left" w:pos="5916"/>
        </w:tabs>
        <w:jc w:val="both"/>
        <w:rPr>
          <w:rFonts w:ascii="Arial" w:hAnsi="Arial" w:cs="Arial"/>
          <w:sz w:val="24"/>
          <w:szCs w:val="24"/>
        </w:rPr>
      </w:pPr>
    </w:p>
    <w:p w14:paraId="03375ED8" w14:textId="4EC2B14C"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lastRenderedPageBreak/>
        <w:t xml:space="preserve">Efficiency Ratios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30"/>
        <w:gridCol w:w="1616"/>
        <w:gridCol w:w="1163"/>
        <w:gridCol w:w="1432"/>
        <w:gridCol w:w="1298"/>
        <w:gridCol w:w="1298"/>
        <w:gridCol w:w="1313"/>
      </w:tblGrid>
      <w:tr w:rsidR="00E40CBF" w:rsidRPr="00E40CBF" w14:paraId="74B655A1" w14:textId="77777777" w:rsidTr="003D7F7C">
        <w:trPr>
          <w:tblHeader/>
          <w:tblCellSpacing w:w="15" w:type="dxa"/>
        </w:trPr>
        <w:tc>
          <w:tcPr>
            <w:tcW w:w="0" w:type="auto"/>
            <w:vAlign w:val="center"/>
            <w:hideMark/>
          </w:tcPr>
          <w:p w14:paraId="7E3E4461"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35D23B1F"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1133" w:type="dxa"/>
            <w:vAlign w:val="center"/>
            <w:hideMark/>
          </w:tcPr>
          <w:p w14:paraId="5D32E4CF" w14:textId="2FB9FAB4"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1402" w:type="dxa"/>
            <w:vAlign w:val="center"/>
            <w:hideMark/>
          </w:tcPr>
          <w:p w14:paraId="0480BD28" w14:textId="0CD389F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0" w:type="auto"/>
            <w:vAlign w:val="center"/>
            <w:hideMark/>
          </w:tcPr>
          <w:p w14:paraId="59E566D8" w14:textId="2A60492F"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0" w:type="auto"/>
            <w:vAlign w:val="center"/>
            <w:hideMark/>
          </w:tcPr>
          <w:p w14:paraId="50A758F7" w14:textId="4AE446FF"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3F0CD62B" w14:textId="328483F2"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438D5BE2" w14:textId="77777777" w:rsidTr="003D7F7C">
        <w:trPr>
          <w:tblCellSpacing w:w="15" w:type="dxa"/>
        </w:trPr>
        <w:tc>
          <w:tcPr>
            <w:tcW w:w="0" w:type="auto"/>
            <w:vAlign w:val="center"/>
            <w:hideMark/>
          </w:tcPr>
          <w:p w14:paraId="11FFF91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Inventory Days</w:t>
            </w:r>
          </w:p>
        </w:tc>
        <w:tc>
          <w:tcPr>
            <w:tcW w:w="0" w:type="auto"/>
            <w:vAlign w:val="center"/>
            <w:hideMark/>
          </w:tcPr>
          <w:p w14:paraId="240323D9"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(Avg. Inventory ÷ COGS) × 365</w:t>
            </w:r>
          </w:p>
        </w:tc>
        <w:tc>
          <w:tcPr>
            <w:tcW w:w="1133" w:type="dxa"/>
            <w:vAlign w:val="center"/>
            <w:hideMark/>
          </w:tcPr>
          <w:p w14:paraId="2782FC6C" w14:textId="4FB62DA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120,430÷ 438,424</w:t>
            </w:r>
          </w:p>
        </w:tc>
        <w:tc>
          <w:tcPr>
            <w:tcW w:w="1402" w:type="dxa"/>
            <w:vAlign w:val="center"/>
            <w:hideMark/>
          </w:tcPr>
          <w:p w14:paraId="671A84BD" w14:textId="6D3325A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127,450÷ 428,586</w:t>
            </w:r>
          </w:p>
        </w:tc>
        <w:tc>
          <w:tcPr>
            <w:tcW w:w="0" w:type="auto"/>
            <w:vAlign w:val="center"/>
            <w:hideMark/>
          </w:tcPr>
          <w:p w14:paraId="7F6327C4" w14:textId="4461CCD3"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137,325÷ 390,459</w:t>
            </w:r>
          </w:p>
        </w:tc>
        <w:tc>
          <w:tcPr>
            <w:tcW w:w="0" w:type="auto"/>
            <w:vAlign w:val="center"/>
            <w:hideMark/>
          </w:tcPr>
          <w:p w14:paraId="19F973A1" w14:textId="2EC11D53"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114,227÷ 322,897</w:t>
            </w:r>
          </w:p>
        </w:tc>
        <w:tc>
          <w:tcPr>
            <w:tcW w:w="0" w:type="auto"/>
            <w:vAlign w:val="center"/>
            <w:hideMark/>
          </w:tcPr>
          <w:p w14:paraId="11D5B0D9" w14:textId="1B5A2B13"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83,814÷ 280,858</w:t>
            </w:r>
          </w:p>
        </w:tc>
      </w:tr>
      <w:tr w:rsidR="00E40CBF" w:rsidRPr="00E40CBF" w14:paraId="40B4DBB0" w14:textId="77777777" w:rsidTr="003D7F7C">
        <w:trPr>
          <w:tblCellSpacing w:w="15" w:type="dxa"/>
        </w:trPr>
        <w:tc>
          <w:tcPr>
            <w:tcW w:w="0" w:type="auto"/>
            <w:vAlign w:val="center"/>
          </w:tcPr>
          <w:p w14:paraId="75B9BBD5" w14:textId="77777777" w:rsidR="00F41CA9" w:rsidRPr="00E40CBF" w:rsidRDefault="00F41CA9" w:rsidP="0075108E">
            <w:pPr>
              <w:tabs>
                <w:tab w:val="left" w:pos="5916"/>
              </w:tabs>
              <w:jc w:val="both"/>
              <w:rPr>
                <w:rFonts w:ascii="Arial" w:hAnsi="Arial" w:cs="Arial"/>
                <w:sz w:val="24"/>
                <w:szCs w:val="24"/>
              </w:rPr>
            </w:pPr>
          </w:p>
        </w:tc>
        <w:tc>
          <w:tcPr>
            <w:tcW w:w="0" w:type="auto"/>
            <w:vAlign w:val="center"/>
          </w:tcPr>
          <w:p w14:paraId="7167D7CE" w14:textId="77777777" w:rsidR="00F41CA9" w:rsidRPr="00E40CBF" w:rsidRDefault="00F41CA9" w:rsidP="0075108E">
            <w:pPr>
              <w:tabs>
                <w:tab w:val="left" w:pos="5916"/>
              </w:tabs>
              <w:jc w:val="both"/>
              <w:rPr>
                <w:rFonts w:ascii="Arial" w:hAnsi="Arial" w:cs="Arial"/>
                <w:sz w:val="24"/>
                <w:szCs w:val="24"/>
              </w:rPr>
            </w:pPr>
          </w:p>
        </w:tc>
        <w:tc>
          <w:tcPr>
            <w:tcW w:w="1133" w:type="dxa"/>
            <w:vAlign w:val="center"/>
          </w:tcPr>
          <w:p w14:paraId="37CEFCBD" w14:textId="2513788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100.26</w:t>
            </w:r>
          </w:p>
        </w:tc>
        <w:tc>
          <w:tcPr>
            <w:tcW w:w="1402" w:type="dxa"/>
            <w:vAlign w:val="center"/>
          </w:tcPr>
          <w:p w14:paraId="1AC29EBA" w14:textId="587AFC3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108.54</w:t>
            </w:r>
          </w:p>
        </w:tc>
        <w:tc>
          <w:tcPr>
            <w:tcW w:w="0" w:type="auto"/>
            <w:vAlign w:val="center"/>
          </w:tcPr>
          <w:p w14:paraId="375004A9" w14:textId="49B58169"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128.37</w:t>
            </w:r>
          </w:p>
        </w:tc>
        <w:tc>
          <w:tcPr>
            <w:tcW w:w="0" w:type="auto"/>
            <w:vAlign w:val="center"/>
          </w:tcPr>
          <w:p w14:paraId="13CF9EFD" w14:textId="53462D2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129.12</w:t>
            </w:r>
          </w:p>
        </w:tc>
        <w:tc>
          <w:tcPr>
            <w:tcW w:w="0" w:type="auto"/>
            <w:vAlign w:val="center"/>
          </w:tcPr>
          <w:p w14:paraId="1F13105A" w14:textId="4DB8BAE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108.91</w:t>
            </w:r>
          </w:p>
        </w:tc>
      </w:tr>
      <w:tr w:rsidR="00E40CBF" w:rsidRPr="00E40CBF" w14:paraId="2AA89E83" w14:textId="77777777" w:rsidTr="003D7F7C">
        <w:trPr>
          <w:tblCellSpacing w:w="15" w:type="dxa"/>
        </w:trPr>
        <w:tc>
          <w:tcPr>
            <w:tcW w:w="0" w:type="auto"/>
            <w:vAlign w:val="center"/>
            <w:hideMark/>
          </w:tcPr>
          <w:p w14:paraId="210AB5A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Asset Turnover</w:t>
            </w:r>
          </w:p>
        </w:tc>
        <w:tc>
          <w:tcPr>
            <w:tcW w:w="0" w:type="auto"/>
            <w:vAlign w:val="center"/>
            <w:hideMark/>
          </w:tcPr>
          <w:p w14:paraId="32E6DB19"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Net Sales ÷ Avg. Total Assets</w:t>
            </w:r>
          </w:p>
        </w:tc>
        <w:tc>
          <w:tcPr>
            <w:tcW w:w="1133" w:type="dxa"/>
            <w:vAlign w:val="center"/>
            <w:hideMark/>
          </w:tcPr>
          <w:p w14:paraId="5D70205A" w14:textId="1B01E9B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614,680÷ 510,090</w:t>
            </w:r>
          </w:p>
        </w:tc>
        <w:tc>
          <w:tcPr>
            <w:tcW w:w="1402" w:type="dxa"/>
            <w:vAlign w:val="center"/>
            <w:hideMark/>
          </w:tcPr>
          <w:p w14:paraId="31960778" w14:textId="5E3983BD"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601,602÷ 510,397</w:t>
            </w:r>
          </w:p>
        </w:tc>
        <w:tc>
          <w:tcPr>
            <w:tcW w:w="0" w:type="auto"/>
            <w:vAlign w:val="center"/>
            <w:hideMark/>
          </w:tcPr>
          <w:p w14:paraId="63A95A36" w14:textId="5F7FC97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542,751÷ 491,025</w:t>
            </w:r>
          </w:p>
        </w:tc>
        <w:tc>
          <w:tcPr>
            <w:tcW w:w="0" w:type="auto"/>
            <w:vAlign w:val="center"/>
            <w:hideMark/>
          </w:tcPr>
          <w:p w14:paraId="72F6BEBA" w14:textId="76FBA3A0"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420,457÷ 435,451</w:t>
            </w:r>
          </w:p>
        </w:tc>
        <w:tc>
          <w:tcPr>
            <w:tcW w:w="0" w:type="auto"/>
            <w:vAlign w:val="center"/>
            <w:hideMark/>
          </w:tcPr>
          <w:p w14:paraId="7EFFE219" w14:textId="7437CA5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394,879÷ 377,455</w:t>
            </w:r>
          </w:p>
        </w:tc>
      </w:tr>
      <w:tr w:rsidR="00F41CA9" w:rsidRPr="00E40CBF" w14:paraId="3E517307" w14:textId="77777777" w:rsidTr="003D7F7C">
        <w:trPr>
          <w:tblCellSpacing w:w="15" w:type="dxa"/>
        </w:trPr>
        <w:tc>
          <w:tcPr>
            <w:tcW w:w="0" w:type="auto"/>
            <w:vAlign w:val="center"/>
          </w:tcPr>
          <w:p w14:paraId="188E7DE2" w14:textId="77777777" w:rsidR="00F41CA9" w:rsidRPr="00E40CBF" w:rsidRDefault="00F41CA9" w:rsidP="0075108E">
            <w:pPr>
              <w:tabs>
                <w:tab w:val="left" w:pos="5916"/>
              </w:tabs>
              <w:jc w:val="both"/>
              <w:rPr>
                <w:rFonts w:ascii="Arial" w:hAnsi="Arial" w:cs="Arial"/>
                <w:sz w:val="24"/>
                <w:szCs w:val="24"/>
              </w:rPr>
            </w:pPr>
          </w:p>
        </w:tc>
        <w:tc>
          <w:tcPr>
            <w:tcW w:w="0" w:type="auto"/>
            <w:vAlign w:val="center"/>
          </w:tcPr>
          <w:p w14:paraId="2D7FF5A2" w14:textId="77777777" w:rsidR="00F41CA9" w:rsidRPr="00E40CBF" w:rsidRDefault="00F41CA9" w:rsidP="0075108E">
            <w:pPr>
              <w:tabs>
                <w:tab w:val="left" w:pos="5916"/>
              </w:tabs>
              <w:jc w:val="both"/>
              <w:rPr>
                <w:rFonts w:ascii="Arial" w:hAnsi="Arial" w:cs="Arial"/>
                <w:sz w:val="24"/>
                <w:szCs w:val="24"/>
              </w:rPr>
            </w:pPr>
          </w:p>
        </w:tc>
        <w:tc>
          <w:tcPr>
            <w:tcW w:w="1133" w:type="dxa"/>
            <w:vAlign w:val="center"/>
          </w:tcPr>
          <w:p w14:paraId="20FF19FA" w14:textId="6AD1A9A5"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1.20</w:t>
            </w:r>
          </w:p>
        </w:tc>
        <w:tc>
          <w:tcPr>
            <w:tcW w:w="1402" w:type="dxa"/>
            <w:vAlign w:val="center"/>
          </w:tcPr>
          <w:p w14:paraId="7594424A" w14:textId="77FED97C"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1.18</w:t>
            </w:r>
          </w:p>
        </w:tc>
        <w:tc>
          <w:tcPr>
            <w:tcW w:w="0" w:type="auto"/>
            <w:vAlign w:val="center"/>
          </w:tcPr>
          <w:p w14:paraId="53C0131B" w14:textId="0A9B2364"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1.07</w:t>
            </w:r>
          </w:p>
        </w:tc>
        <w:tc>
          <w:tcPr>
            <w:tcW w:w="0" w:type="auto"/>
            <w:vAlign w:val="center"/>
          </w:tcPr>
          <w:p w14:paraId="0AA9E753" w14:textId="1482E96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0.97</w:t>
            </w:r>
          </w:p>
        </w:tc>
        <w:tc>
          <w:tcPr>
            <w:tcW w:w="0" w:type="auto"/>
            <w:vAlign w:val="center"/>
          </w:tcPr>
          <w:p w14:paraId="331C1FF0" w14:textId="2AE9EF89"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1.05</w:t>
            </w:r>
          </w:p>
        </w:tc>
      </w:tr>
    </w:tbl>
    <w:p w14:paraId="21D5C230" w14:textId="389CDF69" w:rsidR="00BB06B0" w:rsidRPr="00E40CBF" w:rsidRDefault="00BB06B0" w:rsidP="0075108E">
      <w:pPr>
        <w:tabs>
          <w:tab w:val="left" w:pos="5916"/>
        </w:tabs>
        <w:jc w:val="both"/>
        <w:rPr>
          <w:rFonts w:ascii="Arial" w:hAnsi="Arial" w:cs="Arial"/>
          <w:sz w:val="24"/>
          <w:szCs w:val="24"/>
        </w:rPr>
      </w:pPr>
    </w:p>
    <w:p w14:paraId="20876090" w14:textId="5736074B"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t xml:space="preserve">Gearing Ratios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0"/>
        <w:gridCol w:w="1340"/>
        <w:gridCol w:w="1026"/>
        <w:gridCol w:w="1365"/>
        <w:gridCol w:w="1365"/>
        <w:gridCol w:w="1365"/>
        <w:gridCol w:w="1439"/>
      </w:tblGrid>
      <w:tr w:rsidR="00E40CBF" w:rsidRPr="00E40CBF" w14:paraId="63042F64" w14:textId="77777777" w:rsidTr="00BB06B0">
        <w:trPr>
          <w:tblHeader/>
          <w:tblCellSpacing w:w="15" w:type="dxa"/>
        </w:trPr>
        <w:tc>
          <w:tcPr>
            <w:tcW w:w="0" w:type="auto"/>
            <w:vAlign w:val="center"/>
            <w:hideMark/>
          </w:tcPr>
          <w:p w14:paraId="049045D7"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1310" w:type="dxa"/>
            <w:vAlign w:val="center"/>
            <w:hideMark/>
          </w:tcPr>
          <w:p w14:paraId="2DD3EE3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996" w:type="dxa"/>
            <w:vAlign w:val="center"/>
            <w:hideMark/>
          </w:tcPr>
          <w:p w14:paraId="3665CAA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0" w:type="auto"/>
            <w:vAlign w:val="center"/>
            <w:hideMark/>
          </w:tcPr>
          <w:p w14:paraId="7A1B73DA"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0" w:type="auto"/>
            <w:vAlign w:val="center"/>
            <w:hideMark/>
          </w:tcPr>
          <w:p w14:paraId="0A386B95"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0" w:type="auto"/>
            <w:vAlign w:val="center"/>
            <w:hideMark/>
          </w:tcPr>
          <w:p w14:paraId="3183F07F"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2DAE08E9"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2D471593" w14:textId="77777777" w:rsidTr="00BB06B0">
        <w:trPr>
          <w:tblCellSpacing w:w="15" w:type="dxa"/>
        </w:trPr>
        <w:tc>
          <w:tcPr>
            <w:tcW w:w="0" w:type="auto"/>
            <w:vAlign w:val="center"/>
            <w:hideMark/>
          </w:tcPr>
          <w:p w14:paraId="329AFCF3"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Debt-to-Equity (x)</w:t>
            </w:r>
          </w:p>
        </w:tc>
        <w:tc>
          <w:tcPr>
            <w:tcW w:w="1310" w:type="dxa"/>
            <w:vAlign w:val="center"/>
            <w:hideMark/>
          </w:tcPr>
          <w:p w14:paraId="7EE6C626"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Total Debt ÷ Total Equity</w:t>
            </w:r>
          </w:p>
        </w:tc>
        <w:tc>
          <w:tcPr>
            <w:tcW w:w="996" w:type="dxa"/>
            <w:vAlign w:val="center"/>
            <w:hideMark/>
          </w:tcPr>
          <w:p w14:paraId="764C91C5"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196,989 ÷ 313,301</w:t>
            </w:r>
          </w:p>
        </w:tc>
        <w:tc>
          <w:tcPr>
            <w:tcW w:w="0" w:type="auto"/>
            <w:vAlign w:val="center"/>
            <w:hideMark/>
          </w:tcPr>
          <w:p w14:paraId="7281170B"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234,399 ÷ 273,748</w:t>
            </w:r>
          </w:p>
        </w:tc>
        <w:tc>
          <w:tcPr>
            <w:tcW w:w="0" w:type="auto"/>
            <w:vAlign w:val="center"/>
            <w:hideMark/>
          </w:tcPr>
          <w:p w14:paraId="5D5DF12A"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235,757 ÷ 269,656</w:t>
            </w:r>
          </w:p>
        </w:tc>
        <w:tc>
          <w:tcPr>
            <w:tcW w:w="0" w:type="auto"/>
            <w:vAlign w:val="center"/>
            <w:hideMark/>
          </w:tcPr>
          <w:p w14:paraId="77F9AEF2"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176,952 ÷ 178,476</w:t>
            </w:r>
          </w:p>
        </w:tc>
        <w:tc>
          <w:tcPr>
            <w:tcW w:w="0" w:type="auto"/>
            <w:vAlign w:val="center"/>
            <w:hideMark/>
          </w:tcPr>
          <w:p w14:paraId="40B98030" w14:textId="418EB7B8"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170,249÷ 153,953</w:t>
            </w:r>
          </w:p>
        </w:tc>
      </w:tr>
      <w:tr w:rsidR="00E40CBF" w:rsidRPr="00E40CBF" w14:paraId="364C3C79" w14:textId="77777777" w:rsidTr="00BB06B0">
        <w:trPr>
          <w:tblCellSpacing w:w="15" w:type="dxa"/>
        </w:trPr>
        <w:tc>
          <w:tcPr>
            <w:tcW w:w="0" w:type="auto"/>
            <w:vAlign w:val="center"/>
          </w:tcPr>
          <w:p w14:paraId="28BBE14C" w14:textId="77777777" w:rsidR="00F41CA9" w:rsidRPr="00E40CBF" w:rsidRDefault="00F41CA9" w:rsidP="0075108E">
            <w:pPr>
              <w:tabs>
                <w:tab w:val="left" w:pos="5916"/>
              </w:tabs>
              <w:jc w:val="both"/>
              <w:rPr>
                <w:rFonts w:ascii="Arial" w:hAnsi="Arial" w:cs="Arial"/>
                <w:sz w:val="24"/>
                <w:szCs w:val="24"/>
              </w:rPr>
            </w:pPr>
          </w:p>
        </w:tc>
        <w:tc>
          <w:tcPr>
            <w:tcW w:w="1310" w:type="dxa"/>
            <w:vAlign w:val="center"/>
          </w:tcPr>
          <w:p w14:paraId="4ABEDF66" w14:textId="77777777" w:rsidR="00F41CA9" w:rsidRPr="00E40CBF" w:rsidRDefault="00F41CA9" w:rsidP="0075108E">
            <w:pPr>
              <w:tabs>
                <w:tab w:val="left" w:pos="5916"/>
              </w:tabs>
              <w:jc w:val="both"/>
              <w:rPr>
                <w:rFonts w:ascii="Arial" w:hAnsi="Arial" w:cs="Arial"/>
                <w:sz w:val="24"/>
                <w:szCs w:val="24"/>
              </w:rPr>
            </w:pPr>
          </w:p>
        </w:tc>
        <w:tc>
          <w:tcPr>
            <w:tcW w:w="996" w:type="dxa"/>
            <w:vAlign w:val="center"/>
          </w:tcPr>
          <w:p w14:paraId="178D2E23" w14:textId="53EB670D"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0.63</w:t>
            </w:r>
          </w:p>
        </w:tc>
        <w:tc>
          <w:tcPr>
            <w:tcW w:w="0" w:type="auto"/>
            <w:vAlign w:val="center"/>
          </w:tcPr>
          <w:p w14:paraId="1E2FC5A4" w14:textId="138583B4"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0.85</w:t>
            </w:r>
          </w:p>
        </w:tc>
        <w:tc>
          <w:tcPr>
            <w:tcW w:w="0" w:type="auto"/>
            <w:vAlign w:val="center"/>
          </w:tcPr>
          <w:p w14:paraId="29BDDEA6" w14:textId="676AB139"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0.88</w:t>
            </w:r>
          </w:p>
        </w:tc>
        <w:tc>
          <w:tcPr>
            <w:tcW w:w="0" w:type="auto"/>
            <w:vAlign w:val="center"/>
          </w:tcPr>
          <w:p w14:paraId="74135760" w14:textId="5E80403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0.99</w:t>
            </w:r>
          </w:p>
        </w:tc>
        <w:tc>
          <w:tcPr>
            <w:tcW w:w="0" w:type="auto"/>
            <w:vAlign w:val="center"/>
          </w:tcPr>
          <w:p w14:paraId="250BEC3F" w14:textId="6AD88EA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1.11</w:t>
            </w:r>
          </w:p>
        </w:tc>
      </w:tr>
      <w:tr w:rsidR="00E40CBF" w:rsidRPr="00E40CBF" w14:paraId="4C7076C1" w14:textId="77777777" w:rsidTr="00BB06B0">
        <w:trPr>
          <w:tblCellSpacing w:w="15" w:type="dxa"/>
        </w:trPr>
        <w:tc>
          <w:tcPr>
            <w:tcW w:w="0" w:type="auto"/>
            <w:vAlign w:val="center"/>
            <w:hideMark/>
          </w:tcPr>
          <w:p w14:paraId="1B136E9D"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Net-Debt-to-EBITDA</w:t>
            </w:r>
          </w:p>
        </w:tc>
        <w:tc>
          <w:tcPr>
            <w:tcW w:w="1310" w:type="dxa"/>
            <w:vAlign w:val="center"/>
            <w:hideMark/>
          </w:tcPr>
          <w:p w14:paraId="5387381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(Net Debt ÷ EBIT)</w:t>
            </w:r>
          </w:p>
        </w:tc>
        <w:tc>
          <w:tcPr>
            <w:tcW w:w="996" w:type="dxa"/>
            <w:vAlign w:val="center"/>
            <w:hideMark/>
          </w:tcPr>
          <w:p w14:paraId="057F363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196,989 ÷ 37,267</w:t>
            </w:r>
          </w:p>
        </w:tc>
        <w:tc>
          <w:tcPr>
            <w:tcW w:w="0" w:type="auto"/>
            <w:vAlign w:val="center"/>
            <w:hideMark/>
          </w:tcPr>
          <w:p w14:paraId="7C4F21AF"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234,399 ÷ 23,253</w:t>
            </w:r>
          </w:p>
        </w:tc>
        <w:tc>
          <w:tcPr>
            <w:tcW w:w="0" w:type="auto"/>
            <w:vAlign w:val="center"/>
            <w:hideMark/>
          </w:tcPr>
          <w:p w14:paraId="02CC2AA4"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235,757 ÷ 14,854</w:t>
            </w:r>
          </w:p>
        </w:tc>
        <w:tc>
          <w:tcPr>
            <w:tcW w:w="0" w:type="auto"/>
            <w:vAlign w:val="center"/>
            <w:hideMark/>
          </w:tcPr>
          <w:p w14:paraId="6D8C96FD" w14:textId="77777777"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176,952 ÷ –85,301</w:t>
            </w:r>
          </w:p>
        </w:tc>
        <w:tc>
          <w:tcPr>
            <w:tcW w:w="0" w:type="auto"/>
            <w:vAlign w:val="center"/>
            <w:hideMark/>
          </w:tcPr>
          <w:p w14:paraId="458957B5" w14:textId="1B2ADB0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170,249÷ –15,297</w:t>
            </w:r>
          </w:p>
        </w:tc>
      </w:tr>
      <w:tr w:rsidR="00F41CA9" w:rsidRPr="00E40CBF" w14:paraId="09DEB63E" w14:textId="77777777" w:rsidTr="00BB06B0">
        <w:trPr>
          <w:tblCellSpacing w:w="15" w:type="dxa"/>
        </w:trPr>
        <w:tc>
          <w:tcPr>
            <w:tcW w:w="0" w:type="auto"/>
            <w:vAlign w:val="center"/>
          </w:tcPr>
          <w:p w14:paraId="72D18B31" w14:textId="77777777" w:rsidR="00F41CA9" w:rsidRPr="00E40CBF" w:rsidRDefault="00F41CA9" w:rsidP="0075108E">
            <w:pPr>
              <w:tabs>
                <w:tab w:val="left" w:pos="5916"/>
              </w:tabs>
              <w:jc w:val="both"/>
              <w:rPr>
                <w:rFonts w:ascii="Arial" w:hAnsi="Arial" w:cs="Arial"/>
                <w:sz w:val="24"/>
                <w:szCs w:val="24"/>
              </w:rPr>
            </w:pPr>
          </w:p>
        </w:tc>
        <w:tc>
          <w:tcPr>
            <w:tcW w:w="1310" w:type="dxa"/>
            <w:vAlign w:val="center"/>
          </w:tcPr>
          <w:p w14:paraId="6BD5D367" w14:textId="77777777" w:rsidR="00F41CA9" w:rsidRPr="00E40CBF" w:rsidRDefault="00F41CA9" w:rsidP="0075108E">
            <w:pPr>
              <w:tabs>
                <w:tab w:val="left" w:pos="5916"/>
              </w:tabs>
              <w:jc w:val="both"/>
              <w:rPr>
                <w:rFonts w:ascii="Arial" w:hAnsi="Arial" w:cs="Arial"/>
                <w:sz w:val="24"/>
                <w:szCs w:val="24"/>
              </w:rPr>
            </w:pPr>
          </w:p>
        </w:tc>
        <w:tc>
          <w:tcPr>
            <w:tcW w:w="996" w:type="dxa"/>
            <w:vAlign w:val="center"/>
          </w:tcPr>
          <w:p w14:paraId="051C1952" w14:textId="5D1DCFBF"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5.29</w:t>
            </w:r>
          </w:p>
        </w:tc>
        <w:tc>
          <w:tcPr>
            <w:tcW w:w="0" w:type="auto"/>
            <w:vAlign w:val="center"/>
          </w:tcPr>
          <w:p w14:paraId="22041EDB" w14:textId="0AD81C66"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10.08</w:t>
            </w:r>
          </w:p>
        </w:tc>
        <w:tc>
          <w:tcPr>
            <w:tcW w:w="0" w:type="auto"/>
            <w:vAlign w:val="center"/>
          </w:tcPr>
          <w:p w14:paraId="132076A7" w14:textId="47F6C43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15.87</w:t>
            </w:r>
          </w:p>
        </w:tc>
        <w:tc>
          <w:tcPr>
            <w:tcW w:w="0" w:type="auto"/>
            <w:vAlign w:val="center"/>
          </w:tcPr>
          <w:p w14:paraId="5F7495E5" w14:textId="42B18800"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-2.07</w:t>
            </w:r>
          </w:p>
        </w:tc>
        <w:tc>
          <w:tcPr>
            <w:tcW w:w="0" w:type="auto"/>
            <w:vAlign w:val="center"/>
          </w:tcPr>
          <w:p w14:paraId="16A758FF" w14:textId="19AD848E" w:rsidR="00F41CA9" w:rsidRPr="00E40CBF" w:rsidRDefault="00F41CA9" w:rsidP="0075108E">
            <w:pPr>
              <w:tabs>
                <w:tab w:val="left" w:pos="5916"/>
              </w:tabs>
              <w:jc w:val="both"/>
              <w:rPr>
                <w:rFonts w:ascii="Arial" w:hAnsi="Arial" w:cs="Arial"/>
                <w:sz w:val="24"/>
                <w:szCs w:val="24"/>
              </w:rPr>
            </w:pPr>
            <w:r w:rsidRPr="00E40CBF">
              <w:rPr>
                <w:rFonts w:ascii="Arial" w:hAnsi="Arial" w:cs="Arial"/>
                <w:sz w:val="24"/>
                <w:szCs w:val="24"/>
              </w:rPr>
              <w:t>-11.13</w:t>
            </w:r>
          </w:p>
        </w:tc>
      </w:tr>
    </w:tbl>
    <w:p w14:paraId="5000D41B" w14:textId="77777777" w:rsidR="00B76492" w:rsidRPr="00E40CBF" w:rsidRDefault="00B76492" w:rsidP="0075108E">
      <w:pPr>
        <w:tabs>
          <w:tab w:val="left" w:pos="5916"/>
        </w:tabs>
        <w:jc w:val="both"/>
        <w:rPr>
          <w:rFonts w:ascii="Arial" w:hAnsi="Arial" w:cs="Arial"/>
          <w:sz w:val="24"/>
          <w:szCs w:val="24"/>
        </w:rPr>
      </w:pPr>
    </w:p>
    <w:p w14:paraId="44BE3A04" w14:textId="72A57184"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t xml:space="preserve">Investment Ratio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5"/>
        <w:gridCol w:w="1456"/>
        <w:gridCol w:w="1232"/>
        <w:gridCol w:w="1176"/>
        <w:gridCol w:w="1092"/>
        <w:gridCol w:w="1287"/>
        <w:gridCol w:w="1302"/>
      </w:tblGrid>
      <w:tr w:rsidR="00E40CBF" w:rsidRPr="00E40CBF" w14:paraId="14BC2946" w14:textId="77777777" w:rsidTr="00BB06B0">
        <w:trPr>
          <w:tblHeader/>
          <w:tblCellSpacing w:w="15" w:type="dxa"/>
        </w:trPr>
        <w:tc>
          <w:tcPr>
            <w:tcW w:w="0" w:type="auto"/>
            <w:vAlign w:val="center"/>
            <w:hideMark/>
          </w:tcPr>
          <w:p w14:paraId="50C484FE"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1E2EE070"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0" w:type="auto"/>
            <w:vAlign w:val="center"/>
            <w:hideMark/>
          </w:tcPr>
          <w:p w14:paraId="0764EC34"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2020</w:t>
            </w:r>
          </w:p>
        </w:tc>
        <w:tc>
          <w:tcPr>
            <w:tcW w:w="0" w:type="auto"/>
            <w:vAlign w:val="center"/>
            <w:hideMark/>
          </w:tcPr>
          <w:p w14:paraId="45C62D41"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0" w:type="auto"/>
            <w:vAlign w:val="center"/>
            <w:hideMark/>
          </w:tcPr>
          <w:p w14:paraId="5EC2F073"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0" w:type="auto"/>
            <w:vAlign w:val="center"/>
            <w:hideMark/>
          </w:tcPr>
          <w:p w14:paraId="778F63CF"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0" w:type="auto"/>
            <w:vAlign w:val="center"/>
            <w:hideMark/>
          </w:tcPr>
          <w:p w14:paraId="52F4FBF3"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2024</w:t>
            </w:r>
          </w:p>
        </w:tc>
      </w:tr>
      <w:tr w:rsidR="00E40CBF" w:rsidRPr="00E40CBF" w14:paraId="62C4C49E" w14:textId="77777777" w:rsidTr="00BB06B0">
        <w:trPr>
          <w:tblCellSpacing w:w="15" w:type="dxa"/>
        </w:trPr>
        <w:tc>
          <w:tcPr>
            <w:tcW w:w="0" w:type="auto"/>
            <w:vAlign w:val="center"/>
            <w:hideMark/>
          </w:tcPr>
          <w:p w14:paraId="11882A4A"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Earnings per Share (EPS)</w:t>
            </w:r>
          </w:p>
        </w:tc>
        <w:tc>
          <w:tcPr>
            <w:tcW w:w="0" w:type="auto"/>
            <w:vAlign w:val="center"/>
            <w:hideMark/>
          </w:tcPr>
          <w:p w14:paraId="2FCB13C7"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Earnings ÷ Shares</w:t>
            </w:r>
          </w:p>
        </w:tc>
        <w:tc>
          <w:tcPr>
            <w:tcW w:w="0" w:type="auto"/>
            <w:vAlign w:val="center"/>
            <w:hideMark/>
          </w:tcPr>
          <w:p w14:paraId="1CC28A4B"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38,572 ÷ 13,893</w:t>
            </w:r>
          </w:p>
        </w:tc>
        <w:tc>
          <w:tcPr>
            <w:tcW w:w="0" w:type="auto"/>
            <w:vAlign w:val="center"/>
            <w:hideMark/>
          </w:tcPr>
          <w:p w14:paraId="6E402048"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5,301 ÷ 14,025</w:t>
            </w:r>
          </w:p>
        </w:tc>
        <w:tc>
          <w:tcPr>
            <w:tcW w:w="0" w:type="auto"/>
            <w:vAlign w:val="center"/>
            <w:hideMark/>
          </w:tcPr>
          <w:p w14:paraId="2D235D79"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407 ÷ 12,730</w:t>
            </w:r>
          </w:p>
        </w:tc>
        <w:tc>
          <w:tcPr>
            <w:tcW w:w="0" w:type="auto"/>
            <w:vAlign w:val="center"/>
            <w:hideMark/>
          </w:tcPr>
          <w:p w14:paraId="40C5B36A"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–98,238 ÷ 12,855</w:t>
            </w:r>
          </w:p>
        </w:tc>
        <w:tc>
          <w:tcPr>
            <w:tcW w:w="0" w:type="auto"/>
            <w:vAlign w:val="center"/>
            <w:hideMark/>
          </w:tcPr>
          <w:p w14:paraId="7B80B5C8" w14:textId="77777777"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–24,029 ÷ 12,692</w:t>
            </w:r>
          </w:p>
        </w:tc>
      </w:tr>
      <w:tr w:rsidR="00BF0F38" w:rsidRPr="00E40CBF" w14:paraId="682BA8DF" w14:textId="77777777" w:rsidTr="00BB06B0">
        <w:trPr>
          <w:tblCellSpacing w:w="15" w:type="dxa"/>
        </w:trPr>
        <w:tc>
          <w:tcPr>
            <w:tcW w:w="0" w:type="auto"/>
            <w:vAlign w:val="center"/>
          </w:tcPr>
          <w:p w14:paraId="75528AE0" w14:textId="77777777" w:rsidR="00BF0F38" w:rsidRPr="00E40CBF" w:rsidRDefault="00BF0F38" w:rsidP="0075108E">
            <w:pPr>
              <w:tabs>
                <w:tab w:val="left" w:pos="5916"/>
              </w:tabs>
              <w:jc w:val="both"/>
              <w:rPr>
                <w:rFonts w:ascii="Arial" w:hAnsi="Arial" w:cs="Arial"/>
                <w:sz w:val="24"/>
                <w:szCs w:val="24"/>
              </w:rPr>
            </w:pPr>
          </w:p>
        </w:tc>
        <w:tc>
          <w:tcPr>
            <w:tcW w:w="0" w:type="auto"/>
            <w:vAlign w:val="center"/>
          </w:tcPr>
          <w:p w14:paraId="7AA69CCC" w14:textId="77777777" w:rsidR="00BF0F38" w:rsidRPr="00E40CBF" w:rsidRDefault="00BF0F38" w:rsidP="0075108E">
            <w:pPr>
              <w:tabs>
                <w:tab w:val="left" w:pos="5916"/>
              </w:tabs>
              <w:jc w:val="both"/>
              <w:rPr>
                <w:rFonts w:ascii="Arial" w:hAnsi="Arial" w:cs="Arial"/>
                <w:sz w:val="24"/>
                <w:szCs w:val="24"/>
              </w:rPr>
            </w:pPr>
          </w:p>
        </w:tc>
        <w:tc>
          <w:tcPr>
            <w:tcW w:w="0" w:type="auto"/>
            <w:vAlign w:val="center"/>
          </w:tcPr>
          <w:p w14:paraId="64DA2DD3" w14:textId="2D3010A0"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2.78</w:t>
            </w:r>
          </w:p>
        </w:tc>
        <w:tc>
          <w:tcPr>
            <w:tcW w:w="0" w:type="auto"/>
            <w:vAlign w:val="center"/>
          </w:tcPr>
          <w:p w14:paraId="211CF143" w14:textId="78940495"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0.39</w:t>
            </w:r>
          </w:p>
        </w:tc>
        <w:tc>
          <w:tcPr>
            <w:tcW w:w="0" w:type="auto"/>
            <w:vAlign w:val="center"/>
          </w:tcPr>
          <w:p w14:paraId="6E60699C" w14:textId="5803CEA2"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0.03</w:t>
            </w:r>
          </w:p>
        </w:tc>
        <w:tc>
          <w:tcPr>
            <w:tcW w:w="0" w:type="auto"/>
            <w:vAlign w:val="center"/>
          </w:tcPr>
          <w:p w14:paraId="03C07073" w14:textId="2433BCC5"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-7.64</w:t>
            </w:r>
          </w:p>
        </w:tc>
        <w:tc>
          <w:tcPr>
            <w:tcW w:w="0" w:type="auto"/>
            <w:vAlign w:val="center"/>
          </w:tcPr>
          <w:p w14:paraId="08A6991D" w14:textId="5AE1D1A0" w:rsidR="00BF0F38" w:rsidRPr="00E40CBF" w:rsidRDefault="00BF0F38" w:rsidP="0075108E">
            <w:pPr>
              <w:tabs>
                <w:tab w:val="left" w:pos="5916"/>
              </w:tabs>
              <w:jc w:val="both"/>
              <w:rPr>
                <w:rFonts w:ascii="Arial" w:hAnsi="Arial" w:cs="Arial"/>
                <w:sz w:val="24"/>
                <w:szCs w:val="24"/>
              </w:rPr>
            </w:pPr>
            <w:r w:rsidRPr="00E40CBF">
              <w:rPr>
                <w:rFonts w:ascii="Arial" w:hAnsi="Arial" w:cs="Arial"/>
                <w:sz w:val="24"/>
                <w:szCs w:val="24"/>
              </w:rPr>
              <w:t>-1.85</w:t>
            </w:r>
          </w:p>
        </w:tc>
      </w:tr>
    </w:tbl>
    <w:p w14:paraId="31B7BF82" w14:textId="6DFA6F51" w:rsidR="00BB06B0" w:rsidRPr="00E40CBF" w:rsidRDefault="00BB06B0" w:rsidP="0075108E">
      <w:pPr>
        <w:tabs>
          <w:tab w:val="left" w:pos="5916"/>
        </w:tabs>
        <w:jc w:val="both"/>
        <w:rPr>
          <w:rFonts w:ascii="Arial" w:hAnsi="Arial" w:cs="Arial"/>
          <w:sz w:val="24"/>
          <w:szCs w:val="24"/>
        </w:rPr>
      </w:pPr>
    </w:p>
    <w:p w14:paraId="51A5C0C1" w14:textId="77777777" w:rsidR="001A4A7B" w:rsidRPr="00E40CBF" w:rsidRDefault="001A4A7B" w:rsidP="0075108E">
      <w:pPr>
        <w:tabs>
          <w:tab w:val="left" w:pos="5916"/>
        </w:tabs>
        <w:jc w:val="both"/>
        <w:rPr>
          <w:rFonts w:ascii="Arial" w:hAnsi="Arial" w:cs="Arial"/>
          <w:sz w:val="24"/>
          <w:szCs w:val="24"/>
        </w:rPr>
      </w:pPr>
    </w:p>
    <w:p w14:paraId="713ABD75" w14:textId="09B74746" w:rsidR="00BB06B0" w:rsidRPr="00E40CBF" w:rsidRDefault="00BB06B0" w:rsidP="0075108E">
      <w:pPr>
        <w:tabs>
          <w:tab w:val="left" w:pos="5916"/>
        </w:tabs>
        <w:jc w:val="both"/>
        <w:rPr>
          <w:rFonts w:ascii="Arial" w:hAnsi="Arial" w:cs="Arial"/>
          <w:sz w:val="24"/>
          <w:szCs w:val="24"/>
        </w:rPr>
      </w:pPr>
      <w:r w:rsidRPr="00E40CBF">
        <w:rPr>
          <w:rFonts w:ascii="Arial" w:hAnsi="Arial" w:cs="Arial"/>
          <w:sz w:val="24"/>
          <w:szCs w:val="24"/>
        </w:rPr>
        <w:lastRenderedPageBreak/>
        <w:t xml:space="preserve">Cash Flow Ratio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2"/>
        <w:gridCol w:w="1528"/>
        <w:gridCol w:w="1229"/>
        <w:gridCol w:w="1229"/>
        <w:gridCol w:w="1229"/>
        <w:gridCol w:w="1229"/>
        <w:gridCol w:w="1244"/>
      </w:tblGrid>
      <w:tr w:rsidR="00E40CBF" w:rsidRPr="00E40CBF" w14:paraId="3A94E935" w14:textId="77777777" w:rsidTr="00BB06B0">
        <w:trPr>
          <w:tblHeader/>
          <w:tblCellSpacing w:w="15" w:type="dxa"/>
        </w:trPr>
        <w:tc>
          <w:tcPr>
            <w:tcW w:w="0" w:type="auto"/>
            <w:vAlign w:val="center"/>
            <w:hideMark/>
          </w:tcPr>
          <w:p w14:paraId="75832C89"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Ratio</w:t>
            </w:r>
          </w:p>
        </w:tc>
        <w:tc>
          <w:tcPr>
            <w:tcW w:w="0" w:type="auto"/>
            <w:vAlign w:val="center"/>
            <w:hideMark/>
          </w:tcPr>
          <w:p w14:paraId="44506780"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Formula</w:t>
            </w:r>
          </w:p>
        </w:tc>
        <w:tc>
          <w:tcPr>
            <w:tcW w:w="0" w:type="auto"/>
            <w:vAlign w:val="center"/>
            <w:hideMark/>
          </w:tcPr>
          <w:p w14:paraId="5B9F6A59" w14:textId="1F4EA840"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2020 </w:t>
            </w:r>
          </w:p>
        </w:tc>
        <w:tc>
          <w:tcPr>
            <w:tcW w:w="0" w:type="auto"/>
            <w:vAlign w:val="center"/>
            <w:hideMark/>
          </w:tcPr>
          <w:p w14:paraId="0DBFB1CD" w14:textId="27996285"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2021 </w:t>
            </w:r>
          </w:p>
        </w:tc>
        <w:tc>
          <w:tcPr>
            <w:tcW w:w="0" w:type="auto"/>
            <w:vAlign w:val="center"/>
            <w:hideMark/>
          </w:tcPr>
          <w:p w14:paraId="0E14B44E" w14:textId="42654801"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2022 </w:t>
            </w:r>
          </w:p>
        </w:tc>
        <w:tc>
          <w:tcPr>
            <w:tcW w:w="0" w:type="auto"/>
            <w:vAlign w:val="center"/>
            <w:hideMark/>
          </w:tcPr>
          <w:p w14:paraId="4B55DBF8" w14:textId="4288375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2023 </w:t>
            </w:r>
          </w:p>
        </w:tc>
        <w:tc>
          <w:tcPr>
            <w:tcW w:w="0" w:type="auto"/>
            <w:vAlign w:val="center"/>
            <w:hideMark/>
          </w:tcPr>
          <w:p w14:paraId="37E48572" w14:textId="7EBFCA6F"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 xml:space="preserve">2024 </w:t>
            </w:r>
          </w:p>
        </w:tc>
      </w:tr>
      <w:tr w:rsidR="00E40CBF" w:rsidRPr="00E40CBF" w14:paraId="54B56FF0" w14:textId="77777777" w:rsidTr="00BB06B0">
        <w:trPr>
          <w:tblCellSpacing w:w="15" w:type="dxa"/>
        </w:trPr>
        <w:tc>
          <w:tcPr>
            <w:tcW w:w="0" w:type="auto"/>
            <w:vAlign w:val="center"/>
            <w:hideMark/>
          </w:tcPr>
          <w:p w14:paraId="7DC36DC4"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Operating Cash Flow Ratio</w:t>
            </w:r>
          </w:p>
        </w:tc>
        <w:tc>
          <w:tcPr>
            <w:tcW w:w="0" w:type="auto"/>
            <w:vAlign w:val="center"/>
            <w:hideMark/>
          </w:tcPr>
          <w:p w14:paraId="4D56FE66"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OCF ÷ Current Liabilities</w:t>
            </w:r>
          </w:p>
        </w:tc>
        <w:tc>
          <w:tcPr>
            <w:tcW w:w="0" w:type="auto"/>
            <w:vAlign w:val="center"/>
            <w:hideMark/>
          </w:tcPr>
          <w:p w14:paraId="1D6A752F"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73,392 ÷ 179,510</w:t>
            </w:r>
          </w:p>
        </w:tc>
        <w:tc>
          <w:tcPr>
            <w:tcW w:w="0" w:type="auto"/>
            <w:vAlign w:val="center"/>
            <w:hideMark/>
          </w:tcPr>
          <w:p w14:paraId="181E55A8"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40,283 ÷ 216,787</w:t>
            </w:r>
          </w:p>
        </w:tc>
        <w:tc>
          <w:tcPr>
            <w:tcW w:w="0" w:type="auto"/>
            <w:vAlign w:val="center"/>
            <w:hideMark/>
          </w:tcPr>
          <w:p w14:paraId="5EC8CFBE"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10,926 ÷ 192,430</w:t>
            </w:r>
          </w:p>
        </w:tc>
        <w:tc>
          <w:tcPr>
            <w:tcW w:w="0" w:type="auto"/>
            <w:vAlign w:val="center"/>
            <w:hideMark/>
          </w:tcPr>
          <w:p w14:paraId="58D69153"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26,190 ÷ 161,148</w:t>
            </w:r>
          </w:p>
        </w:tc>
        <w:tc>
          <w:tcPr>
            <w:tcW w:w="0" w:type="auto"/>
            <w:vAlign w:val="center"/>
            <w:hideMark/>
          </w:tcPr>
          <w:p w14:paraId="3A920D2C" w14:textId="77777777"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14,822 ÷ 158,291</w:t>
            </w:r>
          </w:p>
        </w:tc>
      </w:tr>
      <w:tr w:rsidR="00A91373" w:rsidRPr="00E40CBF" w14:paraId="0C8BD489" w14:textId="77777777" w:rsidTr="00BB06B0">
        <w:trPr>
          <w:tblCellSpacing w:w="15" w:type="dxa"/>
        </w:trPr>
        <w:tc>
          <w:tcPr>
            <w:tcW w:w="0" w:type="auto"/>
            <w:vAlign w:val="center"/>
          </w:tcPr>
          <w:p w14:paraId="0B3745C3" w14:textId="77777777" w:rsidR="00A91373" w:rsidRPr="00E40CBF" w:rsidRDefault="00A91373" w:rsidP="0075108E">
            <w:pPr>
              <w:tabs>
                <w:tab w:val="left" w:pos="5916"/>
              </w:tabs>
              <w:jc w:val="both"/>
              <w:rPr>
                <w:rFonts w:ascii="Arial" w:hAnsi="Arial" w:cs="Arial"/>
                <w:sz w:val="24"/>
                <w:szCs w:val="24"/>
              </w:rPr>
            </w:pPr>
          </w:p>
        </w:tc>
        <w:tc>
          <w:tcPr>
            <w:tcW w:w="0" w:type="auto"/>
            <w:vAlign w:val="center"/>
          </w:tcPr>
          <w:p w14:paraId="627BF200" w14:textId="77777777" w:rsidR="00A91373" w:rsidRPr="00E40CBF" w:rsidRDefault="00A91373" w:rsidP="0075108E">
            <w:pPr>
              <w:tabs>
                <w:tab w:val="left" w:pos="5916"/>
              </w:tabs>
              <w:jc w:val="both"/>
              <w:rPr>
                <w:rFonts w:ascii="Arial" w:hAnsi="Arial" w:cs="Arial"/>
                <w:sz w:val="24"/>
                <w:szCs w:val="24"/>
              </w:rPr>
            </w:pPr>
          </w:p>
        </w:tc>
        <w:tc>
          <w:tcPr>
            <w:tcW w:w="0" w:type="auto"/>
            <w:vAlign w:val="center"/>
          </w:tcPr>
          <w:p w14:paraId="47FFD1A0" w14:textId="1965EF0F"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0.41</w:t>
            </w:r>
          </w:p>
        </w:tc>
        <w:tc>
          <w:tcPr>
            <w:tcW w:w="0" w:type="auto"/>
            <w:vAlign w:val="center"/>
          </w:tcPr>
          <w:p w14:paraId="3C19C8FB" w14:textId="45B0D4BB"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0.19</w:t>
            </w:r>
          </w:p>
        </w:tc>
        <w:tc>
          <w:tcPr>
            <w:tcW w:w="0" w:type="auto"/>
            <w:vAlign w:val="center"/>
          </w:tcPr>
          <w:p w14:paraId="44402791" w14:textId="25F21F64"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0.06</w:t>
            </w:r>
          </w:p>
        </w:tc>
        <w:tc>
          <w:tcPr>
            <w:tcW w:w="0" w:type="auto"/>
            <w:vAlign w:val="center"/>
          </w:tcPr>
          <w:p w14:paraId="6C3AAC1B" w14:textId="0BFA3B90"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0.16</w:t>
            </w:r>
          </w:p>
        </w:tc>
        <w:tc>
          <w:tcPr>
            <w:tcW w:w="0" w:type="auto"/>
            <w:vAlign w:val="center"/>
          </w:tcPr>
          <w:p w14:paraId="21E97E1F" w14:textId="1076EC2B" w:rsidR="00A91373" w:rsidRPr="00E40CBF" w:rsidRDefault="00A91373" w:rsidP="0075108E">
            <w:pPr>
              <w:tabs>
                <w:tab w:val="left" w:pos="5916"/>
              </w:tabs>
              <w:jc w:val="both"/>
              <w:rPr>
                <w:rFonts w:ascii="Arial" w:hAnsi="Arial" w:cs="Arial"/>
                <w:sz w:val="24"/>
                <w:szCs w:val="24"/>
              </w:rPr>
            </w:pPr>
            <w:r w:rsidRPr="00E40CBF">
              <w:rPr>
                <w:rFonts w:ascii="Arial" w:hAnsi="Arial" w:cs="Arial"/>
                <w:sz w:val="24"/>
                <w:szCs w:val="24"/>
              </w:rPr>
              <w:t>0.09</w:t>
            </w:r>
          </w:p>
        </w:tc>
      </w:tr>
    </w:tbl>
    <w:p w14:paraId="42AB721F" w14:textId="77777777" w:rsidR="00BB06B0" w:rsidRPr="00E40CBF" w:rsidRDefault="00BB06B0" w:rsidP="0075108E">
      <w:pPr>
        <w:tabs>
          <w:tab w:val="left" w:pos="5916"/>
        </w:tabs>
        <w:jc w:val="both"/>
        <w:rPr>
          <w:rFonts w:ascii="Arial" w:hAnsi="Arial" w:cs="Arial"/>
          <w:sz w:val="24"/>
          <w:szCs w:val="24"/>
        </w:rPr>
      </w:pPr>
    </w:p>
    <w:p w14:paraId="66DC075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Altman Z-Score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65"/>
        <w:gridCol w:w="1350"/>
        <w:gridCol w:w="1260"/>
        <w:gridCol w:w="1170"/>
        <w:gridCol w:w="1260"/>
        <w:gridCol w:w="1260"/>
      </w:tblGrid>
      <w:tr w:rsidR="00E40CBF" w:rsidRPr="00E40CBF" w14:paraId="58ACB8D6" w14:textId="77777777" w:rsidTr="004C40A5">
        <w:trPr>
          <w:tblHeader/>
          <w:tblCellSpacing w:w="15" w:type="dxa"/>
        </w:trPr>
        <w:tc>
          <w:tcPr>
            <w:tcW w:w="2920" w:type="dxa"/>
            <w:vAlign w:val="center"/>
            <w:hideMark/>
          </w:tcPr>
          <w:p w14:paraId="2212B02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Items</w:t>
            </w:r>
          </w:p>
        </w:tc>
        <w:tc>
          <w:tcPr>
            <w:tcW w:w="1320" w:type="dxa"/>
            <w:vAlign w:val="center"/>
            <w:hideMark/>
          </w:tcPr>
          <w:p w14:paraId="41FCCBA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2024</w:t>
            </w:r>
          </w:p>
        </w:tc>
        <w:tc>
          <w:tcPr>
            <w:tcW w:w="1230" w:type="dxa"/>
            <w:vAlign w:val="center"/>
            <w:hideMark/>
          </w:tcPr>
          <w:p w14:paraId="1A1E307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140" w:type="dxa"/>
            <w:vAlign w:val="center"/>
            <w:hideMark/>
          </w:tcPr>
          <w:p w14:paraId="133735A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1230" w:type="dxa"/>
            <w:vAlign w:val="center"/>
            <w:hideMark/>
          </w:tcPr>
          <w:p w14:paraId="4812266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215" w:type="dxa"/>
            <w:vAlign w:val="center"/>
            <w:hideMark/>
          </w:tcPr>
          <w:p w14:paraId="7B57217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2020</w:t>
            </w:r>
          </w:p>
        </w:tc>
      </w:tr>
      <w:tr w:rsidR="00E40CBF" w:rsidRPr="00E40CBF" w14:paraId="21BACEE2" w14:textId="77777777" w:rsidTr="004C40A5">
        <w:trPr>
          <w:tblCellSpacing w:w="15" w:type="dxa"/>
        </w:trPr>
        <w:tc>
          <w:tcPr>
            <w:tcW w:w="2920" w:type="dxa"/>
            <w:vAlign w:val="center"/>
            <w:hideMark/>
          </w:tcPr>
          <w:p w14:paraId="753BD077"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1.2 × WC / TA</w:t>
            </w:r>
          </w:p>
        </w:tc>
        <w:tc>
          <w:tcPr>
            <w:tcW w:w="1320" w:type="dxa"/>
            <w:vAlign w:val="center"/>
            <w:hideMark/>
          </w:tcPr>
          <w:p w14:paraId="12B9668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0.312</w:t>
            </w:r>
          </w:p>
        </w:tc>
        <w:tc>
          <w:tcPr>
            <w:tcW w:w="1230" w:type="dxa"/>
            <w:vAlign w:val="center"/>
            <w:hideMark/>
          </w:tcPr>
          <w:p w14:paraId="6DA04334"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0.329</w:t>
            </w:r>
          </w:p>
        </w:tc>
        <w:tc>
          <w:tcPr>
            <w:tcW w:w="1140" w:type="dxa"/>
            <w:vAlign w:val="center"/>
            <w:hideMark/>
          </w:tcPr>
          <w:p w14:paraId="383F182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0.289</w:t>
            </w:r>
          </w:p>
        </w:tc>
        <w:tc>
          <w:tcPr>
            <w:tcW w:w="1230" w:type="dxa"/>
            <w:vAlign w:val="center"/>
            <w:hideMark/>
          </w:tcPr>
          <w:p w14:paraId="678D75B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0.283</w:t>
            </w:r>
          </w:p>
        </w:tc>
        <w:tc>
          <w:tcPr>
            <w:tcW w:w="1215" w:type="dxa"/>
            <w:vAlign w:val="center"/>
            <w:hideMark/>
          </w:tcPr>
          <w:p w14:paraId="38EAC600"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0.346</w:t>
            </w:r>
          </w:p>
        </w:tc>
      </w:tr>
      <w:tr w:rsidR="00E40CBF" w:rsidRPr="00E40CBF" w14:paraId="70D186DD" w14:textId="77777777" w:rsidTr="004C40A5">
        <w:trPr>
          <w:tblCellSpacing w:w="15" w:type="dxa"/>
        </w:trPr>
        <w:tc>
          <w:tcPr>
            <w:tcW w:w="2920" w:type="dxa"/>
            <w:vAlign w:val="center"/>
            <w:hideMark/>
          </w:tcPr>
          <w:p w14:paraId="169F88A0"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1.4 × RE / TA</w:t>
            </w:r>
          </w:p>
        </w:tc>
        <w:tc>
          <w:tcPr>
            <w:tcW w:w="1320" w:type="dxa"/>
            <w:vAlign w:val="center"/>
            <w:hideMark/>
          </w:tcPr>
          <w:p w14:paraId="0149116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0.902</w:t>
            </w:r>
          </w:p>
        </w:tc>
        <w:tc>
          <w:tcPr>
            <w:tcW w:w="1230" w:type="dxa"/>
            <w:vAlign w:val="center"/>
            <w:hideMark/>
          </w:tcPr>
          <w:p w14:paraId="6B2D8DD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0.914</w:t>
            </w:r>
          </w:p>
        </w:tc>
        <w:tc>
          <w:tcPr>
            <w:tcW w:w="1140" w:type="dxa"/>
            <w:vAlign w:val="center"/>
            <w:hideMark/>
          </w:tcPr>
          <w:p w14:paraId="4DA80AE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0.918</w:t>
            </w:r>
          </w:p>
        </w:tc>
        <w:tc>
          <w:tcPr>
            <w:tcW w:w="1230" w:type="dxa"/>
            <w:vAlign w:val="center"/>
            <w:hideMark/>
          </w:tcPr>
          <w:p w14:paraId="42B777D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0.906</w:t>
            </w:r>
          </w:p>
        </w:tc>
        <w:tc>
          <w:tcPr>
            <w:tcW w:w="1215" w:type="dxa"/>
            <w:vAlign w:val="center"/>
            <w:hideMark/>
          </w:tcPr>
          <w:p w14:paraId="137E56B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0.892</w:t>
            </w:r>
          </w:p>
        </w:tc>
      </w:tr>
      <w:tr w:rsidR="00E40CBF" w:rsidRPr="00E40CBF" w14:paraId="060A4D86" w14:textId="77777777" w:rsidTr="004C40A5">
        <w:trPr>
          <w:tblCellSpacing w:w="15" w:type="dxa"/>
        </w:trPr>
        <w:tc>
          <w:tcPr>
            <w:tcW w:w="2920" w:type="dxa"/>
            <w:vAlign w:val="center"/>
            <w:hideMark/>
          </w:tcPr>
          <w:p w14:paraId="312FCB1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3.3 × EBIT / TA</w:t>
            </w:r>
          </w:p>
        </w:tc>
        <w:tc>
          <w:tcPr>
            <w:tcW w:w="1320" w:type="dxa"/>
            <w:vAlign w:val="center"/>
            <w:hideMark/>
          </w:tcPr>
          <w:p w14:paraId="118E0B8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-0.061</w:t>
            </w:r>
          </w:p>
        </w:tc>
        <w:tc>
          <w:tcPr>
            <w:tcW w:w="1230" w:type="dxa"/>
            <w:vAlign w:val="center"/>
            <w:hideMark/>
          </w:tcPr>
          <w:p w14:paraId="115D881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-0.312</w:t>
            </w:r>
          </w:p>
        </w:tc>
        <w:tc>
          <w:tcPr>
            <w:tcW w:w="1140" w:type="dxa"/>
            <w:vAlign w:val="center"/>
            <w:hideMark/>
          </w:tcPr>
          <w:p w14:paraId="4C3AEE30"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0.038</w:t>
            </w:r>
          </w:p>
        </w:tc>
        <w:tc>
          <w:tcPr>
            <w:tcW w:w="1230" w:type="dxa"/>
            <w:vAlign w:val="center"/>
            <w:hideMark/>
          </w:tcPr>
          <w:p w14:paraId="0BD08FB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0.059</w:t>
            </w:r>
          </w:p>
        </w:tc>
        <w:tc>
          <w:tcPr>
            <w:tcW w:w="1215" w:type="dxa"/>
            <w:vAlign w:val="center"/>
            <w:hideMark/>
          </w:tcPr>
          <w:p w14:paraId="5B271981"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0.095</w:t>
            </w:r>
          </w:p>
        </w:tc>
      </w:tr>
      <w:tr w:rsidR="00E40CBF" w:rsidRPr="00E40CBF" w14:paraId="1AB1C41A" w14:textId="77777777" w:rsidTr="004C40A5">
        <w:trPr>
          <w:tblCellSpacing w:w="15" w:type="dxa"/>
        </w:trPr>
        <w:tc>
          <w:tcPr>
            <w:tcW w:w="2920" w:type="dxa"/>
            <w:vAlign w:val="center"/>
            <w:hideMark/>
          </w:tcPr>
          <w:p w14:paraId="544CB11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0.6 × MV of Equity / TL</w:t>
            </w:r>
          </w:p>
        </w:tc>
        <w:tc>
          <w:tcPr>
            <w:tcW w:w="1320" w:type="dxa"/>
            <w:vAlign w:val="center"/>
            <w:hideMark/>
          </w:tcPr>
          <w:p w14:paraId="1D33C8E2"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0.78</w:t>
            </w:r>
          </w:p>
        </w:tc>
        <w:tc>
          <w:tcPr>
            <w:tcW w:w="1230" w:type="dxa"/>
            <w:vAlign w:val="center"/>
            <w:hideMark/>
          </w:tcPr>
          <w:p w14:paraId="66AE38A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0.36</w:t>
            </w:r>
          </w:p>
        </w:tc>
        <w:tc>
          <w:tcPr>
            <w:tcW w:w="1140" w:type="dxa"/>
            <w:vAlign w:val="center"/>
            <w:hideMark/>
          </w:tcPr>
          <w:p w14:paraId="44C135F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0.42</w:t>
            </w:r>
          </w:p>
        </w:tc>
        <w:tc>
          <w:tcPr>
            <w:tcW w:w="1230" w:type="dxa"/>
            <w:vAlign w:val="center"/>
            <w:hideMark/>
          </w:tcPr>
          <w:p w14:paraId="43410F64"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0.42</w:t>
            </w:r>
          </w:p>
        </w:tc>
        <w:tc>
          <w:tcPr>
            <w:tcW w:w="1215" w:type="dxa"/>
            <w:vAlign w:val="center"/>
            <w:hideMark/>
          </w:tcPr>
          <w:p w14:paraId="31F8390F"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0.42</w:t>
            </w:r>
          </w:p>
        </w:tc>
      </w:tr>
      <w:tr w:rsidR="00E40CBF" w:rsidRPr="00E40CBF" w14:paraId="0B4D8A3C" w14:textId="77777777" w:rsidTr="004C40A5">
        <w:trPr>
          <w:tblCellSpacing w:w="15" w:type="dxa"/>
        </w:trPr>
        <w:tc>
          <w:tcPr>
            <w:tcW w:w="2920" w:type="dxa"/>
            <w:vAlign w:val="center"/>
            <w:hideMark/>
          </w:tcPr>
          <w:p w14:paraId="30BCD025"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1.0 × S / TA</w:t>
            </w:r>
          </w:p>
        </w:tc>
        <w:tc>
          <w:tcPr>
            <w:tcW w:w="1320" w:type="dxa"/>
            <w:vAlign w:val="center"/>
            <w:hideMark/>
          </w:tcPr>
          <w:p w14:paraId="5689E5D8"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1.22</w:t>
            </w:r>
          </w:p>
        </w:tc>
        <w:tc>
          <w:tcPr>
            <w:tcW w:w="1230" w:type="dxa"/>
            <w:vAlign w:val="center"/>
            <w:hideMark/>
          </w:tcPr>
          <w:p w14:paraId="0343777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1.18</w:t>
            </w:r>
          </w:p>
        </w:tc>
        <w:tc>
          <w:tcPr>
            <w:tcW w:w="1140" w:type="dxa"/>
            <w:vAlign w:val="center"/>
            <w:hideMark/>
          </w:tcPr>
          <w:p w14:paraId="4E4B14E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1.08</w:t>
            </w:r>
          </w:p>
        </w:tc>
        <w:tc>
          <w:tcPr>
            <w:tcW w:w="1230" w:type="dxa"/>
            <w:vAlign w:val="center"/>
            <w:hideMark/>
          </w:tcPr>
          <w:p w14:paraId="316EBC3D"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1.18</w:t>
            </w:r>
          </w:p>
        </w:tc>
        <w:tc>
          <w:tcPr>
            <w:tcW w:w="1215" w:type="dxa"/>
            <w:vAlign w:val="center"/>
            <w:hideMark/>
          </w:tcPr>
          <w:p w14:paraId="00384F79"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1.20</w:t>
            </w:r>
          </w:p>
        </w:tc>
      </w:tr>
      <w:tr w:rsidR="004C40A5" w:rsidRPr="00E40CBF" w14:paraId="3D8DAA64" w14:textId="77777777" w:rsidTr="004C40A5">
        <w:trPr>
          <w:tblCellSpacing w:w="15" w:type="dxa"/>
        </w:trPr>
        <w:tc>
          <w:tcPr>
            <w:tcW w:w="2920" w:type="dxa"/>
            <w:vAlign w:val="center"/>
            <w:hideMark/>
          </w:tcPr>
          <w:p w14:paraId="38BCD8E5"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Score</w:t>
            </w:r>
          </w:p>
        </w:tc>
        <w:tc>
          <w:tcPr>
            <w:tcW w:w="1320" w:type="dxa"/>
            <w:vAlign w:val="center"/>
            <w:hideMark/>
          </w:tcPr>
          <w:p w14:paraId="3FD99AC7"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3.15</w:t>
            </w:r>
          </w:p>
        </w:tc>
        <w:tc>
          <w:tcPr>
            <w:tcW w:w="1230" w:type="dxa"/>
            <w:vAlign w:val="center"/>
            <w:hideMark/>
          </w:tcPr>
          <w:p w14:paraId="1A13ADC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2.47</w:t>
            </w:r>
          </w:p>
        </w:tc>
        <w:tc>
          <w:tcPr>
            <w:tcW w:w="1140" w:type="dxa"/>
            <w:vAlign w:val="center"/>
            <w:hideMark/>
          </w:tcPr>
          <w:p w14:paraId="7FFF14FE"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2.74</w:t>
            </w:r>
          </w:p>
        </w:tc>
        <w:tc>
          <w:tcPr>
            <w:tcW w:w="1230" w:type="dxa"/>
            <w:vAlign w:val="center"/>
            <w:hideMark/>
          </w:tcPr>
          <w:p w14:paraId="77D542B7"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2.85</w:t>
            </w:r>
          </w:p>
        </w:tc>
        <w:tc>
          <w:tcPr>
            <w:tcW w:w="1215" w:type="dxa"/>
            <w:vAlign w:val="center"/>
            <w:hideMark/>
          </w:tcPr>
          <w:p w14:paraId="4B6D5CCB" w14:textId="77777777" w:rsidR="004C40A5" w:rsidRPr="00E40CBF" w:rsidRDefault="004C40A5" w:rsidP="0075108E">
            <w:pPr>
              <w:tabs>
                <w:tab w:val="left" w:pos="5916"/>
              </w:tabs>
              <w:jc w:val="both"/>
              <w:rPr>
                <w:rFonts w:ascii="Arial" w:hAnsi="Arial" w:cs="Arial"/>
                <w:sz w:val="24"/>
                <w:szCs w:val="24"/>
              </w:rPr>
            </w:pPr>
            <w:r w:rsidRPr="00E40CBF">
              <w:rPr>
                <w:rFonts w:ascii="Arial" w:hAnsi="Arial" w:cs="Arial"/>
                <w:sz w:val="24"/>
                <w:szCs w:val="24"/>
              </w:rPr>
              <w:t>2.96</w:t>
            </w:r>
          </w:p>
        </w:tc>
      </w:tr>
    </w:tbl>
    <w:p w14:paraId="7B294FC3" w14:textId="77777777" w:rsidR="004B50A0" w:rsidRPr="00E40CBF" w:rsidRDefault="004B50A0" w:rsidP="0075108E">
      <w:pPr>
        <w:tabs>
          <w:tab w:val="left" w:pos="5916"/>
        </w:tabs>
        <w:jc w:val="both"/>
        <w:rPr>
          <w:rFonts w:ascii="Arial" w:hAnsi="Arial" w:cs="Arial"/>
          <w:sz w:val="24"/>
          <w:szCs w:val="24"/>
        </w:rPr>
      </w:pPr>
    </w:p>
    <w:p w14:paraId="367A8FCA" w14:textId="5C2E9FB0"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Cash Operating Cycle (COC) Table</w:t>
      </w:r>
    </w:p>
    <w:p w14:paraId="290E3093" w14:textId="77777777" w:rsidR="004B50A0" w:rsidRPr="00E40CBF" w:rsidRDefault="004B50A0" w:rsidP="0075108E">
      <w:pPr>
        <w:tabs>
          <w:tab w:val="left" w:pos="5916"/>
        </w:tabs>
        <w:jc w:val="both"/>
        <w:rPr>
          <w:rFonts w:ascii="Arial" w:hAnsi="Arial" w:cs="Arial"/>
          <w:sz w:val="24"/>
          <w:szCs w:val="24"/>
        </w:rPr>
      </w:pPr>
    </w:p>
    <w:tbl>
      <w:tblPr>
        <w:tblW w:w="998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85"/>
        <w:gridCol w:w="1260"/>
        <w:gridCol w:w="1260"/>
        <w:gridCol w:w="1260"/>
        <w:gridCol w:w="1260"/>
        <w:gridCol w:w="1260"/>
      </w:tblGrid>
      <w:tr w:rsidR="00E40CBF" w:rsidRPr="00E40CBF" w14:paraId="64026712" w14:textId="77777777" w:rsidTr="005C6187">
        <w:trPr>
          <w:tblHeader/>
          <w:tblCellSpacing w:w="15" w:type="dxa"/>
        </w:trPr>
        <w:tc>
          <w:tcPr>
            <w:tcW w:w="3640" w:type="dxa"/>
            <w:vAlign w:val="center"/>
            <w:hideMark/>
          </w:tcPr>
          <w:p w14:paraId="16EB15BF"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Items</w:t>
            </w:r>
          </w:p>
        </w:tc>
        <w:tc>
          <w:tcPr>
            <w:tcW w:w="1230" w:type="dxa"/>
            <w:vAlign w:val="center"/>
            <w:hideMark/>
          </w:tcPr>
          <w:p w14:paraId="53AE004D"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2024</w:t>
            </w:r>
          </w:p>
        </w:tc>
        <w:tc>
          <w:tcPr>
            <w:tcW w:w="1230" w:type="dxa"/>
            <w:vAlign w:val="center"/>
            <w:hideMark/>
          </w:tcPr>
          <w:p w14:paraId="554E617D"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2023</w:t>
            </w:r>
          </w:p>
        </w:tc>
        <w:tc>
          <w:tcPr>
            <w:tcW w:w="1230" w:type="dxa"/>
            <w:vAlign w:val="center"/>
            <w:hideMark/>
          </w:tcPr>
          <w:p w14:paraId="3AFED83E"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2022</w:t>
            </w:r>
          </w:p>
        </w:tc>
        <w:tc>
          <w:tcPr>
            <w:tcW w:w="1230" w:type="dxa"/>
            <w:vAlign w:val="center"/>
            <w:hideMark/>
          </w:tcPr>
          <w:p w14:paraId="5DBAA89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2021</w:t>
            </w:r>
          </w:p>
        </w:tc>
        <w:tc>
          <w:tcPr>
            <w:tcW w:w="1215" w:type="dxa"/>
            <w:vAlign w:val="center"/>
            <w:hideMark/>
          </w:tcPr>
          <w:p w14:paraId="5CE1F860"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2020</w:t>
            </w:r>
          </w:p>
        </w:tc>
      </w:tr>
      <w:tr w:rsidR="00E40CBF" w:rsidRPr="00E40CBF" w14:paraId="46C617BA" w14:textId="77777777" w:rsidTr="005C6187">
        <w:trPr>
          <w:tblCellSpacing w:w="15" w:type="dxa"/>
        </w:trPr>
        <w:tc>
          <w:tcPr>
            <w:tcW w:w="3640" w:type="dxa"/>
            <w:vAlign w:val="center"/>
            <w:hideMark/>
          </w:tcPr>
          <w:p w14:paraId="4B390278"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Inventory Period</w:t>
            </w:r>
          </w:p>
        </w:tc>
        <w:tc>
          <w:tcPr>
            <w:tcW w:w="1230" w:type="dxa"/>
            <w:vAlign w:val="center"/>
            <w:hideMark/>
          </w:tcPr>
          <w:p w14:paraId="652082C5"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103.12</w:t>
            </w:r>
          </w:p>
        </w:tc>
        <w:tc>
          <w:tcPr>
            <w:tcW w:w="1230" w:type="dxa"/>
            <w:vAlign w:val="center"/>
            <w:hideMark/>
          </w:tcPr>
          <w:p w14:paraId="2B459CDB"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99.78</w:t>
            </w:r>
          </w:p>
        </w:tc>
        <w:tc>
          <w:tcPr>
            <w:tcW w:w="1230" w:type="dxa"/>
            <w:vAlign w:val="center"/>
            <w:hideMark/>
          </w:tcPr>
          <w:p w14:paraId="289F3681"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131.04</w:t>
            </w:r>
          </w:p>
        </w:tc>
        <w:tc>
          <w:tcPr>
            <w:tcW w:w="1230" w:type="dxa"/>
            <w:vAlign w:val="center"/>
            <w:hideMark/>
          </w:tcPr>
          <w:p w14:paraId="7EFACE7F"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114.52</w:t>
            </w:r>
          </w:p>
        </w:tc>
        <w:tc>
          <w:tcPr>
            <w:tcW w:w="1215" w:type="dxa"/>
            <w:vAlign w:val="center"/>
            <w:hideMark/>
          </w:tcPr>
          <w:p w14:paraId="76D0E3F5"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100.26</w:t>
            </w:r>
          </w:p>
        </w:tc>
      </w:tr>
      <w:tr w:rsidR="00E40CBF" w:rsidRPr="00E40CBF" w14:paraId="6FF6BE41" w14:textId="77777777" w:rsidTr="005C6187">
        <w:trPr>
          <w:tblCellSpacing w:w="15" w:type="dxa"/>
        </w:trPr>
        <w:tc>
          <w:tcPr>
            <w:tcW w:w="3640" w:type="dxa"/>
            <w:vAlign w:val="center"/>
            <w:hideMark/>
          </w:tcPr>
          <w:p w14:paraId="38891FCD"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Accounts Receivable Period</w:t>
            </w:r>
          </w:p>
        </w:tc>
        <w:tc>
          <w:tcPr>
            <w:tcW w:w="1230" w:type="dxa"/>
            <w:vAlign w:val="center"/>
            <w:hideMark/>
          </w:tcPr>
          <w:p w14:paraId="7F95BE28"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105.54</w:t>
            </w:r>
          </w:p>
        </w:tc>
        <w:tc>
          <w:tcPr>
            <w:tcW w:w="1230" w:type="dxa"/>
            <w:vAlign w:val="center"/>
            <w:hideMark/>
          </w:tcPr>
          <w:p w14:paraId="2EACF7B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97.74</w:t>
            </w:r>
          </w:p>
        </w:tc>
        <w:tc>
          <w:tcPr>
            <w:tcW w:w="1230" w:type="dxa"/>
            <w:vAlign w:val="center"/>
            <w:hideMark/>
          </w:tcPr>
          <w:p w14:paraId="3CA7488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75.55</w:t>
            </w:r>
          </w:p>
        </w:tc>
        <w:tc>
          <w:tcPr>
            <w:tcW w:w="1230" w:type="dxa"/>
            <w:vAlign w:val="center"/>
            <w:hideMark/>
          </w:tcPr>
          <w:p w14:paraId="7896F760"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78.40</w:t>
            </w:r>
          </w:p>
        </w:tc>
        <w:tc>
          <w:tcPr>
            <w:tcW w:w="1215" w:type="dxa"/>
            <w:vAlign w:val="center"/>
            <w:hideMark/>
          </w:tcPr>
          <w:p w14:paraId="529D19E1"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76.86</w:t>
            </w:r>
          </w:p>
        </w:tc>
      </w:tr>
      <w:tr w:rsidR="00E40CBF" w:rsidRPr="00E40CBF" w14:paraId="5CB97D0F" w14:textId="77777777" w:rsidTr="005C6187">
        <w:trPr>
          <w:tblCellSpacing w:w="15" w:type="dxa"/>
        </w:trPr>
        <w:tc>
          <w:tcPr>
            <w:tcW w:w="3640" w:type="dxa"/>
            <w:vAlign w:val="center"/>
            <w:hideMark/>
          </w:tcPr>
          <w:p w14:paraId="67EDA492"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Accounts Payable Period</w:t>
            </w:r>
          </w:p>
        </w:tc>
        <w:tc>
          <w:tcPr>
            <w:tcW w:w="1230" w:type="dxa"/>
            <w:vAlign w:val="center"/>
            <w:hideMark/>
          </w:tcPr>
          <w:p w14:paraId="22CF50AE"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93.60</w:t>
            </w:r>
          </w:p>
        </w:tc>
        <w:tc>
          <w:tcPr>
            <w:tcW w:w="1230" w:type="dxa"/>
            <w:vAlign w:val="center"/>
            <w:hideMark/>
          </w:tcPr>
          <w:p w14:paraId="0656DC4F"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64.47</w:t>
            </w:r>
          </w:p>
        </w:tc>
        <w:tc>
          <w:tcPr>
            <w:tcW w:w="1230" w:type="dxa"/>
            <w:vAlign w:val="center"/>
            <w:hideMark/>
          </w:tcPr>
          <w:p w14:paraId="4D4E85E9"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66.72</w:t>
            </w:r>
          </w:p>
        </w:tc>
        <w:tc>
          <w:tcPr>
            <w:tcW w:w="1230" w:type="dxa"/>
            <w:vAlign w:val="center"/>
            <w:hideMark/>
          </w:tcPr>
          <w:p w14:paraId="587412D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78.95</w:t>
            </w:r>
          </w:p>
        </w:tc>
        <w:tc>
          <w:tcPr>
            <w:tcW w:w="1215" w:type="dxa"/>
            <w:vAlign w:val="center"/>
            <w:hideMark/>
          </w:tcPr>
          <w:p w14:paraId="78046C3E"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69.29</w:t>
            </w:r>
          </w:p>
        </w:tc>
      </w:tr>
      <w:tr w:rsidR="004B50A0" w:rsidRPr="00E40CBF" w14:paraId="7FFEFDE3" w14:textId="77777777" w:rsidTr="005C6187">
        <w:trPr>
          <w:tblCellSpacing w:w="15" w:type="dxa"/>
        </w:trPr>
        <w:tc>
          <w:tcPr>
            <w:tcW w:w="3640" w:type="dxa"/>
            <w:vAlign w:val="center"/>
            <w:hideMark/>
          </w:tcPr>
          <w:p w14:paraId="52FF901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COC</w:t>
            </w:r>
          </w:p>
        </w:tc>
        <w:tc>
          <w:tcPr>
            <w:tcW w:w="1230" w:type="dxa"/>
            <w:vAlign w:val="center"/>
            <w:hideMark/>
          </w:tcPr>
          <w:p w14:paraId="31470AC3"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115.06</w:t>
            </w:r>
          </w:p>
        </w:tc>
        <w:tc>
          <w:tcPr>
            <w:tcW w:w="1230" w:type="dxa"/>
            <w:vAlign w:val="center"/>
            <w:hideMark/>
          </w:tcPr>
          <w:p w14:paraId="0D7496D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133.06</w:t>
            </w:r>
          </w:p>
        </w:tc>
        <w:tc>
          <w:tcPr>
            <w:tcW w:w="1230" w:type="dxa"/>
            <w:vAlign w:val="center"/>
            <w:hideMark/>
          </w:tcPr>
          <w:p w14:paraId="4CCC3C5B"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139.87</w:t>
            </w:r>
          </w:p>
        </w:tc>
        <w:tc>
          <w:tcPr>
            <w:tcW w:w="1230" w:type="dxa"/>
            <w:vAlign w:val="center"/>
            <w:hideMark/>
          </w:tcPr>
          <w:p w14:paraId="52343F02"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113.96</w:t>
            </w:r>
          </w:p>
        </w:tc>
        <w:tc>
          <w:tcPr>
            <w:tcW w:w="1215" w:type="dxa"/>
            <w:vAlign w:val="center"/>
            <w:hideMark/>
          </w:tcPr>
          <w:p w14:paraId="3962024C" w14:textId="77777777" w:rsidR="004B50A0" w:rsidRPr="00E40CBF" w:rsidRDefault="004B50A0" w:rsidP="0075108E">
            <w:pPr>
              <w:tabs>
                <w:tab w:val="left" w:pos="5916"/>
              </w:tabs>
              <w:jc w:val="both"/>
              <w:rPr>
                <w:rFonts w:ascii="Arial" w:hAnsi="Arial" w:cs="Arial"/>
                <w:sz w:val="24"/>
                <w:szCs w:val="24"/>
              </w:rPr>
            </w:pPr>
            <w:r w:rsidRPr="00E40CBF">
              <w:rPr>
                <w:rFonts w:ascii="Arial" w:hAnsi="Arial" w:cs="Arial"/>
                <w:sz w:val="24"/>
                <w:szCs w:val="24"/>
              </w:rPr>
              <w:t>107.83</w:t>
            </w:r>
          </w:p>
        </w:tc>
      </w:tr>
    </w:tbl>
    <w:p w14:paraId="144E139F" w14:textId="77777777" w:rsidR="004F2C57" w:rsidRPr="00E40CBF" w:rsidRDefault="004F2C57" w:rsidP="0075108E">
      <w:pPr>
        <w:tabs>
          <w:tab w:val="left" w:pos="5916"/>
        </w:tabs>
        <w:jc w:val="both"/>
        <w:rPr>
          <w:rFonts w:ascii="Arial" w:hAnsi="Arial" w:cs="Arial"/>
          <w:sz w:val="24"/>
          <w:szCs w:val="24"/>
        </w:rPr>
      </w:pPr>
    </w:p>
    <w:p w14:paraId="3C2B8884" w14:textId="77777777" w:rsidR="004B50A0" w:rsidRPr="00E40CBF" w:rsidRDefault="004B50A0" w:rsidP="0075108E">
      <w:pPr>
        <w:tabs>
          <w:tab w:val="left" w:pos="5916"/>
        </w:tabs>
        <w:jc w:val="both"/>
        <w:rPr>
          <w:rFonts w:ascii="Arial" w:hAnsi="Arial" w:cs="Arial"/>
          <w:sz w:val="24"/>
          <w:szCs w:val="24"/>
        </w:rPr>
      </w:pPr>
    </w:p>
    <w:p w14:paraId="42406D77" w14:textId="77777777" w:rsidR="00326AF5" w:rsidRPr="00E40CBF" w:rsidRDefault="00326AF5" w:rsidP="0075108E">
      <w:pPr>
        <w:tabs>
          <w:tab w:val="left" w:pos="5916"/>
        </w:tabs>
        <w:jc w:val="both"/>
        <w:rPr>
          <w:rFonts w:ascii="Arial" w:hAnsi="Arial" w:cs="Arial"/>
          <w:sz w:val="24"/>
          <w:szCs w:val="24"/>
        </w:rPr>
      </w:pPr>
    </w:p>
    <w:p w14:paraId="70486714" w14:textId="39ACFB25"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lastRenderedPageBreak/>
        <w:t>PAYBACK PERIOD</w:t>
      </w:r>
    </w:p>
    <w:p w14:paraId="24A766E0" w14:textId="6C34D444" w:rsidR="00762B99"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574"/>
        <w:gridCol w:w="2841"/>
        <w:gridCol w:w="2990"/>
      </w:tblGrid>
      <w:tr w:rsidR="00E40CBF" w:rsidRPr="00E40CBF" w14:paraId="078DF1F6" w14:textId="77777777" w:rsidTr="00762B99">
        <w:trPr>
          <w:tblHeader/>
          <w:tblCellSpacing w:w="15" w:type="dxa"/>
        </w:trPr>
        <w:tc>
          <w:tcPr>
            <w:tcW w:w="0" w:type="auto"/>
            <w:vAlign w:val="center"/>
            <w:hideMark/>
          </w:tcPr>
          <w:p w14:paraId="4522558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5138C23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Cash Flow (£)</w:t>
            </w:r>
          </w:p>
        </w:tc>
        <w:tc>
          <w:tcPr>
            <w:tcW w:w="0" w:type="auto"/>
            <w:vAlign w:val="center"/>
            <w:hideMark/>
          </w:tcPr>
          <w:p w14:paraId="097F701B"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Cumulative Cash Flow (£)</w:t>
            </w:r>
          </w:p>
        </w:tc>
        <w:tc>
          <w:tcPr>
            <w:tcW w:w="0" w:type="auto"/>
            <w:vAlign w:val="center"/>
            <w:hideMark/>
          </w:tcPr>
          <w:p w14:paraId="78FC712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Outstanding Investment (£)</w:t>
            </w:r>
          </w:p>
        </w:tc>
      </w:tr>
      <w:tr w:rsidR="00E40CBF" w:rsidRPr="00E40CBF" w14:paraId="7C06A588" w14:textId="77777777" w:rsidTr="00762B99">
        <w:trPr>
          <w:tblCellSpacing w:w="15" w:type="dxa"/>
        </w:trPr>
        <w:tc>
          <w:tcPr>
            <w:tcW w:w="0" w:type="auto"/>
            <w:vAlign w:val="center"/>
            <w:hideMark/>
          </w:tcPr>
          <w:p w14:paraId="6B88298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61AE24F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70CCFA8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02B5303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40</w:t>
            </w:r>
          </w:p>
        </w:tc>
      </w:tr>
      <w:tr w:rsidR="00E40CBF" w:rsidRPr="00E40CBF" w14:paraId="3C421F6C" w14:textId="77777777" w:rsidTr="00762B99">
        <w:trPr>
          <w:tblCellSpacing w:w="15" w:type="dxa"/>
        </w:trPr>
        <w:tc>
          <w:tcPr>
            <w:tcW w:w="0" w:type="auto"/>
            <w:vAlign w:val="center"/>
            <w:hideMark/>
          </w:tcPr>
          <w:p w14:paraId="26095B8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5009240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9B8268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78AA671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r>
      <w:tr w:rsidR="00E40CBF" w:rsidRPr="00E40CBF" w14:paraId="0F9E96F9" w14:textId="77777777" w:rsidTr="00762B99">
        <w:trPr>
          <w:tblCellSpacing w:w="15" w:type="dxa"/>
        </w:trPr>
        <w:tc>
          <w:tcPr>
            <w:tcW w:w="0" w:type="auto"/>
            <w:vAlign w:val="center"/>
            <w:hideMark/>
          </w:tcPr>
          <w:p w14:paraId="4FBC371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029A6AC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78FF7D6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c>
          <w:tcPr>
            <w:tcW w:w="0" w:type="auto"/>
            <w:vAlign w:val="center"/>
            <w:hideMark/>
          </w:tcPr>
          <w:p w14:paraId="7C7AD73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r>
      <w:tr w:rsidR="00E40CBF" w:rsidRPr="00E40CBF" w14:paraId="618D7364" w14:textId="77777777" w:rsidTr="00762B99">
        <w:trPr>
          <w:tblCellSpacing w:w="15" w:type="dxa"/>
        </w:trPr>
        <w:tc>
          <w:tcPr>
            <w:tcW w:w="0" w:type="auto"/>
            <w:vAlign w:val="center"/>
            <w:hideMark/>
          </w:tcPr>
          <w:p w14:paraId="5212810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2AED010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614E0DD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0A75BAD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r>
      <w:tr w:rsidR="00E40CBF" w:rsidRPr="00E40CBF" w14:paraId="4F8518AB" w14:textId="77777777" w:rsidTr="00762B99">
        <w:trPr>
          <w:tblCellSpacing w:w="15" w:type="dxa"/>
        </w:trPr>
        <w:tc>
          <w:tcPr>
            <w:tcW w:w="0" w:type="auto"/>
            <w:vAlign w:val="center"/>
            <w:hideMark/>
          </w:tcPr>
          <w:p w14:paraId="0A90A06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6965E6BB"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5517B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20C5E2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Recovered</w:t>
            </w:r>
          </w:p>
        </w:tc>
      </w:tr>
      <w:tr w:rsidR="00762B99" w:rsidRPr="00E40CBF" w14:paraId="6E10F343" w14:textId="77777777" w:rsidTr="00762B99">
        <w:trPr>
          <w:tblCellSpacing w:w="15" w:type="dxa"/>
        </w:trPr>
        <w:tc>
          <w:tcPr>
            <w:tcW w:w="0" w:type="auto"/>
            <w:vAlign w:val="center"/>
            <w:hideMark/>
          </w:tcPr>
          <w:p w14:paraId="401046C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4B78981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6C6F62A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08277DC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0.4</w:t>
            </w:r>
          </w:p>
        </w:tc>
      </w:tr>
    </w:tbl>
    <w:p w14:paraId="7AEEDB70" w14:textId="77777777" w:rsidR="004F2C57" w:rsidRPr="00E40CBF" w:rsidRDefault="004F2C57" w:rsidP="0075108E">
      <w:pPr>
        <w:tabs>
          <w:tab w:val="left" w:pos="5916"/>
        </w:tabs>
        <w:jc w:val="both"/>
        <w:rPr>
          <w:rFonts w:ascii="Arial" w:hAnsi="Arial" w:cs="Arial"/>
          <w:sz w:val="24"/>
          <w:szCs w:val="24"/>
        </w:rPr>
      </w:pPr>
    </w:p>
    <w:p w14:paraId="7FD7FC2C" w14:textId="5C59C531"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 xml:space="preserve">Payback Period = 3 + (4 ÷ 10) </w:t>
      </w:r>
      <w:r w:rsidR="004F2C57" w:rsidRPr="00E40CBF">
        <w:rPr>
          <w:rFonts w:ascii="Arial" w:hAnsi="Arial" w:cs="Arial"/>
          <w:sz w:val="24"/>
          <w:szCs w:val="24"/>
        </w:rPr>
        <w:t>* 12</w:t>
      </w:r>
      <w:r w:rsidRPr="00E40CBF">
        <w:rPr>
          <w:rFonts w:ascii="Arial" w:hAnsi="Arial" w:cs="Arial"/>
          <w:sz w:val="24"/>
          <w:szCs w:val="24"/>
        </w:rPr>
        <w:t>= 4.04 years (≈ 4 years 5 months)</w:t>
      </w:r>
    </w:p>
    <w:p w14:paraId="50D4D068" w14:textId="77777777" w:rsidR="004F2C57" w:rsidRPr="00E40CBF" w:rsidRDefault="004F2C57" w:rsidP="0075108E">
      <w:pPr>
        <w:tabs>
          <w:tab w:val="left" w:pos="5916"/>
        </w:tabs>
        <w:jc w:val="both"/>
        <w:rPr>
          <w:rFonts w:ascii="Arial" w:hAnsi="Arial" w:cs="Arial"/>
          <w:sz w:val="24"/>
          <w:szCs w:val="24"/>
        </w:rPr>
      </w:pPr>
    </w:p>
    <w:p w14:paraId="32FB9BD7" w14:textId="38655472"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 xml:space="preserve">PROJECT B – PAYBACK PERIOD </w:t>
      </w:r>
    </w:p>
    <w:p w14:paraId="7996625D" w14:textId="32C17208" w:rsidR="00762B99" w:rsidRPr="00E40CBF" w:rsidRDefault="00762B99"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574"/>
        <w:gridCol w:w="2841"/>
        <w:gridCol w:w="2990"/>
      </w:tblGrid>
      <w:tr w:rsidR="00E40CBF" w:rsidRPr="00E40CBF" w14:paraId="1624B479" w14:textId="77777777" w:rsidTr="00762B99">
        <w:trPr>
          <w:tblHeader/>
          <w:tblCellSpacing w:w="15" w:type="dxa"/>
        </w:trPr>
        <w:tc>
          <w:tcPr>
            <w:tcW w:w="0" w:type="auto"/>
            <w:vAlign w:val="center"/>
            <w:hideMark/>
          </w:tcPr>
          <w:p w14:paraId="1948932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104130E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Cash Flow (£)</w:t>
            </w:r>
          </w:p>
        </w:tc>
        <w:tc>
          <w:tcPr>
            <w:tcW w:w="0" w:type="auto"/>
            <w:vAlign w:val="center"/>
            <w:hideMark/>
          </w:tcPr>
          <w:p w14:paraId="2FFD040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Cumulative Cash Flow (£)</w:t>
            </w:r>
          </w:p>
        </w:tc>
        <w:tc>
          <w:tcPr>
            <w:tcW w:w="0" w:type="auto"/>
            <w:vAlign w:val="center"/>
            <w:hideMark/>
          </w:tcPr>
          <w:p w14:paraId="1891382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Outstanding Investment (£)</w:t>
            </w:r>
          </w:p>
        </w:tc>
      </w:tr>
      <w:tr w:rsidR="00E40CBF" w:rsidRPr="00E40CBF" w14:paraId="08334503" w14:textId="77777777" w:rsidTr="00762B99">
        <w:trPr>
          <w:tblCellSpacing w:w="15" w:type="dxa"/>
        </w:trPr>
        <w:tc>
          <w:tcPr>
            <w:tcW w:w="0" w:type="auto"/>
            <w:vAlign w:val="center"/>
            <w:hideMark/>
          </w:tcPr>
          <w:p w14:paraId="192C3A2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50C0E7B4"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1385BA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0C6134C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30</w:t>
            </w:r>
          </w:p>
        </w:tc>
      </w:tr>
      <w:tr w:rsidR="00E40CBF" w:rsidRPr="00E40CBF" w14:paraId="636B44B4" w14:textId="77777777" w:rsidTr="00762B99">
        <w:trPr>
          <w:tblCellSpacing w:w="15" w:type="dxa"/>
        </w:trPr>
        <w:tc>
          <w:tcPr>
            <w:tcW w:w="0" w:type="auto"/>
            <w:vAlign w:val="center"/>
            <w:hideMark/>
          </w:tcPr>
          <w:p w14:paraId="31EB41D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294955A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7D66E5BD"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–24</w:t>
            </w:r>
          </w:p>
        </w:tc>
        <w:tc>
          <w:tcPr>
            <w:tcW w:w="0" w:type="auto"/>
            <w:vAlign w:val="center"/>
            <w:hideMark/>
          </w:tcPr>
          <w:p w14:paraId="6F88853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24</w:t>
            </w:r>
          </w:p>
        </w:tc>
      </w:tr>
      <w:tr w:rsidR="00E40CBF" w:rsidRPr="00E40CBF" w14:paraId="0F9915E3" w14:textId="77777777" w:rsidTr="00762B99">
        <w:trPr>
          <w:tblCellSpacing w:w="15" w:type="dxa"/>
        </w:trPr>
        <w:tc>
          <w:tcPr>
            <w:tcW w:w="0" w:type="auto"/>
            <w:vAlign w:val="center"/>
            <w:hideMark/>
          </w:tcPr>
          <w:p w14:paraId="2537905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5FAA645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6D7BFD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c>
          <w:tcPr>
            <w:tcW w:w="0" w:type="auto"/>
            <w:vAlign w:val="center"/>
            <w:hideMark/>
          </w:tcPr>
          <w:p w14:paraId="3DE8307E"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18</w:t>
            </w:r>
          </w:p>
        </w:tc>
      </w:tr>
      <w:tr w:rsidR="00E40CBF" w:rsidRPr="00E40CBF" w14:paraId="36554060" w14:textId="77777777" w:rsidTr="00762B99">
        <w:trPr>
          <w:tblCellSpacing w:w="15" w:type="dxa"/>
        </w:trPr>
        <w:tc>
          <w:tcPr>
            <w:tcW w:w="0" w:type="auto"/>
            <w:vAlign w:val="center"/>
            <w:hideMark/>
          </w:tcPr>
          <w:p w14:paraId="7EE95D35"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59A9BFD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6031E2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74DBFBB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12</w:t>
            </w:r>
          </w:p>
        </w:tc>
      </w:tr>
      <w:tr w:rsidR="00E40CBF" w:rsidRPr="00E40CBF" w14:paraId="3099E5BE" w14:textId="77777777" w:rsidTr="00762B99">
        <w:trPr>
          <w:tblCellSpacing w:w="15" w:type="dxa"/>
        </w:trPr>
        <w:tc>
          <w:tcPr>
            <w:tcW w:w="0" w:type="auto"/>
            <w:vAlign w:val="center"/>
            <w:hideMark/>
          </w:tcPr>
          <w:p w14:paraId="7F937E0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585807D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431059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7B046D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r>
      <w:tr w:rsidR="00762B99" w:rsidRPr="00E40CBF" w14:paraId="34C04297" w14:textId="77777777" w:rsidTr="00762B99">
        <w:trPr>
          <w:tblCellSpacing w:w="15" w:type="dxa"/>
        </w:trPr>
        <w:tc>
          <w:tcPr>
            <w:tcW w:w="0" w:type="auto"/>
            <w:vAlign w:val="center"/>
            <w:hideMark/>
          </w:tcPr>
          <w:p w14:paraId="1B0F82BE"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3D1768E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6200A0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562DC3E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Recovered</w:t>
            </w:r>
          </w:p>
        </w:tc>
      </w:tr>
    </w:tbl>
    <w:p w14:paraId="3A74F8F6" w14:textId="77777777" w:rsidR="00762B99" w:rsidRPr="00E40CBF" w:rsidRDefault="00762B99" w:rsidP="0075108E">
      <w:pPr>
        <w:tabs>
          <w:tab w:val="left" w:pos="5916"/>
        </w:tabs>
        <w:jc w:val="both"/>
        <w:rPr>
          <w:rFonts w:ascii="Arial" w:hAnsi="Arial" w:cs="Arial"/>
          <w:sz w:val="24"/>
          <w:szCs w:val="24"/>
        </w:rPr>
      </w:pPr>
    </w:p>
    <w:p w14:paraId="65253654" w14:textId="77777777" w:rsidR="00BF0F38" w:rsidRPr="00E40CBF" w:rsidRDefault="00BF0F38" w:rsidP="0075108E">
      <w:pPr>
        <w:tabs>
          <w:tab w:val="left" w:pos="5916"/>
        </w:tabs>
        <w:jc w:val="both"/>
        <w:rPr>
          <w:rFonts w:ascii="Arial" w:hAnsi="Arial" w:cs="Arial"/>
          <w:sz w:val="24"/>
          <w:szCs w:val="24"/>
        </w:rPr>
      </w:pPr>
    </w:p>
    <w:p w14:paraId="68273E0E" w14:textId="77777777" w:rsidR="00BF0F38" w:rsidRPr="00E40CBF" w:rsidRDefault="00BF0F38" w:rsidP="0075108E">
      <w:pPr>
        <w:tabs>
          <w:tab w:val="left" w:pos="5916"/>
        </w:tabs>
        <w:jc w:val="both"/>
        <w:rPr>
          <w:rFonts w:ascii="Arial" w:hAnsi="Arial" w:cs="Arial"/>
          <w:sz w:val="24"/>
          <w:szCs w:val="24"/>
        </w:rPr>
      </w:pPr>
    </w:p>
    <w:p w14:paraId="2BC64F40" w14:textId="77777777" w:rsidR="00BF0F38" w:rsidRPr="00E40CBF" w:rsidRDefault="00BF0F38" w:rsidP="0075108E">
      <w:pPr>
        <w:tabs>
          <w:tab w:val="left" w:pos="5916"/>
        </w:tabs>
        <w:jc w:val="both"/>
        <w:rPr>
          <w:rFonts w:ascii="Arial" w:hAnsi="Arial" w:cs="Arial"/>
          <w:sz w:val="24"/>
          <w:szCs w:val="24"/>
        </w:rPr>
      </w:pPr>
    </w:p>
    <w:p w14:paraId="7CEDB014" w14:textId="77777777" w:rsidR="00BF0F38" w:rsidRPr="00E40CBF" w:rsidRDefault="00BF0F38" w:rsidP="0075108E">
      <w:pPr>
        <w:tabs>
          <w:tab w:val="left" w:pos="5916"/>
        </w:tabs>
        <w:jc w:val="both"/>
        <w:rPr>
          <w:rFonts w:ascii="Arial" w:hAnsi="Arial" w:cs="Arial"/>
          <w:sz w:val="24"/>
          <w:szCs w:val="24"/>
        </w:rPr>
      </w:pPr>
    </w:p>
    <w:p w14:paraId="3772B372" w14:textId="42405E78"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 xml:space="preserve">PROJECT C – PAYBACK PERIOD </w:t>
      </w:r>
    </w:p>
    <w:p w14:paraId="465AF474" w14:textId="6EBBB952" w:rsidR="00762B99" w:rsidRPr="00E40CBF" w:rsidRDefault="00762B99"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0"/>
        <w:gridCol w:w="1574"/>
        <w:gridCol w:w="2841"/>
        <w:gridCol w:w="2990"/>
      </w:tblGrid>
      <w:tr w:rsidR="00E40CBF" w:rsidRPr="00E40CBF" w14:paraId="64016580" w14:textId="77777777" w:rsidTr="00762B99">
        <w:trPr>
          <w:tblHeader/>
          <w:tblCellSpacing w:w="15" w:type="dxa"/>
        </w:trPr>
        <w:tc>
          <w:tcPr>
            <w:tcW w:w="0" w:type="auto"/>
            <w:vAlign w:val="center"/>
            <w:hideMark/>
          </w:tcPr>
          <w:p w14:paraId="2A60F064"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63F2F58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Cash Flow (£)</w:t>
            </w:r>
          </w:p>
        </w:tc>
        <w:tc>
          <w:tcPr>
            <w:tcW w:w="0" w:type="auto"/>
            <w:vAlign w:val="center"/>
            <w:hideMark/>
          </w:tcPr>
          <w:p w14:paraId="7AC24E0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Cumulative Cash Flow (£)</w:t>
            </w:r>
          </w:p>
        </w:tc>
        <w:tc>
          <w:tcPr>
            <w:tcW w:w="0" w:type="auto"/>
            <w:vAlign w:val="center"/>
            <w:hideMark/>
          </w:tcPr>
          <w:p w14:paraId="0B374FE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Outstanding Investment (£)</w:t>
            </w:r>
          </w:p>
        </w:tc>
      </w:tr>
      <w:tr w:rsidR="00E40CBF" w:rsidRPr="00E40CBF" w14:paraId="58DFE941" w14:textId="77777777" w:rsidTr="00762B99">
        <w:trPr>
          <w:tblCellSpacing w:w="15" w:type="dxa"/>
        </w:trPr>
        <w:tc>
          <w:tcPr>
            <w:tcW w:w="0" w:type="auto"/>
            <w:vAlign w:val="center"/>
            <w:hideMark/>
          </w:tcPr>
          <w:p w14:paraId="249FC0C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1FB2A37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2336405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734FD65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50</w:t>
            </w:r>
          </w:p>
        </w:tc>
      </w:tr>
      <w:tr w:rsidR="00E40CBF" w:rsidRPr="00E40CBF" w14:paraId="28663DF6" w14:textId="77777777" w:rsidTr="00762B99">
        <w:trPr>
          <w:tblCellSpacing w:w="15" w:type="dxa"/>
        </w:trPr>
        <w:tc>
          <w:tcPr>
            <w:tcW w:w="0" w:type="auto"/>
            <w:vAlign w:val="center"/>
            <w:hideMark/>
          </w:tcPr>
          <w:p w14:paraId="21044E7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3D41E0C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2358EDB7"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–45</w:t>
            </w:r>
          </w:p>
        </w:tc>
        <w:tc>
          <w:tcPr>
            <w:tcW w:w="0" w:type="auto"/>
            <w:vAlign w:val="center"/>
            <w:hideMark/>
          </w:tcPr>
          <w:p w14:paraId="25A43A8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45</w:t>
            </w:r>
          </w:p>
        </w:tc>
      </w:tr>
      <w:tr w:rsidR="00E40CBF" w:rsidRPr="00E40CBF" w14:paraId="2166D54F" w14:textId="77777777" w:rsidTr="00762B99">
        <w:trPr>
          <w:tblCellSpacing w:w="15" w:type="dxa"/>
        </w:trPr>
        <w:tc>
          <w:tcPr>
            <w:tcW w:w="0" w:type="auto"/>
            <w:vAlign w:val="center"/>
            <w:hideMark/>
          </w:tcPr>
          <w:p w14:paraId="7563D5F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121354A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AA30C8B"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–35</w:t>
            </w:r>
          </w:p>
        </w:tc>
        <w:tc>
          <w:tcPr>
            <w:tcW w:w="0" w:type="auto"/>
            <w:vAlign w:val="center"/>
            <w:hideMark/>
          </w:tcPr>
          <w:p w14:paraId="2C24F8BA"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35</w:t>
            </w:r>
          </w:p>
        </w:tc>
      </w:tr>
      <w:tr w:rsidR="00E40CBF" w:rsidRPr="00E40CBF" w14:paraId="0031C280" w14:textId="77777777" w:rsidTr="00762B99">
        <w:trPr>
          <w:tblCellSpacing w:w="15" w:type="dxa"/>
        </w:trPr>
        <w:tc>
          <w:tcPr>
            <w:tcW w:w="0" w:type="auto"/>
            <w:vAlign w:val="center"/>
            <w:hideMark/>
          </w:tcPr>
          <w:p w14:paraId="0111F41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28CDFFA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01D4A533"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55D24F1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25</w:t>
            </w:r>
          </w:p>
        </w:tc>
      </w:tr>
      <w:tr w:rsidR="00E40CBF" w:rsidRPr="00E40CBF" w14:paraId="5A1D8908" w14:textId="77777777" w:rsidTr="00762B99">
        <w:trPr>
          <w:tblCellSpacing w:w="15" w:type="dxa"/>
        </w:trPr>
        <w:tc>
          <w:tcPr>
            <w:tcW w:w="0" w:type="auto"/>
            <w:vAlign w:val="center"/>
            <w:hideMark/>
          </w:tcPr>
          <w:p w14:paraId="0FFF68B8"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5461018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2883B5F2"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5FE7C92C"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Recovered</w:t>
            </w:r>
          </w:p>
        </w:tc>
      </w:tr>
      <w:tr w:rsidR="00762B99" w:rsidRPr="00E40CBF" w14:paraId="7D616C9B" w14:textId="77777777" w:rsidTr="00762B99">
        <w:trPr>
          <w:tblCellSpacing w:w="15" w:type="dxa"/>
        </w:trPr>
        <w:tc>
          <w:tcPr>
            <w:tcW w:w="0" w:type="auto"/>
            <w:vAlign w:val="center"/>
            <w:hideMark/>
          </w:tcPr>
          <w:p w14:paraId="3A1ECEE6"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4AF422F9"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12EE86FF"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63BDA4A0" w14:textId="77777777" w:rsidR="00762B99" w:rsidRPr="00E40CBF" w:rsidRDefault="00762B99" w:rsidP="0075108E">
            <w:pPr>
              <w:tabs>
                <w:tab w:val="left" w:pos="5916"/>
              </w:tabs>
              <w:jc w:val="both"/>
              <w:rPr>
                <w:rFonts w:ascii="Arial" w:hAnsi="Arial" w:cs="Arial"/>
                <w:sz w:val="24"/>
                <w:szCs w:val="24"/>
              </w:rPr>
            </w:pPr>
            <w:r w:rsidRPr="00E40CBF">
              <w:rPr>
                <w:rFonts w:ascii="Arial" w:hAnsi="Arial" w:cs="Arial"/>
                <w:sz w:val="24"/>
                <w:szCs w:val="24"/>
              </w:rPr>
              <w:t>0.6</w:t>
            </w:r>
          </w:p>
        </w:tc>
      </w:tr>
    </w:tbl>
    <w:p w14:paraId="2E859F53" w14:textId="77777777" w:rsidR="00762B99" w:rsidRPr="00E40CBF" w:rsidRDefault="00762B99" w:rsidP="0075108E">
      <w:pPr>
        <w:tabs>
          <w:tab w:val="left" w:pos="5916"/>
        </w:tabs>
        <w:jc w:val="both"/>
        <w:rPr>
          <w:rFonts w:ascii="Arial" w:hAnsi="Arial" w:cs="Arial"/>
          <w:sz w:val="24"/>
          <w:szCs w:val="24"/>
        </w:rPr>
      </w:pPr>
    </w:p>
    <w:p w14:paraId="10ACED30" w14:textId="4588EE45" w:rsidR="007626A9"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Payback Period = 3 + (25 ÷ 25) *12 = 4.06 years (≈ 4 years 7 months)</w:t>
      </w:r>
    </w:p>
    <w:p w14:paraId="25486BB7" w14:textId="77777777" w:rsidR="00BF0F38" w:rsidRPr="00E40CBF" w:rsidRDefault="00BF0F38" w:rsidP="0075108E">
      <w:pPr>
        <w:tabs>
          <w:tab w:val="left" w:pos="5916"/>
        </w:tabs>
        <w:jc w:val="both"/>
        <w:rPr>
          <w:rFonts w:ascii="Arial" w:hAnsi="Arial" w:cs="Arial"/>
          <w:sz w:val="24"/>
          <w:szCs w:val="24"/>
        </w:rPr>
      </w:pPr>
    </w:p>
    <w:p w14:paraId="01B7F1F8" w14:textId="77777777" w:rsidR="00BF0F38" w:rsidRPr="00E40CBF" w:rsidRDefault="00BF0F38" w:rsidP="0075108E">
      <w:pPr>
        <w:tabs>
          <w:tab w:val="left" w:pos="5916"/>
        </w:tabs>
        <w:jc w:val="both"/>
        <w:rPr>
          <w:rFonts w:ascii="Arial" w:hAnsi="Arial" w:cs="Arial"/>
          <w:sz w:val="24"/>
          <w:szCs w:val="24"/>
        </w:rPr>
      </w:pPr>
    </w:p>
    <w:p w14:paraId="7AFDEBCE" w14:textId="77777777" w:rsidR="007626A9" w:rsidRPr="00E40CBF" w:rsidRDefault="007626A9" w:rsidP="0075108E">
      <w:pPr>
        <w:tabs>
          <w:tab w:val="left" w:pos="5916"/>
        </w:tabs>
        <w:jc w:val="both"/>
        <w:rPr>
          <w:rFonts w:ascii="Arial" w:hAnsi="Arial" w:cs="Arial"/>
          <w:sz w:val="24"/>
          <w:szCs w:val="24"/>
        </w:rPr>
      </w:pPr>
    </w:p>
    <w:p w14:paraId="58B37F55" w14:textId="482E52FA"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Net Present Value (NPV)</w:t>
      </w:r>
      <w:r w:rsidR="001A4A7B" w:rsidRPr="00E40CBF">
        <w:rPr>
          <w:rFonts w:ascii="Arial" w:hAnsi="Arial" w:cs="Arial"/>
          <w:sz w:val="24"/>
          <w:szCs w:val="24"/>
        </w:rPr>
        <w:t xml:space="preserve"> (10%)</w:t>
      </w:r>
    </w:p>
    <w:p w14:paraId="7928BAC4" w14:textId="776B108E" w:rsidR="004F2C57" w:rsidRPr="00E40CBF" w:rsidRDefault="004F2C57" w:rsidP="0075108E">
      <w:pPr>
        <w:tabs>
          <w:tab w:val="left" w:pos="5916"/>
        </w:tabs>
        <w:jc w:val="both"/>
        <w:rPr>
          <w:rFonts w:ascii="Arial" w:hAnsi="Arial" w:cs="Arial"/>
          <w:sz w:val="24"/>
          <w:szCs w:val="24"/>
        </w:rPr>
      </w:pPr>
    </w:p>
    <w:tbl>
      <w:tblPr>
        <w:tblW w:w="10440" w:type="dxa"/>
        <w:tblCellSpacing w:w="15"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35"/>
        <w:gridCol w:w="827"/>
        <w:gridCol w:w="1014"/>
        <w:gridCol w:w="1281"/>
        <w:gridCol w:w="827"/>
        <w:gridCol w:w="1014"/>
        <w:gridCol w:w="1281"/>
        <w:gridCol w:w="827"/>
        <w:gridCol w:w="1014"/>
        <w:gridCol w:w="1320"/>
      </w:tblGrid>
      <w:tr w:rsidR="00E40CBF" w:rsidRPr="00E40CBF" w14:paraId="093165CC" w14:textId="77777777" w:rsidTr="007626A9">
        <w:trPr>
          <w:tblHeader/>
          <w:tblCellSpacing w:w="15" w:type="dxa"/>
        </w:trPr>
        <w:tc>
          <w:tcPr>
            <w:tcW w:w="990" w:type="dxa"/>
            <w:vAlign w:val="center"/>
            <w:hideMark/>
          </w:tcPr>
          <w:p w14:paraId="2A91D7B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Year</w:t>
            </w:r>
          </w:p>
        </w:tc>
        <w:tc>
          <w:tcPr>
            <w:tcW w:w="0" w:type="auto"/>
            <w:vAlign w:val="center"/>
            <w:hideMark/>
          </w:tcPr>
          <w:p w14:paraId="380D00D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1 – CF</w:t>
            </w:r>
          </w:p>
        </w:tc>
        <w:tc>
          <w:tcPr>
            <w:tcW w:w="0" w:type="auto"/>
            <w:vAlign w:val="center"/>
            <w:hideMark/>
          </w:tcPr>
          <w:p w14:paraId="65E4FF0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 Factor (10%)</w:t>
            </w:r>
          </w:p>
        </w:tc>
        <w:tc>
          <w:tcPr>
            <w:tcW w:w="0" w:type="auto"/>
            <w:vAlign w:val="center"/>
            <w:hideMark/>
          </w:tcPr>
          <w:p w14:paraId="1D18BD1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Discounted CF</w:t>
            </w:r>
          </w:p>
        </w:tc>
        <w:tc>
          <w:tcPr>
            <w:tcW w:w="0" w:type="auto"/>
            <w:vAlign w:val="center"/>
            <w:hideMark/>
          </w:tcPr>
          <w:p w14:paraId="591AAD0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2 – CF</w:t>
            </w:r>
          </w:p>
        </w:tc>
        <w:tc>
          <w:tcPr>
            <w:tcW w:w="0" w:type="auto"/>
            <w:vAlign w:val="center"/>
            <w:hideMark/>
          </w:tcPr>
          <w:p w14:paraId="6F6D2D6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 Factor (10%)</w:t>
            </w:r>
          </w:p>
        </w:tc>
        <w:tc>
          <w:tcPr>
            <w:tcW w:w="0" w:type="auto"/>
            <w:vAlign w:val="center"/>
            <w:hideMark/>
          </w:tcPr>
          <w:p w14:paraId="4A72A66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Discounted CF</w:t>
            </w:r>
          </w:p>
        </w:tc>
        <w:tc>
          <w:tcPr>
            <w:tcW w:w="0" w:type="auto"/>
            <w:vAlign w:val="center"/>
            <w:hideMark/>
          </w:tcPr>
          <w:p w14:paraId="2B67627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3 – CF</w:t>
            </w:r>
          </w:p>
        </w:tc>
        <w:tc>
          <w:tcPr>
            <w:tcW w:w="0" w:type="auto"/>
            <w:vAlign w:val="center"/>
            <w:hideMark/>
          </w:tcPr>
          <w:p w14:paraId="383931E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 Factor (10%)</w:t>
            </w:r>
          </w:p>
        </w:tc>
        <w:tc>
          <w:tcPr>
            <w:tcW w:w="1275" w:type="dxa"/>
            <w:vAlign w:val="center"/>
            <w:hideMark/>
          </w:tcPr>
          <w:p w14:paraId="053CD1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Discounted CF</w:t>
            </w:r>
          </w:p>
        </w:tc>
      </w:tr>
      <w:tr w:rsidR="00E40CBF" w:rsidRPr="00E40CBF" w14:paraId="769E4FA4" w14:textId="77777777" w:rsidTr="007626A9">
        <w:trPr>
          <w:tblCellSpacing w:w="15" w:type="dxa"/>
        </w:trPr>
        <w:tc>
          <w:tcPr>
            <w:tcW w:w="990" w:type="dxa"/>
            <w:vAlign w:val="center"/>
            <w:hideMark/>
          </w:tcPr>
          <w:p w14:paraId="471AEA4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w:t>
            </w:r>
          </w:p>
        </w:tc>
        <w:tc>
          <w:tcPr>
            <w:tcW w:w="0" w:type="auto"/>
            <w:vAlign w:val="center"/>
            <w:hideMark/>
          </w:tcPr>
          <w:p w14:paraId="6E9B3F5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–40</w:t>
            </w:r>
          </w:p>
        </w:tc>
        <w:tc>
          <w:tcPr>
            <w:tcW w:w="0" w:type="auto"/>
            <w:vAlign w:val="center"/>
            <w:hideMark/>
          </w:tcPr>
          <w:p w14:paraId="54DB1094"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7317DB5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–40.00</w:t>
            </w:r>
          </w:p>
        </w:tc>
        <w:tc>
          <w:tcPr>
            <w:tcW w:w="0" w:type="auto"/>
            <w:vAlign w:val="center"/>
            <w:hideMark/>
          </w:tcPr>
          <w:p w14:paraId="7546E08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3B1FF31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53BE33D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–30.00</w:t>
            </w:r>
          </w:p>
        </w:tc>
        <w:tc>
          <w:tcPr>
            <w:tcW w:w="0" w:type="auto"/>
            <w:vAlign w:val="center"/>
            <w:hideMark/>
          </w:tcPr>
          <w:p w14:paraId="42D7A19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–50</w:t>
            </w:r>
          </w:p>
        </w:tc>
        <w:tc>
          <w:tcPr>
            <w:tcW w:w="0" w:type="auto"/>
            <w:vAlign w:val="center"/>
            <w:hideMark/>
          </w:tcPr>
          <w:p w14:paraId="655DDEB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1275" w:type="dxa"/>
            <w:vAlign w:val="center"/>
            <w:hideMark/>
          </w:tcPr>
          <w:p w14:paraId="5D35DE4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–50.00</w:t>
            </w:r>
          </w:p>
        </w:tc>
      </w:tr>
      <w:tr w:rsidR="00E40CBF" w:rsidRPr="00E40CBF" w14:paraId="20A06D10" w14:textId="77777777" w:rsidTr="007626A9">
        <w:trPr>
          <w:tblCellSpacing w:w="15" w:type="dxa"/>
        </w:trPr>
        <w:tc>
          <w:tcPr>
            <w:tcW w:w="990" w:type="dxa"/>
            <w:vAlign w:val="center"/>
            <w:hideMark/>
          </w:tcPr>
          <w:p w14:paraId="326249B4"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w:t>
            </w:r>
          </w:p>
        </w:tc>
        <w:tc>
          <w:tcPr>
            <w:tcW w:w="0" w:type="auto"/>
            <w:vAlign w:val="center"/>
            <w:hideMark/>
          </w:tcPr>
          <w:p w14:paraId="7FB2536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7737A961"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2D69E95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9.10</w:t>
            </w:r>
          </w:p>
        </w:tc>
        <w:tc>
          <w:tcPr>
            <w:tcW w:w="0" w:type="auto"/>
            <w:vAlign w:val="center"/>
            <w:hideMark/>
          </w:tcPr>
          <w:p w14:paraId="5329BF9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03A7EFE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5CAB47E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5.45</w:t>
            </w:r>
          </w:p>
        </w:tc>
        <w:tc>
          <w:tcPr>
            <w:tcW w:w="0" w:type="auto"/>
            <w:vAlign w:val="center"/>
            <w:hideMark/>
          </w:tcPr>
          <w:p w14:paraId="31F28B1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40CDC15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1275" w:type="dxa"/>
            <w:vAlign w:val="center"/>
            <w:hideMark/>
          </w:tcPr>
          <w:p w14:paraId="307F59A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4.545</w:t>
            </w:r>
          </w:p>
        </w:tc>
      </w:tr>
      <w:tr w:rsidR="00E40CBF" w:rsidRPr="00E40CBF" w14:paraId="6B405A6A" w14:textId="77777777" w:rsidTr="007626A9">
        <w:trPr>
          <w:tblCellSpacing w:w="15" w:type="dxa"/>
        </w:trPr>
        <w:tc>
          <w:tcPr>
            <w:tcW w:w="990" w:type="dxa"/>
            <w:vAlign w:val="center"/>
            <w:hideMark/>
          </w:tcPr>
          <w:p w14:paraId="4584B42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2</w:t>
            </w:r>
          </w:p>
        </w:tc>
        <w:tc>
          <w:tcPr>
            <w:tcW w:w="0" w:type="auto"/>
            <w:vAlign w:val="center"/>
            <w:hideMark/>
          </w:tcPr>
          <w:p w14:paraId="0F006F5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12</w:t>
            </w:r>
          </w:p>
        </w:tc>
        <w:tc>
          <w:tcPr>
            <w:tcW w:w="0" w:type="auto"/>
            <w:vAlign w:val="center"/>
            <w:hideMark/>
          </w:tcPr>
          <w:p w14:paraId="1EBB823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1A805C1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9.92</w:t>
            </w:r>
          </w:p>
        </w:tc>
        <w:tc>
          <w:tcPr>
            <w:tcW w:w="0" w:type="auto"/>
            <w:vAlign w:val="center"/>
            <w:hideMark/>
          </w:tcPr>
          <w:p w14:paraId="495AAB5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366BE4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641D555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4.96</w:t>
            </w:r>
          </w:p>
        </w:tc>
        <w:tc>
          <w:tcPr>
            <w:tcW w:w="0" w:type="auto"/>
            <w:vAlign w:val="center"/>
            <w:hideMark/>
          </w:tcPr>
          <w:p w14:paraId="545F868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6FB9C5E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1275" w:type="dxa"/>
            <w:vAlign w:val="center"/>
            <w:hideMark/>
          </w:tcPr>
          <w:p w14:paraId="44EA4AB2"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8.264</w:t>
            </w:r>
          </w:p>
        </w:tc>
      </w:tr>
      <w:tr w:rsidR="00E40CBF" w:rsidRPr="00E40CBF" w14:paraId="3BA108A3" w14:textId="77777777" w:rsidTr="007626A9">
        <w:trPr>
          <w:tblCellSpacing w:w="15" w:type="dxa"/>
        </w:trPr>
        <w:tc>
          <w:tcPr>
            <w:tcW w:w="990" w:type="dxa"/>
            <w:vAlign w:val="center"/>
            <w:hideMark/>
          </w:tcPr>
          <w:p w14:paraId="1ED986D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w:t>
            </w:r>
          </w:p>
        </w:tc>
        <w:tc>
          <w:tcPr>
            <w:tcW w:w="0" w:type="auto"/>
            <w:vAlign w:val="center"/>
            <w:hideMark/>
          </w:tcPr>
          <w:p w14:paraId="1A1713D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14</w:t>
            </w:r>
          </w:p>
        </w:tc>
        <w:tc>
          <w:tcPr>
            <w:tcW w:w="0" w:type="auto"/>
            <w:vAlign w:val="center"/>
            <w:hideMark/>
          </w:tcPr>
          <w:p w14:paraId="0261E7B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0104316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10.52</w:t>
            </w:r>
          </w:p>
        </w:tc>
        <w:tc>
          <w:tcPr>
            <w:tcW w:w="0" w:type="auto"/>
            <w:vAlign w:val="center"/>
            <w:hideMark/>
          </w:tcPr>
          <w:p w14:paraId="18E8EE6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3B0FB58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64B45610"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4.51</w:t>
            </w:r>
          </w:p>
        </w:tc>
        <w:tc>
          <w:tcPr>
            <w:tcW w:w="0" w:type="auto"/>
            <w:vAlign w:val="center"/>
            <w:hideMark/>
          </w:tcPr>
          <w:p w14:paraId="75569B8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20</w:t>
            </w:r>
          </w:p>
        </w:tc>
        <w:tc>
          <w:tcPr>
            <w:tcW w:w="0" w:type="auto"/>
            <w:vAlign w:val="center"/>
            <w:hideMark/>
          </w:tcPr>
          <w:p w14:paraId="169A2DB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1275" w:type="dxa"/>
            <w:vAlign w:val="center"/>
            <w:hideMark/>
          </w:tcPr>
          <w:p w14:paraId="33D98A72"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15.026</w:t>
            </w:r>
          </w:p>
        </w:tc>
      </w:tr>
      <w:tr w:rsidR="00E40CBF" w:rsidRPr="00E40CBF" w14:paraId="2182138B" w14:textId="77777777" w:rsidTr="007626A9">
        <w:trPr>
          <w:tblCellSpacing w:w="15" w:type="dxa"/>
        </w:trPr>
        <w:tc>
          <w:tcPr>
            <w:tcW w:w="990" w:type="dxa"/>
            <w:vAlign w:val="center"/>
            <w:hideMark/>
          </w:tcPr>
          <w:p w14:paraId="2BD52B29"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w:t>
            </w:r>
          </w:p>
        </w:tc>
        <w:tc>
          <w:tcPr>
            <w:tcW w:w="0" w:type="auto"/>
            <w:vAlign w:val="center"/>
            <w:hideMark/>
          </w:tcPr>
          <w:p w14:paraId="2BE5847C"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10</w:t>
            </w:r>
          </w:p>
        </w:tc>
        <w:tc>
          <w:tcPr>
            <w:tcW w:w="0" w:type="auto"/>
            <w:vAlign w:val="center"/>
            <w:hideMark/>
          </w:tcPr>
          <w:p w14:paraId="1F18528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0323CC5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6.83</w:t>
            </w:r>
          </w:p>
        </w:tc>
        <w:tc>
          <w:tcPr>
            <w:tcW w:w="0" w:type="auto"/>
            <w:vAlign w:val="center"/>
            <w:hideMark/>
          </w:tcPr>
          <w:p w14:paraId="0F629BF1"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550535D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43EF0F9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4.10</w:t>
            </w:r>
          </w:p>
        </w:tc>
        <w:tc>
          <w:tcPr>
            <w:tcW w:w="0" w:type="auto"/>
            <w:vAlign w:val="center"/>
            <w:hideMark/>
          </w:tcPr>
          <w:p w14:paraId="4535B3D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25</w:t>
            </w:r>
          </w:p>
        </w:tc>
        <w:tc>
          <w:tcPr>
            <w:tcW w:w="0" w:type="auto"/>
            <w:vAlign w:val="center"/>
            <w:hideMark/>
          </w:tcPr>
          <w:p w14:paraId="38417B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1275" w:type="dxa"/>
            <w:vAlign w:val="center"/>
            <w:hideMark/>
          </w:tcPr>
          <w:p w14:paraId="431F440A"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17.075</w:t>
            </w:r>
          </w:p>
        </w:tc>
      </w:tr>
      <w:tr w:rsidR="00E40CBF" w:rsidRPr="00E40CBF" w14:paraId="1EBBD877" w14:textId="77777777" w:rsidTr="007626A9">
        <w:trPr>
          <w:tblCellSpacing w:w="15" w:type="dxa"/>
        </w:trPr>
        <w:tc>
          <w:tcPr>
            <w:tcW w:w="990" w:type="dxa"/>
            <w:vAlign w:val="center"/>
            <w:hideMark/>
          </w:tcPr>
          <w:p w14:paraId="16348228"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5</w:t>
            </w:r>
          </w:p>
        </w:tc>
        <w:tc>
          <w:tcPr>
            <w:tcW w:w="0" w:type="auto"/>
            <w:vAlign w:val="center"/>
            <w:hideMark/>
          </w:tcPr>
          <w:p w14:paraId="7771F705"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8</w:t>
            </w:r>
          </w:p>
        </w:tc>
        <w:tc>
          <w:tcPr>
            <w:tcW w:w="0" w:type="auto"/>
            <w:vAlign w:val="center"/>
            <w:hideMark/>
          </w:tcPr>
          <w:p w14:paraId="6A1E676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2B712273"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4.97</w:t>
            </w:r>
          </w:p>
        </w:tc>
        <w:tc>
          <w:tcPr>
            <w:tcW w:w="0" w:type="auto"/>
            <w:vAlign w:val="center"/>
            <w:hideMark/>
          </w:tcPr>
          <w:p w14:paraId="2E435551"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682CDF7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1C85A64F"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3.73</w:t>
            </w:r>
          </w:p>
        </w:tc>
        <w:tc>
          <w:tcPr>
            <w:tcW w:w="0" w:type="auto"/>
            <w:vAlign w:val="center"/>
            <w:hideMark/>
          </w:tcPr>
          <w:p w14:paraId="4E49E284"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15</w:t>
            </w:r>
          </w:p>
        </w:tc>
        <w:tc>
          <w:tcPr>
            <w:tcW w:w="0" w:type="auto"/>
            <w:vAlign w:val="center"/>
            <w:hideMark/>
          </w:tcPr>
          <w:p w14:paraId="0383B62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1275" w:type="dxa"/>
            <w:vAlign w:val="center"/>
            <w:hideMark/>
          </w:tcPr>
          <w:p w14:paraId="6EF0961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9.314</w:t>
            </w:r>
          </w:p>
        </w:tc>
      </w:tr>
    </w:tbl>
    <w:p w14:paraId="276BFF82" w14:textId="39EEFD94" w:rsidR="004F2C57" w:rsidRPr="00E40CBF" w:rsidRDefault="004F2C57" w:rsidP="0075108E">
      <w:pPr>
        <w:tabs>
          <w:tab w:val="left" w:pos="5916"/>
        </w:tabs>
        <w:jc w:val="both"/>
        <w:rPr>
          <w:rFonts w:ascii="Arial" w:hAnsi="Arial" w:cs="Arial"/>
          <w:sz w:val="24"/>
          <w:szCs w:val="24"/>
        </w:rPr>
      </w:pPr>
    </w:p>
    <w:p w14:paraId="7535F37E" w14:textId="08623098"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NPV Summary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55"/>
        <w:gridCol w:w="2250"/>
      </w:tblGrid>
      <w:tr w:rsidR="00E40CBF" w:rsidRPr="00E40CBF" w14:paraId="42DF1F6F" w14:textId="77777777" w:rsidTr="003D7F7C">
        <w:trPr>
          <w:tblHeader/>
          <w:tblCellSpacing w:w="15" w:type="dxa"/>
        </w:trPr>
        <w:tc>
          <w:tcPr>
            <w:tcW w:w="2110" w:type="dxa"/>
            <w:vAlign w:val="center"/>
            <w:hideMark/>
          </w:tcPr>
          <w:p w14:paraId="31CB1DBD"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w:t>
            </w:r>
          </w:p>
        </w:tc>
        <w:tc>
          <w:tcPr>
            <w:tcW w:w="2205" w:type="dxa"/>
            <w:vAlign w:val="center"/>
            <w:hideMark/>
          </w:tcPr>
          <w:p w14:paraId="5840A3F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NPV (£)</w:t>
            </w:r>
          </w:p>
        </w:tc>
      </w:tr>
      <w:tr w:rsidR="00E40CBF" w:rsidRPr="00E40CBF" w14:paraId="172A1FDB" w14:textId="77777777" w:rsidTr="003D7F7C">
        <w:trPr>
          <w:tblCellSpacing w:w="15" w:type="dxa"/>
        </w:trPr>
        <w:tc>
          <w:tcPr>
            <w:tcW w:w="2110" w:type="dxa"/>
            <w:vAlign w:val="center"/>
            <w:hideMark/>
          </w:tcPr>
          <w:p w14:paraId="04C5C3F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1</w:t>
            </w:r>
          </w:p>
        </w:tc>
        <w:tc>
          <w:tcPr>
            <w:tcW w:w="2205" w:type="dxa"/>
            <w:vAlign w:val="center"/>
            <w:hideMark/>
          </w:tcPr>
          <w:p w14:paraId="31FB77A7"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+1.30</w:t>
            </w:r>
          </w:p>
        </w:tc>
      </w:tr>
      <w:tr w:rsidR="00E40CBF" w:rsidRPr="00E40CBF" w14:paraId="32ED80E7" w14:textId="77777777" w:rsidTr="003D7F7C">
        <w:trPr>
          <w:tblCellSpacing w:w="15" w:type="dxa"/>
        </w:trPr>
        <w:tc>
          <w:tcPr>
            <w:tcW w:w="2110" w:type="dxa"/>
            <w:vAlign w:val="center"/>
            <w:hideMark/>
          </w:tcPr>
          <w:p w14:paraId="4614D466"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2</w:t>
            </w:r>
          </w:p>
        </w:tc>
        <w:tc>
          <w:tcPr>
            <w:tcW w:w="2205" w:type="dxa"/>
            <w:vAlign w:val="center"/>
            <w:hideMark/>
          </w:tcPr>
          <w:p w14:paraId="28251D9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–7.30</w:t>
            </w:r>
          </w:p>
        </w:tc>
      </w:tr>
      <w:tr w:rsidR="004F2C57" w:rsidRPr="00E40CBF" w14:paraId="6A86E0E6" w14:textId="77777777" w:rsidTr="003D7F7C">
        <w:trPr>
          <w:tblCellSpacing w:w="15" w:type="dxa"/>
        </w:trPr>
        <w:tc>
          <w:tcPr>
            <w:tcW w:w="2110" w:type="dxa"/>
            <w:vAlign w:val="center"/>
            <w:hideMark/>
          </w:tcPr>
          <w:p w14:paraId="5C76DD3B"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Project 3</w:t>
            </w:r>
          </w:p>
        </w:tc>
        <w:tc>
          <w:tcPr>
            <w:tcW w:w="2205" w:type="dxa"/>
            <w:vAlign w:val="center"/>
            <w:hideMark/>
          </w:tcPr>
          <w:p w14:paraId="57120CEE" w14:textId="77777777" w:rsidR="004F2C57" w:rsidRPr="00E40CBF" w:rsidRDefault="004F2C57" w:rsidP="0075108E">
            <w:pPr>
              <w:tabs>
                <w:tab w:val="left" w:pos="5916"/>
              </w:tabs>
              <w:jc w:val="both"/>
              <w:rPr>
                <w:rFonts w:ascii="Arial" w:hAnsi="Arial" w:cs="Arial"/>
                <w:sz w:val="24"/>
                <w:szCs w:val="24"/>
              </w:rPr>
            </w:pPr>
            <w:r w:rsidRPr="00E40CBF">
              <w:rPr>
                <w:rFonts w:ascii="Arial" w:hAnsi="Arial" w:cs="Arial"/>
                <w:sz w:val="24"/>
                <w:szCs w:val="24"/>
              </w:rPr>
              <w:t>+4.23</w:t>
            </w:r>
          </w:p>
        </w:tc>
      </w:tr>
    </w:tbl>
    <w:p w14:paraId="68ADCF7E" w14:textId="77777777" w:rsidR="003E3D29" w:rsidRPr="00E40CBF" w:rsidRDefault="003E3D29" w:rsidP="0075108E">
      <w:pPr>
        <w:tabs>
          <w:tab w:val="left" w:pos="5916"/>
        </w:tabs>
        <w:jc w:val="both"/>
        <w:rPr>
          <w:rFonts w:ascii="Arial" w:hAnsi="Arial" w:cs="Arial"/>
          <w:sz w:val="24"/>
          <w:szCs w:val="24"/>
        </w:rPr>
      </w:pPr>
    </w:p>
    <w:p w14:paraId="21D9CAA1" w14:textId="77777777" w:rsidR="003E3D29" w:rsidRPr="00E40CBF" w:rsidRDefault="003E3D29" w:rsidP="0075108E">
      <w:pPr>
        <w:tabs>
          <w:tab w:val="left" w:pos="5916"/>
        </w:tabs>
        <w:jc w:val="both"/>
        <w:rPr>
          <w:rFonts w:ascii="Arial" w:hAnsi="Arial" w:cs="Arial"/>
          <w:sz w:val="24"/>
          <w:szCs w:val="24"/>
        </w:rPr>
      </w:pPr>
    </w:p>
    <w:p w14:paraId="765EC524" w14:textId="711CF02F"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 xml:space="preserve">Profitability Index (PI) </w:t>
      </w:r>
    </w:p>
    <w:p w14:paraId="34B3CF1A" w14:textId="77777777" w:rsidR="007626A9" w:rsidRPr="00E40CBF" w:rsidRDefault="007626A9" w:rsidP="0075108E">
      <w:pPr>
        <w:tabs>
          <w:tab w:val="left" w:pos="5916"/>
        </w:tabs>
        <w:jc w:val="both"/>
        <w:rPr>
          <w:rFonts w:ascii="Arial" w:hAnsi="Arial" w:cs="Arial"/>
          <w:sz w:val="24"/>
          <w:szCs w:val="24"/>
        </w:rPr>
      </w:pPr>
    </w:p>
    <w:tbl>
      <w:tblPr>
        <w:tblW w:w="10080" w:type="dxa"/>
        <w:tblCellSpacing w:w="15"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0"/>
        <w:gridCol w:w="790"/>
        <w:gridCol w:w="1086"/>
        <w:gridCol w:w="991"/>
        <w:gridCol w:w="824"/>
        <w:gridCol w:w="934"/>
        <w:gridCol w:w="991"/>
        <w:gridCol w:w="1044"/>
        <w:gridCol w:w="1080"/>
        <w:gridCol w:w="1440"/>
      </w:tblGrid>
      <w:tr w:rsidR="00E40CBF" w:rsidRPr="00E40CBF" w14:paraId="4DB08690" w14:textId="77777777" w:rsidTr="007626A9">
        <w:trPr>
          <w:tblHeader/>
          <w:tblCellSpacing w:w="15" w:type="dxa"/>
        </w:trPr>
        <w:tc>
          <w:tcPr>
            <w:tcW w:w="855" w:type="dxa"/>
            <w:vAlign w:val="center"/>
            <w:hideMark/>
          </w:tcPr>
          <w:p w14:paraId="3799299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Years</w:t>
            </w:r>
          </w:p>
        </w:tc>
        <w:tc>
          <w:tcPr>
            <w:tcW w:w="760" w:type="dxa"/>
            <w:vAlign w:val="center"/>
            <w:hideMark/>
          </w:tcPr>
          <w:p w14:paraId="09DDD5D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CF (P1)</w:t>
            </w:r>
          </w:p>
        </w:tc>
        <w:tc>
          <w:tcPr>
            <w:tcW w:w="1056" w:type="dxa"/>
            <w:vAlign w:val="center"/>
            <w:hideMark/>
          </w:tcPr>
          <w:p w14:paraId="1E62156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DR 10%</w:t>
            </w:r>
          </w:p>
        </w:tc>
        <w:tc>
          <w:tcPr>
            <w:tcW w:w="0" w:type="auto"/>
            <w:vAlign w:val="center"/>
            <w:hideMark/>
          </w:tcPr>
          <w:p w14:paraId="33DB673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DCF (P1)</w:t>
            </w:r>
          </w:p>
        </w:tc>
        <w:tc>
          <w:tcPr>
            <w:tcW w:w="0" w:type="auto"/>
            <w:vAlign w:val="center"/>
            <w:hideMark/>
          </w:tcPr>
          <w:p w14:paraId="031339D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CF (P2)</w:t>
            </w:r>
          </w:p>
        </w:tc>
        <w:tc>
          <w:tcPr>
            <w:tcW w:w="0" w:type="auto"/>
            <w:vAlign w:val="center"/>
            <w:hideMark/>
          </w:tcPr>
          <w:p w14:paraId="139EC1E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DR 10%</w:t>
            </w:r>
          </w:p>
        </w:tc>
        <w:tc>
          <w:tcPr>
            <w:tcW w:w="0" w:type="auto"/>
            <w:vAlign w:val="center"/>
            <w:hideMark/>
          </w:tcPr>
          <w:p w14:paraId="4C826C4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DCF (P2)</w:t>
            </w:r>
          </w:p>
        </w:tc>
        <w:tc>
          <w:tcPr>
            <w:tcW w:w="1014" w:type="dxa"/>
            <w:vAlign w:val="center"/>
            <w:hideMark/>
          </w:tcPr>
          <w:p w14:paraId="427FCB36"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CF (P3)</w:t>
            </w:r>
          </w:p>
        </w:tc>
        <w:tc>
          <w:tcPr>
            <w:tcW w:w="1050" w:type="dxa"/>
            <w:vAlign w:val="center"/>
            <w:hideMark/>
          </w:tcPr>
          <w:p w14:paraId="3BA3A90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DR 10%</w:t>
            </w:r>
          </w:p>
        </w:tc>
        <w:tc>
          <w:tcPr>
            <w:tcW w:w="1395" w:type="dxa"/>
            <w:vAlign w:val="center"/>
            <w:hideMark/>
          </w:tcPr>
          <w:p w14:paraId="1098B6F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DCF (P3)</w:t>
            </w:r>
          </w:p>
        </w:tc>
      </w:tr>
      <w:tr w:rsidR="00E40CBF" w:rsidRPr="00E40CBF" w14:paraId="410D413D" w14:textId="77777777" w:rsidTr="007626A9">
        <w:trPr>
          <w:tblCellSpacing w:w="15" w:type="dxa"/>
        </w:trPr>
        <w:tc>
          <w:tcPr>
            <w:tcW w:w="855" w:type="dxa"/>
            <w:vAlign w:val="center"/>
            <w:hideMark/>
          </w:tcPr>
          <w:p w14:paraId="082711D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w:t>
            </w:r>
          </w:p>
        </w:tc>
        <w:tc>
          <w:tcPr>
            <w:tcW w:w="760" w:type="dxa"/>
            <w:vAlign w:val="center"/>
            <w:hideMark/>
          </w:tcPr>
          <w:p w14:paraId="5DE327A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40</w:t>
            </w:r>
          </w:p>
        </w:tc>
        <w:tc>
          <w:tcPr>
            <w:tcW w:w="1056" w:type="dxa"/>
            <w:vAlign w:val="center"/>
            <w:hideMark/>
          </w:tcPr>
          <w:p w14:paraId="6E765D9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4DF1046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40.00</w:t>
            </w:r>
          </w:p>
        </w:tc>
        <w:tc>
          <w:tcPr>
            <w:tcW w:w="0" w:type="auto"/>
            <w:vAlign w:val="center"/>
            <w:hideMark/>
          </w:tcPr>
          <w:p w14:paraId="3241E2C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30</w:t>
            </w:r>
          </w:p>
        </w:tc>
        <w:tc>
          <w:tcPr>
            <w:tcW w:w="0" w:type="auto"/>
            <w:vAlign w:val="center"/>
            <w:hideMark/>
          </w:tcPr>
          <w:p w14:paraId="24A557C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0" w:type="auto"/>
            <w:vAlign w:val="center"/>
            <w:hideMark/>
          </w:tcPr>
          <w:p w14:paraId="7624B68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30.00</w:t>
            </w:r>
          </w:p>
        </w:tc>
        <w:tc>
          <w:tcPr>
            <w:tcW w:w="1014" w:type="dxa"/>
            <w:vAlign w:val="center"/>
            <w:hideMark/>
          </w:tcPr>
          <w:p w14:paraId="797AEE9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50</w:t>
            </w:r>
          </w:p>
        </w:tc>
        <w:tc>
          <w:tcPr>
            <w:tcW w:w="1050" w:type="dxa"/>
            <w:vAlign w:val="center"/>
            <w:hideMark/>
          </w:tcPr>
          <w:p w14:paraId="7C212F96"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1.0000</w:t>
            </w:r>
          </w:p>
        </w:tc>
        <w:tc>
          <w:tcPr>
            <w:tcW w:w="1395" w:type="dxa"/>
            <w:vAlign w:val="center"/>
            <w:hideMark/>
          </w:tcPr>
          <w:p w14:paraId="202B880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50.00</w:t>
            </w:r>
          </w:p>
        </w:tc>
      </w:tr>
      <w:tr w:rsidR="00E40CBF" w:rsidRPr="00E40CBF" w14:paraId="18BC51E4" w14:textId="77777777" w:rsidTr="007626A9">
        <w:trPr>
          <w:tblCellSpacing w:w="15" w:type="dxa"/>
        </w:trPr>
        <w:tc>
          <w:tcPr>
            <w:tcW w:w="855" w:type="dxa"/>
            <w:vAlign w:val="center"/>
            <w:hideMark/>
          </w:tcPr>
          <w:p w14:paraId="348CA7D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w:t>
            </w:r>
          </w:p>
        </w:tc>
        <w:tc>
          <w:tcPr>
            <w:tcW w:w="760" w:type="dxa"/>
            <w:vAlign w:val="center"/>
            <w:hideMark/>
          </w:tcPr>
          <w:p w14:paraId="130EAA8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1056" w:type="dxa"/>
            <w:vAlign w:val="center"/>
            <w:hideMark/>
          </w:tcPr>
          <w:p w14:paraId="34B1FB2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2AFDD546"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9.10</w:t>
            </w:r>
          </w:p>
        </w:tc>
        <w:tc>
          <w:tcPr>
            <w:tcW w:w="0" w:type="auto"/>
            <w:vAlign w:val="center"/>
            <w:hideMark/>
          </w:tcPr>
          <w:p w14:paraId="66EBB5C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7BAA250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0" w:type="auto"/>
            <w:vAlign w:val="center"/>
            <w:hideMark/>
          </w:tcPr>
          <w:p w14:paraId="495A85A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5.45</w:t>
            </w:r>
          </w:p>
        </w:tc>
        <w:tc>
          <w:tcPr>
            <w:tcW w:w="1014" w:type="dxa"/>
            <w:vAlign w:val="center"/>
            <w:hideMark/>
          </w:tcPr>
          <w:p w14:paraId="30C6664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c>
          <w:tcPr>
            <w:tcW w:w="1050" w:type="dxa"/>
            <w:vAlign w:val="center"/>
            <w:hideMark/>
          </w:tcPr>
          <w:p w14:paraId="464DBED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0.9091</w:t>
            </w:r>
          </w:p>
        </w:tc>
        <w:tc>
          <w:tcPr>
            <w:tcW w:w="1395" w:type="dxa"/>
            <w:vAlign w:val="center"/>
            <w:hideMark/>
          </w:tcPr>
          <w:p w14:paraId="2F9F98F9"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4.54545</w:t>
            </w:r>
          </w:p>
        </w:tc>
      </w:tr>
      <w:tr w:rsidR="00E40CBF" w:rsidRPr="00E40CBF" w14:paraId="73E7B374" w14:textId="77777777" w:rsidTr="007626A9">
        <w:trPr>
          <w:tblCellSpacing w:w="15" w:type="dxa"/>
        </w:trPr>
        <w:tc>
          <w:tcPr>
            <w:tcW w:w="855" w:type="dxa"/>
            <w:vAlign w:val="center"/>
            <w:hideMark/>
          </w:tcPr>
          <w:p w14:paraId="0B9E4B9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w:t>
            </w:r>
          </w:p>
        </w:tc>
        <w:tc>
          <w:tcPr>
            <w:tcW w:w="760" w:type="dxa"/>
            <w:vAlign w:val="center"/>
            <w:hideMark/>
          </w:tcPr>
          <w:p w14:paraId="52C7407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12</w:t>
            </w:r>
          </w:p>
        </w:tc>
        <w:tc>
          <w:tcPr>
            <w:tcW w:w="1056" w:type="dxa"/>
            <w:vAlign w:val="center"/>
            <w:hideMark/>
          </w:tcPr>
          <w:p w14:paraId="4101EAA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0194E4F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9.92</w:t>
            </w:r>
          </w:p>
        </w:tc>
        <w:tc>
          <w:tcPr>
            <w:tcW w:w="0" w:type="auto"/>
            <w:vAlign w:val="center"/>
            <w:hideMark/>
          </w:tcPr>
          <w:p w14:paraId="481F88D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7CD1FFD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0" w:type="auto"/>
            <w:vAlign w:val="center"/>
            <w:hideMark/>
          </w:tcPr>
          <w:p w14:paraId="1F50CEF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4.96</w:t>
            </w:r>
          </w:p>
        </w:tc>
        <w:tc>
          <w:tcPr>
            <w:tcW w:w="1014" w:type="dxa"/>
            <w:vAlign w:val="center"/>
            <w:hideMark/>
          </w:tcPr>
          <w:p w14:paraId="7A1FECD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1050" w:type="dxa"/>
            <w:vAlign w:val="center"/>
            <w:hideMark/>
          </w:tcPr>
          <w:p w14:paraId="35CE90A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0.8264</w:t>
            </w:r>
          </w:p>
        </w:tc>
        <w:tc>
          <w:tcPr>
            <w:tcW w:w="1395" w:type="dxa"/>
            <w:vAlign w:val="center"/>
            <w:hideMark/>
          </w:tcPr>
          <w:p w14:paraId="50915E9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8.26446</w:t>
            </w:r>
          </w:p>
        </w:tc>
      </w:tr>
      <w:tr w:rsidR="00E40CBF" w:rsidRPr="00E40CBF" w14:paraId="791A7DF9" w14:textId="77777777" w:rsidTr="007626A9">
        <w:trPr>
          <w:tblCellSpacing w:w="15" w:type="dxa"/>
        </w:trPr>
        <w:tc>
          <w:tcPr>
            <w:tcW w:w="855" w:type="dxa"/>
            <w:vAlign w:val="center"/>
            <w:hideMark/>
          </w:tcPr>
          <w:p w14:paraId="1ADC641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w:t>
            </w:r>
          </w:p>
        </w:tc>
        <w:tc>
          <w:tcPr>
            <w:tcW w:w="760" w:type="dxa"/>
            <w:vAlign w:val="center"/>
            <w:hideMark/>
          </w:tcPr>
          <w:p w14:paraId="13F8EFC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14</w:t>
            </w:r>
          </w:p>
        </w:tc>
        <w:tc>
          <w:tcPr>
            <w:tcW w:w="1056" w:type="dxa"/>
            <w:vAlign w:val="center"/>
            <w:hideMark/>
          </w:tcPr>
          <w:p w14:paraId="5013267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09B8860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10.52</w:t>
            </w:r>
          </w:p>
        </w:tc>
        <w:tc>
          <w:tcPr>
            <w:tcW w:w="0" w:type="auto"/>
            <w:vAlign w:val="center"/>
            <w:hideMark/>
          </w:tcPr>
          <w:p w14:paraId="06FA23E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4540A76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0" w:type="auto"/>
            <w:vAlign w:val="center"/>
            <w:hideMark/>
          </w:tcPr>
          <w:p w14:paraId="5C6289E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4.51</w:t>
            </w:r>
          </w:p>
        </w:tc>
        <w:tc>
          <w:tcPr>
            <w:tcW w:w="1014" w:type="dxa"/>
            <w:vAlign w:val="center"/>
            <w:hideMark/>
          </w:tcPr>
          <w:p w14:paraId="4B527129"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20</w:t>
            </w:r>
          </w:p>
        </w:tc>
        <w:tc>
          <w:tcPr>
            <w:tcW w:w="1050" w:type="dxa"/>
            <w:vAlign w:val="center"/>
            <w:hideMark/>
          </w:tcPr>
          <w:p w14:paraId="34CC1BD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0.7513</w:t>
            </w:r>
          </w:p>
        </w:tc>
        <w:tc>
          <w:tcPr>
            <w:tcW w:w="1395" w:type="dxa"/>
            <w:vAlign w:val="center"/>
            <w:hideMark/>
          </w:tcPr>
          <w:p w14:paraId="1555012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15.02630</w:t>
            </w:r>
          </w:p>
        </w:tc>
      </w:tr>
      <w:tr w:rsidR="00E40CBF" w:rsidRPr="00E40CBF" w14:paraId="6B797FFD" w14:textId="77777777" w:rsidTr="007626A9">
        <w:trPr>
          <w:tblCellSpacing w:w="15" w:type="dxa"/>
        </w:trPr>
        <w:tc>
          <w:tcPr>
            <w:tcW w:w="855" w:type="dxa"/>
            <w:vAlign w:val="center"/>
            <w:hideMark/>
          </w:tcPr>
          <w:p w14:paraId="085FB1D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w:t>
            </w:r>
          </w:p>
        </w:tc>
        <w:tc>
          <w:tcPr>
            <w:tcW w:w="760" w:type="dxa"/>
            <w:vAlign w:val="center"/>
            <w:hideMark/>
          </w:tcPr>
          <w:p w14:paraId="5A37679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1056" w:type="dxa"/>
            <w:vAlign w:val="center"/>
            <w:hideMark/>
          </w:tcPr>
          <w:p w14:paraId="1A8DF2C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52A8B8B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6.83</w:t>
            </w:r>
          </w:p>
        </w:tc>
        <w:tc>
          <w:tcPr>
            <w:tcW w:w="0" w:type="auto"/>
            <w:vAlign w:val="center"/>
            <w:hideMark/>
          </w:tcPr>
          <w:p w14:paraId="2DC2B28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21469B9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0" w:type="auto"/>
            <w:vAlign w:val="center"/>
            <w:hideMark/>
          </w:tcPr>
          <w:p w14:paraId="2CCAAC9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4.10</w:t>
            </w:r>
          </w:p>
        </w:tc>
        <w:tc>
          <w:tcPr>
            <w:tcW w:w="1014" w:type="dxa"/>
            <w:vAlign w:val="center"/>
            <w:hideMark/>
          </w:tcPr>
          <w:p w14:paraId="764C0F6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25</w:t>
            </w:r>
          </w:p>
        </w:tc>
        <w:tc>
          <w:tcPr>
            <w:tcW w:w="1050" w:type="dxa"/>
            <w:vAlign w:val="center"/>
            <w:hideMark/>
          </w:tcPr>
          <w:p w14:paraId="5EF871A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0.6830</w:t>
            </w:r>
          </w:p>
        </w:tc>
        <w:tc>
          <w:tcPr>
            <w:tcW w:w="1395" w:type="dxa"/>
            <w:vAlign w:val="center"/>
            <w:hideMark/>
          </w:tcPr>
          <w:p w14:paraId="7C2D288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17.07530</w:t>
            </w:r>
          </w:p>
        </w:tc>
      </w:tr>
      <w:tr w:rsidR="00E40CBF" w:rsidRPr="00E40CBF" w14:paraId="038EED4D" w14:textId="77777777" w:rsidTr="007626A9">
        <w:trPr>
          <w:tblCellSpacing w:w="15" w:type="dxa"/>
        </w:trPr>
        <w:tc>
          <w:tcPr>
            <w:tcW w:w="855" w:type="dxa"/>
            <w:vAlign w:val="center"/>
            <w:hideMark/>
          </w:tcPr>
          <w:p w14:paraId="2F2FF3F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c>
          <w:tcPr>
            <w:tcW w:w="760" w:type="dxa"/>
            <w:vAlign w:val="center"/>
            <w:hideMark/>
          </w:tcPr>
          <w:p w14:paraId="5DAE0EB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8</w:t>
            </w:r>
          </w:p>
        </w:tc>
        <w:tc>
          <w:tcPr>
            <w:tcW w:w="1056" w:type="dxa"/>
            <w:vAlign w:val="center"/>
            <w:hideMark/>
          </w:tcPr>
          <w:p w14:paraId="7978263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11604AE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4.97</w:t>
            </w:r>
          </w:p>
        </w:tc>
        <w:tc>
          <w:tcPr>
            <w:tcW w:w="0" w:type="auto"/>
            <w:vAlign w:val="center"/>
            <w:hideMark/>
          </w:tcPr>
          <w:p w14:paraId="362752A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0" w:type="auto"/>
            <w:vAlign w:val="center"/>
            <w:hideMark/>
          </w:tcPr>
          <w:p w14:paraId="1D9B4B8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0" w:type="auto"/>
            <w:vAlign w:val="center"/>
            <w:hideMark/>
          </w:tcPr>
          <w:p w14:paraId="69AD58F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3.73</w:t>
            </w:r>
          </w:p>
        </w:tc>
        <w:tc>
          <w:tcPr>
            <w:tcW w:w="1014" w:type="dxa"/>
            <w:vAlign w:val="center"/>
            <w:hideMark/>
          </w:tcPr>
          <w:p w14:paraId="3A3B4DF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15</w:t>
            </w:r>
          </w:p>
        </w:tc>
        <w:tc>
          <w:tcPr>
            <w:tcW w:w="1050" w:type="dxa"/>
            <w:vAlign w:val="center"/>
            <w:hideMark/>
          </w:tcPr>
          <w:p w14:paraId="102B63E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0.6209</w:t>
            </w:r>
          </w:p>
        </w:tc>
        <w:tc>
          <w:tcPr>
            <w:tcW w:w="1395" w:type="dxa"/>
            <w:vAlign w:val="center"/>
            <w:hideMark/>
          </w:tcPr>
          <w:p w14:paraId="6BA3BCC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9.31382</w:t>
            </w:r>
          </w:p>
        </w:tc>
      </w:tr>
      <w:tr w:rsidR="00E40CBF" w:rsidRPr="00E40CBF" w14:paraId="57A8C586" w14:textId="77777777" w:rsidTr="007626A9">
        <w:trPr>
          <w:tblCellSpacing w:w="15" w:type="dxa"/>
        </w:trPr>
        <w:tc>
          <w:tcPr>
            <w:tcW w:w="855" w:type="dxa"/>
            <w:vAlign w:val="center"/>
            <w:hideMark/>
          </w:tcPr>
          <w:p w14:paraId="1D325AF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PI</w:t>
            </w:r>
          </w:p>
        </w:tc>
        <w:tc>
          <w:tcPr>
            <w:tcW w:w="760" w:type="dxa"/>
            <w:vAlign w:val="center"/>
            <w:hideMark/>
          </w:tcPr>
          <w:p w14:paraId="2FD7C3B1" w14:textId="77777777" w:rsidR="007626A9" w:rsidRPr="00E40CBF" w:rsidRDefault="007626A9" w:rsidP="0075108E">
            <w:pPr>
              <w:tabs>
                <w:tab w:val="left" w:pos="5916"/>
              </w:tabs>
              <w:jc w:val="both"/>
              <w:rPr>
                <w:rFonts w:ascii="Arial" w:hAnsi="Arial" w:cs="Arial"/>
                <w:sz w:val="24"/>
                <w:szCs w:val="24"/>
              </w:rPr>
            </w:pPr>
          </w:p>
        </w:tc>
        <w:tc>
          <w:tcPr>
            <w:tcW w:w="1056" w:type="dxa"/>
            <w:vAlign w:val="center"/>
            <w:hideMark/>
          </w:tcPr>
          <w:p w14:paraId="037B259C" w14:textId="77777777" w:rsidR="007626A9" w:rsidRPr="00E40CBF" w:rsidRDefault="007626A9" w:rsidP="0075108E">
            <w:pPr>
              <w:tabs>
                <w:tab w:val="left" w:pos="5916"/>
              </w:tabs>
              <w:jc w:val="both"/>
              <w:rPr>
                <w:rFonts w:ascii="Arial" w:hAnsi="Arial" w:cs="Arial"/>
                <w:sz w:val="24"/>
                <w:szCs w:val="24"/>
              </w:rPr>
            </w:pPr>
          </w:p>
        </w:tc>
        <w:tc>
          <w:tcPr>
            <w:tcW w:w="0" w:type="auto"/>
            <w:vAlign w:val="center"/>
            <w:hideMark/>
          </w:tcPr>
          <w:p w14:paraId="265E900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1.03</w:t>
            </w:r>
          </w:p>
        </w:tc>
        <w:tc>
          <w:tcPr>
            <w:tcW w:w="0" w:type="auto"/>
            <w:vAlign w:val="center"/>
            <w:hideMark/>
          </w:tcPr>
          <w:p w14:paraId="14C7A1BA" w14:textId="77777777" w:rsidR="007626A9" w:rsidRPr="00E40CBF" w:rsidRDefault="007626A9" w:rsidP="0075108E">
            <w:pPr>
              <w:tabs>
                <w:tab w:val="left" w:pos="5916"/>
              </w:tabs>
              <w:jc w:val="both"/>
              <w:rPr>
                <w:rFonts w:ascii="Arial" w:hAnsi="Arial" w:cs="Arial"/>
                <w:sz w:val="24"/>
                <w:szCs w:val="24"/>
              </w:rPr>
            </w:pPr>
          </w:p>
        </w:tc>
        <w:tc>
          <w:tcPr>
            <w:tcW w:w="0" w:type="auto"/>
            <w:vAlign w:val="center"/>
            <w:hideMark/>
          </w:tcPr>
          <w:p w14:paraId="49941FDB" w14:textId="77777777" w:rsidR="007626A9" w:rsidRPr="00E40CBF" w:rsidRDefault="007626A9" w:rsidP="0075108E">
            <w:pPr>
              <w:tabs>
                <w:tab w:val="left" w:pos="5916"/>
              </w:tabs>
              <w:jc w:val="both"/>
              <w:rPr>
                <w:rFonts w:ascii="Arial" w:hAnsi="Arial" w:cs="Arial"/>
                <w:sz w:val="24"/>
                <w:szCs w:val="24"/>
              </w:rPr>
            </w:pPr>
          </w:p>
        </w:tc>
        <w:tc>
          <w:tcPr>
            <w:tcW w:w="0" w:type="auto"/>
            <w:vAlign w:val="center"/>
            <w:hideMark/>
          </w:tcPr>
          <w:p w14:paraId="5296F2B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0.76</w:t>
            </w:r>
          </w:p>
        </w:tc>
        <w:tc>
          <w:tcPr>
            <w:tcW w:w="1014" w:type="dxa"/>
            <w:vAlign w:val="center"/>
            <w:hideMark/>
          </w:tcPr>
          <w:p w14:paraId="03EB493B" w14:textId="77777777" w:rsidR="007626A9" w:rsidRPr="00E40CBF" w:rsidRDefault="007626A9" w:rsidP="0075108E">
            <w:pPr>
              <w:tabs>
                <w:tab w:val="left" w:pos="5916"/>
              </w:tabs>
              <w:jc w:val="both"/>
              <w:rPr>
                <w:rFonts w:ascii="Arial" w:hAnsi="Arial" w:cs="Arial"/>
                <w:sz w:val="24"/>
                <w:szCs w:val="24"/>
              </w:rPr>
            </w:pPr>
          </w:p>
        </w:tc>
        <w:tc>
          <w:tcPr>
            <w:tcW w:w="1050" w:type="dxa"/>
            <w:vAlign w:val="center"/>
            <w:hideMark/>
          </w:tcPr>
          <w:p w14:paraId="7465069E" w14:textId="77777777" w:rsidR="007626A9" w:rsidRPr="00E40CBF" w:rsidRDefault="007626A9" w:rsidP="0075108E">
            <w:pPr>
              <w:tabs>
                <w:tab w:val="left" w:pos="5916"/>
              </w:tabs>
              <w:jc w:val="both"/>
              <w:rPr>
                <w:rFonts w:ascii="Arial" w:hAnsi="Arial" w:cs="Arial"/>
                <w:sz w:val="24"/>
                <w:szCs w:val="24"/>
              </w:rPr>
            </w:pPr>
          </w:p>
        </w:tc>
        <w:tc>
          <w:tcPr>
            <w:tcW w:w="1395" w:type="dxa"/>
            <w:vAlign w:val="center"/>
            <w:hideMark/>
          </w:tcPr>
          <w:p w14:paraId="62BBBF5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1.08</w:t>
            </w:r>
          </w:p>
        </w:tc>
      </w:tr>
    </w:tbl>
    <w:p w14:paraId="62B09A63" w14:textId="77777777" w:rsidR="007626A9" w:rsidRPr="00E40CBF" w:rsidRDefault="007626A9" w:rsidP="0075108E">
      <w:pPr>
        <w:tabs>
          <w:tab w:val="left" w:pos="5916"/>
        </w:tabs>
        <w:jc w:val="both"/>
        <w:rPr>
          <w:rFonts w:ascii="Arial" w:hAnsi="Arial" w:cs="Arial"/>
          <w:sz w:val="24"/>
          <w:szCs w:val="24"/>
        </w:rPr>
      </w:pPr>
    </w:p>
    <w:p w14:paraId="11A47E88" w14:textId="77777777" w:rsidR="007626A9" w:rsidRPr="00E40CBF" w:rsidRDefault="007626A9" w:rsidP="0075108E">
      <w:pPr>
        <w:tabs>
          <w:tab w:val="left" w:pos="5916"/>
        </w:tabs>
        <w:jc w:val="both"/>
        <w:rPr>
          <w:rFonts w:ascii="Arial" w:hAnsi="Arial" w:cs="Arial"/>
          <w:sz w:val="24"/>
          <w:szCs w:val="24"/>
        </w:rPr>
      </w:pPr>
    </w:p>
    <w:p w14:paraId="2E1505B8" w14:textId="77777777" w:rsidR="00BF0F38" w:rsidRPr="00E40CBF" w:rsidRDefault="00BF0F38" w:rsidP="0075108E">
      <w:pPr>
        <w:tabs>
          <w:tab w:val="left" w:pos="5916"/>
        </w:tabs>
        <w:jc w:val="both"/>
        <w:rPr>
          <w:rFonts w:ascii="Arial" w:hAnsi="Arial" w:cs="Arial"/>
          <w:sz w:val="24"/>
          <w:szCs w:val="24"/>
        </w:rPr>
      </w:pPr>
    </w:p>
    <w:p w14:paraId="111D995B" w14:textId="77777777" w:rsidR="004447FC" w:rsidRPr="00E40CBF" w:rsidRDefault="004447FC" w:rsidP="0075108E">
      <w:pPr>
        <w:tabs>
          <w:tab w:val="left" w:pos="5916"/>
        </w:tabs>
        <w:jc w:val="both"/>
        <w:rPr>
          <w:rFonts w:ascii="Arial" w:hAnsi="Arial" w:cs="Arial"/>
          <w:sz w:val="24"/>
          <w:szCs w:val="24"/>
        </w:rPr>
      </w:pPr>
    </w:p>
    <w:p w14:paraId="4D6C5B28" w14:textId="77777777" w:rsidR="004447FC" w:rsidRPr="00E40CBF" w:rsidRDefault="004447FC" w:rsidP="0075108E">
      <w:pPr>
        <w:tabs>
          <w:tab w:val="left" w:pos="5916"/>
        </w:tabs>
        <w:jc w:val="both"/>
        <w:rPr>
          <w:rFonts w:ascii="Arial" w:hAnsi="Arial" w:cs="Arial"/>
          <w:sz w:val="24"/>
          <w:szCs w:val="24"/>
        </w:rPr>
      </w:pPr>
    </w:p>
    <w:p w14:paraId="6CAD4904" w14:textId="77777777" w:rsidR="004447FC" w:rsidRPr="00E40CBF" w:rsidRDefault="004447FC" w:rsidP="0075108E">
      <w:pPr>
        <w:tabs>
          <w:tab w:val="left" w:pos="5916"/>
        </w:tabs>
        <w:jc w:val="both"/>
        <w:rPr>
          <w:rFonts w:ascii="Arial" w:hAnsi="Arial" w:cs="Arial"/>
          <w:sz w:val="24"/>
          <w:szCs w:val="24"/>
        </w:rPr>
      </w:pPr>
    </w:p>
    <w:p w14:paraId="2B3921F4" w14:textId="77777777" w:rsidR="004447FC" w:rsidRPr="00E40CBF" w:rsidRDefault="004447FC" w:rsidP="0075108E">
      <w:pPr>
        <w:tabs>
          <w:tab w:val="left" w:pos="5916"/>
        </w:tabs>
        <w:jc w:val="both"/>
        <w:rPr>
          <w:rFonts w:ascii="Arial" w:hAnsi="Arial" w:cs="Arial"/>
          <w:sz w:val="24"/>
          <w:szCs w:val="24"/>
        </w:rPr>
      </w:pPr>
    </w:p>
    <w:p w14:paraId="0B466B0B" w14:textId="77777777" w:rsidR="004447FC" w:rsidRPr="00E40CBF" w:rsidRDefault="004447FC" w:rsidP="0075108E">
      <w:pPr>
        <w:tabs>
          <w:tab w:val="left" w:pos="5916"/>
        </w:tabs>
        <w:jc w:val="both"/>
        <w:rPr>
          <w:rFonts w:ascii="Arial" w:hAnsi="Arial" w:cs="Arial"/>
          <w:sz w:val="24"/>
          <w:szCs w:val="24"/>
        </w:rPr>
      </w:pPr>
    </w:p>
    <w:p w14:paraId="60855D44"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IRR Table</w:t>
      </w:r>
    </w:p>
    <w:p w14:paraId="2B2A0F5B" w14:textId="77777777" w:rsidR="007626A9" w:rsidRPr="00E40CBF" w:rsidRDefault="007626A9" w:rsidP="0075108E">
      <w:pPr>
        <w:tabs>
          <w:tab w:val="left" w:pos="5916"/>
        </w:tabs>
        <w:jc w:val="both"/>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5"/>
        <w:gridCol w:w="2340"/>
        <w:gridCol w:w="2250"/>
        <w:gridCol w:w="2160"/>
      </w:tblGrid>
      <w:tr w:rsidR="00E40CBF" w:rsidRPr="00E40CBF" w14:paraId="09BE8ABD" w14:textId="77777777" w:rsidTr="00BF0F38">
        <w:trPr>
          <w:tblHeader/>
          <w:tblCellSpacing w:w="15" w:type="dxa"/>
        </w:trPr>
        <w:tc>
          <w:tcPr>
            <w:tcW w:w="2380" w:type="dxa"/>
            <w:vAlign w:val="center"/>
            <w:hideMark/>
          </w:tcPr>
          <w:p w14:paraId="7757EC0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Years</w:t>
            </w:r>
          </w:p>
        </w:tc>
        <w:tc>
          <w:tcPr>
            <w:tcW w:w="2310" w:type="dxa"/>
            <w:vAlign w:val="center"/>
            <w:hideMark/>
          </w:tcPr>
          <w:p w14:paraId="030742E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Project 1</w:t>
            </w:r>
          </w:p>
        </w:tc>
        <w:tc>
          <w:tcPr>
            <w:tcW w:w="2220" w:type="dxa"/>
            <w:vAlign w:val="center"/>
            <w:hideMark/>
          </w:tcPr>
          <w:p w14:paraId="489D865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Project 2</w:t>
            </w:r>
          </w:p>
        </w:tc>
        <w:tc>
          <w:tcPr>
            <w:tcW w:w="2115" w:type="dxa"/>
            <w:vAlign w:val="center"/>
            <w:hideMark/>
          </w:tcPr>
          <w:p w14:paraId="5E37477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Project 3</w:t>
            </w:r>
          </w:p>
        </w:tc>
      </w:tr>
      <w:tr w:rsidR="00E40CBF" w:rsidRPr="00E40CBF" w14:paraId="37484035" w14:textId="77777777" w:rsidTr="00BF0F38">
        <w:trPr>
          <w:tblCellSpacing w:w="15" w:type="dxa"/>
        </w:trPr>
        <w:tc>
          <w:tcPr>
            <w:tcW w:w="2380" w:type="dxa"/>
            <w:vAlign w:val="center"/>
            <w:hideMark/>
          </w:tcPr>
          <w:p w14:paraId="6DDD1F9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w:t>
            </w:r>
          </w:p>
        </w:tc>
        <w:tc>
          <w:tcPr>
            <w:tcW w:w="2310" w:type="dxa"/>
            <w:vAlign w:val="center"/>
            <w:hideMark/>
          </w:tcPr>
          <w:p w14:paraId="5711E72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-40</w:t>
            </w:r>
          </w:p>
        </w:tc>
        <w:tc>
          <w:tcPr>
            <w:tcW w:w="2220" w:type="dxa"/>
            <w:vAlign w:val="center"/>
            <w:hideMark/>
          </w:tcPr>
          <w:p w14:paraId="64DCBFD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-30</w:t>
            </w:r>
          </w:p>
        </w:tc>
        <w:tc>
          <w:tcPr>
            <w:tcW w:w="2115" w:type="dxa"/>
            <w:vAlign w:val="center"/>
            <w:hideMark/>
          </w:tcPr>
          <w:p w14:paraId="03B7A52C"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-50</w:t>
            </w:r>
          </w:p>
        </w:tc>
      </w:tr>
      <w:tr w:rsidR="00E40CBF" w:rsidRPr="00E40CBF" w14:paraId="49CFA792" w14:textId="77777777" w:rsidTr="00BF0F38">
        <w:trPr>
          <w:tblCellSpacing w:w="15" w:type="dxa"/>
        </w:trPr>
        <w:tc>
          <w:tcPr>
            <w:tcW w:w="2380" w:type="dxa"/>
            <w:vAlign w:val="center"/>
            <w:hideMark/>
          </w:tcPr>
          <w:p w14:paraId="69D4061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w:t>
            </w:r>
          </w:p>
        </w:tc>
        <w:tc>
          <w:tcPr>
            <w:tcW w:w="2310" w:type="dxa"/>
            <w:vAlign w:val="center"/>
            <w:hideMark/>
          </w:tcPr>
          <w:p w14:paraId="05F9D20F"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2220" w:type="dxa"/>
            <w:vAlign w:val="center"/>
            <w:hideMark/>
          </w:tcPr>
          <w:p w14:paraId="5BFC440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77CB357B"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r>
      <w:tr w:rsidR="00E40CBF" w:rsidRPr="00E40CBF" w14:paraId="02C25B6B" w14:textId="77777777" w:rsidTr="00BF0F38">
        <w:trPr>
          <w:tblCellSpacing w:w="15" w:type="dxa"/>
        </w:trPr>
        <w:tc>
          <w:tcPr>
            <w:tcW w:w="2380" w:type="dxa"/>
            <w:vAlign w:val="center"/>
            <w:hideMark/>
          </w:tcPr>
          <w:p w14:paraId="3E5C577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w:t>
            </w:r>
          </w:p>
        </w:tc>
        <w:tc>
          <w:tcPr>
            <w:tcW w:w="2310" w:type="dxa"/>
            <w:vAlign w:val="center"/>
            <w:hideMark/>
          </w:tcPr>
          <w:p w14:paraId="7795533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12</w:t>
            </w:r>
          </w:p>
        </w:tc>
        <w:tc>
          <w:tcPr>
            <w:tcW w:w="2220" w:type="dxa"/>
            <w:vAlign w:val="center"/>
            <w:hideMark/>
          </w:tcPr>
          <w:p w14:paraId="36A73C8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48C9DA2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r>
      <w:tr w:rsidR="00E40CBF" w:rsidRPr="00E40CBF" w14:paraId="231776BE" w14:textId="77777777" w:rsidTr="00BF0F38">
        <w:trPr>
          <w:tblCellSpacing w:w="15" w:type="dxa"/>
        </w:trPr>
        <w:tc>
          <w:tcPr>
            <w:tcW w:w="2380" w:type="dxa"/>
            <w:vAlign w:val="center"/>
            <w:hideMark/>
          </w:tcPr>
          <w:p w14:paraId="7539BE2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3</w:t>
            </w:r>
          </w:p>
        </w:tc>
        <w:tc>
          <w:tcPr>
            <w:tcW w:w="2310" w:type="dxa"/>
            <w:vAlign w:val="center"/>
            <w:hideMark/>
          </w:tcPr>
          <w:p w14:paraId="4340FDC5"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14</w:t>
            </w:r>
          </w:p>
        </w:tc>
        <w:tc>
          <w:tcPr>
            <w:tcW w:w="2220" w:type="dxa"/>
            <w:vAlign w:val="center"/>
            <w:hideMark/>
          </w:tcPr>
          <w:p w14:paraId="2F54351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4C84F0D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20</w:t>
            </w:r>
          </w:p>
        </w:tc>
      </w:tr>
      <w:tr w:rsidR="00E40CBF" w:rsidRPr="00E40CBF" w14:paraId="7465FE29" w14:textId="77777777" w:rsidTr="00BF0F38">
        <w:trPr>
          <w:tblCellSpacing w:w="15" w:type="dxa"/>
        </w:trPr>
        <w:tc>
          <w:tcPr>
            <w:tcW w:w="2380" w:type="dxa"/>
            <w:vAlign w:val="center"/>
            <w:hideMark/>
          </w:tcPr>
          <w:p w14:paraId="5633115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4</w:t>
            </w:r>
          </w:p>
        </w:tc>
        <w:tc>
          <w:tcPr>
            <w:tcW w:w="2310" w:type="dxa"/>
            <w:vAlign w:val="center"/>
            <w:hideMark/>
          </w:tcPr>
          <w:p w14:paraId="002C3668"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10</w:t>
            </w:r>
          </w:p>
        </w:tc>
        <w:tc>
          <w:tcPr>
            <w:tcW w:w="2220" w:type="dxa"/>
            <w:vAlign w:val="center"/>
            <w:hideMark/>
          </w:tcPr>
          <w:p w14:paraId="3B2FEF6D"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3900F28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25</w:t>
            </w:r>
          </w:p>
        </w:tc>
      </w:tr>
      <w:tr w:rsidR="00E40CBF" w:rsidRPr="00E40CBF" w14:paraId="75E6A2AD" w14:textId="77777777" w:rsidTr="00BF0F38">
        <w:trPr>
          <w:tblCellSpacing w:w="15" w:type="dxa"/>
        </w:trPr>
        <w:tc>
          <w:tcPr>
            <w:tcW w:w="2380" w:type="dxa"/>
            <w:vAlign w:val="center"/>
            <w:hideMark/>
          </w:tcPr>
          <w:p w14:paraId="07D45D2A"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5</w:t>
            </w:r>
          </w:p>
        </w:tc>
        <w:tc>
          <w:tcPr>
            <w:tcW w:w="2310" w:type="dxa"/>
            <w:vAlign w:val="center"/>
            <w:hideMark/>
          </w:tcPr>
          <w:p w14:paraId="7906C7E1"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8</w:t>
            </w:r>
          </w:p>
        </w:tc>
        <w:tc>
          <w:tcPr>
            <w:tcW w:w="2220" w:type="dxa"/>
            <w:vAlign w:val="center"/>
            <w:hideMark/>
          </w:tcPr>
          <w:p w14:paraId="142F08B7"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6</w:t>
            </w:r>
          </w:p>
        </w:tc>
        <w:tc>
          <w:tcPr>
            <w:tcW w:w="2115" w:type="dxa"/>
            <w:vAlign w:val="center"/>
            <w:hideMark/>
          </w:tcPr>
          <w:p w14:paraId="6B6DFF43"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15</w:t>
            </w:r>
          </w:p>
        </w:tc>
      </w:tr>
      <w:tr w:rsidR="00BF0F38" w:rsidRPr="00E40CBF" w14:paraId="397E8BF0" w14:textId="77777777" w:rsidTr="00BF0F38">
        <w:trPr>
          <w:tblCellSpacing w:w="15" w:type="dxa"/>
        </w:trPr>
        <w:tc>
          <w:tcPr>
            <w:tcW w:w="2380" w:type="dxa"/>
            <w:vAlign w:val="center"/>
            <w:hideMark/>
          </w:tcPr>
          <w:p w14:paraId="2BFBB212"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IRR</w:t>
            </w:r>
          </w:p>
        </w:tc>
        <w:tc>
          <w:tcPr>
            <w:tcW w:w="2310" w:type="dxa"/>
            <w:vAlign w:val="center"/>
            <w:hideMark/>
          </w:tcPr>
          <w:p w14:paraId="71EB33A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11%</w:t>
            </w:r>
          </w:p>
        </w:tc>
        <w:tc>
          <w:tcPr>
            <w:tcW w:w="2220" w:type="dxa"/>
            <w:vAlign w:val="center"/>
            <w:hideMark/>
          </w:tcPr>
          <w:p w14:paraId="672A7D90"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0%</w:t>
            </w:r>
          </w:p>
        </w:tc>
        <w:tc>
          <w:tcPr>
            <w:tcW w:w="2115" w:type="dxa"/>
            <w:vAlign w:val="center"/>
            <w:hideMark/>
          </w:tcPr>
          <w:p w14:paraId="641FF81E" w14:textId="77777777" w:rsidR="007626A9" w:rsidRPr="00E40CBF" w:rsidRDefault="007626A9" w:rsidP="0075108E">
            <w:pPr>
              <w:tabs>
                <w:tab w:val="left" w:pos="5916"/>
              </w:tabs>
              <w:jc w:val="both"/>
              <w:rPr>
                <w:rFonts w:ascii="Arial" w:hAnsi="Arial" w:cs="Arial"/>
                <w:sz w:val="24"/>
                <w:szCs w:val="24"/>
              </w:rPr>
            </w:pPr>
            <w:r w:rsidRPr="00E40CBF">
              <w:rPr>
                <w:rFonts w:ascii="Arial" w:hAnsi="Arial" w:cs="Arial"/>
                <w:sz w:val="24"/>
                <w:szCs w:val="24"/>
              </w:rPr>
              <w:t>13%</w:t>
            </w:r>
          </w:p>
        </w:tc>
      </w:tr>
    </w:tbl>
    <w:p w14:paraId="5D98EF94" w14:textId="77777777" w:rsidR="007626A9" w:rsidRPr="00E40CBF" w:rsidRDefault="007626A9" w:rsidP="0075108E">
      <w:pPr>
        <w:tabs>
          <w:tab w:val="left" w:pos="5916"/>
        </w:tabs>
        <w:jc w:val="both"/>
        <w:rPr>
          <w:rFonts w:ascii="Arial" w:hAnsi="Arial" w:cs="Arial"/>
          <w:sz w:val="24"/>
          <w:szCs w:val="24"/>
        </w:rPr>
      </w:pPr>
    </w:p>
    <w:sectPr w:rsidR="007626A9" w:rsidRPr="00E40CBF">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993C6" w14:textId="77777777" w:rsidR="00FB7BA3" w:rsidRDefault="00FB7BA3" w:rsidP="00855036">
      <w:pPr>
        <w:spacing w:after="0" w:line="240" w:lineRule="auto"/>
      </w:pPr>
      <w:r>
        <w:separator/>
      </w:r>
    </w:p>
  </w:endnote>
  <w:endnote w:type="continuationSeparator" w:id="0">
    <w:p w14:paraId="4D15EDE1" w14:textId="77777777" w:rsidR="00FB7BA3" w:rsidRDefault="00FB7BA3" w:rsidP="00855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3687414"/>
      <w:docPartObj>
        <w:docPartGallery w:val="Page Numbers (Bottom of Page)"/>
        <w:docPartUnique/>
      </w:docPartObj>
    </w:sdtPr>
    <w:sdtEndPr>
      <w:rPr>
        <w:noProof/>
      </w:rPr>
    </w:sdtEndPr>
    <w:sdtContent>
      <w:p w14:paraId="231FA4D4" w14:textId="77777777" w:rsidR="00451F22" w:rsidRDefault="00451F22">
        <w:pPr>
          <w:pStyle w:val="Footer"/>
          <w:jc w:val="center"/>
        </w:pPr>
      </w:p>
      <w:p w14:paraId="651DE738" w14:textId="52B37EFA" w:rsidR="00B34B87" w:rsidRDefault="00B34B87" w:rsidP="00451F22">
        <w:pPr>
          <w:pStyle w:val="Footer"/>
        </w:pPr>
        <w:r>
          <w:fldChar w:fldCharType="begin"/>
        </w:r>
        <w:r>
          <w:instrText xml:space="preserve"> PAGE   \* MERGEFORMAT </w:instrText>
        </w:r>
        <w:r>
          <w:fldChar w:fldCharType="separate"/>
        </w:r>
        <w:r>
          <w:rPr>
            <w:noProof/>
          </w:rPr>
          <w:t>2</w:t>
        </w:r>
        <w:r>
          <w:rPr>
            <w:noProof/>
          </w:rPr>
          <w:fldChar w:fldCharType="end"/>
        </w:r>
      </w:p>
    </w:sdtContent>
  </w:sdt>
  <w:p w14:paraId="606C33FD" w14:textId="0AC93C60" w:rsidR="00BF0F38" w:rsidRDefault="00BF0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B98CE" w14:textId="77777777" w:rsidR="00FB7BA3" w:rsidRDefault="00FB7BA3" w:rsidP="00855036">
      <w:pPr>
        <w:spacing w:after="0" w:line="240" w:lineRule="auto"/>
      </w:pPr>
      <w:r>
        <w:separator/>
      </w:r>
    </w:p>
  </w:footnote>
  <w:footnote w:type="continuationSeparator" w:id="0">
    <w:p w14:paraId="36F31C28" w14:textId="77777777" w:rsidR="00FB7BA3" w:rsidRDefault="00FB7BA3" w:rsidP="008550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B662C" w14:textId="77777777" w:rsidR="00855036" w:rsidRDefault="00855036">
    <w:pPr>
      <w:pStyle w:val="Header"/>
    </w:pPr>
  </w:p>
  <w:p w14:paraId="5A789F73" w14:textId="77777777" w:rsidR="00855036" w:rsidRDefault="008550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1AC9"/>
    <w:multiLevelType w:val="hybridMultilevel"/>
    <w:tmpl w:val="EE805A6C"/>
    <w:lvl w:ilvl="0" w:tplc="5790CC08">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04527EAD"/>
    <w:multiLevelType w:val="multilevel"/>
    <w:tmpl w:val="F7CE2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70260"/>
    <w:multiLevelType w:val="hybridMultilevel"/>
    <w:tmpl w:val="71460C8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541923"/>
    <w:multiLevelType w:val="multilevel"/>
    <w:tmpl w:val="21D68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5005B4"/>
    <w:multiLevelType w:val="multilevel"/>
    <w:tmpl w:val="EC64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B476AF"/>
    <w:multiLevelType w:val="multilevel"/>
    <w:tmpl w:val="BE22C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DD1089"/>
    <w:multiLevelType w:val="multilevel"/>
    <w:tmpl w:val="069E3E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A6567CA"/>
    <w:multiLevelType w:val="multilevel"/>
    <w:tmpl w:val="E0BE5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3476A9"/>
    <w:multiLevelType w:val="multilevel"/>
    <w:tmpl w:val="10669C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571EE8"/>
    <w:multiLevelType w:val="multilevel"/>
    <w:tmpl w:val="C1940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4760E4"/>
    <w:multiLevelType w:val="multilevel"/>
    <w:tmpl w:val="8DA0CD7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1A0901BD"/>
    <w:multiLevelType w:val="multilevel"/>
    <w:tmpl w:val="9B9C26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E7492D"/>
    <w:multiLevelType w:val="multilevel"/>
    <w:tmpl w:val="0EBC9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F20E7D"/>
    <w:multiLevelType w:val="multilevel"/>
    <w:tmpl w:val="0178D9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EA1244"/>
    <w:multiLevelType w:val="hybridMultilevel"/>
    <w:tmpl w:val="DC54411C"/>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15" w15:restartNumberingAfterBreak="0">
    <w:nsid w:val="29876CA8"/>
    <w:multiLevelType w:val="multilevel"/>
    <w:tmpl w:val="769CC7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2AAF3AF9"/>
    <w:multiLevelType w:val="multilevel"/>
    <w:tmpl w:val="3A14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3435F4"/>
    <w:multiLevelType w:val="multilevel"/>
    <w:tmpl w:val="00308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524CCF"/>
    <w:multiLevelType w:val="multilevel"/>
    <w:tmpl w:val="AA96EC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3342AF"/>
    <w:multiLevelType w:val="multilevel"/>
    <w:tmpl w:val="1038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272F43"/>
    <w:multiLevelType w:val="hybridMultilevel"/>
    <w:tmpl w:val="28D85B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4F14CF"/>
    <w:multiLevelType w:val="hybridMultilevel"/>
    <w:tmpl w:val="1D048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22D6C5C"/>
    <w:multiLevelType w:val="multilevel"/>
    <w:tmpl w:val="A63A9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DB2CD0"/>
    <w:multiLevelType w:val="hybridMultilevel"/>
    <w:tmpl w:val="DF44C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A5017EF"/>
    <w:multiLevelType w:val="multilevel"/>
    <w:tmpl w:val="1038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D040E7"/>
    <w:multiLevelType w:val="multilevel"/>
    <w:tmpl w:val="5F7EC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8E7332"/>
    <w:multiLevelType w:val="multilevel"/>
    <w:tmpl w:val="4EF0A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686E0D"/>
    <w:multiLevelType w:val="multilevel"/>
    <w:tmpl w:val="1038B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C9577D"/>
    <w:multiLevelType w:val="multilevel"/>
    <w:tmpl w:val="55F2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3213A0"/>
    <w:multiLevelType w:val="multilevel"/>
    <w:tmpl w:val="4D7872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0F316E"/>
    <w:multiLevelType w:val="hybridMultilevel"/>
    <w:tmpl w:val="EECEF68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62D3F79"/>
    <w:multiLevelType w:val="multilevel"/>
    <w:tmpl w:val="78AE49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74C3511"/>
    <w:multiLevelType w:val="hybridMultilevel"/>
    <w:tmpl w:val="13B217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E32E13"/>
    <w:multiLevelType w:val="hybridMultilevel"/>
    <w:tmpl w:val="A42CC0A6"/>
    <w:lvl w:ilvl="0" w:tplc="0409000F">
      <w:start w:val="1"/>
      <w:numFmt w:val="decimal"/>
      <w:lvlText w:val="%1."/>
      <w:lvlJc w:val="left"/>
      <w:pPr>
        <w:ind w:left="360" w:hanging="360"/>
      </w:pPr>
    </w:lvl>
    <w:lvl w:ilvl="1" w:tplc="1E224F0E">
      <w:numFmt w:val="bullet"/>
      <w:lvlText w:val=""/>
      <w:lvlJc w:val="left"/>
      <w:pPr>
        <w:ind w:left="1524" w:hanging="804"/>
      </w:pPr>
      <w:rPr>
        <w:rFonts w:ascii="Arial" w:eastAsiaTheme="minorHAnsi" w:hAnsi="Arial" w:cs="Arial"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5B0E5F4E"/>
    <w:multiLevelType w:val="multilevel"/>
    <w:tmpl w:val="FD06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3B648C"/>
    <w:multiLevelType w:val="hybridMultilevel"/>
    <w:tmpl w:val="369426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13C7679"/>
    <w:multiLevelType w:val="hybridMultilevel"/>
    <w:tmpl w:val="EECA6D04"/>
    <w:lvl w:ilvl="0" w:tplc="4E0450B2">
      <w:start w:val="1"/>
      <w:numFmt w:val="decimal"/>
      <w:lvlText w:val="%1."/>
      <w:lvlJc w:val="left"/>
      <w:pPr>
        <w:ind w:left="1097" w:hanging="360"/>
      </w:pPr>
      <w:rPr>
        <w:rFonts w:hint="default"/>
      </w:rPr>
    </w:lvl>
    <w:lvl w:ilvl="1" w:tplc="04090019" w:tentative="1">
      <w:start w:val="1"/>
      <w:numFmt w:val="lowerLetter"/>
      <w:lvlText w:val="%2."/>
      <w:lvlJc w:val="left"/>
      <w:pPr>
        <w:ind w:left="1817" w:hanging="360"/>
      </w:pPr>
    </w:lvl>
    <w:lvl w:ilvl="2" w:tplc="0409001B" w:tentative="1">
      <w:start w:val="1"/>
      <w:numFmt w:val="lowerRoman"/>
      <w:lvlText w:val="%3."/>
      <w:lvlJc w:val="right"/>
      <w:pPr>
        <w:ind w:left="2537" w:hanging="180"/>
      </w:pPr>
    </w:lvl>
    <w:lvl w:ilvl="3" w:tplc="0409000F" w:tentative="1">
      <w:start w:val="1"/>
      <w:numFmt w:val="decimal"/>
      <w:lvlText w:val="%4."/>
      <w:lvlJc w:val="left"/>
      <w:pPr>
        <w:ind w:left="3257" w:hanging="360"/>
      </w:pPr>
    </w:lvl>
    <w:lvl w:ilvl="4" w:tplc="04090019" w:tentative="1">
      <w:start w:val="1"/>
      <w:numFmt w:val="lowerLetter"/>
      <w:lvlText w:val="%5."/>
      <w:lvlJc w:val="left"/>
      <w:pPr>
        <w:ind w:left="3977" w:hanging="360"/>
      </w:pPr>
    </w:lvl>
    <w:lvl w:ilvl="5" w:tplc="0409001B" w:tentative="1">
      <w:start w:val="1"/>
      <w:numFmt w:val="lowerRoman"/>
      <w:lvlText w:val="%6."/>
      <w:lvlJc w:val="right"/>
      <w:pPr>
        <w:ind w:left="4697" w:hanging="180"/>
      </w:pPr>
    </w:lvl>
    <w:lvl w:ilvl="6" w:tplc="0409000F" w:tentative="1">
      <w:start w:val="1"/>
      <w:numFmt w:val="decimal"/>
      <w:lvlText w:val="%7."/>
      <w:lvlJc w:val="left"/>
      <w:pPr>
        <w:ind w:left="5417" w:hanging="360"/>
      </w:pPr>
    </w:lvl>
    <w:lvl w:ilvl="7" w:tplc="04090019" w:tentative="1">
      <w:start w:val="1"/>
      <w:numFmt w:val="lowerLetter"/>
      <w:lvlText w:val="%8."/>
      <w:lvlJc w:val="left"/>
      <w:pPr>
        <w:ind w:left="6137" w:hanging="360"/>
      </w:pPr>
    </w:lvl>
    <w:lvl w:ilvl="8" w:tplc="0409001B" w:tentative="1">
      <w:start w:val="1"/>
      <w:numFmt w:val="lowerRoman"/>
      <w:lvlText w:val="%9."/>
      <w:lvlJc w:val="right"/>
      <w:pPr>
        <w:ind w:left="6857" w:hanging="180"/>
      </w:pPr>
    </w:lvl>
  </w:abstractNum>
  <w:abstractNum w:abstractNumId="37" w15:restartNumberingAfterBreak="0">
    <w:nsid w:val="6A464E17"/>
    <w:multiLevelType w:val="multilevel"/>
    <w:tmpl w:val="0BD0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5A0A58"/>
    <w:multiLevelType w:val="multilevel"/>
    <w:tmpl w:val="F20A2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EB20B0"/>
    <w:multiLevelType w:val="hybridMultilevel"/>
    <w:tmpl w:val="53B480A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0" w15:restartNumberingAfterBreak="0">
    <w:nsid w:val="7687632B"/>
    <w:multiLevelType w:val="multilevel"/>
    <w:tmpl w:val="620A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B71014F"/>
    <w:multiLevelType w:val="hybridMultilevel"/>
    <w:tmpl w:val="5F5CAB1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61551F"/>
    <w:multiLevelType w:val="hybridMultilevel"/>
    <w:tmpl w:val="7CBCB420"/>
    <w:lvl w:ilvl="0" w:tplc="04090001">
      <w:start w:val="1"/>
      <w:numFmt w:val="bullet"/>
      <w:lvlText w:val=""/>
      <w:lvlJc w:val="left"/>
      <w:pPr>
        <w:ind w:left="790" w:hanging="360"/>
      </w:pPr>
      <w:rPr>
        <w:rFonts w:ascii="Symbol" w:hAnsi="Symbol" w:hint="default"/>
      </w:rPr>
    </w:lvl>
    <w:lvl w:ilvl="1" w:tplc="04090003" w:tentative="1">
      <w:start w:val="1"/>
      <w:numFmt w:val="bullet"/>
      <w:lvlText w:val="o"/>
      <w:lvlJc w:val="left"/>
      <w:pPr>
        <w:ind w:left="1510" w:hanging="360"/>
      </w:pPr>
      <w:rPr>
        <w:rFonts w:ascii="Courier New" w:hAnsi="Courier New" w:cs="Courier New" w:hint="default"/>
      </w:rPr>
    </w:lvl>
    <w:lvl w:ilvl="2" w:tplc="04090005" w:tentative="1">
      <w:start w:val="1"/>
      <w:numFmt w:val="bullet"/>
      <w:lvlText w:val=""/>
      <w:lvlJc w:val="left"/>
      <w:pPr>
        <w:ind w:left="2230" w:hanging="360"/>
      </w:pPr>
      <w:rPr>
        <w:rFonts w:ascii="Wingdings" w:hAnsi="Wingdings" w:hint="default"/>
      </w:rPr>
    </w:lvl>
    <w:lvl w:ilvl="3" w:tplc="04090001" w:tentative="1">
      <w:start w:val="1"/>
      <w:numFmt w:val="bullet"/>
      <w:lvlText w:val=""/>
      <w:lvlJc w:val="left"/>
      <w:pPr>
        <w:ind w:left="2950" w:hanging="360"/>
      </w:pPr>
      <w:rPr>
        <w:rFonts w:ascii="Symbol" w:hAnsi="Symbol" w:hint="default"/>
      </w:rPr>
    </w:lvl>
    <w:lvl w:ilvl="4" w:tplc="04090003" w:tentative="1">
      <w:start w:val="1"/>
      <w:numFmt w:val="bullet"/>
      <w:lvlText w:val="o"/>
      <w:lvlJc w:val="left"/>
      <w:pPr>
        <w:ind w:left="3670" w:hanging="360"/>
      </w:pPr>
      <w:rPr>
        <w:rFonts w:ascii="Courier New" w:hAnsi="Courier New" w:cs="Courier New" w:hint="default"/>
      </w:rPr>
    </w:lvl>
    <w:lvl w:ilvl="5" w:tplc="04090005" w:tentative="1">
      <w:start w:val="1"/>
      <w:numFmt w:val="bullet"/>
      <w:lvlText w:val=""/>
      <w:lvlJc w:val="left"/>
      <w:pPr>
        <w:ind w:left="4390" w:hanging="360"/>
      </w:pPr>
      <w:rPr>
        <w:rFonts w:ascii="Wingdings" w:hAnsi="Wingdings" w:hint="default"/>
      </w:rPr>
    </w:lvl>
    <w:lvl w:ilvl="6" w:tplc="04090001" w:tentative="1">
      <w:start w:val="1"/>
      <w:numFmt w:val="bullet"/>
      <w:lvlText w:val=""/>
      <w:lvlJc w:val="left"/>
      <w:pPr>
        <w:ind w:left="5110" w:hanging="360"/>
      </w:pPr>
      <w:rPr>
        <w:rFonts w:ascii="Symbol" w:hAnsi="Symbol" w:hint="default"/>
      </w:rPr>
    </w:lvl>
    <w:lvl w:ilvl="7" w:tplc="04090003" w:tentative="1">
      <w:start w:val="1"/>
      <w:numFmt w:val="bullet"/>
      <w:lvlText w:val="o"/>
      <w:lvlJc w:val="left"/>
      <w:pPr>
        <w:ind w:left="5830" w:hanging="360"/>
      </w:pPr>
      <w:rPr>
        <w:rFonts w:ascii="Courier New" w:hAnsi="Courier New" w:cs="Courier New" w:hint="default"/>
      </w:rPr>
    </w:lvl>
    <w:lvl w:ilvl="8" w:tplc="04090005" w:tentative="1">
      <w:start w:val="1"/>
      <w:numFmt w:val="bullet"/>
      <w:lvlText w:val=""/>
      <w:lvlJc w:val="left"/>
      <w:pPr>
        <w:ind w:left="6550" w:hanging="360"/>
      </w:pPr>
      <w:rPr>
        <w:rFonts w:ascii="Wingdings" w:hAnsi="Wingdings" w:hint="default"/>
      </w:rPr>
    </w:lvl>
  </w:abstractNum>
  <w:num w:numId="1" w16cid:durableId="4979596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33810387">
    <w:abstractNumId w:val="8"/>
  </w:num>
  <w:num w:numId="3" w16cid:durableId="108671377">
    <w:abstractNumId w:val="31"/>
  </w:num>
  <w:num w:numId="4" w16cid:durableId="288587392">
    <w:abstractNumId w:val="9"/>
  </w:num>
  <w:num w:numId="5" w16cid:durableId="1553954979">
    <w:abstractNumId w:val="18"/>
  </w:num>
  <w:num w:numId="6" w16cid:durableId="901866891">
    <w:abstractNumId w:val="23"/>
  </w:num>
  <w:num w:numId="7" w16cid:durableId="555626199">
    <w:abstractNumId w:val="20"/>
  </w:num>
  <w:num w:numId="8" w16cid:durableId="1573468723">
    <w:abstractNumId w:val="41"/>
  </w:num>
  <w:num w:numId="9" w16cid:durableId="784931864">
    <w:abstractNumId w:val="13"/>
  </w:num>
  <w:num w:numId="10" w16cid:durableId="1148329539">
    <w:abstractNumId w:val="36"/>
  </w:num>
  <w:num w:numId="11" w16cid:durableId="365955266">
    <w:abstractNumId w:val="7"/>
  </w:num>
  <w:num w:numId="12" w16cid:durableId="94056449">
    <w:abstractNumId w:val="11"/>
  </w:num>
  <w:num w:numId="13" w16cid:durableId="1108500267">
    <w:abstractNumId w:val="26"/>
  </w:num>
  <w:num w:numId="14" w16cid:durableId="474294725">
    <w:abstractNumId w:val="29"/>
  </w:num>
  <w:num w:numId="15" w16cid:durableId="380714416">
    <w:abstractNumId w:val="17"/>
  </w:num>
  <w:num w:numId="16" w16cid:durableId="779302109">
    <w:abstractNumId w:val="19"/>
  </w:num>
  <w:num w:numId="17" w16cid:durableId="466511421">
    <w:abstractNumId w:val="25"/>
  </w:num>
  <w:num w:numId="18" w16cid:durableId="1077747010">
    <w:abstractNumId w:val="5"/>
  </w:num>
  <w:num w:numId="19" w16cid:durableId="1284381209">
    <w:abstractNumId w:val="16"/>
  </w:num>
  <w:num w:numId="20" w16cid:durableId="597712480">
    <w:abstractNumId w:val="38"/>
  </w:num>
  <w:num w:numId="21" w16cid:durableId="948245637">
    <w:abstractNumId w:val="28"/>
  </w:num>
  <w:num w:numId="22" w16cid:durableId="1317880529">
    <w:abstractNumId w:val="40"/>
  </w:num>
  <w:num w:numId="23" w16cid:durableId="2045907447">
    <w:abstractNumId w:val="6"/>
  </w:num>
  <w:num w:numId="24" w16cid:durableId="2068919397">
    <w:abstractNumId w:val="21"/>
  </w:num>
  <w:num w:numId="25" w16cid:durableId="13192820">
    <w:abstractNumId w:val="39"/>
  </w:num>
  <w:num w:numId="26" w16cid:durableId="4983268">
    <w:abstractNumId w:val="34"/>
  </w:num>
  <w:num w:numId="27" w16cid:durableId="1675454741">
    <w:abstractNumId w:val="12"/>
  </w:num>
  <w:num w:numId="28" w16cid:durableId="1076246198">
    <w:abstractNumId w:val="4"/>
  </w:num>
  <w:num w:numId="29" w16cid:durableId="332417098">
    <w:abstractNumId w:val="15"/>
  </w:num>
  <w:num w:numId="30" w16cid:durableId="657272427">
    <w:abstractNumId w:val="3"/>
  </w:num>
  <w:num w:numId="31" w16cid:durableId="1198274894">
    <w:abstractNumId w:val="37"/>
  </w:num>
  <w:num w:numId="32" w16cid:durableId="2823162">
    <w:abstractNumId w:val="10"/>
  </w:num>
  <w:num w:numId="33" w16cid:durableId="1807118778">
    <w:abstractNumId w:val="1"/>
  </w:num>
  <w:num w:numId="34" w16cid:durableId="1302419365">
    <w:abstractNumId w:val="22"/>
  </w:num>
  <w:num w:numId="35" w16cid:durableId="1031105251">
    <w:abstractNumId w:val="32"/>
  </w:num>
  <w:num w:numId="36" w16cid:durableId="380371019">
    <w:abstractNumId w:val="42"/>
  </w:num>
  <w:num w:numId="37" w16cid:durableId="903419179">
    <w:abstractNumId w:val="27"/>
  </w:num>
  <w:num w:numId="38" w16cid:durableId="1645742049">
    <w:abstractNumId w:val="24"/>
  </w:num>
  <w:num w:numId="39" w16cid:durableId="434521838">
    <w:abstractNumId w:val="30"/>
  </w:num>
  <w:num w:numId="40" w16cid:durableId="974868558">
    <w:abstractNumId w:val="2"/>
  </w:num>
  <w:num w:numId="41" w16cid:durableId="603994738">
    <w:abstractNumId w:val="33"/>
  </w:num>
  <w:num w:numId="42" w16cid:durableId="551622279">
    <w:abstractNumId w:val="35"/>
  </w:num>
  <w:num w:numId="43" w16cid:durableId="4212947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366"/>
    <w:rsid w:val="00012B6D"/>
    <w:rsid w:val="0002589D"/>
    <w:rsid w:val="00026857"/>
    <w:rsid w:val="0004163F"/>
    <w:rsid w:val="00045486"/>
    <w:rsid w:val="00061398"/>
    <w:rsid w:val="00066486"/>
    <w:rsid w:val="0007251B"/>
    <w:rsid w:val="00090269"/>
    <w:rsid w:val="000C2E25"/>
    <w:rsid w:val="000D4FFB"/>
    <w:rsid w:val="000F0A0E"/>
    <w:rsid w:val="000F5010"/>
    <w:rsid w:val="00111D54"/>
    <w:rsid w:val="00114A68"/>
    <w:rsid w:val="0019037A"/>
    <w:rsid w:val="00190E2B"/>
    <w:rsid w:val="001A4A7B"/>
    <w:rsid w:val="001D4E5C"/>
    <w:rsid w:val="001E4164"/>
    <w:rsid w:val="001F3D60"/>
    <w:rsid w:val="002255AA"/>
    <w:rsid w:val="00273282"/>
    <w:rsid w:val="002851E9"/>
    <w:rsid w:val="00292C39"/>
    <w:rsid w:val="002A51A1"/>
    <w:rsid w:val="002B1C30"/>
    <w:rsid w:val="002C540F"/>
    <w:rsid w:val="002F1F19"/>
    <w:rsid w:val="002F276D"/>
    <w:rsid w:val="0031441A"/>
    <w:rsid w:val="003145C1"/>
    <w:rsid w:val="00316C5B"/>
    <w:rsid w:val="00320366"/>
    <w:rsid w:val="00325D94"/>
    <w:rsid w:val="00326AF5"/>
    <w:rsid w:val="00354E0E"/>
    <w:rsid w:val="00363190"/>
    <w:rsid w:val="003657E0"/>
    <w:rsid w:val="00386199"/>
    <w:rsid w:val="00395ED4"/>
    <w:rsid w:val="003A0867"/>
    <w:rsid w:val="003A3B3C"/>
    <w:rsid w:val="003D7F7C"/>
    <w:rsid w:val="003E3D29"/>
    <w:rsid w:val="003F30AE"/>
    <w:rsid w:val="003F7C71"/>
    <w:rsid w:val="00415650"/>
    <w:rsid w:val="00415E63"/>
    <w:rsid w:val="004346DA"/>
    <w:rsid w:val="004447FC"/>
    <w:rsid w:val="00451F22"/>
    <w:rsid w:val="0046368E"/>
    <w:rsid w:val="00480A30"/>
    <w:rsid w:val="004975C9"/>
    <w:rsid w:val="004A2252"/>
    <w:rsid w:val="004A4A69"/>
    <w:rsid w:val="004B50A0"/>
    <w:rsid w:val="004C40A5"/>
    <w:rsid w:val="004D198C"/>
    <w:rsid w:val="004F2C57"/>
    <w:rsid w:val="004F3D10"/>
    <w:rsid w:val="00501095"/>
    <w:rsid w:val="00505832"/>
    <w:rsid w:val="00513AD6"/>
    <w:rsid w:val="00521841"/>
    <w:rsid w:val="0052745D"/>
    <w:rsid w:val="00527627"/>
    <w:rsid w:val="00536FFD"/>
    <w:rsid w:val="00552074"/>
    <w:rsid w:val="00556ED1"/>
    <w:rsid w:val="0057530C"/>
    <w:rsid w:val="00575A65"/>
    <w:rsid w:val="00586DDC"/>
    <w:rsid w:val="005A6DE9"/>
    <w:rsid w:val="005B0C39"/>
    <w:rsid w:val="005B3119"/>
    <w:rsid w:val="005D2E93"/>
    <w:rsid w:val="005D38B0"/>
    <w:rsid w:val="005E4F54"/>
    <w:rsid w:val="005F0311"/>
    <w:rsid w:val="005F4751"/>
    <w:rsid w:val="005F78A1"/>
    <w:rsid w:val="00605ABB"/>
    <w:rsid w:val="00665F38"/>
    <w:rsid w:val="00667117"/>
    <w:rsid w:val="00677489"/>
    <w:rsid w:val="006A0A7E"/>
    <w:rsid w:val="006A312D"/>
    <w:rsid w:val="006B5537"/>
    <w:rsid w:val="006B71BB"/>
    <w:rsid w:val="006E0A22"/>
    <w:rsid w:val="006E3364"/>
    <w:rsid w:val="006E7C67"/>
    <w:rsid w:val="006F3B02"/>
    <w:rsid w:val="006F79C3"/>
    <w:rsid w:val="007163FF"/>
    <w:rsid w:val="00716F3D"/>
    <w:rsid w:val="00731106"/>
    <w:rsid w:val="00742D90"/>
    <w:rsid w:val="0075108E"/>
    <w:rsid w:val="00755893"/>
    <w:rsid w:val="007626A9"/>
    <w:rsid w:val="00762B99"/>
    <w:rsid w:val="007A29A3"/>
    <w:rsid w:val="007A4705"/>
    <w:rsid w:val="007D2DE4"/>
    <w:rsid w:val="007D73D4"/>
    <w:rsid w:val="0081248F"/>
    <w:rsid w:val="0081680F"/>
    <w:rsid w:val="00820B4B"/>
    <w:rsid w:val="00846A08"/>
    <w:rsid w:val="00855036"/>
    <w:rsid w:val="00865329"/>
    <w:rsid w:val="008665D9"/>
    <w:rsid w:val="00873288"/>
    <w:rsid w:val="0089376F"/>
    <w:rsid w:val="008955D5"/>
    <w:rsid w:val="008A4266"/>
    <w:rsid w:val="008A54EA"/>
    <w:rsid w:val="008B3536"/>
    <w:rsid w:val="008D3C17"/>
    <w:rsid w:val="008D4A57"/>
    <w:rsid w:val="008E32BA"/>
    <w:rsid w:val="008F36A0"/>
    <w:rsid w:val="0090307F"/>
    <w:rsid w:val="009066FF"/>
    <w:rsid w:val="00912F7D"/>
    <w:rsid w:val="0091639E"/>
    <w:rsid w:val="00917341"/>
    <w:rsid w:val="0094283E"/>
    <w:rsid w:val="00957DEA"/>
    <w:rsid w:val="009676BF"/>
    <w:rsid w:val="00976B3C"/>
    <w:rsid w:val="009A5E6A"/>
    <w:rsid w:val="009B4715"/>
    <w:rsid w:val="009B7CEC"/>
    <w:rsid w:val="009C781F"/>
    <w:rsid w:val="009E59D4"/>
    <w:rsid w:val="00A003C9"/>
    <w:rsid w:val="00A03FAA"/>
    <w:rsid w:val="00A07314"/>
    <w:rsid w:val="00A112D9"/>
    <w:rsid w:val="00A13D6A"/>
    <w:rsid w:val="00A34F7B"/>
    <w:rsid w:val="00A43249"/>
    <w:rsid w:val="00A53CCE"/>
    <w:rsid w:val="00A60C12"/>
    <w:rsid w:val="00A71B3E"/>
    <w:rsid w:val="00A71E8B"/>
    <w:rsid w:val="00A75640"/>
    <w:rsid w:val="00A91373"/>
    <w:rsid w:val="00A9486B"/>
    <w:rsid w:val="00AA258A"/>
    <w:rsid w:val="00AA71EF"/>
    <w:rsid w:val="00AA7D55"/>
    <w:rsid w:val="00AB1F02"/>
    <w:rsid w:val="00AC0D51"/>
    <w:rsid w:val="00AC6065"/>
    <w:rsid w:val="00AC68D3"/>
    <w:rsid w:val="00AE7C89"/>
    <w:rsid w:val="00AF151D"/>
    <w:rsid w:val="00AF2467"/>
    <w:rsid w:val="00B01157"/>
    <w:rsid w:val="00B1296E"/>
    <w:rsid w:val="00B24CB7"/>
    <w:rsid w:val="00B267B4"/>
    <w:rsid w:val="00B34B87"/>
    <w:rsid w:val="00B442FD"/>
    <w:rsid w:val="00B4727A"/>
    <w:rsid w:val="00B50440"/>
    <w:rsid w:val="00B71B30"/>
    <w:rsid w:val="00B76492"/>
    <w:rsid w:val="00BA2B99"/>
    <w:rsid w:val="00BA4B9D"/>
    <w:rsid w:val="00BB06B0"/>
    <w:rsid w:val="00BB0AEB"/>
    <w:rsid w:val="00BB725C"/>
    <w:rsid w:val="00BC6603"/>
    <w:rsid w:val="00BD0FAF"/>
    <w:rsid w:val="00BF0F38"/>
    <w:rsid w:val="00C05902"/>
    <w:rsid w:val="00C30490"/>
    <w:rsid w:val="00C46800"/>
    <w:rsid w:val="00C630EE"/>
    <w:rsid w:val="00C81E34"/>
    <w:rsid w:val="00C82C4B"/>
    <w:rsid w:val="00C82D31"/>
    <w:rsid w:val="00C902DC"/>
    <w:rsid w:val="00C9223C"/>
    <w:rsid w:val="00CC4FAE"/>
    <w:rsid w:val="00CC76F0"/>
    <w:rsid w:val="00CD1F6B"/>
    <w:rsid w:val="00CD4552"/>
    <w:rsid w:val="00CE695C"/>
    <w:rsid w:val="00D44DBC"/>
    <w:rsid w:val="00D630B0"/>
    <w:rsid w:val="00DB1A17"/>
    <w:rsid w:val="00DB4918"/>
    <w:rsid w:val="00DC4148"/>
    <w:rsid w:val="00DE3CE6"/>
    <w:rsid w:val="00DE4A3D"/>
    <w:rsid w:val="00DE61CF"/>
    <w:rsid w:val="00DF38C2"/>
    <w:rsid w:val="00E051B9"/>
    <w:rsid w:val="00E074AB"/>
    <w:rsid w:val="00E1279F"/>
    <w:rsid w:val="00E15CFE"/>
    <w:rsid w:val="00E22EF4"/>
    <w:rsid w:val="00E3308F"/>
    <w:rsid w:val="00E36436"/>
    <w:rsid w:val="00E40CBF"/>
    <w:rsid w:val="00E56412"/>
    <w:rsid w:val="00E6385C"/>
    <w:rsid w:val="00E67B90"/>
    <w:rsid w:val="00E72C31"/>
    <w:rsid w:val="00E91BAC"/>
    <w:rsid w:val="00EB4868"/>
    <w:rsid w:val="00ED25D4"/>
    <w:rsid w:val="00EF5FFC"/>
    <w:rsid w:val="00EF6EC5"/>
    <w:rsid w:val="00F36B6B"/>
    <w:rsid w:val="00F41CA9"/>
    <w:rsid w:val="00F72276"/>
    <w:rsid w:val="00F86D77"/>
    <w:rsid w:val="00FA479E"/>
    <w:rsid w:val="00FA6BD4"/>
    <w:rsid w:val="00FB348E"/>
    <w:rsid w:val="00FB7BA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3BB3A"/>
  <w15:chartTrackingRefBased/>
  <w15:docId w15:val="{62BD0119-7959-4EEA-8545-FFACAE74D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32036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2036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2036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036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036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03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3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3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3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36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2036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2036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036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036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03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3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3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366"/>
    <w:rPr>
      <w:rFonts w:eastAsiaTheme="majorEastAsia" w:cstheme="majorBidi"/>
      <w:color w:val="272727" w:themeColor="text1" w:themeTint="D8"/>
    </w:rPr>
  </w:style>
  <w:style w:type="paragraph" w:styleId="Title">
    <w:name w:val="Title"/>
    <w:basedOn w:val="Normal"/>
    <w:next w:val="Normal"/>
    <w:link w:val="TitleChar"/>
    <w:uiPriority w:val="10"/>
    <w:qFormat/>
    <w:rsid w:val="00320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3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3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3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366"/>
    <w:pPr>
      <w:spacing w:before="160"/>
      <w:jc w:val="center"/>
    </w:pPr>
    <w:rPr>
      <w:i/>
      <w:iCs/>
      <w:color w:val="404040" w:themeColor="text1" w:themeTint="BF"/>
    </w:rPr>
  </w:style>
  <w:style w:type="character" w:customStyle="1" w:styleId="QuoteChar">
    <w:name w:val="Quote Char"/>
    <w:basedOn w:val="DefaultParagraphFont"/>
    <w:link w:val="Quote"/>
    <w:uiPriority w:val="29"/>
    <w:rsid w:val="00320366"/>
    <w:rPr>
      <w:rFonts w:cs="Latha"/>
      <w:i/>
      <w:iCs/>
      <w:color w:val="404040" w:themeColor="text1" w:themeTint="BF"/>
    </w:rPr>
  </w:style>
  <w:style w:type="paragraph" w:styleId="ListParagraph">
    <w:name w:val="List Paragraph"/>
    <w:basedOn w:val="Normal"/>
    <w:uiPriority w:val="34"/>
    <w:qFormat/>
    <w:rsid w:val="00320366"/>
    <w:pPr>
      <w:ind w:left="720"/>
      <w:contextualSpacing/>
    </w:pPr>
  </w:style>
  <w:style w:type="character" w:styleId="IntenseEmphasis">
    <w:name w:val="Intense Emphasis"/>
    <w:basedOn w:val="DefaultParagraphFont"/>
    <w:uiPriority w:val="21"/>
    <w:qFormat/>
    <w:rsid w:val="00320366"/>
    <w:rPr>
      <w:i/>
      <w:iCs/>
      <w:color w:val="2F5496" w:themeColor="accent1" w:themeShade="BF"/>
    </w:rPr>
  </w:style>
  <w:style w:type="paragraph" w:styleId="IntenseQuote">
    <w:name w:val="Intense Quote"/>
    <w:basedOn w:val="Normal"/>
    <w:next w:val="Normal"/>
    <w:link w:val="IntenseQuoteChar"/>
    <w:uiPriority w:val="30"/>
    <w:qFormat/>
    <w:rsid w:val="0032036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0366"/>
    <w:rPr>
      <w:rFonts w:cs="Latha"/>
      <w:i/>
      <w:iCs/>
      <w:color w:val="2F5496" w:themeColor="accent1" w:themeShade="BF"/>
    </w:rPr>
  </w:style>
  <w:style w:type="character" w:styleId="IntenseReference">
    <w:name w:val="Intense Reference"/>
    <w:basedOn w:val="DefaultParagraphFont"/>
    <w:uiPriority w:val="32"/>
    <w:qFormat/>
    <w:rsid w:val="00320366"/>
    <w:rPr>
      <w:b/>
      <w:bCs/>
      <w:smallCaps/>
      <w:color w:val="2F5496" w:themeColor="accent1" w:themeShade="BF"/>
      <w:spacing w:val="5"/>
    </w:rPr>
  </w:style>
  <w:style w:type="character" w:styleId="Hyperlink">
    <w:name w:val="Hyperlink"/>
    <w:basedOn w:val="DefaultParagraphFont"/>
    <w:uiPriority w:val="99"/>
    <w:unhideWhenUsed/>
    <w:rsid w:val="00A60C12"/>
    <w:rPr>
      <w:color w:val="0563C1" w:themeColor="hyperlink"/>
      <w:u w:val="single"/>
    </w:rPr>
  </w:style>
  <w:style w:type="character" w:styleId="UnresolvedMention">
    <w:name w:val="Unresolved Mention"/>
    <w:basedOn w:val="DefaultParagraphFont"/>
    <w:uiPriority w:val="99"/>
    <w:semiHidden/>
    <w:unhideWhenUsed/>
    <w:rsid w:val="00667117"/>
    <w:rPr>
      <w:color w:val="605E5C"/>
      <w:shd w:val="clear" w:color="auto" w:fill="E1DFDD"/>
    </w:rPr>
  </w:style>
  <w:style w:type="paragraph" w:styleId="Header">
    <w:name w:val="header"/>
    <w:basedOn w:val="Normal"/>
    <w:link w:val="HeaderChar"/>
    <w:uiPriority w:val="99"/>
    <w:unhideWhenUsed/>
    <w:rsid w:val="008550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5036"/>
    <w:rPr>
      <w:rFonts w:cs="Latha"/>
    </w:rPr>
  </w:style>
  <w:style w:type="paragraph" w:styleId="Footer">
    <w:name w:val="footer"/>
    <w:basedOn w:val="Normal"/>
    <w:link w:val="FooterChar"/>
    <w:uiPriority w:val="99"/>
    <w:unhideWhenUsed/>
    <w:rsid w:val="008550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5036"/>
    <w:rPr>
      <w:rFonts w:cs="Latha"/>
    </w:rPr>
  </w:style>
  <w:style w:type="character" w:styleId="Strong">
    <w:name w:val="Strong"/>
    <w:basedOn w:val="DefaultParagraphFont"/>
    <w:uiPriority w:val="22"/>
    <w:qFormat/>
    <w:rsid w:val="0046368E"/>
    <w:rPr>
      <w:b/>
      <w:bCs/>
    </w:rPr>
  </w:style>
  <w:style w:type="paragraph" w:styleId="NormalWeb">
    <w:name w:val="Normal (Web)"/>
    <w:basedOn w:val="Normal"/>
    <w:uiPriority w:val="99"/>
    <w:semiHidden/>
    <w:unhideWhenUsed/>
    <w:rsid w:val="00AA71E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AA71EF"/>
    <w:rPr>
      <w:i/>
      <w:iCs/>
    </w:rPr>
  </w:style>
  <w:style w:type="paragraph" w:styleId="TOCHeading">
    <w:name w:val="TOC Heading"/>
    <w:basedOn w:val="Heading1"/>
    <w:next w:val="Normal"/>
    <w:uiPriority w:val="39"/>
    <w:unhideWhenUsed/>
    <w:qFormat/>
    <w:rsid w:val="00EF5FFC"/>
    <w:pPr>
      <w:spacing w:before="240" w:after="0"/>
      <w:outlineLvl w:val="9"/>
    </w:pPr>
    <w:rPr>
      <w:kern w:val="0"/>
      <w:sz w:val="32"/>
      <w:szCs w:val="32"/>
      <w:lang w:bidi="ar-SA"/>
      <w14:ligatures w14:val="none"/>
    </w:rPr>
  </w:style>
  <w:style w:type="paragraph" w:styleId="TOC1">
    <w:name w:val="toc 1"/>
    <w:basedOn w:val="Normal"/>
    <w:next w:val="Normal"/>
    <w:autoRedefine/>
    <w:uiPriority w:val="39"/>
    <w:unhideWhenUsed/>
    <w:rsid w:val="00EF5FFC"/>
    <w:pPr>
      <w:spacing w:after="100"/>
    </w:pPr>
  </w:style>
  <w:style w:type="paragraph" w:styleId="TOC2">
    <w:name w:val="toc 2"/>
    <w:basedOn w:val="Normal"/>
    <w:next w:val="Normal"/>
    <w:autoRedefine/>
    <w:uiPriority w:val="39"/>
    <w:unhideWhenUsed/>
    <w:rsid w:val="00EF5FFC"/>
    <w:pPr>
      <w:spacing w:after="100"/>
      <w:ind w:left="220"/>
    </w:pPr>
  </w:style>
  <w:style w:type="paragraph" w:styleId="TOC3">
    <w:name w:val="toc 3"/>
    <w:basedOn w:val="Normal"/>
    <w:next w:val="Normal"/>
    <w:autoRedefine/>
    <w:uiPriority w:val="39"/>
    <w:unhideWhenUsed/>
    <w:rsid w:val="00DF38C2"/>
    <w:pPr>
      <w:spacing w:after="100"/>
      <w:ind w:left="440"/>
    </w:pPr>
    <w:rPr>
      <w:rFonts w:eastAsiaTheme="minorEastAsia" w:cs="Times New Roman"/>
      <w:kern w:val="0"/>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guide://action?prefill=Tell%20me%20more%20about%3A%20Investment" TargetMode="External"/><Relationship Id="rId4" Type="http://schemas.openxmlformats.org/officeDocument/2006/relationships/settings" Target="settings.xml"/><Relationship Id="rId9" Type="http://schemas.openxmlformats.org/officeDocument/2006/relationships/hyperlink" Target="https://www.google.com/search?q=Total+Liabilities+%2F+Shareholders%27+Equity&amp;sca_esv=2286498253ea9ec4&amp;sxsrf=AE3TifOltgBCH8xFjdCeJ090xF2cnq8g4Q%3A1762902913238&amp;ei=gcMTafWjDtCthbIPiJu90Qg&amp;ved=2ahUKEwi44svrnuuQAxUGUkEAHbalPK8QgK4QegYIAQgAEAM&amp;uact=5&amp;oq=Debt-to-Equity+formula&amp;gs_lp=Egxnd3Mtd2l6LXNlcnAiFkRlYnQtdG8tRXF1aXR5IGZvcm11bGEyBhAAGAcYHjIGEAAYBxgeMgYQABgHGB4yBhAAGAcYHjIGEAAYBxgeMgYQABgHGB4yBhAAGAcYHjIGEAAYBxgeMgYQABgHGB4yBhAAGAcYHkjHF1AAWJ4PcAB4AZABAJgBkgGgAd0CqgEDMS4yuAEDyAEA-AEC-AEBmAIDoAL0AsICBxAAGIAEGA3CAgYQABgNGB7CAggQABgIGA0YHsICCBAAGAUYDRgemAMA4gMFEgExIECSBwMwLjOgB4EVsgcDMC4zuAf0AsIHAzItM8gHDw&amp;sclient=gws-wiz-ser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6689E-10DA-477F-B060-3AFDC97D7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36</Pages>
  <Words>6674</Words>
  <Characters>38046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DARVIN SABHAYA</dc:creator>
  <cp:keywords/>
  <dc:description/>
  <cp:lastModifiedBy>DARVIN SABHAYA</cp:lastModifiedBy>
  <cp:revision>116</cp:revision>
  <dcterms:created xsi:type="dcterms:W3CDTF">2025-11-22T23:12:00Z</dcterms:created>
  <dcterms:modified xsi:type="dcterms:W3CDTF">2025-11-23T17:20:00Z</dcterms:modified>
</cp:coreProperties>
</file>