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4E3F7" w14:textId="77777777" w:rsidR="00403B5E" w:rsidRPr="008E5BD0" w:rsidRDefault="00403B5E" w:rsidP="008E5BD0">
      <w:pPr>
        <w:spacing w:line="360" w:lineRule="auto"/>
        <w:rPr>
          <w:rFonts w:ascii="Arial" w:hAnsi="Arial" w:cs="Arial"/>
          <w:b/>
          <w:bCs/>
          <w:sz w:val="22"/>
          <w:szCs w:val="22"/>
        </w:rPr>
      </w:pPr>
      <w:bookmarkStart w:id="0" w:name="_Toc199364271"/>
    </w:p>
    <w:p w14:paraId="2F26CB00" w14:textId="5F68C6B4" w:rsidR="00403B5E" w:rsidRPr="008E5BD0" w:rsidRDefault="00403B5E" w:rsidP="008E5BD0">
      <w:pPr>
        <w:spacing w:line="360" w:lineRule="auto"/>
        <w:rPr>
          <w:rFonts w:ascii="Arial" w:hAnsi="Arial" w:cs="Arial"/>
          <w:b/>
          <w:bCs/>
          <w:sz w:val="22"/>
          <w:szCs w:val="22"/>
        </w:rPr>
      </w:pPr>
      <w:r w:rsidRPr="008E5BD0">
        <w:rPr>
          <w:rFonts w:ascii="Arial" w:hAnsi="Arial" w:cs="Arial"/>
          <w:b/>
          <w:bCs/>
          <w:sz w:val="22"/>
          <w:szCs w:val="22"/>
        </w:rPr>
        <w:t>Strategic Management and Sustainability (LCBB6004)</w:t>
      </w:r>
    </w:p>
    <w:p w14:paraId="63477874" w14:textId="50C6F5D0" w:rsidR="00403B5E" w:rsidRPr="008E5BD0" w:rsidRDefault="00403B5E" w:rsidP="008E5BD0">
      <w:pPr>
        <w:spacing w:line="360" w:lineRule="auto"/>
        <w:rPr>
          <w:rFonts w:ascii="Arial" w:hAnsi="Arial" w:cs="Arial"/>
          <w:b/>
          <w:bCs/>
          <w:sz w:val="22"/>
          <w:szCs w:val="22"/>
        </w:rPr>
      </w:pPr>
      <w:r w:rsidRPr="008E5BD0">
        <w:rPr>
          <w:rFonts w:ascii="Arial" w:hAnsi="Arial" w:cs="Arial"/>
          <w:b/>
          <w:bCs/>
          <w:sz w:val="22"/>
          <w:szCs w:val="22"/>
        </w:rPr>
        <w:t>Name: Maiyara Mabel Flroian Santana (2113112)</w:t>
      </w:r>
    </w:p>
    <w:p w14:paraId="1D9067DA" w14:textId="78F5595E" w:rsidR="00403B5E" w:rsidRPr="008E5BD0" w:rsidRDefault="00403B5E" w:rsidP="008E5BD0">
      <w:pPr>
        <w:spacing w:line="360" w:lineRule="auto"/>
        <w:rPr>
          <w:rFonts w:ascii="Arial" w:hAnsi="Arial" w:cs="Arial"/>
          <w:b/>
          <w:bCs/>
          <w:sz w:val="22"/>
          <w:szCs w:val="22"/>
        </w:rPr>
      </w:pPr>
      <w:r w:rsidRPr="008E5BD0">
        <w:rPr>
          <w:rFonts w:ascii="Arial" w:hAnsi="Arial" w:cs="Arial"/>
          <w:b/>
          <w:bCs/>
          <w:sz w:val="22"/>
          <w:szCs w:val="22"/>
        </w:rPr>
        <w:t>Lecturer:</w:t>
      </w:r>
      <w:r w:rsidR="002C7E62" w:rsidRPr="008E5BD0">
        <w:rPr>
          <w:rFonts w:ascii="Arial" w:hAnsi="Arial" w:cs="Arial"/>
          <w:sz w:val="22"/>
          <w:szCs w:val="22"/>
        </w:rPr>
        <w:t xml:space="preserve"> </w:t>
      </w:r>
      <w:r w:rsidR="002C7E62" w:rsidRPr="008E5BD0">
        <w:rPr>
          <w:rFonts w:ascii="Arial" w:hAnsi="Arial" w:cs="Arial"/>
          <w:b/>
          <w:bCs/>
          <w:sz w:val="22"/>
          <w:szCs w:val="22"/>
        </w:rPr>
        <w:t xml:space="preserve">Navid </w:t>
      </w:r>
      <w:proofErr w:type="spellStart"/>
      <w:r w:rsidR="002C7E62" w:rsidRPr="008E5BD0">
        <w:rPr>
          <w:rFonts w:ascii="Arial" w:hAnsi="Arial" w:cs="Arial"/>
          <w:b/>
          <w:bCs/>
          <w:sz w:val="22"/>
          <w:szCs w:val="22"/>
        </w:rPr>
        <w:t>Nasirpourosgoei</w:t>
      </w:r>
      <w:proofErr w:type="spellEnd"/>
    </w:p>
    <w:p w14:paraId="738AD6FC" w14:textId="77777777" w:rsidR="00403B5E" w:rsidRPr="008E5BD0" w:rsidRDefault="00403B5E" w:rsidP="008E5BD0">
      <w:pPr>
        <w:spacing w:line="360" w:lineRule="auto"/>
        <w:rPr>
          <w:rFonts w:ascii="Arial" w:hAnsi="Arial" w:cs="Arial"/>
          <w:b/>
          <w:bCs/>
          <w:sz w:val="22"/>
          <w:szCs w:val="22"/>
        </w:rPr>
      </w:pPr>
    </w:p>
    <w:p w14:paraId="654D8E5C" w14:textId="77777777" w:rsidR="00403B5E" w:rsidRPr="008E5BD0" w:rsidRDefault="00403B5E" w:rsidP="008E5BD0">
      <w:pPr>
        <w:spacing w:line="360" w:lineRule="auto"/>
        <w:rPr>
          <w:rFonts w:ascii="Arial" w:hAnsi="Arial" w:cs="Arial"/>
          <w:b/>
          <w:bCs/>
          <w:sz w:val="22"/>
          <w:szCs w:val="22"/>
        </w:rPr>
      </w:pPr>
    </w:p>
    <w:p w14:paraId="297385B0" w14:textId="77777777" w:rsidR="00403B5E" w:rsidRPr="008E5BD0" w:rsidRDefault="00403B5E" w:rsidP="008E5BD0">
      <w:pPr>
        <w:spacing w:line="360" w:lineRule="auto"/>
        <w:rPr>
          <w:rFonts w:ascii="Arial" w:hAnsi="Arial" w:cs="Arial"/>
          <w:b/>
          <w:bCs/>
          <w:sz w:val="22"/>
          <w:szCs w:val="22"/>
        </w:rPr>
      </w:pPr>
    </w:p>
    <w:p w14:paraId="5ACA85B4" w14:textId="77777777" w:rsidR="00403B5E" w:rsidRPr="008E5BD0" w:rsidRDefault="00403B5E" w:rsidP="008E5BD0">
      <w:pPr>
        <w:spacing w:line="360" w:lineRule="auto"/>
        <w:rPr>
          <w:rFonts w:ascii="Arial" w:hAnsi="Arial" w:cs="Arial"/>
          <w:b/>
          <w:bCs/>
          <w:sz w:val="22"/>
          <w:szCs w:val="22"/>
        </w:rPr>
      </w:pPr>
    </w:p>
    <w:p w14:paraId="6E8509E4" w14:textId="77777777" w:rsidR="00403B5E" w:rsidRPr="008E5BD0" w:rsidRDefault="00403B5E" w:rsidP="008E5BD0">
      <w:pPr>
        <w:spacing w:line="360" w:lineRule="auto"/>
        <w:rPr>
          <w:rFonts w:ascii="Arial" w:hAnsi="Arial" w:cs="Arial"/>
          <w:b/>
          <w:bCs/>
          <w:sz w:val="22"/>
          <w:szCs w:val="22"/>
        </w:rPr>
      </w:pPr>
    </w:p>
    <w:p w14:paraId="2D811920" w14:textId="77777777" w:rsidR="00403B5E" w:rsidRPr="008E5BD0" w:rsidRDefault="00403B5E" w:rsidP="008E5BD0">
      <w:pPr>
        <w:spacing w:line="360" w:lineRule="auto"/>
        <w:rPr>
          <w:rFonts w:ascii="Arial" w:hAnsi="Arial" w:cs="Arial"/>
          <w:b/>
          <w:bCs/>
          <w:sz w:val="22"/>
          <w:szCs w:val="22"/>
        </w:rPr>
      </w:pPr>
    </w:p>
    <w:p w14:paraId="3CC0C7F8" w14:textId="77777777" w:rsidR="00403B5E" w:rsidRPr="008E5BD0" w:rsidRDefault="00403B5E" w:rsidP="008E5BD0">
      <w:pPr>
        <w:spacing w:line="360" w:lineRule="auto"/>
        <w:rPr>
          <w:rFonts w:ascii="Arial" w:hAnsi="Arial" w:cs="Arial"/>
          <w:b/>
          <w:bCs/>
          <w:sz w:val="22"/>
          <w:szCs w:val="22"/>
        </w:rPr>
      </w:pPr>
    </w:p>
    <w:p w14:paraId="67939E50" w14:textId="77777777" w:rsidR="00403B5E" w:rsidRPr="008E5BD0" w:rsidRDefault="00403B5E" w:rsidP="008E5BD0">
      <w:pPr>
        <w:spacing w:line="360" w:lineRule="auto"/>
        <w:rPr>
          <w:rFonts w:ascii="Arial" w:hAnsi="Arial" w:cs="Arial"/>
          <w:b/>
          <w:bCs/>
          <w:sz w:val="22"/>
          <w:szCs w:val="22"/>
        </w:rPr>
      </w:pPr>
    </w:p>
    <w:p w14:paraId="58406524" w14:textId="77777777" w:rsidR="00403B5E" w:rsidRPr="008E5BD0" w:rsidRDefault="00403B5E" w:rsidP="008E5BD0">
      <w:pPr>
        <w:spacing w:line="360" w:lineRule="auto"/>
        <w:rPr>
          <w:rFonts w:ascii="Arial" w:hAnsi="Arial" w:cs="Arial"/>
          <w:b/>
          <w:bCs/>
          <w:sz w:val="22"/>
          <w:szCs w:val="22"/>
        </w:rPr>
      </w:pPr>
    </w:p>
    <w:p w14:paraId="5A88C97A" w14:textId="77777777" w:rsidR="00403B5E" w:rsidRPr="008E5BD0" w:rsidRDefault="00403B5E" w:rsidP="008E5BD0">
      <w:pPr>
        <w:spacing w:line="360" w:lineRule="auto"/>
        <w:rPr>
          <w:rFonts w:ascii="Arial" w:hAnsi="Arial" w:cs="Arial"/>
          <w:b/>
          <w:bCs/>
          <w:sz w:val="22"/>
          <w:szCs w:val="22"/>
        </w:rPr>
      </w:pPr>
    </w:p>
    <w:p w14:paraId="1D250279" w14:textId="77777777" w:rsidR="00403B5E" w:rsidRPr="008E5BD0" w:rsidRDefault="00403B5E" w:rsidP="008E5BD0">
      <w:pPr>
        <w:spacing w:line="360" w:lineRule="auto"/>
        <w:rPr>
          <w:rFonts w:ascii="Arial" w:hAnsi="Arial" w:cs="Arial"/>
          <w:b/>
          <w:bCs/>
          <w:sz w:val="22"/>
          <w:szCs w:val="22"/>
        </w:rPr>
      </w:pPr>
    </w:p>
    <w:p w14:paraId="3FB8D5FB" w14:textId="77777777" w:rsidR="00403B5E" w:rsidRPr="008E5BD0" w:rsidRDefault="00403B5E" w:rsidP="008E5BD0">
      <w:pPr>
        <w:spacing w:line="360" w:lineRule="auto"/>
        <w:rPr>
          <w:rFonts w:ascii="Arial" w:hAnsi="Arial" w:cs="Arial"/>
          <w:b/>
          <w:bCs/>
          <w:sz w:val="22"/>
          <w:szCs w:val="22"/>
        </w:rPr>
      </w:pPr>
    </w:p>
    <w:p w14:paraId="64027D9D" w14:textId="77777777" w:rsidR="00403B5E" w:rsidRPr="008E5BD0" w:rsidRDefault="00403B5E" w:rsidP="008E5BD0">
      <w:pPr>
        <w:spacing w:line="360" w:lineRule="auto"/>
        <w:rPr>
          <w:rFonts w:ascii="Arial" w:hAnsi="Arial" w:cs="Arial"/>
          <w:b/>
          <w:bCs/>
          <w:sz w:val="22"/>
          <w:szCs w:val="22"/>
        </w:rPr>
      </w:pPr>
    </w:p>
    <w:p w14:paraId="01B95050" w14:textId="77777777" w:rsidR="00403B5E" w:rsidRPr="008E5BD0" w:rsidRDefault="00403B5E" w:rsidP="008E5BD0">
      <w:pPr>
        <w:spacing w:line="360" w:lineRule="auto"/>
        <w:rPr>
          <w:rFonts w:ascii="Arial" w:hAnsi="Arial" w:cs="Arial"/>
          <w:b/>
          <w:bCs/>
          <w:sz w:val="22"/>
          <w:szCs w:val="22"/>
        </w:rPr>
      </w:pPr>
    </w:p>
    <w:p w14:paraId="7600345E" w14:textId="77777777" w:rsidR="00403B5E" w:rsidRPr="008E5BD0" w:rsidRDefault="00403B5E" w:rsidP="008E5BD0">
      <w:pPr>
        <w:spacing w:line="360" w:lineRule="auto"/>
        <w:rPr>
          <w:rFonts w:ascii="Arial" w:hAnsi="Arial" w:cs="Arial"/>
          <w:b/>
          <w:bCs/>
          <w:sz w:val="22"/>
          <w:szCs w:val="22"/>
        </w:rPr>
      </w:pPr>
    </w:p>
    <w:p w14:paraId="0FD9766E" w14:textId="77777777" w:rsidR="00403B5E" w:rsidRPr="008E5BD0" w:rsidRDefault="00403B5E" w:rsidP="008E5BD0">
      <w:pPr>
        <w:spacing w:line="360" w:lineRule="auto"/>
        <w:rPr>
          <w:rFonts w:ascii="Arial" w:hAnsi="Arial" w:cs="Arial"/>
          <w:b/>
          <w:bCs/>
          <w:sz w:val="22"/>
          <w:szCs w:val="22"/>
        </w:rPr>
      </w:pPr>
    </w:p>
    <w:p w14:paraId="5408A247" w14:textId="77777777" w:rsidR="00403B5E" w:rsidRPr="008E5BD0" w:rsidRDefault="00403B5E" w:rsidP="008E5BD0">
      <w:pPr>
        <w:spacing w:line="360" w:lineRule="auto"/>
        <w:rPr>
          <w:rFonts w:ascii="Arial" w:hAnsi="Arial" w:cs="Arial"/>
          <w:b/>
          <w:bCs/>
          <w:sz w:val="22"/>
          <w:szCs w:val="22"/>
        </w:rPr>
      </w:pPr>
    </w:p>
    <w:p w14:paraId="2B3BB9C8" w14:textId="77777777" w:rsidR="00403B5E" w:rsidRPr="008E5BD0" w:rsidRDefault="00403B5E" w:rsidP="008E5BD0">
      <w:pPr>
        <w:spacing w:line="360" w:lineRule="auto"/>
        <w:rPr>
          <w:rFonts w:ascii="Arial" w:hAnsi="Arial" w:cs="Arial"/>
          <w:b/>
          <w:bCs/>
          <w:sz w:val="22"/>
          <w:szCs w:val="22"/>
        </w:rPr>
      </w:pPr>
    </w:p>
    <w:p w14:paraId="61095636" w14:textId="77777777" w:rsidR="00403B5E" w:rsidRPr="008E5BD0" w:rsidRDefault="00403B5E" w:rsidP="008E5BD0">
      <w:pPr>
        <w:spacing w:line="360" w:lineRule="auto"/>
        <w:rPr>
          <w:rFonts w:ascii="Arial" w:hAnsi="Arial" w:cs="Arial"/>
          <w:b/>
          <w:bCs/>
          <w:sz w:val="22"/>
          <w:szCs w:val="22"/>
        </w:rPr>
      </w:pPr>
    </w:p>
    <w:p w14:paraId="4C74EBA0" w14:textId="77777777" w:rsidR="00403B5E" w:rsidRPr="008E5BD0" w:rsidRDefault="00403B5E" w:rsidP="008E5BD0">
      <w:pPr>
        <w:spacing w:line="360" w:lineRule="auto"/>
        <w:rPr>
          <w:rFonts w:ascii="Arial" w:hAnsi="Arial" w:cs="Arial"/>
          <w:b/>
          <w:bCs/>
          <w:sz w:val="22"/>
          <w:szCs w:val="22"/>
        </w:rPr>
      </w:pPr>
    </w:p>
    <w:p w14:paraId="1B755352" w14:textId="77777777" w:rsidR="00403B5E" w:rsidRPr="008E5BD0" w:rsidRDefault="00403B5E" w:rsidP="008E5BD0">
      <w:pPr>
        <w:spacing w:line="360" w:lineRule="auto"/>
        <w:rPr>
          <w:rFonts w:ascii="Arial" w:hAnsi="Arial" w:cs="Arial"/>
          <w:b/>
          <w:bCs/>
          <w:sz w:val="22"/>
          <w:szCs w:val="22"/>
        </w:rPr>
      </w:pPr>
    </w:p>
    <w:p w14:paraId="462BF333" w14:textId="77777777" w:rsidR="00403B5E" w:rsidRPr="008E5BD0" w:rsidRDefault="00403B5E" w:rsidP="008E5BD0">
      <w:pPr>
        <w:spacing w:line="360" w:lineRule="auto"/>
        <w:rPr>
          <w:rFonts w:ascii="Arial" w:hAnsi="Arial" w:cs="Arial"/>
          <w:b/>
          <w:bCs/>
          <w:sz w:val="22"/>
          <w:szCs w:val="22"/>
        </w:rPr>
      </w:pPr>
    </w:p>
    <w:p w14:paraId="52DC07D2" w14:textId="77777777" w:rsidR="00403B5E" w:rsidRPr="008E5BD0" w:rsidRDefault="00403B5E" w:rsidP="008E5BD0">
      <w:pPr>
        <w:spacing w:line="360" w:lineRule="auto"/>
        <w:rPr>
          <w:rFonts w:ascii="Arial" w:hAnsi="Arial" w:cs="Arial"/>
          <w:b/>
          <w:bCs/>
          <w:sz w:val="22"/>
          <w:szCs w:val="22"/>
        </w:rPr>
      </w:pPr>
    </w:p>
    <w:p w14:paraId="49D92EEA" w14:textId="77777777" w:rsidR="00403B5E" w:rsidRPr="008E5BD0" w:rsidRDefault="00403B5E" w:rsidP="008E5BD0">
      <w:pPr>
        <w:spacing w:line="360" w:lineRule="auto"/>
        <w:rPr>
          <w:rFonts w:ascii="Arial" w:hAnsi="Arial" w:cs="Arial"/>
          <w:b/>
          <w:bCs/>
          <w:sz w:val="22"/>
          <w:szCs w:val="22"/>
        </w:rPr>
      </w:pPr>
    </w:p>
    <w:p w14:paraId="3E6A63E2" w14:textId="77777777" w:rsidR="00403B5E" w:rsidRPr="008E5BD0" w:rsidRDefault="00403B5E" w:rsidP="008E5BD0">
      <w:pPr>
        <w:spacing w:line="360" w:lineRule="auto"/>
        <w:rPr>
          <w:rFonts w:ascii="Arial" w:hAnsi="Arial" w:cs="Arial"/>
          <w:b/>
          <w:bCs/>
          <w:sz w:val="22"/>
          <w:szCs w:val="22"/>
        </w:rPr>
      </w:pPr>
    </w:p>
    <w:p w14:paraId="1F75073C" w14:textId="77777777" w:rsidR="00403B5E" w:rsidRPr="008E5BD0" w:rsidRDefault="00403B5E" w:rsidP="008E5BD0">
      <w:pPr>
        <w:spacing w:line="360" w:lineRule="auto"/>
        <w:rPr>
          <w:rFonts w:ascii="Arial" w:hAnsi="Arial" w:cs="Arial"/>
          <w:b/>
          <w:bCs/>
          <w:sz w:val="22"/>
          <w:szCs w:val="22"/>
        </w:rPr>
      </w:pPr>
    </w:p>
    <w:p w14:paraId="27AE4F4B" w14:textId="77777777" w:rsidR="00403B5E" w:rsidRPr="008E5BD0" w:rsidRDefault="00403B5E" w:rsidP="008E5BD0">
      <w:pPr>
        <w:spacing w:line="360" w:lineRule="auto"/>
        <w:rPr>
          <w:rFonts w:ascii="Arial" w:hAnsi="Arial" w:cs="Arial"/>
          <w:b/>
          <w:bCs/>
          <w:sz w:val="22"/>
          <w:szCs w:val="22"/>
        </w:rPr>
      </w:pPr>
    </w:p>
    <w:bookmarkStart w:id="1" w:name="_Toc199364270" w:displacedByCustomXml="next"/>
    <w:sdt>
      <w:sdtPr>
        <w:rPr>
          <w:rFonts w:ascii="Arial" w:eastAsiaTheme="minorHAnsi" w:hAnsi="Arial" w:cs="Arial"/>
          <w:color w:val="auto"/>
          <w:kern w:val="2"/>
          <w:sz w:val="22"/>
          <w:szCs w:val="22"/>
          <w:lang w:val="en-GB"/>
          <w14:ligatures w14:val="standardContextual"/>
        </w:rPr>
        <w:id w:val="-1177190063"/>
        <w:docPartObj>
          <w:docPartGallery w:val="Table of Contents"/>
          <w:docPartUnique/>
        </w:docPartObj>
      </w:sdtPr>
      <w:sdtEndPr>
        <w:rPr>
          <w:b/>
          <w:bCs/>
          <w:noProof/>
        </w:rPr>
      </w:sdtEndPr>
      <w:sdtContent>
        <w:p w14:paraId="4CC09301" w14:textId="02CC058A" w:rsidR="00403B5E" w:rsidRPr="008E5BD0" w:rsidRDefault="00666D09" w:rsidP="008E5BD0">
          <w:pPr>
            <w:pStyle w:val="TOCHeading"/>
            <w:spacing w:line="360" w:lineRule="auto"/>
            <w:rPr>
              <w:rFonts w:ascii="Arial" w:hAnsi="Arial" w:cs="Arial"/>
              <w:b/>
              <w:bCs/>
              <w:color w:val="auto"/>
              <w:sz w:val="22"/>
              <w:szCs w:val="22"/>
            </w:rPr>
          </w:pPr>
          <w:r w:rsidRPr="008E5BD0">
            <w:rPr>
              <w:rFonts w:ascii="Arial" w:hAnsi="Arial" w:cs="Arial"/>
              <w:b/>
              <w:bCs/>
              <w:color w:val="auto"/>
              <w:sz w:val="22"/>
              <w:szCs w:val="22"/>
            </w:rPr>
            <w:t xml:space="preserve">Table of </w:t>
          </w:r>
          <w:r w:rsidR="00403B5E" w:rsidRPr="008E5BD0">
            <w:rPr>
              <w:rFonts w:ascii="Arial" w:hAnsi="Arial" w:cs="Arial"/>
              <w:b/>
              <w:bCs/>
              <w:color w:val="auto"/>
              <w:sz w:val="22"/>
              <w:szCs w:val="22"/>
            </w:rPr>
            <w:t>Contents</w:t>
          </w:r>
        </w:p>
        <w:p w14:paraId="65BEDF6A" w14:textId="266A1065" w:rsidR="008E5BD0" w:rsidRDefault="00403B5E" w:rsidP="008E5BD0">
          <w:pPr>
            <w:pStyle w:val="TOC1"/>
            <w:rPr>
              <w:rFonts w:eastAsiaTheme="minorEastAsia"/>
              <w:noProof/>
              <w:lang w:eastAsia="en-GB"/>
            </w:rPr>
          </w:pPr>
          <w:r w:rsidRPr="008E5BD0">
            <w:rPr>
              <w:rFonts w:ascii="Arial" w:hAnsi="Arial" w:cs="Arial"/>
              <w:sz w:val="22"/>
              <w:szCs w:val="22"/>
            </w:rPr>
            <w:fldChar w:fldCharType="begin"/>
          </w:r>
          <w:r w:rsidRPr="008E5BD0">
            <w:rPr>
              <w:rFonts w:ascii="Arial" w:hAnsi="Arial" w:cs="Arial"/>
              <w:sz w:val="22"/>
              <w:szCs w:val="22"/>
            </w:rPr>
            <w:instrText xml:space="preserve"> TOC \o "1-3" \h \z \u </w:instrText>
          </w:r>
          <w:r w:rsidRPr="008E5BD0">
            <w:rPr>
              <w:rFonts w:ascii="Arial" w:hAnsi="Arial" w:cs="Arial"/>
              <w:sz w:val="22"/>
              <w:szCs w:val="22"/>
            </w:rPr>
            <w:fldChar w:fldCharType="separate"/>
          </w:r>
          <w:hyperlink w:anchor="_Toc201916672" w:history="1">
            <w:r w:rsidR="008E5BD0" w:rsidRPr="002318C9">
              <w:rPr>
                <w:rStyle w:val="Hyperlink"/>
                <w:rFonts w:ascii="Arial" w:hAnsi="Arial" w:cs="Arial"/>
                <w:b/>
                <w:bCs/>
                <w:noProof/>
              </w:rPr>
              <w:t>Executive Summary</w:t>
            </w:r>
            <w:r w:rsidR="008E5BD0">
              <w:rPr>
                <w:noProof/>
                <w:webHidden/>
              </w:rPr>
              <w:tab/>
            </w:r>
            <w:r w:rsidR="008E5BD0">
              <w:rPr>
                <w:noProof/>
                <w:webHidden/>
              </w:rPr>
              <w:fldChar w:fldCharType="begin"/>
            </w:r>
            <w:r w:rsidR="008E5BD0">
              <w:rPr>
                <w:noProof/>
                <w:webHidden/>
              </w:rPr>
              <w:instrText xml:space="preserve"> PAGEREF _Toc201916672 \h </w:instrText>
            </w:r>
            <w:r w:rsidR="008E5BD0">
              <w:rPr>
                <w:noProof/>
                <w:webHidden/>
              </w:rPr>
            </w:r>
            <w:r w:rsidR="008E5BD0">
              <w:rPr>
                <w:noProof/>
                <w:webHidden/>
              </w:rPr>
              <w:fldChar w:fldCharType="separate"/>
            </w:r>
            <w:r w:rsidR="008E5BD0">
              <w:rPr>
                <w:noProof/>
                <w:webHidden/>
              </w:rPr>
              <w:t>3</w:t>
            </w:r>
            <w:r w:rsidR="008E5BD0">
              <w:rPr>
                <w:noProof/>
                <w:webHidden/>
              </w:rPr>
              <w:fldChar w:fldCharType="end"/>
            </w:r>
          </w:hyperlink>
        </w:p>
        <w:p w14:paraId="668DDD9E" w14:textId="7D8ECB57" w:rsidR="008E5BD0" w:rsidRDefault="008E5BD0" w:rsidP="008E5BD0">
          <w:pPr>
            <w:pStyle w:val="TOC1"/>
            <w:rPr>
              <w:rFonts w:eastAsiaTheme="minorEastAsia"/>
              <w:noProof/>
              <w:lang w:eastAsia="en-GB"/>
            </w:rPr>
          </w:pPr>
          <w:hyperlink w:anchor="_Toc201916673" w:history="1">
            <w:r w:rsidRPr="002318C9">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_Toc201916673 \h </w:instrText>
            </w:r>
            <w:r>
              <w:rPr>
                <w:noProof/>
                <w:webHidden/>
              </w:rPr>
            </w:r>
            <w:r>
              <w:rPr>
                <w:noProof/>
                <w:webHidden/>
              </w:rPr>
              <w:fldChar w:fldCharType="separate"/>
            </w:r>
            <w:r>
              <w:rPr>
                <w:noProof/>
                <w:webHidden/>
              </w:rPr>
              <w:t>4</w:t>
            </w:r>
            <w:r>
              <w:rPr>
                <w:noProof/>
                <w:webHidden/>
              </w:rPr>
              <w:fldChar w:fldCharType="end"/>
            </w:r>
          </w:hyperlink>
        </w:p>
        <w:p w14:paraId="6B7BD6C1" w14:textId="47387BD8" w:rsidR="008E5BD0" w:rsidRDefault="008E5BD0" w:rsidP="008E5BD0">
          <w:pPr>
            <w:pStyle w:val="TOC1"/>
            <w:rPr>
              <w:rFonts w:eastAsiaTheme="minorEastAsia"/>
              <w:noProof/>
              <w:lang w:eastAsia="en-GB"/>
            </w:rPr>
          </w:pPr>
          <w:hyperlink w:anchor="_Toc201916674" w:history="1">
            <w:r w:rsidRPr="002318C9">
              <w:rPr>
                <w:rStyle w:val="Hyperlink"/>
                <w:rFonts w:ascii="Arial" w:hAnsi="Arial" w:cs="Arial"/>
                <w:b/>
                <w:bCs/>
                <w:noProof/>
              </w:rPr>
              <w:t>Strategy Analysis</w:t>
            </w:r>
            <w:r>
              <w:rPr>
                <w:noProof/>
                <w:webHidden/>
              </w:rPr>
              <w:tab/>
            </w:r>
            <w:r>
              <w:rPr>
                <w:noProof/>
                <w:webHidden/>
              </w:rPr>
              <w:fldChar w:fldCharType="begin"/>
            </w:r>
            <w:r>
              <w:rPr>
                <w:noProof/>
                <w:webHidden/>
              </w:rPr>
              <w:instrText xml:space="preserve"> PAGEREF _Toc201916674 \h </w:instrText>
            </w:r>
            <w:r>
              <w:rPr>
                <w:noProof/>
                <w:webHidden/>
              </w:rPr>
            </w:r>
            <w:r>
              <w:rPr>
                <w:noProof/>
                <w:webHidden/>
              </w:rPr>
              <w:fldChar w:fldCharType="separate"/>
            </w:r>
            <w:r>
              <w:rPr>
                <w:noProof/>
                <w:webHidden/>
              </w:rPr>
              <w:t>4</w:t>
            </w:r>
            <w:r>
              <w:rPr>
                <w:noProof/>
                <w:webHidden/>
              </w:rPr>
              <w:fldChar w:fldCharType="end"/>
            </w:r>
          </w:hyperlink>
        </w:p>
        <w:p w14:paraId="08EA9A96" w14:textId="11A4CE67" w:rsidR="008E5BD0" w:rsidRDefault="008E5BD0" w:rsidP="008E5BD0">
          <w:pPr>
            <w:pStyle w:val="TOC1"/>
            <w:rPr>
              <w:rFonts w:eastAsiaTheme="minorEastAsia"/>
              <w:noProof/>
              <w:lang w:eastAsia="en-GB"/>
            </w:rPr>
          </w:pPr>
          <w:hyperlink w:anchor="_Toc201916675" w:history="1">
            <w:r w:rsidRPr="002318C9">
              <w:rPr>
                <w:rStyle w:val="Hyperlink"/>
                <w:rFonts w:ascii="Arial" w:hAnsi="Arial" w:cs="Arial"/>
                <w:b/>
                <w:bCs/>
                <w:noProof/>
              </w:rPr>
              <w:t>Strategy Formulation</w:t>
            </w:r>
            <w:r>
              <w:rPr>
                <w:noProof/>
                <w:webHidden/>
              </w:rPr>
              <w:tab/>
            </w:r>
            <w:r>
              <w:rPr>
                <w:noProof/>
                <w:webHidden/>
              </w:rPr>
              <w:fldChar w:fldCharType="begin"/>
            </w:r>
            <w:r>
              <w:rPr>
                <w:noProof/>
                <w:webHidden/>
              </w:rPr>
              <w:instrText xml:space="preserve"> PAGEREF _Toc201916675 \h </w:instrText>
            </w:r>
            <w:r>
              <w:rPr>
                <w:noProof/>
                <w:webHidden/>
              </w:rPr>
            </w:r>
            <w:r>
              <w:rPr>
                <w:noProof/>
                <w:webHidden/>
              </w:rPr>
              <w:fldChar w:fldCharType="separate"/>
            </w:r>
            <w:r>
              <w:rPr>
                <w:noProof/>
                <w:webHidden/>
              </w:rPr>
              <w:t>10</w:t>
            </w:r>
            <w:r>
              <w:rPr>
                <w:noProof/>
                <w:webHidden/>
              </w:rPr>
              <w:fldChar w:fldCharType="end"/>
            </w:r>
          </w:hyperlink>
        </w:p>
        <w:p w14:paraId="2B391255" w14:textId="5C75FDC3" w:rsidR="008E5BD0" w:rsidRDefault="008E5BD0" w:rsidP="008E5BD0">
          <w:pPr>
            <w:pStyle w:val="TOC1"/>
            <w:rPr>
              <w:rFonts w:eastAsiaTheme="minorEastAsia"/>
              <w:noProof/>
              <w:lang w:eastAsia="en-GB"/>
            </w:rPr>
          </w:pPr>
          <w:hyperlink w:anchor="_Toc201916676" w:history="1">
            <w:r w:rsidRPr="002318C9">
              <w:rPr>
                <w:rStyle w:val="Hyperlink"/>
                <w:rFonts w:ascii="Arial" w:hAnsi="Arial" w:cs="Arial"/>
                <w:b/>
                <w:bCs/>
                <w:noProof/>
              </w:rPr>
              <w:t>Conclusion and Recommendation</w:t>
            </w:r>
            <w:r>
              <w:rPr>
                <w:noProof/>
                <w:webHidden/>
              </w:rPr>
              <w:tab/>
            </w:r>
            <w:r>
              <w:rPr>
                <w:noProof/>
                <w:webHidden/>
              </w:rPr>
              <w:fldChar w:fldCharType="begin"/>
            </w:r>
            <w:r>
              <w:rPr>
                <w:noProof/>
                <w:webHidden/>
              </w:rPr>
              <w:instrText xml:space="preserve"> PAGEREF _Toc201916676 \h </w:instrText>
            </w:r>
            <w:r>
              <w:rPr>
                <w:noProof/>
                <w:webHidden/>
              </w:rPr>
            </w:r>
            <w:r>
              <w:rPr>
                <w:noProof/>
                <w:webHidden/>
              </w:rPr>
              <w:fldChar w:fldCharType="separate"/>
            </w:r>
            <w:r>
              <w:rPr>
                <w:noProof/>
                <w:webHidden/>
              </w:rPr>
              <w:t>11</w:t>
            </w:r>
            <w:r>
              <w:rPr>
                <w:noProof/>
                <w:webHidden/>
              </w:rPr>
              <w:fldChar w:fldCharType="end"/>
            </w:r>
          </w:hyperlink>
        </w:p>
        <w:p w14:paraId="4781164E" w14:textId="343F5D91" w:rsidR="008E5BD0" w:rsidRDefault="008E5BD0" w:rsidP="008E5BD0">
          <w:pPr>
            <w:pStyle w:val="TOC1"/>
            <w:rPr>
              <w:rFonts w:eastAsiaTheme="minorEastAsia"/>
              <w:noProof/>
              <w:lang w:eastAsia="en-GB"/>
            </w:rPr>
          </w:pPr>
          <w:hyperlink w:anchor="_Toc201916677" w:history="1">
            <w:r w:rsidRPr="002318C9">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_Toc201916677 \h </w:instrText>
            </w:r>
            <w:r>
              <w:rPr>
                <w:noProof/>
                <w:webHidden/>
              </w:rPr>
            </w:r>
            <w:r>
              <w:rPr>
                <w:noProof/>
                <w:webHidden/>
              </w:rPr>
              <w:fldChar w:fldCharType="separate"/>
            </w:r>
            <w:r>
              <w:rPr>
                <w:noProof/>
                <w:webHidden/>
              </w:rPr>
              <w:t>12</w:t>
            </w:r>
            <w:r>
              <w:rPr>
                <w:noProof/>
                <w:webHidden/>
              </w:rPr>
              <w:fldChar w:fldCharType="end"/>
            </w:r>
          </w:hyperlink>
        </w:p>
        <w:p w14:paraId="12D4784A" w14:textId="3E41767E" w:rsidR="00403B5E" w:rsidRPr="008E5BD0" w:rsidRDefault="00403B5E" w:rsidP="008E5BD0">
          <w:pPr>
            <w:spacing w:line="360" w:lineRule="auto"/>
            <w:rPr>
              <w:rFonts w:ascii="Arial" w:hAnsi="Arial" w:cs="Arial"/>
              <w:sz w:val="22"/>
              <w:szCs w:val="22"/>
            </w:rPr>
          </w:pPr>
          <w:r w:rsidRPr="008E5BD0">
            <w:rPr>
              <w:rFonts w:ascii="Arial" w:hAnsi="Arial" w:cs="Arial"/>
              <w:b/>
              <w:bCs/>
              <w:noProof/>
              <w:sz w:val="22"/>
              <w:szCs w:val="22"/>
            </w:rPr>
            <w:fldChar w:fldCharType="end"/>
          </w:r>
        </w:p>
      </w:sdtContent>
    </w:sdt>
    <w:p w14:paraId="74252656" w14:textId="77777777" w:rsidR="00403B5E" w:rsidRPr="008E5BD0" w:rsidRDefault="00403B5E" w:rsidP="008E5BD0">
      <w:pPr>
        <w:spacing w:line="360" w:lineRule="auto"/>
        <w:rPr>
          <w:rFonts w:ascii="Arial" w:hAnsi="Arial" w:cs="Arial"/>
          <w:b/>
          <w:bCs/>
          <w:sz w:val="22"/>
          <w:szCs w:val="22"/>
        </w:rPr>
      </w:pPr>
    </w:p>
    <w:p w14:paraId="43B5310F" w14:textId="77777777" w:rsidR="00403B5E" w:rsidRPr="008E5BD0" w:rsidRDefault="00403B5E" w:rsidP="008E5BD0">
      <w:pPr>
        <w:spacing w:line="360" w:lineRule="auto"/>
        <w:rPr>
          <w:rFonts w:ascii="Arial" w:hAnsi="Arial" w:cs="Arial"/>
          <w:b/>
          <w:bCs/>
          <w:sz w:val="22"/>
          <w:szCs w:val="22"/>
        </w:rPr>
      </w:pPr>
    </w:p>
    <w:p w14:paraId="2861B196" w14:textId="77777777" w:rsidR="00403B5E" w:rsidRPr="008E5BD0" w:rsidRDefault="00403B5E" w:rsidP="008E5BD0">
      <w:pPr>
        <w:spacing w:line="360" w:lineRule="auto"/>
        <w:rPr>
          <w:rFonts w:ascii="Arial" w:hAnsi="Arial" w:cs="Arial"/>
          <w:b/>
          <w:bCs/>
          <w:sz w:val="22"/>
          <w:szCs w:val="22"/>
        </w:rPr>
      </w:pPr>
    </w:p>
    <w:p w14:paraId="158F10AC" w14:textId="77777777" w:rsidR="00403B5E" w:rsidRPr="008E5BD0" w:rsidRDefault="00403B5E" w:rsidP="008E5BD0">
      <w:pPr>
        <w:spacing w:line="360" w:lineRule="auto"/>
        <w:rPr>
          <w:rFonts w:ascii="Arial" w:hAnsi="Arial" w:cs="Arial"/>
          <w:b/>
          <w:bCs/>
          <w:sz w:val="22"/>
          <w:szCs w:val="22"/>
        </w:rPr>
      </w:pPr>
    </w:p>
    <w:p w14:paraId="2939E011" w14:textId="77777777" w:rsidR="00403B5E" w:rsidRPr="008E5BD0" w:rsidRDefault="00403B5E" w:rsidP="008E5BD0">
      <w:pPr>
        <w:spacing w:line="360" w:lineRule="auto"/>
        <w:rPr>
          <w:rFonts w:ascii="Arial" w:hAnsi="Arial" w:cs="Arial"/>
          <w:b/>
          <w:bCs/>
          <w:sz w:val="22"/>
          <w:szCs w:val="22"/>
        </w:rPr>
      </w:pPr>
    </w:p>
    <w:p w14:paraId="717ABA8B" w14:textId="77777777" w:rsidR="00403B5E" w:rsidRPr="008E5BD0" w:rsidRDefault="00403B5E" w:rsidP="008E5BD0">
      <w:pPr>
        <w:spacing w:line="360" w:lineRule="auto"/>
        <w:rPr>
          <w:rFonts w:ascii="Arial" w:hAnsi="Arial" w:cs="Arial"/>
          <w:b/>
          <w:bCs/>
          <w:sz w:val="22"/>
          <w:szCs w:val="22"/>
        </w:rPr>
      </w:pPr>
    </w:p>
    <w:p w14:paraId="7791C798" w14:textId="77777777" w:rsidR="00403B5E" w:rsidRPr="008E5BD0" w:rsidRDefault="00403B5E" w:rsidP="008E5BD0">
      <w:pPr>
        <w:spacing w:line="360" w:lineRule="auto"/>
        <w:rPr>
          <w:rFonts w:ascii="Arial" w:hAnsi="Arial" w:cs="Arial"/>
          <w:b/>
          <w:bCs/>
          <w:sz w:val="22"/>
          <w:szCs w:val="22"/>
        </w:rPr>
      </w:pPr>
    </w:p>
    <w:p w14:paraId="410F2AAB" w14:textId="77777777" w:rsidR="00403B5E" w:rsidRPr="008E5BD0" w:rsidRDefault="00403B5E" w:rsidP="008E5BD0">
      <w:pPr>
        <w:spacing w:line="360" w:lineRule="auto"/>
        <w:rPr>
          <w:rFonts w:ascii="Arial" w:hAnsi="Arial" w:cs="Arial"/>
          <w:b/>
          <w:bCs/>
          <w:sz w:val="22"/>
          <w:szCs w:val="22"/>
        </w:rPr>
      </w:pPr>
    </w:p>
    <w:p w14:paraId="4B36BC19" w14:textId="77777777" w:rsidR="00403B5E" w:rsidRPr="008E5BD0" w:rsidRDefault="00403B5E" w:rsidP="008E5BD0">
      <w:pPr>
        <w:spacing w:line="360" w:lineRule="auto"/>
        <w:rPr>
          <w:rFonts w:ascii="Arial" w:hAnsi="Arial" w:cs="Arial"/>
          <w:b/>
          <w:bCs/>
          <w:sz w:val="22"/>
          <w:szCs w:val="22"/>
        </w:rPr>
      </w:pPr>
    </w:p>
    <w:p w14:paraId="23BAAA52" w14:textId="77777777" w:rsidR="00403B5E" w:rsidRPr="008E5BD0" w:rsidRDefault="00403B5E" w:rsidP="008E5BD0">
      <w:pPr>
        <w:spacing w:line="360" w:lineRule="auto"/>
        <w:rPr>
          <w:rFonts w:ascii="Arial" w:hAnsi="Arial" w:cs="Arial"/>
          <w:b/>
          <w:bCs/>
          <w:sz w:val="22"/>
          <w:szCs w:val="22"/>
        </w:rPr>
      </w:pPr>
    </w:p>
    <w:p w14:paraId="5CA4DB8B" w14:textId="77777777" w:rsidR="00403B5E" w:rsidRPr="008E5BD0" w:rsidRDefault="00403B5E" w:rsidP="008E5BD0">
      <w:pPr>
        <w:spacing w:line="360" w:lineRule="auto"/>
        <w:rPr>
          <w:rFonts w:ascii="Arial" w:hAnsi="Arial" w:cs="Arial"/>
          <w:b/>
          <w:bCs/>
          <w:sz w:val="22"/>
          <w:szCs w:val="22"/>
        </w:rPr>
      </w:pPr>
    </w:p>
    <w:p w14:paraId="5305E756" w14:textId="77777777" w:rsidR="00403B5E" w:rsidRPr="008E5BD0" w:rsidRDefault="00403B5E" w:rsidP="008E5BD0">
      <w:pPr>
        <w:spacing w:line="360" w:lineRule="auto"/>
        <w:rPr>
          <w:rFonts w:ascii="Arial" w:hAnsi="Arial" w:cs="Arial"/>
          <w:b/>
          <w:bCs/>
          <w:sz w:val="22"/>
          <w:szCs w:val="22"/>
        </w:rPr>
      </w:pPr>
    </w:p>
    <w:p w14:paraId="2D6AD3D9" w14:textId="77777777" w:rsidR="00403B5E" w:rsidRPr="000B1D0D" w:rsidRDefault="00403B5E" w:rsidP="000B1D0D">
      <w:pPr>
        <w:spacing w:line="360" w:lineRule="auto"/>
        <w:rPr>
          <w:rFonts w:ascii="Arial" w:hAnsi="Arial" w:cs="Arial"/>
          <w:b/>
          <w:bCs/>
          <w:sz w:val="22"/>
          <w:szCs w:val="22"/>
        </w:rPr>
      </w:pPr>
    </w:p>
    <w:p w14:paraId="487240F1" w14:textId="1CAB1D89" w:rsidR="00403B5E" w:rsidRPr="000B1D0D" w:rsidRDefault="00403B5E" w:rsidP="000B1D0D">
      <w:pPr>
        <w:pStyle w:val="Heading1"/>
        <w:spacing w:line="360" w:lineRule="auto"/>
        <w:rPr>
          <w:rFonts w:ascii="Arial" w:hAnsi="Arial" w:cs="Arial"/>
          <w:b/>
          <w:bCs/>
          <w:color w:val="auto"/>
          <w:sz w:val="22"/>
          <w:szCs w:val="22"/>
        </w:rPr>
      </w:pPr>
      <w:bookmarkStart w:id="2" w:name="_Toc201916672"/>
      <w:r w:rsidRPr="000B1D0D">
        <w:rPr>
          <w:rFonts w:ascii="Arial" w:hAnsi="Arial" w:cs="Arial"/>
          <w:b/>
          <w:bCs/>
          <w:color w:val="auto"/>
          <w:sz w:val="22"/>
          <w:szCs w:val="22"/>
        </w:rPr>
        <w:lastRenderedPageBreak/>
        <w:t>Executive Summary</w:t>
      </w:r>
      <w:bookmarkEnd w:id="1"/>
      <w:bookmarkEnd w:id="2"/>
    </w:p>
    <w:p w14:paraId="6232348A" w14:textId="77777777" w:rsidR="00403B5E" w:rsidRPr="000B1D0D" w:rsidRDefault="00403B5E" w:rsidP="000B1D0D">
      <w:pPr>
        <w:spacing w:line="360" w:lineRule="auto"/>
        <w:rPr>
          <w:rFonts w:ascii="Arial" w:hAnsi="Arial" w:cs="Arial"/>
          <w:sz w:val="22"/>
          <w:szCs w:val="22"/>
        </w:rPr>
      </w:pPr>
      <w:r w:rsidRPr="000B1D0D">
        <w:rPr>
          <w:rFonts w:ascii="Arial" w:hAnsi="Arial" w:cs="Arial"/>
          <w:sz w:val="22"/>
          <w:szCs w:val="22"/>
        </w:rPr>
        <w:t xml:space="preserve">The report presents the strategic analysis of Jaguar Land Rover Automotive PLC through various models of strategic management. The analysis of the company’s strategic influence will be through PESTEL analysis, Porter’s Five Forces, and VRIO. The analysis revealed that competitive rivalry in the UK's automotive industry is very high making it critical for Jaguar Land Rover to develop sustainable competitiveness. The VRIO model also identified advanced car technology, high-quality designs, and strong brand reputation and identity as the company's unique resources and capabilities that it can use to acquire a competitive edge in the market. Therefore, the company should focus on product customisation, electric car development and training of more technical teams to provide affordable maintenance services to its customers, which will help the company's market position and sustainable growth. </w:t>
      </w:r>
    </w:p>
    <w:p w14:paraId="2F5C25C7" w14:textId="77777777" w:rsidR="00403B5E" w:rsidRPr="000B1D0D" w:rsidRDefault="00403B5E" w:rsidP="000B1D0D">
      <w:pPr>
        <w:spacing w:line="360" w:lineRule="auto"/>
        <w:rPr>
          <w:rFonts w:ascii="Arial" w:hAnsi="Arial" w:cs="Arial"/>
          <w:b/>
          <w:bCs/>
          <w:sz w:val="22"/>
          <w:szCs w:val="22"/>
        </w:rPr>
      </w:pPr>
    </w:p>
    <w:p w14:paraId="4D333924" w14:textId="77777777" w:rsidR="00403B5E" w:rsidRPr="000B1D0D" w:rsidRDefault="00403B5E" w:rsidP="000B1D0D">
      <w:pPr>
        <w:spacing w:line="360" w:lineRule="auto"/>
        <w:rPr>
          <w:rFonts w:ascii="Arial" w:hAnsi="Arial" w:cs="Arial"/>
          <w:b/>
          <w:bCs/>
          <w:sz w:val="22"/>
          <w:szCs w:val="22"/>
        </w:rPr>
      </w:pPr>
    </w:p>
    <w:p w14:paraId="1C2EA616" w14:textId="77777777" w:rsidR="00403B5E" w:rsidRPr="000B1D0D" w:rsidRDefault="00403B5E" w:rsidP="000B1D0D">
      <w:pPr>
        <w:spacing w:line="360" w:lineRule="auto"/>
        <w:rPr>
          <w:rFonts w:ascii="Arial" w:hAnsi="Arial" w:cs="Arial"/>
          <w:b/>
          <w:bCs/>
          <w:sz w:val="22"/>
          <w:szCs w:val="22"/>
        </w:rPr>
      </w:pPr>
    </w:p>
    <w:p w14:paraId="3F15B6CE" w14:textId="77777777" w:rsidR="00403B5E" w:rsidRPr="000B1D0D" w:rsidRDefault="00403B5E" w:rsidP="000B1D0D">
      <w:pPr>
        <w:spacing w:line="360" w:lineRule="auto"/>
        <w:rPr>
          <w:rFonts w:ascii="Arial" w:hAnsi="Arial" w:cs="Arial"/>
          <w:b/>
          <w:bCs/>
          <w:sz w:val="22"/>
          <w:szCs w:val="22"/>
        </w:rPr>
      </w:pPr>
    </w:p>
    <w:p w14:paraId="4E41795C" w14:textId="77777777" w:rsidR="00403B5E" w:rsidRPr="000B1D0D" w:rsidRDefault="00403B5E" w:rsidP="000B1D0D">
      <w:pPr>
        <w:spacing w:line="360" w:lineRule="auto"/>
        <w:rPr>
          <w:rFonts w:ascii="Arial" w:hAnsi="Arial" w:cs="Arial"/>
          <w:b/>
          <w:bCs/>
          <w:sz w:val="22"/>
          <w:szCs w:val="22"/>
        </w:rPr>
      </w:pPr>
    </w:p>
    <w:p w14:paraId="765FB7C2" w14:textId="77777777" w:rsidR="00403B5E" w:rsidRPr="000B1D0D" w:rsidRDefault="00403B5E" w:rsidP="000B1D0D">
      <w:pPr>
        <w:spacing w:line="360" w:lineRule="auto"/>
        <w:rPr>
          <w:rFonts w:ascii="Arial" w:hAnsi="Arial" w:cs="Arial"/>
          <w:b/>
          <w:bCs/>
          <w:sz w:val="22"/>
          <w:szCs w:val="22"/>
        </w:rPr>
      </w:pPr>
    </w:p>
    <w:p w14:paraId="5CF57707" w14:textId="77777777" w:rsidR="00403B5E" w:rsidRPr="000B1D0D" w:rsidRDefault="00403B5E" w:rsidP="000B1D0D">
      <w:pPr>
        <w:spacing w:line="360" w:lineRule="auto"/>
        <w:rPr>
          <w:rFonts w:ascii="Arial" w:hAnsi="Arial" w:cs="Arial"/>
          <w:b/>
          <w:bCs/>
          <w:sz w:val="22"/>
          <w:szCs w:val="22"/>
        </w:rPr>
      </w:pPr>
    </w:p>
    <w:p w14:paraId="7F938ABE" w14:textId="77777777" w:rsidR="00403B5E" w:rsidRPr="000B1D0D" w:rsidRDefault="00403B5E" w:rsidP="000B1D0D">
      <w:pPr>
        <w:spacing w:line="360" w:lineRule="auto"/>
        <w:rPr>
          <w:rFonts w:ascii="Arial" w:hAnsi="Arial" w:cs="Arial"/>
          <w:b/>
          <w:bCs/>
          <w:sz w:val="22"/>
          <w:szCs w:val="22"/>
        </w:rPr>
      </w:pPr>
    </w:p>
    <w:p w14:paraId="2D7FC122" w14:textId="77777777" w:rsidR="00403B5E" w:rsidRPr="000B1D0D" w:rsidRDefault="00403B5E" w:rsidP="000B1D0D">
      <w:pPr>
        <w:spacing w:line="360" w:lineRule="auto"/>
        <w:rPr>
          <w:rFonts w:ascii="Arial" w:hAnsi="Arial" w:cs="Arial"/>
          <w:b/>
          <w:bCs/>
          <w:sz w:val="22"/>
          <w:szCs w:val="22"/>
        </w:rPr>
      </w:pPr>
    </w:p>
    <w:p w14:paraId="23004B9B" w14:textId="77777777" w:rsidR="00403B5E" w:rsidRPr="000B1D0D" w:rsidRDefault="00403B5E" w:rsidP="000B1D0D">
      <w:pPr>
        <w:spacing w:line="360" w:lineRule="auto"/>
        <w:rPr>
          <w:rFonts w:ascii="Arial" w:hAnsi="Arial" w:cs="Arial"/>
          <w:b/>
          <w:bCs/>
          <w:sz w:val="22"/>
          <w:szCs w:val="22"/>
        </w:rPr>
      </w:pPr>
    </w:p>
    <w:p w14:paraId="773327D5" w14:textId="77777777" w:rsidR="00403B5E" w:rsidRPr="000B1D0D" w:rsidRDefault="00403B5E" w:rsidP="000B1D0D">
      <w:pPr>
        <w:spacing w:line="360" w:lineRule="auto"/>
        <w:rPr>
          <w:rFonts w:ascii="Arial" w:hAnsi="Arial" w:cs="Arial"/>
          <w:b/>
          <w:bCs/>
          <w:sz w:val="22"/>
          <w:szCs w:val="22"/>
        </w:rPr>
      </w:pPr>
    </w:p>
    <w:p w14:paraId="15B06D78" w14:textId="77777777" w:rsidR="00403B5E" w:rsidRPr="000B1D0D" w:rsidRDefault="00403B5E" w:rsidP="000B1D0D">
      <w:pPr>
        <w:spacing w:line="360" w:lineRule="auto"/>
        <w:rPr>
          <w:rFonts w:ascii="Arial" w:hAnsi="Arial" w:cs="Arial"/>
          <w:b/>
          <w:bCs/>
          <w:sz w:val="22"/>
          <w:szCs w:val="22"/>
        </w:rPr>
      </w:pPr>
    </w:p>
    <w:p w14:paraId="1D3962B5" w14:textId="77777777" w:rsidR="00403B5E" w:rsidRPr="000B1D0D" w:rsidRDefault="00403B5E" w:rsidP="000B1D0D">
      <w:pPr>
        <w:spacing w:line="360" w:lineRule="auto"/>
        <w:rPr>
          <w:rFonts w:ascii="Arial" w:hAnsi="Arial" w:cs="Arial"/>
          <w:b/>
          <w:bCs/>
          <w:sz w:val="22"/>
          <w:szCs w:val="22"/>
        </w:rPr>
      </w:pPr>
    </w:p>
    <w:p w14:paraId="522890EF" w14:textId="77777777" w:rsidR="00403B5E" w:rsidRPr="000B1D0D" w:rsidRDefault="00403B5E" w:rsidP="000B1D0D">
      <w:pPr>
        <w:spacing w:line="360" w:lineRule="auto"/>
        <w:rPr>
          <w:rFonts w:ascii="Arial" w:hAnsi="Arial" w:cs="Arial"/>
          <w:b/>
          <w:bCs/>
          <w:sz w:val="22"/>
          <w:szCs w:val="22"/>
        </w:rPr>
      </w:pPr>
    </w:p>
    <w:p w14:paraId="18DA41B3" w14:textId="77777777" w:rsidR="00403B5E" w:rsidRPr="000B1D0D" w:rsidRDefault="00403B5E" w:rsidP="000B1D0D">
      <w:pPr>
        <w:spacing w:line="360" w:lineRule="auto"/>
        <w:rPr>
          <w:rFonts w:ascii="Arial" w:hAnsi="Arial" w:cs="Arial"/>
          <w:b/>
          <w:bCs/>
          <w:sz w:val="22"/>
          <w:szCs w:val="22"/>
        </w:rPr>
      </w:pPr>
    </w:p>
    <w:p w14:paraId="7DCD7A19" w14:textId="77777777" w:rsidR="00403B5E" w:rsidRPr="000B1D0D" w:rsidRDefault="00403B5E" w:rsidP="000B1D0D">
      <w:pPr>
        <w:spacing w:line="360" w:lineRule="auto"/>
        <w:rPr>
          <w:rFonts w:ascii="Arial" w:hAnsi="Arial" w:cs="Arial"/>
          <w:b/>
          <w:bCs/>
          <w:sz w:val="22"/>
          <w:szCs w:val="22"/>
        </w:rPr>
      </w:pPr>
    </w:p>
    <w:p w14:paraId="44CB8846" w14:textId="6E785CDE" w:rsidR="00403B5E" w:rsidRPr="000B1D0D" w:rsidRDefault="00403B5E" w:rsidP="000B1D0D">
      <w:pPr>
        <w:pStyle w:val="Heading1"/>
        <w:spacing w:line="360" w:lineRule="auto"/>
        <w:rPr>
          <w:rFonts w:ascii="Arial" w:hAnsi="Arial" w:cs="Arial"/>
          <w:b/>
          <w:bCs/>
          <w:color w:val="auto"/>
          <w:sz w:val="22"/>
          <w:szCs w:val="22"/>
        </w:rPr>
      </w:pPr>
      <w:bookmarkStart w:id="3" w:name="_Toc201916673"/>
      <w:r w:rsidRPr="000B1D0D">
        <w:rPr>
          <w:rFonts w:ascii="Arial" w:hAnsi="Arial" w:cs="Arial"/>
          <w:b/>
          <w:bCs/>
          <w:color w:val="auto"/>
          <w:sz w:val="22"/>
          <w:szCs w:val="22"/>
        </w:rPr>
        <w:lastRenderedPageBreak/>
        <w:t>Introduction</w:t>
      </w:r>
      <w:bookmarkEnd w:id="0"/>
      <w:bookmarkEnd w:id="3"/>
    </w:p>
    <w:p w14:paraId="4F37C32A" w14:textId="646CAE65" w:rsidR="00403B5E" w:rsidRPr="000B1D0D" w:rsidRDefault="00403B5E" w:rsidP="000B1D0D">
      <w:pPr>
        <w:spacing w:line="360" w:lineRule="auto"/>
        <w:rPr>
          <w:rFonts w:ascii="Arial" w:hAnsi="Arial" w:cs="Arial"/>
          <w:iCs/>
          <w:sz w:val="22"/>
          <w:szCs w:val="22"/>
        </w:rPr>
      </w:pPr>
      <w:r w:rsidRPr="000B1D0D">
        <w:rPr>
          <w:rFonts w:ascii="Arial" w:hAnsi="Arial" w:cs="Arial"/>
          <w:sz w:val="22"/>
          <w:szCs w:val="22"/>
        </w:rPr>
        <w:t xml:space="preserve">The report outlines the benefits of strategic influences and proposes forward-looking strategies for Jaguar Land Rover. According to Henry (2021), strategic management refers “to the process of undertaking strategy”. The managerial decisions and actions associated with strategic management range from environmental scanning to strategy evaluation and control. Organisations depend on strategic management to monitor and evaluate their external environments to identify opportunities and threats, while paying a special attention to its strengths and weaknesses to ensure development and implementation of adequate strategic directions. </w:t>
      </w:r>
      <w:r w:rsidRPr="000B1D0D">
        <w:rPr>
          <w:rFonts w:ascii="Arial" w:hAnsi="Arial" w:cs="Arial"/>
          <w:iCs/>
          <w:sz w:val="22"/>
          <w:szCs w:val="22"/>
        </w:rPr>
        <w:t xml:space="preserve">Hunger (2011) further indicates organisations depend on strategic management to formulate strategies to address various challenges, facing their operations. </w:t>
      </w:r>
    </w:p>
    <w:p w14:paraId="29470504" w14:textId="629836C5" w:rsidR="00403B5E" w:rsidRPr="000B1D0D" w:rsidRDefault="00403B5E" w:rsidP="000B1D0D">
      <w:pPr>
        <w:spacing w:line="360" w:lineRule="auto"/>
        <w:rPr>
          <w:rFonts w:ascii="Arial" w:hAnsi="Arial" w:cs="Arial"/>
          <w:iCs/>
          <w:sz w:val="22"/>
          <w:szCs w:val="22"/>
        </w:rPr>
      </w:pPr>
      <w:r w:rsidRPr="000B1D0D">
        <w:rPr>
          <w:rFonts w:ascii="Arial" w:hAnsi="Arial" w:cs="Arial"/>
          <w:iCs/>
          <w:sz w:val="22"/>
          <w:szCs w:val="22"/>
        </w:rPr>
        <w:t xml:space="preserve">Jaguar Land Rover Automotive PLC is currently the UK’s largest automakers formed through a merge of Jaguar and Land Rover in 2013. It currently operates as a subsidiary of Tata Motors, following the acquisition of the two iconic British car brands in 2008. According to </w:t>
      </w:r>
      <w:r w:rsidRPr="000B1D0D">
        <w:rPr>
          <w:rFonts w:ascii="Arial" w:hAnsi="Arial" w:cs="Arial"/>
          <w:bCs/>
          <w:sz w:val="22"/>
          <w:szCs w:val="22"/>
        </w:rPr>
        <w:t xml:space="preserve">JLR Apprenticeships (2025), </w:t>
      </w:r>
      <w:r w:rsidRPr="000B1D0D">
        <w:rPr>
          <w:rFonts w:ascii="Arial" w:hAnsi="Arial" w:cs="Arial"/>
          <w:iCs/>
          <w:sz w:val="22"/>
          <w:szCs w:val="22"/>
        </w:rPr>
        <w:t xml:space="preserve">Jaguar is among the world’s leading premier luxury sports salon cars and sports car marques, while Land Rover a top global manufacturer of luxury all-wheel-drive vehicles. Therefore, the company’s main brands, following the merger include Range Rover, Defender, Discovery, and Jaguar. Jaguar Cars. The company’s manufacturing is mainly centred in the UK; however, it has additional manufacturing plants in China, Brazil and India. </w:t>
      </w:r>
    </w:p>
    <w:p w14:paraId="24982D5E" w14:textId="0A597289" w:rsidR="00403B5E" w:rsidRPr="000B1D0D" w:rsidRDefault="00403B5E" w:rsidP="000B1D0D">
      <w:pPr>
        <w:spacing w:line="360" w:lineRule="auto"/>
        <w:rPr>
          <w:rFonts w:ascii="Arial" w:hAnsi="Arial" w:cs="Arial"/>
          <w:sz w:val="22"/>
          <w:szCs w:val="22"/>
        </w:rPr>
      </w:pPr>
      <w:r w:rsidRPr="000B1D0D">
        <w:rPr>
          <w:rFonts w:ascii="Arial" w:hAnsi="Arial" w:cs="Arial"/>
          <w:iCs/>
          <w:sz w:val="22"/>
          <w:szCs w:val="22"/>
        </w:rPr>
        <w:t>The company’s mission is “to deliver more great products, faster than they have ever done before, to be the leader in the field of environmental innovation, and to ensure that its customers always come first, while its vision is to be proud creators of the most desirable brands, for most discerning of clients” (</w:t>
      </w:r>
      <w:r w:rsidRPr="000B1D0D">
        <w:rPr>
          <w:rFonts w:ascii="Arial" w:hAnsi="Arial" w:cs="Arial"/>
          <w:bCs/>
          <w:sz w:val="22"/>
          <w:szCs w:val="22"/>
        </w:rPr>
        <w:t xml:space="preserve">JLR Apprenticeships, 2025). On the other hand, Jaguar Land Rover’s objective is “to become an agile creator of the world's most desirable luxury vehicles and services for the most discerning customers worldwide” (Jaguar Land Rover, 2025). </w:t>
      </w:r>
    </w:p>
    <w:p w14:paraId="7D112A7D" w14:textId="77777777" w:rsidR="00403B5E" w:rsidRPr="000B1D0D" w:rsidRDefault="00403B5E" w:rsidP="000B1D0D">
      <w:pPr>
        <w:pStyle w:val="Heading1"/>
        <w:spacing w:line="360" w:lineRule="auto"/>
        <w:rPr>
          <w:rFonts w:ascii="Arial" w:hAnsi="Arial" w:cs="Arial"/>
          <w:b/>
          <w:bCs/>
          <w:color w:val="auto"/>
          <w:sz w:val="22"/>
          <w:szCs w:val="22"/>
        </w:rPr>
      </w:pPr>
      <w:bookmarkStart w:id="4" w:name="_Toc199364272"/>
      <w:bookmarkStart w:id="5" w:name="_Toc201916674"/>
      <w:r w:rsidRPr="000B1D0D">
        <w:rPr>
          <w:rFonts w:ascii="Arial" w:hAnsi="Arial" w:cs="Arial"/>
          <w:b/>
          <w:bCs/>
          <w:color w:val="auto"/>
          <w:sz w:val="22"/>
          <w:szCs w:val="22"/>
        </w:rPr>
        <w:t>Strategy Analysis</w:t>
      </w:r>
      <w:bookmarkEnd w:id="4"/>
      <w:bookmarkEnd w:id="5"/>
    </w:p>
    <w:p w14:paraId="1697F838" w14:textId="63D8A26E" w:rsidR="00403B5E" w:rsidRPr="000B1D0D" w:rsidRDefault="00403B5E" w:rsidP="000B1D0D">
      <w:pPr>
        <w:spacing w:line="360" w:lineRule="auto"/>
        <w:rPr>
          <w:rFonts w:ascii="Arial" w:hAnsi="Arial" w:cs="Arial"/>
          <w:sz w:val="22"/>
          <w:szCs w:val="22"/>
        </w:rPr>
      </w:pPr>
      <w:r w:rsidRPr="000B1D0D">
        <w:rPr>
          <w:rFonts w:ascii="Arial" w:hAnsi="Arial" w:cs="Arial"/>
          <w:sz w:val="22"/>
          <w:szCs w:val="22"/>
        </w:rPr>
        <w:t xml:space="preserve">Strategy analysis is a critical aspect of strategic management, which allows managers to evaluate how well the company is positioned to exploit opportunities while mitigating threats (Henry, 2021). Strategy describes an organisation’s long-term direction for service and product creation, making it critical for successful performance in the current fast-paced business environment. Therefore, strategy analysis involves analysis of a company’s macro-environment and the industry in which it operates to help it acquire unique resources needed to meet the changing market demands. Jaguar Land Rover Automotive PLC operates in the </w:t>
      </w:r>
      <w:r w:rsidRPr="000B1D0D">
        <w:rPr>
          <w:rFonts w:ascii="Arial" w:hAnsi="Arial" w:cs="Arial"/>
          <w:sz w:val="22"/>
          <w:szCs w:val="22"/>
        </w:rPr>
        <w:lastRenderedPageBreak/>
        <w:t>global automotive sector, which is characterised by continuous technological transformations due to shifts towards electric vehicles, increased environmental regulations, and changing consumer behaviour. This section, therefore, highlights the Jaguar Land Rover’s external environment audit, internal environment audit and SWOT analysis to assess existing challenges and opportunities.</w:t>
      </w:r>
    </w:p>
    <w:p w14:paraId="5F1A4B18" w14:textId="77777777" w:rsidR="00403B5E" w:rsidRPr="000B1D0D" w:rsidRDefault="00403B5E" w:rsidP="000B1D0D">
      <w:pPr>
        <w:pStyle w:val="Subtitle"/>
        <w:spacing w:line="360" w:lineRule="auto"/>
        <w:rPr>
          <w:rFonts w:ascii="Arial" w:hAnsi="Arial" w:cs="Arial"/>
          <w:b/>
          <w:bCs/>
          <w:color w:val="auto"/>
          <w:sz w:val="22"/>
          <w:szCs w:val="22"/>
        </w:rPr>
      </w:pPr>
      <w:bookmarkStart w:id="6" w:name="_Toc199364273"/>
      <w:r w:rsidRPr="000B1D0D">
        <w:rPr>
          <w:rFonts w:ascii="Arial" w:hAnsi="Arial" w:cs="Arial"/>
          <w:b/>
          <w:bCs/>
          <w:color w:val="auto"/>
          <w:sz w:val="22"/>
          <w:szCs w:val="22"/>
        </w:rPr>
        <w:t>External Environmental Audit</w:t>
      </w:r>
      <w:bookmarkEnd w:id="6"/>
    </w:p>
    <w:p w14:paraId="0EBFADE4" w14:textId="775F28EF" w:rsidR="00403B5E" w:rsidRPr="000B1D0D" w:rsidRDefault="00403B5E" w:rsidP="000B1D0D">
      <w:pPr>
        <w:spacing w:line="360" w:lineRule="auto"/>
        <w:rPr>
          <w:rFonts w:ascii="Arial" w:hAnsi="Arial" w:cs="Arial"/>
          <w:sz w:val="22"/>
          <w:szCs w:val="22"/>
        </w:rPr>
      </w:pPr>
      <w:r w:rsidRPr="000B1D0D">
        <w:rPr>
          <w:rFonts w:ascii="Arial" w:hAnsi="Arial" w:cs="Arial"/>
          <w:sz w:val="22"/>
          <w:szCs w:val="22"/>
        </w:rPr>
        <w:t xml:space="preserve">External environmental audit allows organisations to examine environments in which they operate to acquire information on the nature of competition and attractiveness for investment. Moreover, auditing an organisation’s external environment helps managers to identify existing opportunities and threats, and determine the attractiveness of the industry for investment. Adeniran and Awe (2025) argue that an audit of an organisation's external environment involves the assessment of political, economic, sociocultural, technological, environmental and legal factors surrounding its operations. The company’s external environmental audit will be through PESTEL and Porter’s Five Forces analyses. </w:t>
      </w:r>
    </w:p>
    <w:p w14:paraId="6A7EB2F5" w14:textId="77777777" w:rsidR="00403B5E" w:rsidRPr="000B1D0D" w:rsidRDefault="00403B5E" w:rsidP="000B1D0D">
      <w:pPr>
        <w:pStyle w:val="Subtitle"/>
        <w:spacing w:line="360" w:lineRule="auto"/>
        <w:rPr>
          <w:rFonts w:ascii="Arial" w:hAnsi="Arial" w:cs="Arial"/>
          <w:b/>
          <w:bCs/>
          <w:color w:val="auto"/>
          <w:sz w:val="22"/>
          <w:szCs w:val="22"/>
        </w:rPr>
      </w:pPr>
      <w:bookmarkStart w:id="7" w:name="_Toc199364274"/>
      <w:r w:rsidRPr="000B1D0D">
        <w:rPr>
          <w:rFonts w:ascii="Arial" w:hAnsi="Arial" w:cs="Arial"/>
          <w:b/>
          <w:bCs/>
          <w:color w:val="auto"/>
          <w:sz w:val="22"/>
          <w:szCs w:val="22"/>
        </w:rPr>
        <w:t>PESTEL Analysis:</w:t>
      </w:r>
      <w:bookmarkEnd w:id="7"/>
    </w:p>
    <w:p w14:paraId="19A44483" w14:textId="67670CB3" w:rsidR="00403B5E" w:rsidRPr="000B1D0D" w:rsidRDefault="00403B5E" w:rsidP="000B1D0D">
      <w:pPr>
        <w:spacing w:line="360" w:lineRule="auto"/>
        <w:rPr>
          <w:rFonts w:ascii="Arial" w:hAnsi="Arial" w:cs="Arial"/>
          <w:sz w:val="22"/>
          <w:szCs w:val="22"/>
        </w:rPr>
      </w:pPr>
      <w:r w:rsidRPr="000B1D0D">
        <w:rPr>
          <w:rFonts w:ascii="Arial" w:hAnsi="Arial" w:cs="Arial"/>
          <w:sz w:val="22"/>
          <w:szCs w:val="22"/>
        </w:rPr>
        <w:t xml:space="preserve">The framework highlights six eternal environmental factors that influence organisational operations; thus, allowing the management to detect potential opportunities and threats from their external environments. According to Chartered Institute of Personnel Development, CIPD (2024), PESTEL analysis audits six external environmental factors that influence an organisation, including “political, economic, technological, legal and environmental factors”, helping managers in making strategic decisions (Adeniran and Awe, 2025). Therefore, this section highlights these factors in detail and demonstrates their impact on Jaguar Land Rover's operations. </w:t>
      </w:r>
    </w:p>
    <w:p w14:paraId="4DE51175" w14:textId="77777777" w:rsidR="00403B5E" w:rsidRPr="000B1D0D" w:rsidRDefault="00403B5E" w:rsidP="000B1D0D">
      <w:pPr>
        <w:spacing w:line="360" w:lineRule="auto"/>
        <w:rPr>
          <w:rFonts w:ascii="Arial" w:hAnsi="Arial" w:cs="Arial"/>
          <w:sz w:val="22"/>
          <w:szCs w:val="22"/>
        </w:rPr>
      </w:pPr>
      <w:r w:rsidRPr="000B1D0D">
        <w:rPr>
          <w:rFonts w:ascii="Arial" w:hAnsi="Arial" w:cs="Arial"/>
          <w:b/>
          <w:sz w:val="22"/>
          <w:szCs w:val="22"/>
        </w:rPr>
        <w:t>Political Factors</w:t>
      </w:r>
      <w:r w:rsidRPr="000B1D0D">
        <w:rPr>
          <w:rFonts w:ascii="Arial" w:hAnsi="Arial" w:cs="Arial"/>
          <w:sz w:val="22"/>
          <w:szCs w:val="22"/>
        </w:rPr>
        <w:t xml:space="preserve">: According to Hamilton and Webster (2018), these factors include all factors associated with government policies and regulations as well as the stability of a nation. The main political factors that can influence Jaguar Land Rover's operations in the UK include changes in government policies, foreign trade regulations, political stability, and changes in taxation in countries. Therefore, favourable government policies and taxation towards electric vehicles, and political stability are perceived as opportunities due to their positive impacts on the company’s performance. Conversely, changes in foreign trade policies and trade blocks are regarded as threats due to their potential negative impacts on the company’s performance. </w:t>
      </w:r>
    </w:p>
    <w:p w14:paraId="67DB945C" w14:textId="77777777" w:rsidR="00403B5E" w:rsidRPr="000B1D0D" w:rsidRDefault="00403B5E" w:rsidP="000B1D0D">
      <w:pPr>
        <w:spacing w:line="360" w:lineRule="auto"/>
        <w:rPr>
          <w:rFonts w:ascii="Arial" w:hAnsi="Arial" w:cs="Arial"/>
          <w:sz w:val="22"/>
          <w:szCs w:val="22"/>
        </w:rPr>
      </w:pPr>
      <w:r w:rsidRPr="000B1D0D">
        <w:rPr>
          <w:rFonts w:ascii="Arial" w:hAnsi="Arial" w:cs="Arial"/>
          <w:b/>
          <w:sz w:val="22"/>
          <w:szCs w:val="22"/>
        </w:rPr>
        <w:t>Economic Factors</w:t>
      </w:r>
      <w:r w:rsidRPr="000B1D0D">
        <w:rPr>
          <w:rFonts w:ascii="Arial" w:hAnsi="Arial" w:cs="Arial"/>
          <w:sz w:val="22"/>
          <w:szCs w:val="22"/>
        </w:rPr>
        <w:t xml:space="preserve">: According to De Sousa and Castañeda-Ayarza (2022), economic factors include business cycles, inflation, interest rates, exchange rates, and unemployment </w:t>
      </w:r>
      <w:r w:rsidRPr="000B1D0D">
        <w:rPr>
          <w:rFonts w:ascii="Arial" w:hAnsi="Arial" w:cs="Arial"/>
          <w:sz w:val="22"/>
          <w:szCs w:val="22"/>
        </w:rPr>
        <w:lastRenderedPageBreak/>
        <w:t xml:space="preserve">rates. Since Jaguar Land Rover operates in the UK and outside the UK, business cycles, interest rates, inflation, and exchange rates are potential threats to the company’s operations due to increased operating costs. On the other hand, low unemployment levels in the UK are mainly perceived as an opportunity, since it is associated with higher consumer spending, which consequently results in high demand for vehicles. </w:t>
      </w:r>
    </w:p>
    <w:p w14:paraId="6DD78BF9" w14:textId="77777777" w:rsidR="00403B5E" w:rsidRPr="000B1D0D" w:rsidRDefault="00403B5E" w:rsidP="000B1D0D">
      <w:pPr>
        <w:spacing w:line="360" w:lineRule="auto"/>
        <w:rPr>
          <w:rFonts w:ascii="Arial" w:hAnsi="Arial" w:cs="Arial"/>
          <w:sz w:val="22"/>
          <w:szCs w:val="22"/>
        </w:rPr>
      </w:pPr>
      <w:r w:rsidRPr="000B1D0D">
        <w:rPr>
          <w:rFonts w:ascii="Arial" w:hAnsi="Arial" w:cs="Arial"/>
          <w:b/>
          <w:sz w:val="22"/>
          <w:szCs w:val="22"/>
        </w:rPr>
        <w:t>Socio-cultural Factors</w:t>
      </w:r>
      <w:r w:rsidRPr="000B1D0D">
        <w:rPr>
          <w:rFonts w:ascii="Arial" w:hAnsi="Arial" w:cs="Arial"/>
          <w:sz w:val="22"/>
          <w:szCs w:val="22"/>
        </w:rPr>
        <w:t xml:space="preserve">: According to Hamilton and Webster (2018), sociocultural factors relevant to organisations operating in the automotive industry include income distribution, lifestyle changes, and changing demographics and cultures. Since Jaguar Land Rover mainly targets the affluent with its electric vehicles, these factors offer potential opportunities for growth in the UK's competitive automotive sector. For instance, Hahm (2023) indicates that increasing focus on sustainability in the automotive industry due to changing cultures and lifestyles provides Jaguar Land Rover with a significant growth opportunity. </w:t>
      </w:r>
    </w:p>
    <w:p w14:paraId="0121C7A5" w14:textId="77777777" w:rsidR="00403B5E" w:rsidRPr="000B1D0D" w:rsidRDefault="00403B5E" w:rsidP="000B1D0D">
      <w:pPr>
        <w:spacing w:line="360" w:lineRule="auto"/>
        <w:rPr>
          <w:rFonts w:ascii="Arial" w:hAnsi="Arial" w:cs="Arial"/>
          <w:sz w:val="22"/>
          <w:szCs w:val="22"/>
        </w:rPr>
      </w:pPr>
      <w:r w:rsidRPr="000B1D0D">
        <w:rPr>
          <w:rFonts w:ascii="Arial" w:hAnsi="Arial" w:cs="Arial"/>
          <w:b/>
          <w:sz w:val="22"/>
          <w:szCs w:val="22"/>
        </w:rPr>
        <w:t>Technological Factors</w:t>
      </w:r>
      <w:r w:rsidRPr="000B1D0D">
        <w:rPr>
          <w:rFonts w:ascii="Arial" w:hAnsi="Arial" w:cs="Arial"/>
          <w:sz w:val="22"/>
          <w:szCs w:val="22"/>
        </w:rPr>
        <w:t xml:space="preserve">: De Sousa and Castañeda-Ayarza (2022) identify discoveries and technological developments as the main technological factors. Jaguar Land Rover will focus on the electrification of all its car brands by 2030, with Jaguar becoming an all-electric brand in 2025 (Jaguar Land Rover, 2025). Although discoveries and technological developments in the UK's automotive sector may result in increased competition, they provide the company with a significant growth opportunity due to heavy investment in research and development and its growing focus on electrifying all its car brands. </w:t>
      </w:r>
    </w:p>
    <w:p w14:paraId="07F4C5E8" w14:textId="77777777" w:rsidR="00403B5E" w:rsidRPr="000B1D0D" w:rsidRDefault="00403B5E" w:rsidP="000B1D0D">
      <w:pPr>
        <w:spacing w:line="360" w:lineRule="auto"/>
        <w:rPr>
          <w:rFonts w:ascii="Arial" w:hAnsi="Arial" w:cs="Arial"/>
          <w:sz w:val="22"/>
          <w:szCs w:val="22"/>
        </w:rPr>
      </w:pPr>
      <w:r w:rsidRPr="000B1D0D">
        <w:rPr>
          <w:rFonts w:ascii="Arial" w:hAnsi="Arial" w:cs="Arial"/>
          <w:b/>
          <w:sz w:val="22"/>
          <w:szCs w:val="22"/>
        </w:rPr>
        <w:t>Ecological Factors</w:t>
      </w:r>
      <w:r w:rsidRPr="000B1D0D">
        <w:rPr>
          <w:rFonts w:ascii="Arial" w:hAnsi="Arial" w:cs="Arial"/>
          <w:sz w:val="22"/>
          <w:szCs w:val="22"/>
        </w:rPr>
        <w:t xml:space="preserve">: According to De Sousa and Castañeda-Ayarza (2022), ecological factors relevant to Jaguar Land Rover’s operations include global climate change, waste and pollution. Due to the company's commitment to sustainability, these factors provide it with a critical opportunity to grow. Jaguar Land Rover (2025) indicates that the company is committed to positively transforming the impact of its business on various areas, including resource consumption and environmental protection. Therefore, due to the increasing focus on sustainability in the UK and across the globe, Jaguar Land Rover’s commitment to sustainable operation provides it with opportunities to succeed in the UK’s automotive sector. </w:t>
      </w:r>
    </w:p>
    <w:p w14:paraId="54591B44" w14:textId="77777777" w:rsidR="00403B5E" w:rsidRPr="000B1D0D" w:rsidRDefault="00403B5E" w:rsidP="000B1D0D">
      <w:pPr>
        <w:spacing w:line="360" w:lineRule="auto"/>
        <w:rPr>
          <w:rFonts w:ascii="Arial" w:hAnsi="Arial" w:cs="Arial"/>
          <w:sz w:val="22"/>
          <w:szCs w:val="22"/>
        </w:rPr>
      </w:pPr>
      <w:r w:rsidRPr="000B1D0D">
        <w:rPr>
          <w:rFonts w:ascii="Arial" w:hAnsi="Arial" w:cs="Arial"/>
          <w:b/>
          <w:sz w:val="22"/>
          <w:szCs w:val="22"/>
        </w:rPr>
        <w:t>Legal Factors</w:t>
      </w:r>
      <w:r w:rsidRPr="000B1D0D">
        <w:rPr>
          <w:rFonts w:ascii="Arial" w:hAnsi="Arial" w:cs="Arial"/>
          <w:sz w:val="22"/>
          <w:szCs w:val="22"/>
        </w:rPr>
        <w:t xml:space="preserve">: The relevant legal factors to the UK's automotive sector include intellectual property rights, labour laws, taxation, competition laws, and safety requirements (Hamilton and Webster, 2018). Therefore, strict enforcement of intellectual property rights laws in the UK, favourable taxation, and strict safety requirements provide the company with an opportunity to stay ahead of its market competitors due to its longstanding history of safety and performance, and recent focus on electrification of all its vehicle brands by 2030 (Jaguar Land Rover, 2025). However, rising minimum wage and competition laws are threats to the company’s operations due to their negative impacts on the company’s operations. Therefore, </w:t>
      </w:r>
      <w:r w:rsidRPr="000B1D0D">
        <w:rPr>
          <w:rFonts w:ascii="Arial" w:hAnsi="Arial" w:cs="Arial"/>
          <w:sz w:val="22"/>
          <w:szCs w:val="22"/>
        </w:rPr>
        <w:lastRenderedPageBreak/>
        <w:t xml:space="preserve">the company must address the threats to maximise the opportunities available in its external market. </w:t>
      </w:r>
    </w:p>
    <w:p w14:paraId="7977D7B4" w14:textId="77777777" w:rsidR="00403B5E" w:rsidRPr="000B1D0D" w:rsidRDefault="00403B5E" w:rsidP="000B1D0D">
      <w:pPr>
        <w:pStyle w:val="Subtitle"/>
        <w:spacing w:line="360" w:lineRule="auto"/>
        <w:rPr>
          <w:rFonts w:ascii="Arial" w:hAnsi="Arial" w:cs="Arial"/>
          <w:b/>
          <w:bCs/>
          <w:color w:val="auto"/>
          <w:sz w:val="22"/>
          <w:szCs w:val="22"/>
        </w:rPr>
      </w:pPr>
      <w:bookmarkStart w:id="8" w:name="_Toc199364275"/>
      <w:r w:rsidRPr="000B1D0D">
        <w:rPr>
          <w:rFonts w:ascii="Arial" w:hAnsi="Arial" w:cs="Arial"/>
          <w:b/>
          <w:bCs/>
          <w:color w:val="auto"/>
          <w:sz w:val="22"/>
          <w:szCs w:val="22"/>
        </w:rPr>
        <w:t>Porters Five Forces</w:t>
      </w:r>
      <w:bookmarkEnd w:id="8"/>
    </w:p>
    <w:p w14:paraId="059B0E61" w14:textId="053BF974" w:rsidR="00403B5E" w:rsidRPr="000B1D0D" w:rsidRDefault="00403B5E" w:rsidP="000B1D0D">
      <w:pPr>
        <w:spacing w:line="360" w:lineRule="auto"/>
        <w:rPr>
          <w:rFonts w:ascii="Arial" w:hAnsi="Arial" w:cs="Arial"/>
          <w:sz w:val="22"/>
          <w:szCs w:val="22"/>
        </w:rPr>
      </w:pPr>
      <w:r w:rsidRPr="000B1D0D">
        <w:rPr>
          <w:rFonts w:ascii="Arial" w:hAnsi="Arial" w:cs="Arial"/>
          <w:sz w:val="22"/>
          <w:szCs w:val="22"/>
        </w:rPr>
        <w:tab/>
        <w:t>According to Wood et al. (2021), Porter's five forces analysis allows managers to assess the attractiveness of the industry for investment: thus, planning and generation data-driven ideas to ensure successful performance. Isabelle et al. (2020) also emphasise that it allows managers to gain an unbiased understanding of the company's industry-level competitive environment. Whittington et al. (2020) indicate that this business strategy framework focuses on five industry-level forces including, “the bargaining power of suppliers, the bargaining power of buyers, the threat of substitutes, the threat of new entrants and industry rivalry” (p.411). Therefore, leveraging this strategy framework will allow Jaguar Land Rover to develop effective strategies to help it safeguard its market position.</w:t>
      </w:r>
    </w:p>
    <w:p w14:paraId="288347A0" w14:textId="77777777" w:rsidR="00403B5E" w:rsidRPr="000B1D0D" w:rsidRDefault="00403B5E" w:rsidP="000B1D0D">
      <w:pPr>
        <w:spacing w:line="360" w:lineRule="auto"/>
        <w:rPr>
          <w:rFonts w:ascii="Arial" w:hAnsi="Arial" w:cs="Arial"/>
          <w:sz w:val="22"/>
          <w:szCs w:val="22"/>
        </w:rPr>
      </w:pPr>
      <w:r w:rsidRPr="000B1D0D">
        <w:rPr>
          <w:rFonts w:ascii="Arial" w:hAnsi="Arial" w:cs="Arial"/>
          <w:b/>
          <w:sz w:val="22"/>
          <w:szCs w:val="22"/>
        </w:rPr>
        <w:t>Bargaining Power of Suppliers</w:t>
      </w:r>
      <w:r w:rsidRPr="000B1D0D">
        <w:rPr>
          <w:rFonts w:ascii="Arial" w:hAnsi="Arial" w:cs="Arial"/>
          <w:sz w:val="22"/>
          <w:szCs w:val="22"/>
        </w:rPr>
        <w:t xml:space="preserve">: The automotive industry has numerous suppliers, often concentrated in a few geographical areas. For instance, Jaguar Land Rover (2025) indicates that most of the company’s suppliers are based in the UK, with other purchasing offices in China, India and Brazil. Therefore, the bargaining power of suppliers is low to medium due to the presence of numerous suppliers from the same region and the attractiveness of Jaguar Land Rover to most suppliers, being a top player in the UK's automotive industry. </w:t>
      </w:r>
    </w:p>
    <w:p w14:paraId="4F5F9B4B" w14:textId="0E0D4D4C" w:rsidR="00403B5E" w:rsidRPr="000B1D0D" w:rsidRDefault="00403B5E" w:rsidP="000B1D0D">
      <w:pPr>
        <w:spacing w:line="360" w:lineRule="auto"/>
        <w:rPr>
          <w:rFonts w:ascii="Arial" w:hAnsi="Arial" w:cs="Arial"/>
          <w:sz w:val="22"/>
          <w:szCs w:val="22"/>
        </w:rPr>
      </w:pPr>
      <w:r w:rsidRPr="000B1D0D">
        <w:rPr>
          <w:rFonts w:ascii="Arial" w:hAnsi="Arial" w:cs="Arial"/>
          <w:b/>
          <w:sz w:val="22"/>
          <w:szCs w:val="22"/>
        </w:rPr>
        <w:t>Bargaining Power of Customers</w:t>
      </w:r>
      <w:r w:rsidRPr="000B1D0D">
        <w:rPr>
          <w:rFonts w:ascii="Arial" w:hAnsi="Arial" w:cs="Arial"/>
          <w:sz w:val="22"/>
          <w:szCs w:val="22"/>
        </w:rPr>
        <w:t xml:space="preserve">: The bargaining power of customers is low because the company’s brands are known for “modernist design philosophy; authentically building desirability; and emotional engagement that makes customers to premium prices for the company’s vehicles” (Jaguar Land Rover, 2025). Moreover, the company is built around two iconic brands with longstanding reputations of luxury and unique driving experience, making customers willing to pay for the premium prices, consequently lowering their bargaining powers.  </w:t>
      </w:r>
    </w:p>
    <w:p w14:paraId="21D561BE" w14:textId="77777777" w:rsidR="00403B5E" w:rsidRPr="000B1D0D" w:rsidRDefault="00403B5E" w:rsidP="000B1D0D">
      <w:pPr>
        <w:spacing w:line="360" w:lineRule="auto"/>
        <w:rPr>
          <w:rFonts w:ascii="Arial" w:hAnsi="Arial" w:cs="Arial"/>
          <w:bCs/>
          <w:sz w:val="22"/>
          <w:szCs w:val="22"/>
        </w:rPr>
      </w:pPr>
      <w:r w:rsidRPr="000B1D0D">
        <w:rPr>
          <w:rFonts w:ascii="Arial" w:hAnsi="Arial" w:cs="Arial"/>
          <w:b/>
          <w:sz w:val="22"/>
          <w:szCs w:val="22"/>
        </w:rPr>
        <w:t>Threat of Substitute Products</w:t>
      </w:r>
      <w:r w:rsidRPr="000B1D0D">
        <w:rPr>
          <w:rFonts w:ascii="Arial" w:hAnsi="Arial" w:cs="Arial"/>
          <w:sz w:val="22"/>
          <w:szCs w:val="22"/>
        </w:rPr>
        <w:t xml:space="preserve">: The threat of substitute products is low since the company produces premium luxury brands, targeting a specific demographic in the automotive market. </w:t>
      </w:r>
      <w:r w:rsidRPr="000B1D0D">
        <w:rPr>
          <w:rFonts w:ascii="Arial" w:hAnsi="Arial" w:cs="Arial"/>
          <w:bCs/>
          <w:sz w:val="22"/>
          <w:szCs w:val="22"/>
        </w:rPr>
        <w:t xml:space="preserve">JLR Apprenticeships (2025) indicates that the company produces premier luxury brands targeting the affluent in society; thus, their customers are willing to pay premium prices for the experience, reducing the threat of substitute products. </w:t>
      </w:r>
    </w:p>
    <w:p w14:paraId="1213732B" w14:textId="77777777" w:rsidR="00403B5E" w:rsidRPr="000B1D0D" w:rsidRDefault="00403B5E" w:rsidP="000B1D0D">
      <w:pPr>
        <w:spacing w:line="360" w:lineRule="auto"/>
        <w:rPr>
          <w:rFonts w:ascii="Arial" w:hAnsi="Arial" w:cs="Arial"/>
          <w:sz w:val="22"/>
          <w:szCs w:val="22"/>
        </w:rPr>
      </w:pPr>
      <w:r w:rsidRPr="000B1D0D">
        <w:rPr>
          <w:rFonts w:ascii="Arial" w:hAnsi="Arial" w:cs="Arial"/>
          <w:b/>
          <w:sz w:val="22"/>
          <w:szCs w:val="22"/>
        </w:rPr>
        <w:t>Threat of New Entrants</w:t>
      </w:r>
      <w:r w:rsidRPr="000B1D0D">
        <w:rPr>
          <w:rFonts w:ascii="Arial" w:hAnsi="Arial" w:cs="Arial"/>
          <w:sz w:val="22"/>
          <w:szCs w:val="22"/>
        </w:rPr>
        <w:t>: Entry into the automotive industry requires significant capital investment and resources. Since Jaguar Land Rover is the largest automaker in the UK, the threat of new entrants is relatively low.</w:t>
      </w:r>
    </w:p>
    <w:p w14:paraId="0F35F47E" w14:textId="180FCA92" w:rsidR="00403B5E" w:rsidRPr="000B1D0D" w:rsidRDefault="00403B5E" w:rsidP="000B1D0D">
      <w:pPr>
        <w:spacing w:line="360" w:lineRule="auto"/>
        <w:rPr>
          <w:rFonts w:ascii="Arial" w:hAnsi="Arial" w:cs="Arial"/>
          <w:sz w:val="22"/>
          <w:szCs w:val="22"/>
        </w:rPr>
      </w:pPr>
      <w:r w:rsidRPr="000B1D0D">
        <w:rPr>
          <w:rFonts w:ascii="Arial" w:hAnsi="Arial" w:cs="Arial"/>
          <w:b/>
          <w:sz w:val="22"/>
          <w:szCs w:val="22"/>
        </w:rPr>
        <w:lastRenderedPageBreak/>
        <w:t>Competitive Rivalry in the Industry</w:t>
      </w:r>
      <w:r w:rsidRPr="000B1D0D">
        <w:rPr>
          <w:rFonts w:ascii="Arial" w:hAnsi="Arial" w:cs="Arial"/>
          <w:sz w:val="22"/>
          <w:szCs w:val="22"/>
        </w:rPr>
        <w:t xml:space="preserve">: Competitive rivalry in the UK’s automotive industry is high due to the presence of numerous global competitors. Jaguar Land Rover operates in the premium luxury segment of the automotive market; thus, it faces a fierce challenge from BMW, and Mercedes-Benz which produce premium luxury cars. However, the company's unique market positioning in the luxury car marketplaces it ahead of competition in the UK's automotive industry. </w:t>
      </w:r>
    </w:p>
    <w:p w14:paraId="23F13E45" w14:textId="77777777" w:rsidR="00403B5E" w:rsidRPr="000B1D0D" w:rsidRDefault="00403B5E" w:rsidP="000B1D0D">
      <w:pPr>
        <w:pStyle w:val="Subtitle"/>
        <w:spacing w:line="360" w:lineRule="auto"/>
        <w:rPr>
          <w:rFonts w:ascii="Arial" w:hAnsi="Arial" w:cs="Arial"/>
          <w:b/>
          <w:bCs/>
          <w:color w:val="auto"/>
          <w:sz w:val="22"/>
          <w:szCs w:val="22"/>
        </w:rPr>
      </w:pPr>
      <w:bookmarkStart w:id="9" w:name="_Toc199364276"/>
      <w:r w:rsidRPr="000B1D0D">
        <w:rPr>
          <w:rFonts w:ascii="Arial" w:hAnsi="Arial" w:cs="Arial"/>
          <w:b/>
          <w:bCs/>
          <w:color w:val="auto"/>
          <w:sz w:val="22"/>
          <w:szCs w:val="22"/>
        </w:rPr>
        <w:t>Internal Environment Audit</w:t>
      </w:r>
      <w:bookmarkEnd w:id="9"/>
    </w:p>
    <w:p w14:paraId="78EEB541" w14:textId="2F5B1BA0" w:rsidR="00403B5E" w:rsidRPr="000B1D0D" w:rsidRDefault="00403B5E" w:rsidP="000B1D0D">
      <w:pPr>
        <w:spacing w:line="360" w:lineRule="auto"/>
        <w:rPr>
          <w:rFonts w:ascii="Arial" w:hAnsi="Arial" w:cs="Arial"/>
          <w:iCs/>
          <w:sz w:val="22"/>
          <w:szCs w:val="22"/>
        </w:rPr>
      </w:pPr>
      <w:r w:rsidRPr="000B1D0D">
        <w:rPr>
          <w:rFonts w:ascii="Arial" w:hAnsi="Arial" w:cs="Arial"/>
          <w:sz w:val="22"/>
          <w:szCs w:val="22"/>
        </w:rPr>
        <w:t xml:space="preserve">Jaguar Land Rover is the top automaker in the UK. According to Jaguar Land Rover (2025), the company manufactures five main luxury vehicle brands: Range Rover, </w:t>
      </w:r>
      <w:r w:rsidRPr="000B1D0D">
        <w:rPr>
          <w:rFonts w:ascii="Arial" w:hAnsi="Arial" w:cs="Arial"/>
          <w:iCs/>
          <w:sz w:val="22"/>
          <w:szCs w:val="22"/>
        </w:rPr>
        <w:t xml:space="preserve">Defender, Discovery, and Jaguar. It is a subsidiary of Tata Motors, formed following a merger of Jaguar Cara and Land Rover, both iconic British automakers. Despite the challenges that faced the two brands, the merger allowed them to become a top automobile company in the UK. This report applies the VRIO model to analyse the company's internal capabilities. </w:t>
      </w:r>
    </w:p>
    <w:p w14:paraId="78AC76CC" w14:textId="77777777" w:rsidR="00403B5E" w:rsidRPr="000B1D0D" w:rsidRDefault="00403B5E" w:rsidP="000B1D0D">
      <w:pPr>
        <w:spacing w:line="360" w:lineRule="auto"/>
        <w:rPr>
          <w:rFonts w:ascii="Arial" w:hAnsi="Arial" w:cs="Arial"/>
          <w:b/>
          <w:bCs/>
          <w:sz w:val="22"/>
          <w:szCs w:val="22"/>
        </w:rPr>
      </w:pPr>
      <w:bookmarkStart w:id="10" w:name="_Toc199364277"/>
      <w:r w:rsidRPr="000B1D0D">
        <w:rPr>
          <w:rFonts w:ascii="Arial" w:hAnsi="Arial" w:cs="Arial"/>
          <w:b/>
          <w:bCs/>
          <w:sz w:val="22"/>
          <w:szCs w:val="22"/>
        </w:rPr>
        <w:t>VRIO (Value, Rarity, Inimitability, and Organisation) Model</w:t>
      </w:r>
      <w:bookmarkEnd w:id="10"/>
    </w:p>
    <w:p w14:paraId="0B565770" w14:textId="553F99BF" w:rsidR="00403B5E" w:rsidRPr="000B1D0D" w:rsidRDefault="00403B5E" w:rsidP="000B1D0D">
      <w:pPr>
        <w:spacing w:line="360" w:lineRule="auto"/>
        <w:rPr>
          <w:rFonts w:ascii="Arial" w:hAnsi="Arial" w:cs="Arial"/>
          <w:sz w:val="22"/>
          <w:szCs w:val="22"/>
        </w:rPr>
      </w:pPr>
      <w:r w:rsidRPr="000B1D0D">
        <w:rPr>
          <w:rFonts w:ascii="Arial" w:hAnsi="Arial" w:cs="Arial"/>
          <w:sz w:val="22"/>
          <w:szCs w:val="22"/>
        </w:rPr>
        <w:t xml:space="preserve">The model is a critical strategic management tool for conducting internal environment audits. According to </w:t>
      </w:r>
      <w:proofErr w:type="spellStart"/>
      <w:r w:rsidRPr="000B1D0D">
        <w:rPr>
          <w:rFonts w:ascii="Arial" w:hAnsi="Arial" w:cs="Arial"/>
          <w:sz w:val="22"/>
          <w:szCs w:val="22"/>
        </w:rPr>
        <w:t>Astawa</w:t>
      </w:r>
      <w:proofErr w:type="spellEnd"/>
      <w:r w:rsidRPr="000B1D0D">
        <w:rPr>
          <w:rFonts w:ascii="Arial" w:hAnsi="Arial" w:cs="Arial"/>
          <w:sz w:val="22"/>
          <w:szCs w:val="22"/>
        </w:rPr>
        <w:t xml:space="preserve"> (2022), it helps organisations assess their internal resources and capabilities across four dimensions: value, rarity, imitability, and organisation. Jaguar Land Rover operates in a highly competitive industry; thus, it is critical to assets, which </w:t>
      </w:r>
      <w:proofErr w:type="gramStart"/>
      <w:r w:rsidRPr="000B1D0D">
        <w:rPr>
          <w:rFonts w:ascii="Arial" w:hAnsi="Arial" w:cs="Arial"/>
          <w:sz w:val="22"/>
          <w:szCs w:val="22"/>
        </w:rPr>
        <w:t>are capable of giving</w:t>
      </w:r>
      <w:proofErr w:type="gramEnd"/>
      <w:r w:rsidRPr="000B1D0D">
        <w:rPr>
          <w:rFonts w:ascii="Arial" w:hAnsi="Arial" w:cs="Arial"/>
          <w:sz w:val="22"/>
          <w:szCs w:val="22"/>
        </w:rPr>
        <w:t xml:space="preserve"> it sustainable competitiveness in the market, as well as those that require enhancement. </w:t>
      </w:r>
    </w:p>
    <w:p w14:paraId="0A6529C0" w14:textId="77777777" w:rsidR="00403B5E" w:rsidRPr="000B1D0D" w:rsidRDefault="00403B5E" w:rsidP="000B1D0D">
      <w:pPr>
        <w:spacing w:line="360" w:lineRule="auto"/>
        <w:rPr>
          <w:rFonts w:ascii="Arial" w:hAnsi="Arial" w:cs="Arial"/>
          <w:sz w:val="22"/>
          <w:szCs w:val="22"/>
        </w:rPr>
      </w:pPr>
      <w:r w:rsidRPr="000B1D0D">
        <w:rPr>
          <w:rFonts w:ascii="Arial" w:hAnsi="Arial" w:cs="Arial"/>
          <w:b/>
          <w:sz w:val="22"/>
          <w:szCs w:val="22"/>
        </w:rPr>
        <w:t>Value</w:t>
      </w:r>
      <w:r w:rsidRPr="000B1D0D">
        <w:rPr>
          <w:rFonts w:ascii="Arial" w:hAnsi="Arial" w:cs="Arial"/>
          <w:sz w:val="22"/>
          <w:szCs w:val="22"/>
        </w:rPr>
        <w:t>: Jaguar Land Rover’s focus on advanced car technology, quality and designs has enabled it to create a distinctive value in the automotive market. Notably, this has enabled the company to build a positive reputation in the sector, making its products recognisable throughout the globe (</w:t>
      </w:r>
      <w:r w:rsidRPr="000B1D0D">
        <w:rPr>
          <w:rFonts w:ascii="Arial" w:hAnsi="Arial" w:cs="Arial"/>
          <w:bCs/>
          <w:sz w:val="22"/>
          <w:szCs w:val="22"/>
        </w:rPr>
        <w:t>JLR Apprenticeships, 2025)</w:t>
      </w:r>
      <w:r w:rsidRPr="000B1D0D">
        <w:rPr>
          <w:rFonts w:ascii="Arial" w:hAnsi="Arial" w:cs="Arial"/>
          <w:sz w:val="22"/>
          <w:szCs w:val="22"/>
        </w:rPr>
        <w:t xml:space="preserve">. Therefore, reputation and strong brand identity constitute the company's valuable resources. </w:t>
      </w:r>
    </w:p>
    <w:p w14:paraId="65FF57DB" w14:textId="77777777" w:rsidR="00403B5E" w:rsidRPr="000B1D0D" w:rsidRDefault="00403B5E" w:rsidP="000B1D0D">
      <w:pPr>
        <w:spacing w:line="360" w:lineRule="auto"/>
        <w:rPr>
          <w:rFonts w:ascii="Arial" w:hAnsi="Arial" w:cs="Arial"/>
          <w:sz w:val="22"/>
          <w:szCs w:val="22"/>
        </w:rPr>
      </w:pPr>
      <w:r w:rsidRPr="000B1D0D">
        <w:rPr>
          <w:rFonts w:ascii="Arial" w:hAnsi="Arial" w:cs="Arial"/>
          <w:b/>
          <w:sz w:val="22"/>
          <w:szCs w:val="22"/>
        </w:rPr>
        <w:t>Rarity</w:t>
      </w:r>
      <w:r w:rsidRPr="000B1D0D">
        <w:rPr>
          <w:rFonts w:ascii="Arial" w:hAnsi="Arial" w:cs="Arial"/>
          <w:sz w:val="22"/>
          <w:szCs w:val="22"/>
        </w:rPr>
        <w:t>: Despite the competitive nature of the automotive industry, Jaguar Land Rover has managed to create a unique and distinctive image in the market as a luxury vehicle brand with a unique driving experience (</w:t>
      </w:r>
      <w:r w:rsidRPr="000B1D0D">
        <w:rPr>
          <w:rFonts w:ascii="Arial" w:hAnsi="Arial" w:cs="Arial"/>
          <w:bCs/>
          <w:sz w:val="22"/>
          <w:szCs w:val="22"/>
        </w:rPr>
        <w:t>JLR Apprenticeships, 2025)</w:t>
      </w:r>
      <w:r w:rsidRPr="000B1D0D">
        <w:rPr>
          <w:rFonts w:ascii="Arial" w:hAnsi="Arial" w:cs="Arial"/>
          <w:sz w:val="22"/>
          <w:szCs w:val="22"/>
        </w:rPr>
        <w:t xml:space="preserve">. These unique features make the company rare in the global automotive sector. </w:t>
      </w:r>
    </w:p>
    <w:p w14:paraId="0FDA53BD" w14:textId="77777777" w:rsidR="00403B5E" w:rsidRPr="000B1D0D" w:rsidRDefault="00403B5E" w:rsidP="000B1D0D">
      <w:pPr>
        <w:spacing w:line="360" w:lineRule="auto"/>
        <w:rPr>
          <w:rFonts w:ascii="Arial" w:hAnsi="Arial" w:cs="Arial"/>
          <w:sz w:val="22"/>
          <w:szCs w:val="22"/>
        </w:rPr>
      </w:pPr>
      <w:r w:rsidRPr="000B1D0D">
        <w:rPr>
          <w:rFonts w:ascii="Arial" w:hAnsi="Arial" w:cs="Arial"/>
          <w:b/>
          <w:sz w:val="22"/>
          <w:szCs w:val="22"/>
        </w:rPr>
        <w:t>Inimitability</w:t>
      </w:r>
      <w:r w:rsidRPr="000B1D0D">
        <w:rPr>
          <w:rFonts w:ascii="Arial" w:hAnsi="Arial" w:cs="Arial"/>
          <w:sz w:val="22"/>
          <w:szCs w:val="22"/>
        </w:rPr>
        <w:t xml:space="preserve">: Jaguar Land Rover protects its designs and vehicle technologies with patents, making them difficult to imitate. Moreover, the company invests heavily in research and development has enabled it to develop new sustainable vehicle technologies, which are difficult for market rivals to imitate (Jaguar Land Rover, 2025). </w:t>
      </w:r>
    </w:p>
    <w:p w14:paraId="45CB31B5" w14:textId="77777777" w:rsidR="00403B5E" w:rsidRPr="000B1D0D" w:rsidRDefault="00403B5E" w:rsidP="000B1D0D">
      <w:pPr>
        <w:spacing w:line="360" w:lineRule="auto"/>
        <w:rPr>
          <w:rFonts w:ascii="Arial" w:hAnsi="Arial" w:cs="Arial"/>
          <w:sz w:val="22"/>
          <w:szCs w:val="22"/>
        </w:rPr>
      </w:pPr>
      <w:r w:rsidRPr="000B1D0D">
        <w:rPr>
          <w:rFonts w:ascii="Arial" w:hAnsi="Arial" w:cs="Arial"/>
          <w:b/>
          <w:sz w:val="22"/>
          <w:szCs w:val="22"/>
        </w:rPr>
        <w:lastRenderedPageBreak/>
        <w:t>Organisation</w:t>
      </w:r>
      <w:r w:rsidRPr="000B1D0D">
        <w:rPr>
          <w:rFonts w:ascii="Arial" w:hAnsi="Arial" w:cs="Arial"/>
          <w:sz w:val="22"/>
          <w:szCs w:val="22"/>
        </w:rPr>
        <w:t xml:space="preserve">: Jaguar Land Rover has an effective hierarchical organisation structure, and strong management that enables it to focus on </w:t>
      </w:r>
      <w:r w:rsidRPr="000B1D0D">
        <w:rPr>
          <w:rFonts w:ascii="Arial" w:hAnsi="Arial" w:cs="Arial"/>
          <w:iCs/>
          <w:sz w:val="22"/>
          <w:szCs w:val="22"/>
        </w:rPr>
        <w:t xml:space="preserve">environmental innovation, and ensuring that customers always come first, leading to successful performance in the UK’s competitive automotive industry. </w:t>
      </w:r>
    </w:p>
    <w:p w14:paraId="1F3EC180" w14:textId="77777777" w:rsidR="00403B5E" w:rsidRPr="000B1D0D" w:rsidRDefault="00403B5E" w:rsidP="000B1D0D">
      <w:pPr>
        <w:pStyle w:val="Subtitle"/>
        <w:spacing w:line="360" w:lineRule="auto"/>
        <w:rPr>
          <w:rFonts w:ascii="Arial" w:hAnsi="Arial" w:cs="Arial"/>
          <w:b/>
          <w:bCs/>
          <w:color w:val="auto"/>
          <w:sz w:val="22"/>
          <w:szCs w:val="22"/>
          <w:lang w:val="en-US"/>
        </w:rPr>
      </w:pPr>
      <w:bookmarkStart w:id="11" w:name="_Toc199364278"/>
      <w:r w:rsidRPr="000B1D0D">
        <w:rPr>
          <w:rFonts w:ascii="Arial" w:hAnsi="Arial" w:cs="Arial"/>
          <w:b/>
          <w:bCs/>
          <w:color w:val="auto"/>
          <w:sz w:val="22"/>
          <w:szCs w:val="22"/>
          <w:lang w:val="en-US"/>
        </w:rPr>
        <w:t>SWOT Analysis</w:t>
      </w:r>
      <w:bookmarkEnd w:id="11"/>
    </w:p>
    <w:p w14:paraId="45920FAF" w14:textId="03FA1F50" w:rsidR="00403B5E" w:rsidRPr="000B1D0D" w:rsidRDefault="00403B5E" w:rsidP="000B1D0D">
      <w:pPr>
        <w:spacing w:line="360" w:lineRule="auto"/>
        <w:rPr>
          <w:rFonts w:ascii="Arial" w:hAnsi="Arial" w:cs="Arial"/>
          <w:sz w:val="22"/>
          <w:szCs w:val="22"/>
        </w:rPr>
      </w:pPr>
      <w:r w:rsidRPr="000B1D0D">
        <w:rPr>
          <w:rFonts w:ascii="Arial" w:hAnsi="Arial" w:cs="Arial"/>
          <w:sz w:val="22"/>
          <w:szCs w:val="22"/>
        </w:rPr>
        <w:t xml:space="preserve">SWOT analysis is an essential strategic management tool that allows organisations to study their internal and external environments and identify strengths, weaknesses, opportunities and threats. </w:t>
      </w:r>
      <w:proofErr w:type="spellStart"/>
      <w:r w:rsidRPr="000B1D0D">
        <w:rPr>
          <w:rFonts w:ascii="Arial" w:hAnsi="Arial" w:cs="Arial"/>
          <w:sz w:val="22"/>
          <w:szCs w:val="22"/>
        </w:rPr>
        <w:t>Sarsby</w:t>
      </w:r>
      <w:proofErr w:type="spellEnd"/>
      <w:r w:rsidRPr="000B1D0D">
        <w:rPr>
          <w:rFonts w:ascii="Arial" w:hAnsi="Arial" w:cs="Arial"/>
          <w:sz w:val="22"/>
          <w:szCs w:val="22"/>
        </w:rPr>
        <w:t xml:space="preserve"> (2016) observes that strengths and weaknesses emanate from an organisation's internal environment; thus, they are within its control. Conversely, opportunities and threats emanate from the external environment beyond an organisation's direct control. Therefore, understanding these factors allows organisations to develop strategic plans to maximise opportunities and minimise threats from the external environment. The table below provides Jaguar Land Rover's SWOT analysis based on its internal and external environment audits. </w:t>
      </w:r>
    </w:p>
    <w:tbl>
      <w:tblPr>
        <w:tblStyle w:val="TableGrid"/>
        <w:tblW w:w="0" w:type="auto"/>
        <w:tblLook w:val="04A0" w:firstRow="1" w:lastRow="0" w:firstColumn="1" w:lastColumn="0" w:noHBand="0" w:noVBand="1"/>
      </w:tblPr>
      <w:tblGrid>
        <w:gridCol w:w="4508"/>
        <w:gridCol w:w="4508"/>
      </w:tblGrid>
      <w:tr w:rsidR="00403B5E" w:rsidRPr="000B1D0D" w14:paraId="00C263B4" w14:textId="77777777" w:rsidTr="00A95122">
        <w:tc>
          <w:tcPr>
            <w:tcW w:w="4508" w:type="dxa"/>
            <w:shd w:val="clear" w:color="auto" w:fill="auto"/>
          </w:tcPr>
          <w:p w14:paraId="0F7091A8" w14:textId="77777777" w:rsidR="00403B5E" w:rsidRPr="000B1D0D" w:rsidRDefault="00403B5E" w:rsidP="000B1D0D">
            <w:pPr>
              <w:spacing w:after="160" w:line="360" w:lineRule="auto"/>
              <w:rPr>
                <w:rFonts w:ascii="Arial" w:hAnsi="Arial" w:cs="Arial"/>
                <w:b/>
                <w:sz w:val="22"/>
                <w:szCs w:val="22"/>
              </w:rPr>
            </w:pPr>
            <w:r w:rsidRPr="000B1D0D">
              <w:rPr>
                <w:rFonts w:ascii="Arial" w:hAnsi="Arial" w:cs="Arial"/>
                <w:b/>
                <w:sz w:val="22"/>
                <w:szCs w:val="22"/>
              </w:rPr>
              <w:t>Strengths</w:t>
            </w:r>
          </w:p>
        </w:tc>
        <w:tc>
          <w:tcPr>
            <w:tcW w:w="4508" w:type="dxa"/>
            <w:shd w:val="clear" w:color="auto" w:fill="auto"/>
          </w:tcPr>
          <w:p w14:paraId="6C908EC7" w14:textId="77777777" w:rsidR="00403B5E" w:rsidRPr="000B1D0D" w:rsidRDefault="00403B5E" w:rsidP="000B1D0D">
            <w:pPr>
              <w:spacing w:after="160" w:line="360" w:lineRule="auto"/>
              <w:rPr>
                <w:rFonts w:ascii="Arial" w:hAnsi="Arial" w:cs="Arial"/>
                <w:b/>
                <w:sz w:val="22"/>
                <w:szCs w:val="22"/>
              </w:rPr>
            </w:pPr>
            <w:r w:rsidRPr="000B1D0D">
              <w:rPr>
                <w:rFonts w:ascii="Arial" w:hAnsi="Arial" w:cs="Arial"/>
                <w:b/>
                <w:sz w:val="22"/>
                <w:szCs w:val="22"/>
              </w:rPr>
              <w:t>Weaknesses</w:t>
            </w:r>
          </w:p>
        </w:tc>
      </w:tr>
      <w:tr w:rsidR="00403B5E" w:rsidRPr="000B1D0D" w14:paraId="1465A135" w14:textId="77777777" w:rsidTr="00A95122">
        <w:tc>
          <w:tcPr>
            <w:tcW w:w="4508" w:type="dxa"/>
            <w:shd w:val="clear" w:color="auto" w:fill="auto"/>
          </w:tcPr>
          <w:p w14:paraId="3C77AA29"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Unique brand positioning.</w:t>
            </w:r>
          </w:p>
          <w:p w14:paraId="55C7C275"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 xml:space="preserve">Strong brand identity. </w:t>
            </w:r>
          </w:p>
          <w:p w14:paraId="6B7BE675"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Heavy investment in research and development.</w:t>
            </w:r>
          </w:p>
          <w:p w14:paraId="0B44FC2F"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Dominance in the UK’s competitive automotive industry.</w:t>
            </w:r>
          </w:p>
          <w:p w14:paraId="708B5D48"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Consistent financial resources.</w:t>
            </w:r>
          </w:p>
          <w:p w14:paraId="2D867491"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Focus on sustainability.</w:t>
            </w:r>
          </w:p>
          <w:p w14:paraId="1A329740"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Diverse premium luxury brands: Range Rover, Defender, Discovery and Jaguar</w:t>
            </w:r>
          </w:p>
          <w:p w14:paraId="21E12B0C"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Unique vehicle technology and designs</w:t>
            </w:r>
          </w:p>
        </w:tc>
        <w:tc>
          <w:tcPr>
            <w:tcW w:w="4508" w:type="dxa"/>
          </w:tcPr>
          <w:p w14:paraId="563D390F"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Premium pricing.</w:t>
            </w:r>
          </w:p>
          <w:p w14:paraId="05C2DC27"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High costs of maintenance of its products.</w:t>
            </w:r>
          </w:p>
          <w:p w14:paraId="1F8486A2"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Less dominance in markets outside the UK.</w:t>
            </w:r>
          </w:p>
          <w:p w14:paraId="3A2DACC0"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Fierce market competition.</w:t>
            </w:r>
          </w:p>
          <w:p w14:paraId="05490890"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Focus on affluent demographics.</w:t>
            </w:r>
          </w:p>
          <w:p w14:paraId="5DDA2260"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Reliability issues with some of its cars.</w:t>
            </w:r>
          </w:p>
        </w:tc>
      </w:tr>
      <w:tr w:rsidR="00403B5E" w:rsidRPr="000B1D0D" w14:paraId="34790190" w14:textId="77777777" w:rsidTr="00A95122">
        <w:tc>
          <w:tcPr>
            <w:tcW w:w="4508" w:type="dxa"/>
            <w:shd w:val="clear" w:color="auto" w:fill="auto"/>
          </w:tcPr>
          <w:p w14:paraId="19E62A0D" w14:textId="77777777" w:rsidR="00403B5E" w:rsidRPr="000B1D0D" w:rsidRDefault="00403B5E" w:rsidP="000B1D0D">
            <w:pPr>
              <w:spacing w:after="160" w:line="360" w:lineRule="auto"/>
              <w:rPr>
                <w:rFonts w:ascii="Arial" w:hAnsi="Arial" w:cs="Arial"/>
                <w:b/>
                <w:sz w:val="22"/>
                <w:szCs w:val="22"/>
              </w:rPr>
            </w:pPr>
            <w:r w:rsidRPr="000B1D0D">
              <w:rPr>
                <w:rFonts w:ascii="Arial" w:hAnsi="Arial" w:cs="Arial"/>
                <w:b/>
                <w:sz w:val="22"/>
                <w:szCs w:val="22"/>
              </w:rPr>
              <w:t>Opportunities</w:t>
            </w:r>
          </w:p>
        </w:tc>
        <w:tc>
          <w:tcPr>
            <w:tcW w:w="4508" w:type="dxa"/>
            <w:shd w:val="clear" w:color="auto" w:fill="auto"/>
          </w:tcPr>
          <w:p w14:paraId="2DE7E640" w14:textId="77777777" w:rsidR="00403B5E" w:rsidRPr="000B1D0D" w:rsidRDefault="00403B5E" w:rsidP="000B1D0D">
            <w:pPr>
              <w:spacing w:after="160" w:line="360" w:lineRule="auto"/>
              <w:rPr>
                <w:rFonts w:ascii="Arial" w:hAnsi="Arial" w:cs="Arial"/>
                <w:b/>
                <w:sz w:val="22"/>
                <w:szCs w:val="22"/>
              </w:rPr>
            </w:pPr>
            <w:r w:rsidRPr="000B1D0D">
              <w:rPr>
                <w:rFonts w:ascii="Arial" w:hAnsi="Arial" w:cs="Arial"/>
                <w:b/>
                <w:sz w:val="22"/>
                <w:szCs w:val="22"/>
              </w:rPr>
              <w:t>Threats</w:t>
            </w:r>
          </w:p>
        </w:tc>
      </w:tr>
      <w:tr w:rsidR="00403B5E" w:rsidRPr="000B1D0D" w14:paraId="0082B226" w14:textId="77777777" w:rsidTr="00A95122">
        <w:tc>
          <w:tcPr>
            <w:tcW w:w="4508" w:type="dxa"/>
          </w:tcPr>
          <w:p w14:paraId="213DC2C3"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lastRenderedPageBreak/>
              <w:t>Growing demand for electric cars.</w:t>
            </w:r>
          </w:p>
          <w:p w14:paraId="59657753" w14:textId="6A67AA83"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 xml:space="preserve">Favourable government policies and taxation laws towards electric vehicles </w:t>
            </w:r>
          </w:p>
          <w:p w14:paraId="249F85BE"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Global expansion to new markets.</w:t>
            </w:r>
          </w:p>
          <w:p w14:paraId="16DA94A8"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Diversification potential.</w:t>
            </w:r>
          </w:p>
          <w:p w14:paraId="5A85A135"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Improved product quality.</w:t>
            </w:r>
          </w:p>
        </w:tc>
        <w:tc>
          <w:tcPr>
            <w:tcW w:w="4508" w:type="dxa"/>
          </w:tcPr>
          <w:p w14:paraId="53866696"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Increased competition from the major car manufacturers.</w:t>
            </w:r>
          </w:p>
          <w:p w14:paraId="661A7DC1"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Unpredictable economic cycles.</w:t>
            </w:r>
          </w:p>
          <w:p w14:paraId="21573938"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Changing government policies and public opinion on green energy.</w:t>
            </w:r>
          </w:p>
          <w:p w14:paraId="2A3AE699"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Uncertainties about rare earth metals used for producing car batteries.</w:t>
            </w:r>
          </w:p>
          <w:p w14:paraId="30AD3979" w14:textId="77777777" w:rsidR="00403B5E" w:rsidRPr="000B1D0D" w:rsidRDefault="00403B5E" w:rsidP="000B1D0D">
            <w:pPr>
              <w:numPr>
                <w:ilvl w:val="0"/>
                <w:numId w:val="1"/>
              </w:numPr>
              <w:spacing w:after="160" w:line="360" w:lineRule="auto"/>
              <w:rPr>
                <w:rFonts w:ascii="Arial" w:hAnsi="Arial" w:cs="Arial"/>
                <w:sz w:val="22"/>
                <w:szCs w:val="22"/>
              </w:rPr>
            </w:pPr>
            <w:r w:rsidRPr="000B1D0D">
              <w:rPr>
                <w:rFonts w:ascii="Arial" w:hAnsi="Arial" w:cs="Arial"/>
                <w:sz w:val="22"/>
                <w:szCs w:val="22"/>
              </w:rPr>
              <w:t>Changes in interest rates, exchange rates and inflation.</w:t>
            </w:r>
          </w:p>
        </w:tc>
      </w:tr>
    </w:tbl>
    <w:p w14:paraId="07A6D97D" w14:textId="77777777" w:rsidR="00403B5E" w:rsidRPr="000B1D0D" w:rsidRDefault="00403B5E" w:rsidP="000B1D0D">
      <w:pPr>
        <w:spacing w:line="360" w:lineRule="auto"/>
        <w:rPr>
          <w:rFonts w:ascii="Arial" w:hAnsi="Arial" w:cs="Arial"/>
          <w:b/>
          <w:bCs/>
          <w:sz w:val="22"/>
          <w:szCs w:val="22"/>
        </w:rPr>
      </w:pPr>
      <w:bookmarkStart w:id="12" w:name="_Toc199364279"/>
    </w:p>
    <w:p w14:paraId="36B3122E" w14:textId="77777777" w:rsidR="00403B5E" w:rsidRPr="000B1D0D" w:rsidRDefault="00403B5E" w:rsidP="000B1D0D">
      <w:pPr>
        <w:spacing w:line="360" w:lineRule="auto"/>
        <w:rPr>
          <w:rFonts w:ascii="Arial" w:hAnsi="Arial" w:cs="Arial"/>
          <w:b/>
          <w:bCs/>
          <w:sz w:val="22"/>
          <w:szCs w:val="22"/>
        </w:rPr>
      </w:pPr>
    </w:p>
    <w:p w14:paraId="30F91174" w14:textId="26F240F7" w:rsidR="00403B5E" w:rsidRPr="000B1D0D" w:rsidRDefault="00403B5E" w:rsidP="000B1D0D">
      <w:pPr>
        <w:pStyle w:val="Heading1"/>
        <w:spacing w:line="360" w:lineRule="auto"/>
        <w:rPr>
          <w:rFonts w:ascii="Arial" w:hAnsi="Arial" w:cs="Arial"/>
          <w:b/>
          <w:bCs/>
          <w:color w:val="auto"/>
          <w:sz w:val="22"/>
          <w:szCs w:val="22"/>
        </w:rPr>
      </w:pPr>
      <w:bookmarkStart w:id="13" w:name="_Toc201916675"/>
      <w:r w:rsidRPr="000B1D0D">
        <w:rPr>
          <w:rFonts w:ascii="Arial" w:hAnsi="Arial" w:cs="Arial"/>
          <w:b/>
          <w:bCs/>
          <w:color w:val="auto"/>
          <w:sz w:val="22"/>
          <w:szCs w:val="22"/>
        </w:rPr>
        <w:t>Strategy Formulation</w:t>
      </w:r>
      <w:bookmarkEnd w:id="12"/>
      <w:bookmarkEnd w:id="13"/>
    </w:p>
    <w:p w14:paraId="5E1F6B14" w14:textId="3672FC12" w:rsidR="00403B5E" w:rsidRPr="000B1D0D" w:rsidRDefault="00403B5E" w:rsidP="000B1D0D">
      <w:pPr>
        <w:spacing w:line="360" w:lineRule="auto"/>
        <w:rPr>
          <w:rFonts w:ascii="Arial" w:hAnsi="Arial" w:cs="Arial"/>
          <w:sz w:val="22"/>
          <w:szCs w:val="22"/>
        </w:rPr>
      </w:pPr>
      <w:r w:rsidRPr="000B1D0D">
        <w:rPr>
          <w:rFonts w:ascii="Arial" w:hAnsi="Arial" w:cs="Arial"/>
          <w:sz w:val="22"/>
          <w:szCs w:val="22"/>
        </w:rPr>
        <w:t xml:space="preserve">The audit of Jaguar Land Rover’s internal and external environment identifies advanced car technology, vehicle designs, and strong reputation and brand identity as its core competencies, and fierce competition in the automotive market as its main challenge. Therefore, policy formulation will consider these factors to promote resource allocation, organisational alignment, prioritisation, and validation of business goals. Henry (2021) defines strategy formulation as "the process of using available knowledge to document the intended direction of a business and the actionable steps to reach the goals". Strategy formulation in most organisations occurs at business and corporate levels within an organisation. </w:t>
      </w:r>
    </w:p>
    <w:p w14:paraId="765BBEBC" w14:textId="77777777" w:rsidR="00403B5E" w:rsidRPr="000B1D0D" w:rsidRDefault="00403B5E" w:rsidP="000B1D0D">
      <w:pPr>
        <w:spacing w:line="360" w:lineRule="auto"/>
        <w:rPr>
          <w:rFonts w:ascii="Arial" w:hAnsi="Arial" w:cs="Arial"/>
          <w:sz w:val="22"/>
          <w:szCs w:val="22"/>
        </w:rPr>
      </w:pPr>
      <w:r w:rsidRPr="000B1D0D">
        <w:rPr>
          <w:rFonts w:ascii="Arial" w:hAnsi="Arial" w:cs="Arial"/>
          <w:sz w:val="22"/>
          <w:szCs w:val="22"/>
        </w:rPr>
        <w:t xml:space="preserve">Based on this background, the company should customise its cars to meet the unique needs of different customers, such as safety, comfort and luxury, since it is impossible to meet the needs of every customer through standard design procedures. Yoo and Park (2016) reiterate that customisation is essential for luxury car brands since it allows the company to develop a personalised relationship with its customers, leading to successful performance. Moreover, the company should focus on electric car development to help it align with the shifting consumer focus on electric cars and to help it come up with industry-leading technologies to promote and enhance its market position and ensure sustainable growth. </w:t>
      </w:r>
    </w:p>
    <w:p w14:paraId="38B11A00" w14:textId="77777777" w:rsidR="00403B5E" w:rsidRPr="000B1D0D" w:rsidRDefault="00403B5E" w:rsidP="000B1D0D">
      <w:pPr>
        <w:pStyle w:val="Heading1"/>
        <w:spacing w:line="360" w:lineRule="auto"/>
        <w:rPr>
          <w:rFonts w:ascii="Arial" w:hAnsi="Arial" w:cs="Arial"/>
          <w:b/>
          <w:bCs/>
          <w:color w:val="auto"/>
          <w:sz w:val="22"/>
          <w:szCs w:val="22"/>
        </w:rPr>
      </w:pPr>
      <w:bookmarkStart w:id="14" w:name="_Toc199364280"/>
      <w:bookmarkStart w:id="15" w:name="_Toc201916676"/>
      <w:r w:rsidRPr="000B1D0D">
        <w:rPr>
          <w:rFonts w:ascii="Arial" w:hAnsi="Arial" w:cs="Arial"/>
          <w:b/>
          <w:bCs/>
          <w:color w:val="auto"/>
          <w:sz w:val="22"/>
          <w:szCs w:val="22"/>
        </w:rPr>
        <w:lastRenderedPageBreak/>
        <w:t>Conclusion and Recommendation</w:t>
      </w:r>
      <w:bookmarkEnd w:id="14"/>
      <w:bookmarkEnd w:id="15"/>
    </w:p>
    <w:p w14:paraId="7D3F3475" w14:textId="743D1BF9" w:rsidR="00403B5E" w:rsidRPr="000B1D0D" w:rsidRDefault="00403B5E" w:rsidP="000B1D0D">
      <w:pPr>
        <w:spacing w:line="360" w:lineRule="auto"/>
        <w:rPr>
          <w:rFonts w:ascii="Arial" w:hAnsi="Arial" w:cs="Arial"/>
          <w:sz w:val="22"/>
          <w:szCs w:val="22"/>
        </w:rPr>
      </w:pPr>
      <w:r w:rsidRPr="000B1D0D">
        <w:rPr>
          <w:rFonts w:ascii="Arial" w:hAnsi="Arial" w:cs="Arial"/>
          <w:sz w:val="22"/>
          <w:szCs w:val="22"/>
        </w:rPr>
        <w:t xml:space="preserve">The report highlights the benefits of strategic management and strategic analysis of Jaguar Land Rover's strategic influences. The report also provides forward-looking strategies to enhance the company's market position and promote its sustainable growth. The analysis also indicates that the UK's automotive sector is highly competitive due to the presence of rival brands, such as BMW and Mercedes-Benz. Therefore, the company should focus on customising its products to meet customers' unique safety, comfort and luxury needs. Notably, this is because the current car brands, regardless of their advanced technologies and designs, are incapable of meeting the unique safety, luxury, and performance needs of their target customers. Through product customisation, the company will be able to attract more customers, leading to increased performance. Moreover, the company should focus on electrification of its cars. Jaguar Land Rover (2025) indicates that the company is already focusing on electrifying its products by 2030. Notably, this is because the automotive industry is rapidly moving towards all-electric vehicles. Finally, the company should train more technicians to reduce the cost of maintenance of its uniquely engineered vehicles. The high cost of maintenance is among the weaknesses associated with the company's vehicles. </w:t>
      </w:r>
    </w:p>
    <w:p w14:paraId="7CCC7120" w14:textId="77777777" w:rsidR="00403B5E" w:rsidRPr="000B1D0D" w:rsidRDefault="00403B5E" w:rsidP="000B1D0D">
      <w:pPr>
        <w:spacing w:line="360" w:lineRule="auto"/>
        <w:rPr>
          <w:rFonts w:ascii="Arial" w:hAnsi="Arial" w:cs="Arial"/>
          <w:sz w:val="22"/>
          <w:szCs w:val="22"/>
        </w:rPr>
      </w:pPr>
      <w:r w:rsidRPr="000B1D0D">
        <w:rPr>
          <w:rFonts w:ascii="Arial" w:hAnsi="Arial" w:cs="Arial"/>
          <w:sz w:val="22"/>
          <w:szCs w:val="22"/>
        </w:rPr>
        <w:tab/>
      </w:r>
    </w:p>
    <w:p w14:paraId="4A1CC5F2" w14:textId="77777777" w:rsidR="00403B5E" w:rsidRPr="000B1D0D" w:rsidRDefault="00403B5E" w:rsidP="000B1D0D">
      <w:pPr>
        <w:spacing w:line="360" w:lineRule="auto"/>
        <w:rPr>
          <w:rFonts w:ascii="Arial" w:hAnsi="Arial" w:cs="Arial"/>
          <w:sz w:val="22"/>
          <w:szCs w:val="22"/>
        </w:rPr>
      </w:pPr>
      <w:r w:rsidRPr="000B1D0D">
        <w:rPr>
          <w:rFonts w:ascii="Arial" w:hAnsi="Arial" w:cs="Arial"/>
          <w:sz w:val="22"/>
          <w:szCs w:val="22"/>
        </w:rPr>
        <w:br w:type="page"/>
      </w:r>
    </w:p>
    <w:p w14:paraId="258C82AE" w14:textId="1194D26F" w:rsidR="00403B5E" w:rsidRPr="000B1D0D" w:rsidRDefault="00666D09" w:rsidP="000B1D0D">
      <w:pPr>
        <w:pStyle w:val="Heading1"/>
        <w:spacing w:line="360" w:lineRule="auto"/>
        <w:rPr>
          <w:rFonts w:ascii="Arial" w:hAnsi="Arial" w:cs="Arial"/>
          <w:b/>
          <w:bCs/>
          <w:color w:val="auto"/>
          <w:sz w:val="22"/>
          <w:szCs w:val="22"/>
        </w:rPr>
      </w:pPr>
      <w:bookmarkStart w:id="16" w:name="_Toc201916677"/>
      <w:r w:rsidRPr="000B1D0D">
        <w:rPr>
          <w:rFonts w:ascii="Arial" w:hAnsi="Arial" w:cs="Arial"/>
          <w:b/>
          <w:bCs/>
          <w:color w:val="auto"/>
          <w:sz w:val="22"/>
          <w:szCs w:val="22"/>
        </w:rPr>
        <w:lastRenderedPageBreak/>
        <w:t>Reference list</w:t>
      </w:r>
      <w:bookmarkEnd w:id="16"/>
      <w:r w:rsidRPr="000B1D0D">
        <w:rPr>
          <w:rFonts w:ascii="Arial" w:hAnsi="Arial" w:cs="Arial"/>
          <w:b/>
          <w:bCs/>
          <w:color w:val="auto"/>
          <w:sz w:val="22"/>
          <w:szCs w:val="22"/>
        </w:rPr>
        <w:t xml:space="preserve">  </w:t>
      </w:r>
    </w:p>
    <w:p w14:paraId="4BB4F974" w14:textId="38ACBB04" w:rsidR="00666D09" w:rsidRPr="000B1D0D" w:rsidRDefault="00CE3DE2" w:rsidP="000B1D0D">
      <w:pPr>
        <w:pStyle w:val="ListParagraph"/>
        <w:numPr>
          <w:ilvl w:val="0"/>
          <w:numId w:val="2"/>
        </w:numPr>
        <w:spacing w:line="360" w:lineRule="auto"/>
        <w:rPr>
          <w:rFonts w:ascii="Arial" w:hAnsi="Arial" w:cs="Arial"/>
          <w:sz w:val="22"/>
          <w:szCs w:val="22"/>
        </w:rPr>
      </w:pPr>
      <w:r w:rsidRPr="000B1D0D">
        <w:rPr>
          <w:rFonts w:ascii="Arial" w:hAnsi="Arial" w:cs="Arial"/>
          <w:sz w:val="22"/>
          <w:szCs w:val="22"/>
        </w:rPr>
        <w:t>Adeniran, A.O. and Awe, G.T. (2025) Strategic Analysis of Tata Motors in the United Kingdom: Recommendations for Nigeria Market. Management Analytics and Social Insights.</w:t>
      </w:r>
      <w:r w:rsidR="00596E5B" w:rsidRPr="000B1D0D">
        <w:rPr>
          <w:rFonts w:ascii="Arial" w:hAnsi="Arial" w:cs="Arial"/>
          <w:sz w:val="22"/>
          <w:szCs w:val="22"/>
        </w:rPr>
        <w:t xml:space="preserve"> [Accessed </w:t>
      </w:r>
      <w:r w:rsidR="009E1886" w:rsidRPr="000B1D0D">
        <w:rPr>
          <w:rFonts w:ascii="Arial" w:hAnsi="Arial" w:cs="Arial"/>
          <w:sz w:val="22"/>
          <w:szCs w:val="22"/>
        </w:rPr>
        <w:t>on 6</w:t>
      </w:r>
      <w:r w:rsidR="009E1886" w:rsidRPr="000B1D0D">
        <w:rPr>
          <w:rFonts w:ascii="Arial" w:hAnsi="Arial" w:cs="Arial"/>
          <w:sz w:val="22"/>
          <w:szCs w:val="22"/>
          <w:vertAlign w:val="superscript"/>
        </w:rPr>
        <w:t>th</w:t>
      </w:r>
      <w:r w:rsidR="009E1886" w:rsidRPr="000B1D0D">
        <w:rPr>
          <w:rFonts w:ascii="Arial" w:hAnsi="Arial" w:cs="Arial"/>
          <w:sz w:val="22"/>
          <w:szCs w:val="22"/>
        </w:rPr>
        <w:t xml:space="preserve"> June 2025]</w:t>
      </w:r>
    </w:p>
    <w:p w14:paraId="44831505" w14:textId="48F21D30" w:rsidR="00CE3DE2" w:rsidRPr="000B1D0D" w:rsidRDefault="00B2152F" w:rsidP="000B1D0D">
      <w:pPr>
        <w:pStyle w:val="ListParagraph"/>
        <w:numPr>
          <w:ilvl w:val="0"/>
          <w:numId w:val="2"/>
        </w:numPr>
        <w:spacing w:line="360" w:lineRule="auto"/>
        <w:rPr>
          <w:rFonts w:ascii="Arial" w:hAnsi="Arial" w:cs="Arial"/>
          <w:sz w:val="22"/>
          <w:szCs w:val="22"/>
        </w:rPr>
      </w:pPr>
      <w:r w:rsidRPr="000B1D0D">
        <w:rPr>
          <w:rFonts w:ascii="Arial" w:hAnsi="Arial" w:cs="Arial"/>
          <w:sz w:val="22"/>
          <w:szCs w:val="22"/>
        </w:rPr>
        <w:t xml:space="preserve">CIPD (2024) PESTEL analysis. Available at </w:t>
      </w:r>
      <w:hyperlink r:id="rId8" w:history="1">
        <w:r w:rsidRPr="000B1D0D">
          <w:rPr>
            <w:rStyle w:val="Hyperlink"/>
            <w:rFonts w:ascii="Arial" w:hAnsi="Arial" w:cs="Arial"/>
            <w:sz w:val="22"/>
            <w:szCs w:val="22"/>
          </w:rPr>
          <w:t>https://www.cipd.org/en/knowledge/factsheets/pestle-analysis-factsheet/</w:t>
        </w:r>
      </w:hyperlink>
      <w:r w:rsidRPr="000B1D0D">
        <w:rPr>
          <w:rFonts w:ascii="Arial" w:hAnsi="Arial" w:cs="Arial"/>
          <w:sz w:val="22"/>
          <w:szCs w:val="22"/>
        </w:rPr>
        <w:t xml:space="preserve"> </w:t>
      </w:r>
      <w:r w:rsidR="00596E5B" w:rsidRPr="000B1D0D">
        <w:rPr>
          <w:rFonts w:ascii="Arial" w:hAnsi="Arial" w:cs="Arial"/>
          <w:sz w:val="22"/>
          <w:szCs w:val="22"/>
        </w:rPr>
        <w:t>[Accessed on 6</w:t>
      </w:r>
      <w:r w:rsidR="00596E5B" w:rsidRPr="000B1D0D">
        <w:rPr>
          <w:rFonts w:ascii="Arial" w:hAnsi="Arial" w:cs="Arial"/>
          <w:sz w:val="22"/>
          <w:szCs w:val="22"/>
          <w:vertAlign w:val="superscript"/>
        </w:rPr>
        <w:t>th</w:t>
      </w:r>
      <w:r w:rsidR="00596E5B" w:rsidRPr="000B1D0D">
        <w:rPr>
          <w:rFonts w:ascii="Arial" w:hAnsi="Arial" w:cs="Arial"/>
          <w:sz w:val="22"/>
          <w:szCs w:val="22"/>
        </w:rPr>
        <w:t xml:space="preserve"> June 2025]</w:t>
      </w:r>
    </w:p>
    <w:p w14:paraId="7639A5C1" w14:textId="697A1F4F" w:rsidR="009E1886" w:rsidRPr="000B1D0D" w:rsidRDefault="005849F5" w:rsidP="000B1D0D">
      <w:pPr>
        <w:pStyle w:val="ListParagraph"/>
        <w:numPr>
          <w:ilvl w:val="0"/>
          <w:numId w:val="2"/>
        </w:numPr>
        <w:spacing w:line="360" w:lineRule="auto"/>
        <w:rPr>
          <w:rFonts w:ascii="Arial" w:hAnsi="Arial" w:cs="Arial"/>
          <w:sz w:val="22"/>
          <w:szCs w:val="22"/>
        </w:rPr>
      </w:pPr>
      <w:r w:rsidRPr="000B1D0D">
        <w:rPr>
          <w:rFonts w:ascii="Arial" w:hAnsi="Arial" w:cs="Arial"/>
          <w:sz w:val="22"/>
          <w:szCs w:val="22"/>
        </w:rPr>
        <w:t xml:space="preserve">De Sousa, G.C. and Castañeda-Ayarza, J.A. (2022) PESTEL analysis and the macro-environmental factors that influence the development of the electric and hybrid vehicles industry in Brazil. Case Studies on Transport Policy. </w:t>
      </w:r>
      <w:r w:rsidR="008D731B" w:rsidRPr="000B1D0D">
        <w:rPr>
          <w:rFonts w:ascii="Arial" w:hAnsi="Arial" w:cs="Arial"/>
          <w:sz w:val="22"/>
          <w:szCs w:val="22"/>
        </w:rPr>
        <w:t>[Accessed on 10</w:t>
      </w:r>
      <w:r w:rsidR="008D731B" w:rsidRPr="000B1D0D">
        <w:rPr>
          <w:rFonts w:ascii="Arial" w:hAnsi="Arial" w:cs="Arial"/>
          <w:sz w:val="22"/>
          <w:szCs w:val="22"/>
          <w:vertAlign w:val="superscript"/>
        </w:rPr>
        <w:t>th</w:t>
      </w:r>
      <w:r w:rsidR="008D731B" w:rsidRPr="000B1D0D">
        <w:rPr>
          <w:rFonts w:ascii="Arial" w:hAnsi="Arial" w:cs="Arial"/>
          <w:sz w:val="22"/>
          <w:szCs w:val="22"/>
        </w:rPr>
        <w:t xml:space="preserve"> June 2025]</w:t>
      </w:r>
    </w:p>
    <w:p w14:paraId="3D73C7F4" w14:textId="781A3056" w:rsidR="008D731B" w:rsidRPr="000B1D0D" w:rsidRDefault="00720F55" w:rsidP="000B1D0D">
      <w:pPr>
        <w:pStyle w:val="ListParagraph"/>
        <w:numPr>
          <w:ilvl w:val="0"/>
          <w:numId w:val="2"/>
        </w:numPr>
        <w:spacing w:line="360" w:lineRule="auto"/>
        <w:rPr>
          <w:rFonts w:ascii="Arial" w:hAnsi="Arial" w:cs="Arial"/>
          <w:sz w:val="22"/>
          <w:szCs w:val="22"/>
        </w:rPr>
      </w:pPr>
      <w:r w:rsidRPr="000B1D0D">
        <w:rPr>
          <w:rFonts w:ascii="Arial" w:hAnsi="Arial" w:cs="Arial"/>
          <w:sz w:val="22"/>
          <w:szCs w:val="22"/>
        </w:rPr>
        <w:t>Hahm, J. (2023) Future Growth of Formula E: Reinforcing Spectators' Sensory Experience through Sonic Branding. In The Future of Motorsports.</w:t>
      </w:r>
    </w:p>
    <w:p w14:paraId="39741969" w14:textId="7EAF2D34" w:rsidR="00720F55" w:rsidRPr="000B1D0D" w:rsidRDefault="00B97EDD" w:rsidP="000B1D0D">
      <w:pPr>
        <w:pStyle w:val="ListParagraph"/>
        <w:numPr>
          <w:ilvl w:val="0"/>
          <w:numId w:val="2"/>
        </w:numPr>
        <w:spacing w:line="360" w:lineRule="auto"/>
        <w:rPr>
          <w:rFonts w:ascii="Arial" w:hAnsi="Arial" w:cs="Arial"/>
          <w:sz w:val="22"/>
          <w:szCs w:val="22"/>
        </w:rPr>
      </w:pPr>
      <w:r w:rsidRPr="000B1D0D">
        <w:rPr>
          <w:rFonts w:ascii="Arial" w:hAnsi="Arial" w:cs="Arial"/>
          <w:sz w:val="22"/>
          <w:szCs w:val="22"/>
        </w:rPr>
        <w:t xml:space="preserve">Hamilton, L., and Webster, P. (2018) The international business environment. Oxford University </w:t>
      </w:r>
      <w:r w:rsidR="00426D1C" w:rsidRPr="000B1D0D">
        <w:rPr>
          <w:rFonts w:ascii="Arial" w:hAnsi="Arial" w:cs="Arial"/>
          <w:sz w:val="22"/>
          <w:szCs w:val="22"/>
        </w:rPr>
        <w:t xml:space="preserve">Press. Available at: </w:t>
      </w:r>
      <w:hyperlink r:id="rId9" w:anchor="v=onepage&amp;q=Hamilton%2C%20L.%2C%20and%20Webster%2C%20P.%20(2018)%20The%20international%20business%20environment.%20Oxford%20University%20Press.&amp;f=false" w:history="1">
        <w:r w:rsidR="00426D1C" w:rsidRPr="000B1D0D">
          <w:rPr>
            <w:rStyle w:val="Hyperlink"/>
            <w:rFonts w:ascii="Arial" w:hAnsi="Arial" w:cs="Arial"/>
            <w:sz w:val="22"/>
            <w:szCs w:val="22"/>
          </w:rPr>
          <w:t>The International Business Environment - Leslie Hamilton, Philip Webster - Google Books</w:t>
        </w:r>
      </w:hyperlink>
      <w:r w:rsidR="00426D1C" w:rsidRPr="000B1D0D">
        <w:rPr>
          <w:rFonts w:ascii="Arial" w:hAnsi="Arial" w:cs="Arial"/>
          <w:sz w:val="22"/>
          <w:szCs w:val="22"/>
        </w:rPr>
        <w:t xml:space="preserve"> [Accessed on 10</w:t>
      </w:r>
      <w:r w:rsidR="00426D1C" w:rsidRPr="000B1D0D">
        <w:rPr>
          <w:rFonts w:ascii="Arial" w:hAnsi="Arial" w:cs="Arial"/>
          <w:sz w:val="22"/>
          <w:szCs w:val="22"/>
          <w:vertAlign w:val="superscript"/>
        </w:rPr>
        <w:t>th</w:t>
      </w:r>
      <w:r w:rsidR="00426D1C" w:rsidRPr="000B1D0D">
        <w:rPr>
          <w:rFonts w:ascii="Arial" w:hAnsi="Arial" w:cs="Arial"/>
          <w:sz w:val="22"/>
          <w:szCs w:val="22"/>
        </w:rPr>
        <w:t xml:space="preserve"> June]</w:t>
      </w:r>
    </w:p>
    <w:p w14:paraId="5C7B7D9B" w14:textId="036126EC" w:rsidR="00B97EDD" w:rsidRPr="000B1D0D" w:rsidRDefault="007F0D52" w:rsidP="000B1D0D">
      <w:pPr>
        <w:pStyle w:val="ListParagraph"/>
        <w:numPr>
          <w:ilvl w:val="0"/>
          <w:numId w:val="2"/>
        </w:numPr>
        <w:spacing w:line="360" w:lineRule="auto"/>
        <w:rPr>
          <w:rFonts w:ascii="Arial" w:hAnsi="Arial" w:cs="Arial"/>
          <w:sz w:val="22"/>
          <w:szCs w:val="22"/>
        </w:rPr>
      </w:pPr>
      <w:r w:rsidRPr="000B1D0D">
        <w:rPr>
          <w:rFonts w:ascii="Arial" w:hAnsi="Arial" w:cs="Arial"/>
          <w:sz w:val="22"/>
          <w:szCs w:val="22"/>
        </w:rPr>
        <w:t xml:space="preserve">Henry, A. (2021) Understanding strategic management. Oxford University </w:t>
      </w:r>
      <w:r w:rsidR="00EB6675" w:rsidRPr="000B1D0D">
        <w:rPr>
          <w:rFonts w:ascii="Arial" w:hAnsi="Arial" w:cs="Arial"/>
          <w:sz w:val="22"/>
          <w:szCs w:val="22"/>
        </w:rPr>
        <w:t>Press. Available</w:t>
      </w:r>
      <w:r w:rsidR="00001C7A" w:rsidRPr="000B1D0D">
        <w:rPr>
          <w:rFonts w:ascii="Arial" w:hAnsi="Arial" w:cs="Arial"/>
          <w:sz w:val="22"/>
          <w:szCs w:val="22"/>
        </w:rPr>
        <w:t xml:space="preserve"> at: </w:t>
      </w:r>
      <w:hyperlink r:id="rId10" w:anchor="v=onepage&amp;q=Henry%2C%20A.%20(2021)%20Understanding%20strategic%20management.%20Oxford%20University%20Press.&amp;f=false" w:history="1">
        <w:r w:rsidR="00EB6675" w:rsidRPr="000B1D0D">
          <w:rPr>
            <w:rStyle w:val="Hyperlink"/>
            <w:rFonts w:ascii="Arial" w:hAnsi="Arial" w:cs="Arial"/>
            <w:sz w:val="22"/>
            <w:szCs w:val="22"/>
          </w:rPr>
          <w:t>https://books.google.co.uk/books?hl=en&amp;lr=&amp;id=M7wyEAAAQBAJ&amp;oi=fnd&amp;pg=PP1&amp;dq=Henry,+A.+(2021)+Understanding+strategic+management.+Oxford+University+Press.&amp;ots=Z4x-qfeACx&amp;sig=J8frgIyYWy_XbKJYmkDwIpy3J6A#v=onepage&amp;q=Henry%2C%20A.%20(2021)%20Understanding%20strategic%20management.%20Oxford%20University%20Press.&amp;f=false</w:t>
        </w:r>
      </w:hyperlink>
      <w:r w:rsidR="007E5D04" w:rsidRPr="000B1D0D">
        <w:rPr>
          <w:rFonts w:ascii="Arial" w:hAnsi="Arial" w:cs="Arial"/>
          <w:sz w:val="22"/>
          <w:szCs w:val="22"/>
        </w:rPr>
        <w:t xml:space="preserve"> [Accessed on 18</w:t>
      </w:r>
      <w:r w:rsidR="007E5D04" w:rsidRPr="000B1D0D">
        <w:rPr>
          <w:rFonts w:ascii="Arial" w:hAnsi="Arial" w:cs="Arial"/>
          <w:sz w:val="22"/>
          <w:szCs w:val="22"/>
          <w:vertAlign w:val="superscript"/>
        </w:rPr>
        <w:t>th</w:t>
      </w:r>
      <w:r w:rsidR="007E5D04" w:rsidRPr="000B1D0D">
        <w:rPr>
          <w:rFonts w:ascii="Arial" w:hAnsi="Arial" w:cs="Arial"/>
          <w:sz w:val="22"/>
          <w:szCs w:val="22"/>
        </w:rPr>
        <w:t xml:space="preserve"> June]</w:t>
      </w:r>
    </w:p>
    <w:p w14:paraId="461B8746" w14:textId="466AF324" w:rsidR="00EB6675" w:rsidRPr="000B1D0D" w:rsidRDefault="001B44CD" w:rsidP="000B1D0D">
      <w:pPr>
        <w:pStyle w:val="ListParagraph"/>
        <w:numPr>
          <w:ilvl w:val="0"/>
          <w:numId w:val="2"/>
        </w:numPr>
        <w:spacing w:line="360" w:lineRule="auto"/>
        <w:rPr>
          <w:rFonts w:ascii="Arial" w:hAnsi="Arial" w:cs="Arial"/>
          <w:sz w:val="22"/>
          <w:szCs w:val="22"/>
        </w:rPr>
      </w:pPr>
      <w:r w:rsidRPr="000B1D0D">
        <w:rPr>
          <w:rFonts w:ascii="Arial" w:hAnsi="Arial" w:cs="Arial"/>
          <w:sz w:val="22"/>
          <w:szCs w:val="22"/>
        </w:rPr>
        <w:t>Hunger, J.D. (2011) Essentials of strategic management. Pearson Education Limited.</w:t>
      </w:r>
      <w:r w:rsidR="007E5D04" w:rsidRPr="000B1D0D">
        <w:rPr>
          <w:rFonts w:ascii="Arial" w:hAnsi="Arial" w:cs="Arial"/>
          <w:sz w:val="22"/>
          <w:szCs w:val="22"/>
        </w:rPr>
        <w:t xml:space="preserve"> [Accessed on 19</w:t>
      </w:r>
      <w:r w:rsidR="007E5D04" w:rsidRPr="000B1D0D">
        <w:rPr>
          <w:rFonts w:ascii="Arial" w:hAnsi="Arial" w:cs="Arial"/>
          <w:sz w:val="22"/>
          <w:szCs w:val="22"/>
          <w:vertAlign w:val="superscript"/>
        </w:rPr>
        <w:t>th</w:t>
      </w:r>
      <w:r w:rsidR="007E5D04" w:rsidRPr="000B1D0D">
        <w:rPr>
          <w:rFonts w:ascii="Arial" w:hAnsi="Arial" w:cs="Arial"/>
          <w:sz w:val="22"/>
          <w:szCs w:val="22"/>
        </w:rPr>
        <w:t xml:space="preserve"> </w:t>
      </w:r>
      <w:proofErr w:type="gramStart"/>
      <w:r w:rsidR="007E5D04" w:rsidRPr="000B1D0D">
        <w:rPr>
          <w:rFonts w:ascii="Arial" w:hAnsi="Arial" w:cs="Arial"/>
          <w:sz w:val="22"/>
          <w:szCs w:val="22"/>
        </w:rPr>
        <w:t>June ]</w:t>
      </w:r>
      <w:proofErr w:type="gramEnd"/>
    </w:p>
    <w:p w14:paraId="319B2319" w14:textId="392A54ED" w:rsidR="007E5D04" w:rsidRPr="000B1D0D" w:rsidRDefault="00FA2B48" w:rsidP="000B1D0D">
      <w:pPr>
        <w:pStyle w:val="ListParagraph"/>
        <w:numPr>
          <w:ilvl w:val="0"/>
          <w:numId w:val="2"/>
        </w:numPr>
        <w:spacing w:line="360" w:lineRule="auto"/>
        <w:rPr>
          <w:rFonts w:ascii="Arial" w:hAnsi="Arial" w:cs="Arial"/>
          <w:sz w:val="22"/>
          <w:szCs w:val="22"/>
        </w:rPr>
      </w:pPr>
      <w:r w:rsidRPr="000B1D0D">
        <w:rPr>
          <w:rFonts w:ascii="Arial" w:hAnsi="Arial" w:cs="Arial"/>
          <w:sz w:val="22"/>
          <w:szCs w:val="22"/>
        </w:rPr>
        <w:t>Isabelle, D., Horak, K., McKinnon, S. and Palumbo, C. (2020) Is Porter's Five Forces Framework Still Relevant? A study of the capital/labour intensity continuum via mining and IT industries. Technology Innovation Management Review</w:t>
      </w:r>
    </w:p>
    <w:p w14:paraId="5236E9B5" w14:textId="43C462B0" w:rsidR="00A76890" w:rsidRPr="000B1D0D" w:rsidRDefault="00A76890" w:rsidP="000B1D0D">
      <w:pPr>
        <w:pStyle w:val="ListParagraph"/>
        <w:numPr>
          <w:ilvl w:val="0"/>
          <w:numId w:val="2"/>
        </w:numPr>
        <w:spacing w:line="360" w:lineRule="auto"/>
        <w:rPr>
          <w:rFonts w:ascii="Arial" w:hAnsi="Arial" w:cs="Arial"/>
          <w:sz w:val="22"/>
          <w:szCs w:val="22"/>
        </w:rPr>
      </w:pPr>
      <w:r w:rsidRPr="000B1D0D">
        <w:rPr>
          <w:rFonts w:ascii="Arial" w:hAnsi="Arial" w:cs="Arial"/>
          <w:sz w:val="22"/>
          <w:szCs w:val="22"/>
        </w:rPr>
        <w:t xml:space="preserve">Jaguar Land Rover (2025) Our brands. Available at:  https://www.jlr.com/brands [Accessed 27th May 2025]. </w:t>
      </w:r>
    </w:p>
    <w:p w14:paraId="1C5C9498" w14:textId="2B9F2BDC" w:rsidR="00A76890" w:rsidRPr="000B1D0D" w:rsidRDefault="006625E5" w:rsidP="000B1D0D">
      <w:pPr>
        <w:pStyle w:val="ListParagraph"/>
        <w:numPr>
          <w:ilvl w:val="0"/>
          <w:numId w:val="2"/>
        </w:numPr>
        <w:spacing w:line="360" w:lineRule="auto"/>
        <w:rPr>
          <w:rFonts w:ascii="Arial" w:hAnsi="Arial" w:cs="Arial"/>
          <w:sz w:val="22"/>
          <w:szCs w:val="22"/>
        </w:rPr>
      </w:pPr>
      <w:r w:rsidRPr="000B1D0D">
        <w:rPr>
          <w:rFonts w:ascii="Arial" w:hAnsi="Arial" w:cs="Arial"/>
          <w:sz w:val="22"/>
          <w:szCs w:val="22"/>
        </w:rPr>
        <w:t xml:space="preserve">JLR Apprenticeships (2025) About Jaguar Land Rover. Available at: https://www.jaguarlandroverretailerapprenticeships.co.uk/about [Accessed 27th May 2025]. </w:t>
      </w:r>
    </w:p>
    <w:p w14:paraId="1D53941F" w14:textId="15908332" w:rsidR="006625E5" w:rsidRPr="008E5BD0" w:rsidRDefault="008E284D" w:rsidP="008E5BD0">
      <w:pPr>
        <w:pStyle w:val="ListParagraph"/>
        <w:numPr>
          <w:ilvl w:val="0"/>
          <w:numId w:val="2"/>
        </w:numPr>
        <w:spacing w:line="360" w:lineRule="auto"/>
        <w:rPr>
          <w:rFonts w:ascii="Arial" w:hAnsi="Arial" w:cs="Arial"/>
          <w:sz w:val="22"/>
          <w:szCs w:val="22"/>
        </w:rPr>
      </w:pPr>
      <w:r w:rsidRPr="008E5BD0">
        <w:rPr>
          <w:rFonts w:ascii="Arial" w:hAnsi="Arial" w:cs="Arial"/>
          <w:sz w:val="22"/>
          <w:szCs w:val="22"/>
        </w:rPr>
        <w:lastRenderedPageBreak/>
        <w:t xml:space="preserve">Mukherjee, D. (2022) A case for Tata Motors' acquisition of Jaguar Land Rover: strategic implications of the takeover. International Journal of Strategic Business Alliances [Accessed on </w:t>
      </w:r>
      <w:r w:rsidR="006E268D" w:rsidRPr="008E5BD0">
        <w:rPr>
          <w:rFonts w:ascii="Arial" w:hAnsi="Arial" w:cs="Arial"/>
          <w:sz w:val="22"/>
          <w:szCs w:val="22"/>
        </w:rPr>
        <w:t>30</w:t>
      </w:r>
      <w:r w:rsidR="006E268D" w:rsidRPr="008E5BD0">
        <w:rPr>
          <w:rFonts w:ascii="Arial" w:hAnsi="Arial" w:cs="Arial"/>
          <w:sz w:val="22"/>
          <w:szCs w:val="22"/>
          <w:vertAlign w:val="superscript"/>
        </w:rPr>
        <w:t>th</w:t>
      </w:r>
      <w:r w:rsidR="006E268D" w:rsidRPr="008E5BD0">
        <w:rPr>
          <w:rFonts w:ascii="Arial" w:hAnsi="Arial" w:cs="Arial"/>
          <w:sz w:val="22"/>
          <w:szCs w:val="22"/>
        </w:rPr>
        <w:t xml:space="preserve"> May,2025]</w:t>
      </w:r>
    </w:p>
    <w:p w14:paraId="4BDDF989" w14:textId="695A9FA2" w:rsidR="006E268D" w:rsidRPr="008E5BD0" w:rsidRDefault="00EC7E70" w:rsidP="008E5BD0">
      <w:pPr>
        <w:pStyle w:val="ListParagraph"/>
        <w:numPr>
          <w:ilvl w:val="0"/>
          <w:numId w:val="2"/>
        </w:numPr>
        <w:spacing w:line="360" w:lineRule="auto"/>
        <w:rPr>
          <w:rFonts w:ascii="Arial" w:hAnsi="Arial" w:cs="Arial"/>
          <w:sz w:val="22"/>
          <w:szCs w:val="22"/>
        </w:rPr>
      </w:pPr>
      <w:r w:rsidRPr="008E5BD0">
        <w:rPr>
          <w:rFonts w:ascii="Arial" w:hAnsi="Arial" w:cs="Arial"/>
          <w:sz w:val="22"/>
          <w:szCs w:val="22"/>
        </w:rPr>
        <w:t xml:space="preserve">Whittington, R., Regner, P., Angwin, D., Johnson, G., and Scholes, K. (2020) Exploring strategy, 12e. Pearson Education Limited. </w:t>
      </w:r>
      <w:r w:rsidR="00ED5DE4" w:rsidRPr="008E5BD0">
        <w:rPr>
          <w:rFonts w:ascii="Arial" w:hAnsi="Arial" w:cs="Arial"/>
          <w:sz w:val="22"/>
          <w:szCs w:val="22"/>
        </w:rPr>
        <w:t xml:space="preserve">Available at: </w:t>
      </w:r>
      <w:hyperlink r:id="rId11" w:anchor="v=onepage&amp;q&amp;f=false" w:history="1">
        <w:r w:rsidR="00ED5DE4" w:rsidRPr="008E5BD0">
          <w:rPr>
            <w:rStyle w:val="Hyperlink"/>
            <w:rFonts w:ascii="Arial" w:hAnsi="Arial" w:cs="Arial"/>
            <w:sz w:val="22"/>
            <w:szCs w:val="22"/>
          </w:rPr>
          <w:t>https://books.google.co.uk/books?hl=en&amp;lr=&amp;id=ieksEAAAQBAJ&amp;oi=fnd&amp;pg=PT26&amp;dq=Whittington,+R.,+Regner,+P.,+Angwin,+D.,+Johnson,+G.,+and+Scholes,+K.+(2020)+Exploring+strategy,+12e.+Pearson+Education+Limited.&amp;ots=XEF4VeLed6&amp;sig=3s-7PEaklZZk-4osI2vrm2bjevs#v=onepage&amp;q&amp;f=false</w:t>
        </w:r>
      </w:hyperlink>
      <w:r w:rsidR="00ED5DE4" w:rsidRPr="008E5BD0">
        <w:rPr>
          <w:rFonts w:ascii="Arial" w:hAnsi="Arial" w:cs="Arial"/>
          <w:sz w:val="22"/>
          <w:szCs w:val="22"/>
        </w:rPr>
        <w:t xml:space="preserve"> [Accessed on 1</w:t>
      </w:r>
      <w:r w:rsidR="00ED5DE4" w:rsidRPr="008E5BD0">
        <w:rPr>
          <w:rFonts w:ascii="Arial" w:hAnsi="Arial" w:cs="Arial"/>
          <w:sz w:val="22"/>
          <w:szCs w:val="22"/>
          <w:vertAlign w:val="superscript"/>
        </w:rPr>
        <w:t>st</w:t>
      </w:r>
      <w:r w:rsidR="00ED5DE4" w:rsidRPr="008E5BD0">
        <w:rPr>
          <w:rFonts w:ascii="Arial" w:hAnsi="Arial" w:cs="Arial"/>
          <w:sz w:val="22"/>
          <w:szCs w:val="22"/>
        </w:rPr>
        <w:t xml:space="preserve"> June 2025]</w:t>
      </w:r>
    </w:p>
    <w:p w14:paraId="3D24157F" w14:textId="192EBB6F" w:rsidR="00ED5DE4" w:rsidRPr="008E5BD0" w:rsidRDefault="00655FD1" w:rsidP="008E5BD0">
      <w:pPr>
        <w:pStyle w:val="ListParagraph"/>
        <w:numPr>
          <w:ilvl w:val="0"/>
          <w:numId w:val="2"/>
        </w:numPr>
        <w:spacing w:line="360" w:lineRule="auto"/>
        <w:rPr>
          <w:rFonts w:ascii="Arial" w:hAnsi="Arial" w:cs="Arial"/>
          <w:sz w:val="22"/>
          <w:szCs w:val="22"/>
        </w:rPr>
      </w:pPr>
      <w:r w:rsidRPr="008E5BD0">
        <w:rPr>
          <w:rFonts w:ascii="Arial" w:hAnsi="Arial" w:cs="Arial"/>
          <w:sz w:val="22"/>
          <w:szCs w:val="22"/>
        </w:rPr>
        <w:t xml:space="preserve">Wood, B., Williams, O., Nagarajan, V., and Sacks, G. (2021) Market strategies used by processed food manufacturers to increase and consolidate their power: a systematic review and document analysis. Globalisation and </w:t>
      </w:r>
      <w:r w:rsidR="00F87D46" w:rsidRPr="008E5BD0">
        <w:rPr>
          <w:rFonts w:ascii="Arial" w:hAnsi="Arial" w:cs="Arial"/>
          <w:sz w:val="22"/>
          <w:szCs w:val="22"/>
        </w:rPr>
        <w:t>Health. [Accessed on 20</w:t>
      </w:r>
      <w:r w:rsidR="00F87D46" w:rsidRPr="008E5BD0">
        <w:rPr>
          <w:rFonts w:ascii="Arial" w:hAnsi="Arial" w:cs="Arial"/>
          <w:sz w:val="22"/>
          <w:szCs w:val="22"/>
          <w:vertAlign w:val="superscript"/>
        </w:rPr>
        <w:t>th</w:t>
      </w:r>
      <w:r w:rsidR="00F87D46" w:rsidRPr="008E5BD0">
        <w:rPr>
          <w:rFonts w:ascii="Arial" w:hAnsi="Arial" w:cs="Arial"/>
          <w:sz w:val="22"/>
          <w:szCs w:val="22"/>
        </w:rPr>
        <w:t xml:space="preserve"> June 2025]</w:t>
      </w:r>
    </w:p>
    <w:p w14:paraId="2C359F7E" w14:textId="4EF9A0B8" w:rsidR="00F87D46" w:rsidRPr="008E5BD0" w:rsidRDefault="00F91F91" w:rsidP="008E5BD0">
      <w:pPr>
        <w:pStyle w:val="ListParagraph"/>
        <w:numPr>
          <w:ilvl w:val="0"/>
          <w:numId w:val="2"/>
        </w:numPr>
        <w:spacing w:line="360" w:lineRule="auto"/>
        <w:rPr>
          <w:rFonts w:ascii="Arial" w:hAnsi="Arial" w:cs="Arial"/>
          <w:sz w:val="22"/>
          <w:szCs w:val="22"/>
        </w:rPr>
      </w:pPr>
      <w:r w:rsidRPr="008E5BD0">
        <w:rPr>
          <w:rFonts w:ascii="Arial" w:hAnsi="Arial" w:cs="Arial"/>
          <w:sz w:val="22"/>
          <w:szCs w:val="22"/>
        </w:rPr>
        <w:t xml:space="preserve">Yoo, J., and Park, M. (2016) The effects of e-mass customization on consumer perceived value, satisfaction, and loyalty toward luxury brands. Journal of Business Research. [Accessed on </w:t>
      </w:r>
      <w:r w:rsidR="00B76B6F" w:rsidRPr="008E5BD0">
        <w:rPr>
          <w:rFonts w:ascii="Arial" w:hAnsi="Arial" w:cs="Arial"/>
          <w:sz w:val="22"/>
          <w:szCs w:val="22"/>
        </w:rPr>
        <w:t>6</w:t>
      </w:r>
      <w:r w:rsidR="00B76B6F" w:rsidRPr="008E5BD0">
        <w:rPr>
          <w:rFonts w:ascii="Arial" w:hAnsi="Arial" w:cs="Arial"/>
          <w:sz w:val="22"/>
          <w:szCs w:val="22"/>
          <w:vertAlign w:val="superscript"/>
        </w:rPr>
        <w:t>th</w:t>
      </w:r>
      <w:r w:rsidR="00B76B6F" w:rsidRPr="008E5BD0">
        <w:rPr>
          <w:rFonts w:ascii="Arial" w:hAnsi="Arial" w:cs="Arial"/>
          <w:sz w:val="22"/>
          <w:szCs w:val="22"/>
        </w:rPr>
        <w:t xml:space="preserve"> June 2025]</w:t>
      </w:r>
    </w:p>
    <w:sectPr w:rsidR="00F87D46" w:rsidRPr="008E5BD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C9301" w14:textId="77777777" w:rsidR="00A20FB3" w:rsidRDefault="00A20FB3" w:rsidP="00403B5E">
      <w:pPr>
        <w:spacing w:after="0" w:line="240" w:lineRule="auto"/>
      </w:pPr>
      <w:r>
        <w:separator/>
      </w:r>
    </w:p>
  </w:endnote>
  <w:endnote w:type="continuationSeparator" w:id="0">
    <w:p w14:paraId="1C852BD5" w14:textId="77777777" w:rsidR="00A20FB3" w:rsidRDefault="00A20FB3" w:rsidP="00403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7620453"/>
      <w:docPartObj>
        <w:docPartGallery w:val="Page Numbers (Bottom of Page)"/>
        <w:docPartUnique/>
      </w:docPartObj>
    </w:sdtPr>
    <w:sdtEndPr>
      <w:rPr>
        <w:noProof/>
      </w:rPr>
    </w:sdtEndPr>
    <w:sdtContent>
      <w:p w14:paraId="47DDCE1D" w14:textId="0F940E08" w:rsidR="00403B5E" w:rsidRDefault="00403B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A8CF3B" w14:textId="77777777" w:rsidR="00403B5E" w:rsidRDefault="00403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3F590" w14:textId="77777777" w:rsidR="00A20FB3" w:rsidRDefault="00A20FB3" w:rsidP="00403B5E">
      <w:pPr>
        <w:spacing w:after="0" w:line="240" w:lineRule="auto"/>
      </w:pPr>
      <w:r>
        <w:separator/>
      </w:r>
    </w:p>
  </w:footnote>
  <w:footnote w:type="continuationSeparator" w:id="0">
    <w:p w14:paraId="6E72CB02" w14:textId="77777777" w:rsidR="00A20FB3" w:rsidRDefault="00A20FB3" w:rsidP="00403B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6492A"/>
    <w:multiLevelType w:val="hybridMultilevel"/>
    <w:tmpl w:val="074E95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AF3545"/>
    <w:multiLevelType w:val="hybridMultilevel"/>
    <w:tmpl w:val="CF1857BA"/>
    <w:lvl w:ilvl="0" w:tplc="0A50DEDC">
      <w:start w:val="1"/>
      <w:numFmt w:val="bullet"/>
      <w:lvlText w:val=""/>
      <w:lvlJc w:val="left"/>
      <w:pPr>
        <w:ind w:left="720" w:hanging="360"/>
      </w:pPr>
      <w:rPr>
        <w:rFonts w:ascii="Symbol" w:hAnsi="Symbol" w:hint="default"/>
      </w:rPr>
    </w:lvl>
    <w:lvl w:ilvl="1" w:tplc="35DA74EA" w:tentative="1">
      <w:start w:val="1"/>
      <w:numFmt w:val="bullet"/>
      <w:lvlText w:val="o"/>
      <w:lvlJc w:val="left"/>
      <w:pPr>
        <w:ind w:left="1440" w:hanging="360"/>
      </w:pPr>
      <w:rPr>
        <w:rFonts w:ascii="Courier New" w:hAnsi="Courier New" w:cs="Courier New" w:hint="default"/>
      </w:rPr>
    </w:lvl>
    <w:lvl w:ilvl="2" w:tplc="98768B9A" w:tentative="1">
      <w:start w:val="1"/>
      <w:numFmt w:val="bullet"/>
      <w:lvlText w:val=""/>
      <w:lvlJc w:val="left"/>
      <w:pPr>
        <w:ind w:left="2160" w:hanging="360"/>
      </w:pPr>
      <w:rPr>
        <w:rFonts w:ascii="Wingdings" w:hAnsi="Wingdings" w:hint="default"/>
      </w:rPr>
    </w:lvl>
    <w:lvl w:ilvl="3" w:tplc="F6C8141C" w:tentative="1">
      <w:start w:val="1"/>
      <w:numFmt w:val="bullet"/>
      <w:lvlText w:val=""/>
      <w:lvlJc w:val="left"/>
      <w:pPr>
        <w:ind w:left="2880" w:hanging="360"/>
      </w:pPr>
      <w:rPr>
        <w:rFonts w:ascii="Symbol" w:hAnsi="Symbol" w:hint="default"/>
      </w:rPr>
    </w:lvl>
    <w:lvl w:ilvl="4" w:tplc="BCE06974" w:tentative="1">
      <w:start w:val="1"/>
      <w:numFmt w:val="bullet"/>
      <w:lvlText w:val="o"/>
      <w:lvlJc w:val="left"/>
      <w:pPr>
        <w:ind w:left="3600" w:hanging="360"/>
      </w:pPr>
      <w:rPr>
        <w:rFonts w:ascii="Courier New" w:hAnsi="Courier New" w:cs="Courier New" w:hint="default"/>
      </w:rPr>
    </w:lvl>
    <w:lvl w:ilvl="5" w:tplc="186EABE2" w:tentative="1">
      <w:start w:val="1"/>
      <w:numFmt w:val="bullet"/>
      <w:lvlText w:val=""/>
      <w:lvlJc w:val="left"/>
      <w:pPr>
        <w:ind w:left="4320" w:hanging="360"/>
      </w:pPr>
      <w:rPr>
        <w:rFonts w:ascii="Wingdings" w:hAnsi="Wingdings" w:hint="default"/>
      </w:rPr>
    </w:lvl>
    <w:lvl w:ilvl="6" w:tplc="981043CA" w:tentative="1">
      <w:start w:val="1"/>
      <w:numFmt w:val="bullet"/>
      <w:lvlText w:val=""/>
      <w:lvlJc w:val="left"/>
      <w:pPr>
        <w:ind w:left="5040" w:hanging="360"/>
      </w:pPr>
      <w:rPr>
        <w:rFonts w:ascii="Symbol" w:hAnsi="Symbol" w:hint="default"/>
      </w:rPr>
    </w:lvl>
    <w:lvl w:ilvl="7" w:tplc="321E0BC6" w:tentative="1">
      <w:start w:val="1"/>
      <w:numFmt w:val="bullet"/>
      <w:lvlText w:val="o"/>
      <w:lvlJc w:val="left"/>
      <w:pPr>
        <w:ind w:left="5760" w:hanging="360"/>
      </w:pPr>
      <w:rPr>
        <w:rFonts w:ascii="Courier New" w:hAnsi="Courier New" w:cs="Courier New" w:hint="default"/>
      </w:rPr>
    </w:lvl>
    <w:lvl w:ilvl="8" w:tplc="F0220252" w:tentative="1">
      <w:start w:val="1"/>
      <w:numFmt w:val="bullet"/>
      <w:lvlText w:val=""/>
      <w:lvlJc w:val="left"/>
      <w:pPr>
        <w:ind w:left="6480" w:hanging="360"/>
      </w:pPr>
      <w:rPr>
        <w:rFonts w:ascii="Wingdings" w:hAnsi="Wingdings" w:hint="default"/>
      </w:rPr>
    </w:lvl>
  </w:abstractNum>
  <w:num w:numId="1" w16cid:durableId="489175057">
    <w:abstractNumId w:val="1"/>
  </w:num>
  <w:num w:numId="2" w16cid:durableId="1330787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B5E"/>
    <w:rsid w:val="00001C7A"/>
    <w:rsid w:val="00047FE8"/>
    <w:rsid w:val="000B1D0D"/>
    <w:rsid w:val="0012267B"/>
    <w:rsid w:val="001B44CD"/>
    <w:rsid w:val="002C7E62"/>
    <w:rsid w:val="003A22E2"/>
    <w:rsid w:val="003C1747"/>
    <w:rsid w:val="00403B5E"/>
    <w:rsid w:val="00426D1C"/>
    <w:rsid w:val="00430C0B"/>
    <w:rsid w:val="004C1811"/>
    <w:rsid w:val="005849F5"/>
    <w:rsid w:val="00596E5B"/>
    <w:rsid w:val="00655FD1"/>
    <w:rsid w:val="006625E5"/>
    <w:rsid w:val="00666D09"/>
    <w:rsid w:val="006E268D"/>
    <w:rsid w:val="00720F55"/>
    <w:rsid w:val="007E5D04"/>
    <w:rsid w:val="007F0D52"/>
    <w:rsid w:val="008D731B"/>
    <w:rsid w:val="008E284D"/>
    <w:rsid w:val="008E5BD0"/>
    <w:rsid w:val="009E1886"/>
    <w:rsid w:val="00A20FB3"/>
    <w:rsid w:val="00A76890"/>
    <w:rsid w:val="00B2152F"/>
    <w:rsid w:val="00B76B6F"/>
    <w:rsid w:val="00B97EDD"/>
    <w:rsid w:val="00C87C3D"/>
    <w:rsid w:val="00CE3DE2"/>
    <w:rsid w:val="00E52801"/>
    <w:rsid w:val="00EB6675"/>
    <w:rsid w:val="00EC7E70"/>
    <w:rsid w:val="00ED5DE4"/>
    <w:rsid w:val="00F83716"/>
    <w:rsid w:val="00F87D46"/>
    <w:rsid w:val="00F91F91"/>
    <w:rsid w:val="00FA2B48"/>
    <w:rsid w:val="00FC4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B6A9"/>
  <w15:chartTrackingRefBased/>
  <w15:docId w15:val="{10D9C62F-53B9-4EFC-995C-BA03CDD9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B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3B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3B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3B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3B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3B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3B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3B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3B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B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3B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3B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3B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3B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3B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3B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3B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3B5E"/>
    <w:rPr>
      <w:rFonts w:eastAsiaTheme="majorEastAsia" w:cstheme="majorBidi"/>
      <w:color w:val="272727" w:themeColor="text1" w:themeTint="D8"/>
    </w:rPr>
  </w:style>
  <w:style w:type="paragraph" w:styleId="Title">
    <w:name w:val="Title"/>
    <w:basedOn w:val="Normal"/>
    <w:next w:val="Normal"/>
    <w:link w:val="TitleChar"/>
    <w:uiPriority w:val="10"/>
    <w:qFormat/>
    <w:rsid w:val="00403B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B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3B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3B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3B5E"/>
    <w:pPr>
      <w:spacing w:before="160"/>
      <w:jc w:val="center"/>
    </w:pPr>
    <w:rPr>
      <w:i/>
      <w:iCs/>
      <w:color w:val="404040" w:themeColor="text1" w:themeTint="BF"/>
    </w:rPr>
  </w:style>
  <w:style w:type="character" w:customStyle="1" w:styleId="QuoteChar">
    <w:name w:val="Quote Char"/>
    <w:basedOn w:val="DefaultParagraphFont"/>
    <w:link w:val="Quote"/>
    <w:uiPriority w:val="29"/>
    <w:rsid w:val="00403B5E"/>
    <w:rPr>
      <w:i/>
      <w:iCs/>
      <w:color w:val="404040" w:themeColor="text1" w:themeTint="BF"/>
    </w:rPr>
  </w:style>
  <w:style w:type="paragraph" w:styleId="ListParagraph">
    <w:name w:val="List Paragraph"/>
    <w:basedOn w:val="Normal"/>
    <w:uiPriority w:val="34"/>
    <w:qFormat/>
    <w:rsid w:val="00403B5E"/>
    <w:pPr>
      <w:ind w:left="720"/>
      <w:contextualSpacing/>
    </w:pPr>
  </w:style>
  <w:style w:type="character" w:styleId="IntenseEmphasis">
    <w:name w:val="Intense Emphasis"/>
    <w:basedOn w:val="DefaultParagraphFont"/>
    <w:uiPriority w:val="21"/>
    <w:qFormat/>
    <w:rsid w:val="00403B5E"/>
    <w:rPr>
      <w:i/>
      <w:iCs/>
      <w:color w:val="0F4761" w:themeColor="accent1" w:themeShade="BF"/>
    </w:rPr>
  </w:style>
  <w:style w:type="paragraph" w:styleId="IntenseQuote">
    <w:name w:val="Intense Quote"/>
    <w:basedOn w:val="Normal"/>
    <w:next w:val="Normal"/>
    <w:link w:val="IntenseQuoteChar"/>
    <w:uiPriority w:val="30"/>
    <w:qFormat/>
    <w:rsid w:val="00403B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3B5E"/>
    <w:rPr>
      <w:i/>
      <w:iCs/>
      <w:color w:val="0F4761" w:themeColor="accent1" w:themeShade="BF"/>
    </w:rPr>
  </w:style>
  <w:style w:type="character" w:styleId="IntenseReference">
    <w:name w:val="Intense Reference"/>
    <w:basedOn w:val="DefaultParagraphFont"/>
    <w:uiPriority w:val="32"/>
    <w:qFormat/>
    <w:rsid w:val="00403B5E"/>
    <w:rPr>
      <w:b/>
      <w:bCs/>
      <w:smallCaps/>
      <w:color w:val="0F4761" w:themeColor="accent1" w:themeShade="BF"/>
      <w:spacing w:val="5"/>
    </w:rPr>
  </w:style>
  <w:style w:type="table" w:styleId="TableGrid">
    <w:name w:val="Table Grid"/>
    <w:basedOn w:val="TableNormal"/>
    <w:uiPriority w:val="39"/>
    <w:rsid w:val="00403B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03B5E"/>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403B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B5E"/>
  </w:style>
  <w:style w:type="paragraph" w:styleId="Footer">
    <w:name w:val="footer"/>
    <w:basedOn w:val="Normal"/>
    <w:link w:val="FooterChar"/>
    <w:uiPriority w:val="99"/>
    <w:unhideWhenUsed/>
    <w:rsid w:val="00403B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B5E"/>
  </w:style>
  <w:style w:type="paragraph" w:styleId="TOC1">
    <w:name w:val="toc 1"/>
    <w:basedOn w:val="Normal"/>
    <w:next w:val="Normal"/>
    <w:autoRedefine/>
    <w:uiPriority w:val="39"/>
    <w:unhideWhenUsed/>
    <w:rsid w:val="008E5BD0"/>
    <w:pPr>
      <w:tabs>
        <w:tab w:val="right" w:leader="dot" w:pos="9016"/>
      </w:tabs>
      <w:spacing w:after="100"/>
    </w:pPr>
  </w:style>
  <w:style w:type="character" w:styleId="Hyperlink">
    <w:name w:val="Hyperlink"/>
    <w:basedOn w:val="DefaultParagraphFont"/>
    <w:uiPriority w:val="99"/>
    <w:unhideWhenUsed/>
    <w:rsid w:val="00666D09"/>
    <w:rPr>
      <w:color w:val="467886" w:themeColor="hyperlink"/>
      <w:u w:val="single"/>
    </w:rPr>
  </w:style>
  <w:style w:type="paragraph" w:styleId="TOC2">
    <w:name w:val="toc 2"/>
    <w:basedOn w:val="Normal"/>
    <w:next w:val="Normal"/>
    <w:autoRedefine/>
    <w:uiPriority w:val="39"/>
    <w:unhideWhenUsed/>
    <w:rsid w:val="00666D09"/>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666D09"/>
    <w:pPr>
      <w:spacing w:after="100" w:line="259" w:lineRule="auto"/>
      <w:ind w:left="440"/>
    </w:pPr>
    <w:rPr>
      <w:rFonts w:eastAsiaTheme="minorEastAsia" w:cs="Times New Roman"/>
      <w:kern w:val="0"/>
      <w:sz w:val="22"/>
      <w:szCs w:val="22"/>
      <w:lang w:val="en-US"/>
      <w14:ligatures w14:val="none"/>
    </w:rPr>
  </w:style>
  <w:style w:type="character" w:styleId="UnresolvedMention">
    <w:name w:val="Unresolved Mention"/>
    <w:basedOn w:val="DefaultParagraphFont"/>
    <w:uiPriority w:val="99"/>
    <w:semiHidden/>
    <w:unhideWhenUsed/>
    <w:rsid w:val="00B215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en/knowledge/factsheets/pestle-analysis-factshee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hl=en&amp;lr=&amp;id=ieksEAAAQBAJ&amp;oi=fnd&amp;pg=PT26&amp;dq=Whittington,+R.,+Regner,+P.,+Angwin,+D.,+Johnson,+G.,+and+Scholes,+K.+(2020)+Exploring+strategy,+12e.+Pearson+Education+Limited.&amp;ots=XEF4VeLed6&amp;sig=3s-7PEaklZZk-4osI2vrm2bjevs" TargetMode="External"/><Relationship Id="rId5" Type="http://schemas.openxmlformats.org/officeDocument/2006/relationships/webSettings" Target="webSettings.xml"/><Relationship Id="rId10" Type="http://schemas.openxmlformats.org/officeDocument/2006/relationships/hyperlink" Target="https://books.google.co.uk/books?hl=en&amp;lr=&amp;id=M7wyEAAAQBAJ&amp;oi=fnd&amp;pg=PP1&amp;dq=Henry,+A.+(2021)+Understanding+strategic+management.+Oxford+University+Press.&amp;ots=Z4x-qfeACx&amp;sig=J8frgIyYWy_XbKJYmkDwIpy3J6A" TargetMode="External"/><Relationship Id="rId4" Type="http://schemas.openxmlformats.org/officeDocument/2006/relationships/settings" Target="settings.xml"/><Relationship Id="rId9" Type="http://schemas.openxmlformats.org/officeDocument/2006/relationships/hyperlink" Target="https://books.google.co.uk/books?hl=en&amp;lr=&amp;id=qQN6DwAAQBAJ&amp;oi=fnd&amp;pg=PP1&amp;dq=Hamilton,+L.,+and+Webster,+P.+(2018)+The+international+business+environment.+Oxford+University+Press.&amp;ots=9QynUCV1gM&amp;sig=P6bybMQWVGsPzm_GTVYmnx4-Fk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28958-C4D5-4D9C-897D-BB6FE1E04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3667</Words>
  <Characters>20906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Maiyara Santana (Notts)</dc:creator>
  <cp:keywords/>
  <dc:description/>
  <cp:lastModifiedBy>Maiyara Santana (Notts)</cp:lastModifiedBy>
  <cp:revision>33</cp:revision>
  <dcterms:created xsi:type="dcterms:W3CDTF">2025-06-18T11:53:00Z</dcterms:created>
  <dcterms:modified xsi:type="dcterms:W3CDTF">2025-06-27T10:38:00Z</dcterms:modified>
</cp:coreProperties>
</file>