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160" w:line="259" w:lineRule="auto"/>
      </w:pPr>
    </w:p>
    <w:tbl>
      <w:tblPr>
        <w:tblW w:w="747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550"/>
        <w:gridCol w:w="1922"/>
      </w:tblGrid>
      <w:tr>
        <w:tblPrEx>
          <w:shd w:val="clear" w:color="auto" w:fill="cdd4e9"/>
        </w:tblPrEx>
        <w:trPr>
          <w:trHeight w:val="8568" w:hRule="atLeast"/>
        </w:trPr>
        <w:tc>
          <w:tcPr>
            <w:tcW w:type="dxa" w:w="5550"/>
            <w:tcBorders>
              <w:top w:val="nil"/>
              <w:left w:val="nil"/>
              <w:bottom w:val="nil"/>
              <w:right w:val="single" w:color="ed7d31" w:sz="12" w:space="0" w:shadow="0" w:frame="0"/>
            </w:tcBorders>
            <w:shd w:val="clear" w:color="auto" w:fill="auto"/>
            <w:tcMar>
              <w:top w:type="dxa" w:w="80"/>
              <w:left w:type="dxa" w:w="80"/>
              <w:bottom w:type="dxa" w:w="80"/>
              <w:right w:type="dxa" w:w="80"/>
            </w:tcMar>
            <w:vAlign w:val="center"/>
          </w:tcPr>
          <w:p>
            <w:pPr>
              <w:pStyle w:val="Body"/>
              <w:jc w:val="right"/>
              <w:rPr>
                <w:shd w:val="nil" w:color="auto" w:fill="auto"/>
              </w:rPr>
            </w:pPr>
            <w:r>
              <w:rPr>
                <w:shd w:val="nil" w:color="auto" w:fill="auto"/>
              </w:rPr>
              <w:drawing xmlns:a="http://schemas.openxmlformats.org/drawingml/2006/main">
                <wp:inline distT="0" distB="0" distL="0" distR="0">
                  <wp:extent cx="3065006" cy="3831336"/>
                  <wp:effectExtent l="0" t="0" r="0" b="0"/>
                  <wp:docPr id="1073741825" name="officeArt object" descr="Road&#10;&#10;A picture of a winding road and trees"/>
                  <wp:cNvGraphicFramePr/>
                  <a:graphic xmlns:a="http://schemas.openxmlformats.org/drawingml/2006/main">
                    <a:graphicData uri="http://schemas.openxmlformats.org/drawingml/2006/picture">
                      <pic:pic xmlns:pic="http://schemas.openxmlformats.org/drawingml/2006/picture">
                        <pic:nvPicPr>
                          <pic:cNvPr id="1073741825" name="RoadA picture of a winding road and trees" descr="RoadA picture of a winding road and trees"/>
                          <pic:cNvPicPr>
                            <a:picLocks noChangeAspect="1"/>
                          </pic:cNvPicPr>
                        </pic:nvPicPr>
                        <pic:blipFill>
                          <a:blip r:embed="rId4">
                            <a:extLst/>
                          </a:blip>
                          <a:stretch>
                            <a:fillRect/>
                          </a:stretch>
                        </pic:blipFill>
                        <pic:spPr>
                          <a:xfrm>
                            <a:off x="0" y="0"/>
                            <a:ext cx="3065006" cy="3831336"/>
                          </a:xfrm>
                          <a:prstGeom prst="rect">
                            <a:avLst/>
                          </a:prstGeom>
                          <a:ln w="12700" cap="flat">
                            <a:noFill/>
                            <a:miter lim="400000"/>
                          </a:ln>
                          <a:effectLst/>
                        </pic:spPr>
                      </pic:pic>
                    </a:graphicData>
                  </a:graphic>
                </wp:inline>
              </w:drawing>
            </w:r>
          </w:p>
          <w:p>
            <w:pPr>
              <w:pStyle w:val="No Spacing"/>
              <w:bidi w:val="0"/>
              <w:spacing w:line="312" w:lineRule="auto"/>
              <w:ind w:left="0" w:right="0" w:firstLine="0"/>
              <w:jc w:val="center"/>
              <w:rPr>
                <w:caps w:val="1"/>
                <w:outline w:val="0"/>
                <w:color w:val="191919"/>
                <w:sz w:val="72"/>
                <w:szCs w:val="72"/>
                <w:u w:color="191919"/>
                <w:shd w:val="nil" w:color="auto" w:fill="auto"/>
                <w:rtl w:val="0"/>
                <w14:textFill>
                  <w14:solidFill>
                    <w14:srgbClr w14:val="191919"/>
                  </w14:solidFill>
                </w14:textFill>
              </w:rPr>
            </w:pPr>
            <w:r>
              <w:rPr>
                <w:caps w:val="1"/>
                <w:outline w:val="0"/>
                <w:color w:val="191919"/>
                <w:sz w:val="72"/>
                <w:szCs w:val="72"/>
                <w:u w:color="191919"/>
                <w:shd w:val="nil" w:color="auto" w:fill="auto"/>
                <w:rtl w:val="0"/>
                <w:lang w:val="en-US"/>
                <w14:textFill>
                  <w14:solidFill>
                    <w14:srgbClr w14:val="191919"/>
                  </w14:solidFill>
                </w14:textFill>
              </w:rPr>
              <w:t>CSR mandatory or Voluntary?</w:t>
            </w:r>
          </w:p>
          <w:p>
            <w:pPr>
              <w:pStyle w:val="Body"/>
              <w:bidi w:val="0"/>
              <w:ind w:left="0" w:right="0" w:firstLine="0"/>
              <w:jc w:val="right"/>
              <w:rPr>
                <w:rtl w:val="0"/>
              </w:rPr>
            </w:pPr>
            <w:r>
              <w:rPr>
                <w:sz w:val="24"/>
                <w:szCs w:val="24"/>
                <w:shd w:val="nil" w:color="auto" w:fill="auto"/>
                <w:rtl w:val="0"/>
                <w:lang w:val="en-US"/>
              </w:rPr>
              <w:t xml:space="preserve">     </w:t>
            </w:r>
          </w:p>
        </w:tc>
        <w:tc>
          <w:tcPr>
            <w:tcW w:type="dxa" w:w="1922"/>
            <w:tcBorders>
              <w:top w:val="nil"/>
              <w:left w:val="single" w:color="ed7d31" w:sz="12" w:space="0" w:shadow="0" w:frame="0"/>
              <w:bottom w:val="nil"/>
              <w:right w:val="nil"/>
            </w:tcBorders>
            <w:shd w:val="clear" w:color="auto" w:fill="auto"/>
            <w:tcMar>
              <w:top w:type="dxa" w:w="80"/>
              <w:left w:type="dxa" w:w="80"/>
              <w:bottom w:type="dxa" w:w="80"/>
              <w:right w:type="dxa" w:w="80"/>
            </w:tcMar>
            <w:vAlign w:val="center"/>
          </w:tcPr>
          <w:p>
            <w:pPr>
              <w:pStyle w:val="No Spacing"/>
            </w:pPr>
            <w:r>
              <w:rPr>
                <w:outline w:val="0"/>
                <w:color w:val="44546a"/>
                <w:u w:color="44546a"/>
                <w:shd w:val="nil" w:color="auto" w:fill="auto"/>
                <w:rtl w:val="0"/>
                <w:lang w:val="en-US"/>
                <w14:textFill>
                  <w14:solidFill>
                    <w14:srgbClr w14:val="44546A"/>
                  </w14:solidFill>
                </w14:textFill>
              </w:rPr>
              <w:t>BA Business and Management                                  Anne-marie Thomas 2011226</w:t>
            </w:r>
          </w:p>
        </w:tc>
      </w:tr>
    </w:tbl>
    <w:p>
      <w:pPr>
        <w:pStyle w:val="Body"/>
        <w:spacing w:after="160" w:line="259" w:lineRule="auto"/>
      </w:pPr>
      <w:r>
        <mc:AlternateContent>
          <mc:Choice Requires="wps">
            <w:drawing xmlns:a="http://schemas.openxmlformats.org/drawingml/2006/main">
              <wp:anchor distT="0" distB="0" distL="0" distR="0" simplePos="0" relativeHeight="251659264" behindDoc="0" locked="0" layoutInCell="1" allowOverlap="1">
                <wp:simplePos x="0" y="0"/>
                <wp:positionH relativeFrom="page">
                  <wp:posOffset>2923709</wp:posOffset>
                </wp:positionH>
                <wp:positionV relativeFrom="page">
                  <wp:posOffset>3425825</wp:posOffset>
                </wp:positionV>
                <wp:extent cx="1712891" cy="3840480"/>
                <wp:effectExtent l="0" t="0" r="0" b="0"/>
                <wp:wrapNone/>
                <wp:docPr id="1073741826" name="officeArt object" descr="Text Box 138"/>
                <wp:cNvGraphicFramePr/>
                <a:graphic xmlns:a="http://schemas.openxmlformats.org/drawingml/2006/main">
                  <a:graphicData uri="http://schemas.microsoft.com/office/word/2010/wordprocessingShape">
                    <wps:wsp>
                      <wps:cNvSpPr txBox="1"/>
                      <wps:spPr>
                        <a:xfrm>
                          <a:off x="0" y="0"/>
                          <a:ext cx="1712891" cy="3840480"/>
                        </a:xfrm>
                        <a:prstGeom prst="rect">
                          <a:avLst/>
                        </a:prstGeom>
                        <a:solidFill>
                          <a:srgbClr val="FFFFFF"/>
                        </a:solidFill>
                        <a:ln w="12700" cap="flat">
                          <a:noFill/>
                          <a:miter lim="400000"/>
                        </a:ln>
                        <a:effectLst/>
                      </wps:spPr>
                      <wps:txbx>
                        <w:txbxContent>
                          <w:p>
                            <w:pPr>
                              <w:pStyle w:val="Body"/>
                              <w:bidi w:val="0"/>
                              <w:ind w:left="0" w:right="0" w:firstLine="0"/>
                              <w:jc w:val="right"/>
                              <w:rPr>
                                <w:shd w:val="nil" w:color="auto" w:fill="auto"/>
                                <w:rtl w:val="0"/>
                              </w:rPr>
                            </w:pPr>
                            <w:r>
                              <w:drawing xmlns:a="http://schemas.openxmlformats.org/drawingml/2006/main">
                                <wp:inline distT="0" distB="0" distL="0" distR="0">
                                  <wp:extent cx="1712764" cy="2140998"/>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noChangeAspect="0"/>
                                          </pic:cNvPicPr>
                                        </pic:nvPicPr>
                                        <pic:blipFill>
                                          <a:blip r:embed="rId5">
                                            <a:extLst/>
                                          </a:blip>
                                          <a:stretch>
                                            <a:fillRect/>
                                          </a:stretch>
                                        </pic:blipFill>
                                        <pic:spPr>
                                          <a:xfrm>
                                            <a:off x="0" y="0"/>
                                            <a:ext cx="1712764" cy="2140998"/>
                                          </a:xfrm>
                                          <a:prstGeom prst="rect">
                                            <a:avLst/>
                                          </a:prstGeom>
                                        </pic:spPr>
                                      </pic:pic>
                                    </a:graphicData>
                                  </a:graphic>
                                </wp:inline>
                              </w:drawing>
                            </w:r>
                          </w:p>
                          <w:p>
                            <w:pPr>
                              <w:pStyle w:val="No Spacing"/>
                              <w:spacing w:line="312" w:lineRule="auto"/>
                              <w:jc w:val="center"/>
                              <w:rPr>
                                <w:caps w:val="1"/>
                                <w:outline w:val="0"/>
                                <w:color w:val="191919"/>
                                <w:sz w:val="72"/>
                                <w:szCs w:val="72"/>
                                <w:u w:color="191919"/>
                                <w:shd w:val="nil" w:color="auto" w:fill="auto"/>
                                <w:lang w:val="en-US"/>
                                <w14:textFill>
                                  <w14:solidFill>
                                    <w14:srgbClr w14:val="191919"/>
                                  </w14:solidFill>
                                </w14:textFill>
                              </w:rPr>
                            </w:pPr>
                          </w:p>
                          <w:p>
                            <w:pPr>
                              <w:pStyle w:val="No Spacing"/>
                              <w:bidi w:val="0"/>
                              <w:ind w:left="0" w:right="0" w:firstLine="0"/>
                              <w:jc w:val="left"/>
                              <w:rPr>
                                <w:rtl w:val="0"/>
                              </w:rPr>
                            </w:pPr>
                            <w:r>
                              <w:rPr>
                                <w:shd w:val="nil" w:color="auto" w:fill="auto"/>
                                <w:lang w:val="en-US"/>
                              </w:rPr>
                              <w:tab/>
                            </w:r>
                          </w:p>
                        </w:txbxContent>
                      </wps:txbx>
                      <wps:bodyPr wrap="square" lIns="0" tIns="0" rIns="0" bIns="0" numCol="1" anchor="ctr">
                        <a:noAutofit/>
                      </wps:bodyPr>
                    </wps:wsp>
                  </a:graphicData>
                </a:graphic>
              </wp:anchor>
            </w:drawing>
          </mc:Choice>
          <mc:Fallback>
            <w:pict>
              <v:shape id="_x0000_s1026" type="#_x0000_t202" style="visibility:visible;position:absolute;margin-left:230.2pt;margin-top:269.8pt;width:134.9pt;height:302.4pt;z-index:251659264;mso-position-horizontal:absolute;mso-position-horizontal-relative:page;mso-position-vertical:absolute;mso-position-vertical-relative:page;mso-wrap-distance-left:0.0pt;mso-wrap-distance-top:0.0pt;mso-wrap-distance-right:0.0pt;mso-wrap-distance-bottom:0.0pt;">
                <v:fill color="#FFFFFF" opacity="100.0%" type="solid"/>
                <v:stroke on="f" weight="1.0pt" dashstyle="solid" endcap="flat" miterlimit="400.0%" joinstyle="miter" linestyle="single" startarrow="none" startarrowwidth="medium" startarrowlength="medium" endarrow="none" endarrowwidth="medium" endarrowlength="medium"/>
                <v:textbox>
                  <w:txbxContent>
                    <w:p>
                      <w:pPr>
                        <w:pStyle w:val="Body"/>
                        <w:bidi w:val="0"/>
                        <w:ind w:left="0" w:right="0" w:firstLine="0"/>
                        <w:jc w:val="right"/>
                        <w:rPr>
                          <w:shd w:val="nil" w:color="auto" w:fill="auto"/>
                          <w:rtl w:val="0"/>
                        </w:rPr>
                      </w:pPr>
                      <w:r>
                        <w:drawing xmlns:a="http://schemas.openxmlformats.org/drawingml/2006/main">
                          <wp:inline distT="0" distB="0" distL="0" distR="0">
                            <wp:extent cx="1712764" cy="2140998"/>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noChangeAspect="0"/>
                                    </pic:cNvPicPr>
                                  </pic:nvPicPr>
                                  <pic:blipFill>
                                    <a:blip r:embed="rId5">
                                      <a:extLst/>
                                    </a:blip>
                                    <a:stretch>
                                      <a:fillRect/>
                                    </a:stretch>
                                  </pic:blipFill>
                                  <pic:spPr>
                                    <a:xfrm>
                                      <a:off x="0" y="0"/>
                                      <a:ext cx="1712764" cy="2140998"/>
                                    </a:xfrm>
                                    <a:prstGeom prst="rect">
                                      <a:avLst/>
                                    </a:prstGeom>
                                  </pic:spPr>
                                </pic:pic>
                              </a:graphicData>
                            </a:graphic>
                          </wp:inline>
                        </w:drawing>
                      </w:r>
                    </w:p>
                    <w:p>
                      <w:pPr>
                        <w:pStyle w:val="No Spacing"/>
                        <w:spacing w:line="312" w:lineRule="auto"/>
                        <w:jc w:val="center"/>
                        <w:rPr>
                          <w:caps w:val="1"/>
                          <w:outline w:val="0"/>
                          <w:color w:val="191919"/>
                          <w:sz w:val="72"/>
                          <w:szCs w:val="72"/>
                          <w:u w:color="191919"/>
                          <w:shd w:val="nil" w:color="auto" w:fill="auto"/>
                          <w:lang w:val="en-US"/>
                          <w14:textFill>
                            <w14:solidFill>
                              <w14:srgbClr w14:val="191919"/>
                            </w14:solidFill>
                          </w14:textFill>
                        </w:rPr>
                      </w:pPr>
                    </w:p>
                    <w:p>
                      <w:pPr>
                        <w:pStyle w:val="No Spacing"/>
                        <w:bidi w:val="0"/>
                        <w:ind w:left="0" w:right="0" w:firstLine="0"/>
                        <w:jc w:val="left"/>
                        <w:rPr>
                          <w:rtl w:val="0"/>
                        </w:rPr>
                      </w:pPr>
                      <w:r>
                        <w:rPr>
                          <w:shd w:val="nil" w:color="auto" w:fill="auto"/>
                          <w:lang w:val="en-US"/>
                        </w:rPr>
                        <w:tab/>
                      </w:r>
                    </w:p>
                  </w:txbxContent>
                </v:textbox>
                <w10:wrap type="none" side="bothSides" anchorx="page" anchory="page"/>
              </v:shape>
            </w:pict>
          </mc:Fallback>
        </mc:AlternateContent>
      </w:r>
      <w:r>
        <w:rPr>
          <w:rFonts w:ascii="Arial Unicode MS" w:cs="Arial Unicode MS" w:hAnsi="Arial Unicode MS" w:eastAsia="Arial Unicode MS"/>
          <w:b w:val="0"/>
          <w:bCs w:val="0"/>
          <w:i w:val="0"/>
          <w:iCs w:val="0"/>
        </w:rPr>
        <w:br w:type="page"/>
      </w:r>
    </w:p>
    <w:p>
      <w:pPr>
        <w:pStyle w:val="Body"/>
        <w:rPr>
          <w:rFonts w:ascii="Arial" w:cs="Arial" w:hAnsi="Arial" w:eastAsia="Arial"/>
          <w:sz w:val="24"/>
          <w:szCs w:val="24"/>
        </w:rPr>
      </w:pPr>
    </w:p>
    <w:p>
      <w:pPr>
        <w:pStyle w:val="Body"/>
        <w:rPr>
          <w:rFonts w:ascii="Arial" w:cs="Arial" w:hAnsi="Arial" w:eastAsia="Arial"/>
        </w:rPr>
      </w:pPr>
    </w:p>
    <w:p>
      <w:pPr>
        <w:pStyle w:val="Body"/>
        <w:rPr>
          <w:rFonts w:ascii="Arial" w:cs="Arial" w:hAnsi="Arial" w:eastAsia="Arial"/>
          <w:sz w:val="24"/>
          <w:szCs w:val="24"/>
        </w:rPr>
      </w:pPr>
      <w:r>
        <w:rPr>
          <w:rFonts w:ascii="Arial" w:hAnsi="Arial"/>
          <w:sz w:val="24"/>
          <w:szCs w:val="24"/>
          <w:rtl w:val="0"/>
          <w:lang w:val="en-US"/>
        </w:rPr>
        <w:t xml:space="preserve">Over many years the way in which companies conduct their businesses has changed immensely, this is allowing businesses to keep ahead of other businesses in an ever changing world.  Most </w:t>
      </w:r>
      <w:r>
        <w:rPr>
          <w:rFonts w:ascii="Arial" w:hAnsi="Arial"/>
          <w:sz w:val="24"/>
          <w:szCs w:val="24"/>
          <w:rtl w:val="0"/>
          <w:lang w:val="en-US"/>
        </w:rPr>
        <w:t>controversial issue regarding Corporate Social Responsibility (CSR) is, should it remain voluntary or be made mandatory, looking at businesses and their positions and how they report and follow CSR for voluntary and mandatory reporting, and then establish the pros and cons for each.</w:t>
      </w:r>
      <w:r>
        <w:rPr>
          <w:rFonts w:ascii="Arial" w:hAnsi="Arial"/>
          <w:sz w:val="24"/>
          <w:szCs w:val="24"/>
          <w:rtl w:val="0"/>
          <w:lang w:val="en-US"/>
        </w:rPr>
        <w:t xml:space="preserve"> Do using voluntary CSR give an competitors advantage or just cause more admin and paper work for those employed to operate CSR.</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For many years a positive interaction with corporate sustainability and financial performance has been documented and evidenced, there is controversy behind the usefulness of the information that has been produced</w:t>
      </w:r>
      <w:r>
        <w:rPr>
          <w:rFonts w:ascii="Arial" w:hAnsi="Arial"/>
          <w:sz w:val="24"/>
          <w:szCs w:val="24"/>
          <w:rtl w:val="0"/>
          <w:lang w:val="en-US"/>
        </w:rPr>
        <w:t>,</w:t>
      </w:r>
      <w:r>
        <w:rPr>
          <w:rFonts w:ascii="Arial" w:hAnsi="Arial"/>
          <w:sz w:val="24"/>
          <w:szCs w:val="24"/>
          <w:rtl w:val="0"/>
          <w:lang w:val="en-US"/>
        </w:rPr>
        <w:t xml:space="preserve"> for these reasons the European council was motivated to enforce a mandatory regime regarding the disclosure of non-financial and diversity information. Resulting in the findings the European countries modified their local legal framework to this new regulation, by doing this it would increase the sustainable disclosure mechanisms and the integration among the businesses stakeholders.</w:t>
      </w:r>
    </w:p>
    <w:p>
      <w:pPr>
        <w:pStyle w:val="Body"/>
        <w:ind w:left="720" w:firstLine="0"/>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Lockett et al.(2006) suggests that Corporate Social Responsibility (CSR) is a  field of study within management discipline. (Lockett et al., 2006). Many find this statement limiting as CSR has been of interest of many disciplines, in addition of being practical importance to business and society.</w:t>
      </w:r>
    </w:p>
    <w:p>
      <w:pPr>
        <w:pStyle w:val="Body"/>
        <w:ind w:left="720" w:firstLine="0"/>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There are currently tens of thousands of academic's</w:t>
      </w:r>
      <w:r>
        <w:rPr>
          <w:rFonts w:ascii="Arial" w:hAnsi="Arial"/>
          <w:sz w:val="24"/>
          <w:szCs w:val="24"/>
          <w:rtl w:val="0"/>
          <w:lang w:val="en-US"/>
        </w:rPr>
        <w:t xml:space="preserve"> </w:t>
      </w:r>
      <w:r>
        <w:rPr>
          <w:rFonts w:ascii="Arial" w:hAnsi="Arial"/>
          <w:sz w:val="24"/>
          <w:szCs w:val="24"/>
          <w:rtl w:val="0"/>
          <w:lang w:val="en-US"/>
        </w:rPr>
        <w:t>studying CSR in the management profession. Academy of Management's (AOM) Social Issues in Management (SIM) Division had 1,837 members as of 2018. More than 775 people belong to the Organisation's and the Natural Environment (ONE) Interest Group, which gives environmental social responsibility a lot of attention. Researchers in the fields of entrepreneurship, organisational behaviour, human resource management, and strategy have all shown a significant increase in interest in CSR. (McWilliams et al., 2019)</w:t>
      </w:r>
    </w:p>
    <w:p>
      <w:pPr>
        <w:pStyle w:val="Body"/>
        <w:ind w:left="720" w:firstLine="0"/>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de-DE"/>
        </w:rPr>
        <w:t>Milton Friedman</w:t>
      </w:r>
      <w:r>
        <w:rPr>
          <w:rFonts w:ascii="Arial" w:hAnsi="Arial" w:hint="default"/>
          <w:sz w:val="24"/>
          <w:szCs w:val="24"/>
          <w:rtl w:val="0"/>
          <w:lang w:val="en-US"/>
        </w:rPr>
        <w:t>’</w:t>
      </w:r>
      <w:r>
        <w:rPr>
          <w:rFonts w:ascii="Arial" w:hAnsi="Arial"/>
          <w:sz w:val="24"/>
          <w:szCs w:val="24"/>
          <w:rtl w:val="0"/>
          <w:lang w:val="fr-FR"/>
        </w:rPr>
        <w:t xml:space="preserve">s momentous </w:t>
      </w:r>
      <w:r>
        <w:rPr>
          <w:rFonts w:ascii="Arial" w:hAnsi="Arial"/>
          <w:sz w:val="24"/>
          <w:szCs w:val="24"/>
          <w:rtl w:val="0"/>
          <w:lang w:val="en-US"/>
        </w:rPr>
        <w:t xml:space="preserve">paper </w:t>
      </w:r>
      <w:r>
        <w:rPr>
          <w:rFonts w:ascii="Arial" w:hAnsi="Arial" w:hint="default"/>
          <w:sz w:val="24"/>
          <w:szCs w:val="24"/>
          <w:rtl w:val="0"/>
          <w:lang w:val="en-US"/>
        </w:rPr>
        <w:t>“</w:t>
      </w:r>
      <w:r>
        <w:rPr>
          <w:rFonts w:ascii="Arial" w:hAnsi="Arial"/>
          <w:sz w:val="24"/>
          <w:szCs w:val="24"/>
          <w:rtl w:val="0"/>
          <w:lang w:val="en-US"/>
        </w:rPr>
        <w:t>The Social Responsibility of Business Is To Increase Its profits</w:t>
      </w:r>
      <w:r>
        <w:rPr>
          <w:rFonts w:ascii="Arial" w:hAnsi="Arial" w:hint="default"/>
          <w:sz w:val="24"/>
          <w:szCs w:val="24"/>
          <w:rtl w:val="0"/>
          <w:lang w:val="en-US"/>
        </w:rPr>
        <w:t xml:space="preserve">” </w:t>
      </w:r>
      <w:r>
        <w:rPr>
          <w:rFonts w:ascii="Arial" w:hAnsi="Arial"/>
          <w:sz w:val="24"/>
          <w:szCs w:val="24"/>
          <w:rtl w:val="0"/>
          <w:lang w:val="en-US"/>
        </w:rPr>
        <w:t>published 53 years ago in the New York Times Magazine, Friedman</w:t>
      </w:r>
      <w:r>
        <w:rPr>
          <w:rFonts w:ascii="Arial" w:hAnsi="Arial" w:hint="default"/>
          <w:sz w:val="24"/>
          <w:szCs w:val="24"/>
          <w:rtl w:val="0"/>
          <w:lang w:val="en-US"/>
        </w:rPr>
        <w:t>’</w:t>
      </w:r>
      <w:r>
        <w:rPr>
          <w:rFonts w:ascii="Arial" w:hAnsi="Arial"/>
          <w:sz w:val="24"/>
          <w:szCs w:val="24"/>
          <w:rtl w:val="0"/>
          <w:lang w:val="en-US"/>
        </w:rPr>
        <w:t xml:space="preserve">s theory signified a new phase in the American economy </w:t>
      </w:r>
      <w:r>
        <w:rPr>
          <w:rFonts w:ascii="Arial" w:hAnsi="Arial" w:hint="default"/>
          <w:sz w:val="24"/>
          <w:szCs w:val="24"/>
          <w:rtl w:val="0"/>
          <w:lang w:val="en-US"/>
        </w:rPr>
        <w:t>“</w:t>
      </w:r>
      <w:r>
        <w:rPr>
          <w:rFonts w:ascii="Arial" w:hAnsi="Arial"/>
          <w:sz w:val="24"/>
          <w:szCs w:val="24"/>
          <w:rtl w:val="0"/>
          <w:lang w:val="en-US"/>
        </w:rPr>
        <w:t>Greed is Good</w:t>
      </w:r>
      <w:r>
        <w:rPr>
          <w:rFonts w:ascii="Arial" w:hAnsi="Arial" w:hint="default"/>
          <w:sz w:val="24"/>
          <w:szCs w:val="24"/>
          <w:rtl w:val="0"/>
          <w:lang w:val="en-US"/>
        </w:rPr>
        <w:t xml:space="preserve">” </w:t>
      </w:r>
      <w:r>
        <w:rPr>
          <w:rFonts w:ascii="Arial" w:hAnsi="Arial"/>
          <w:sz w:val="24"/>
          <w:szCs w:val="24"/>
          <w:rtl w:val="0"/>
          <w:lang w:val="en-US"/>
        </w:rPr>
        <w:t xml:space="preserve">and making profit is the only real objective of a business, or is it? </w:t>
      </w:r>
      <w:bookmarkStart w:name="_Hlk127176518" w:id="0"/>
      <w:r>
        <w:rPr>
          <w:rFonts w:ascii="Arial" w:hAnsi="Arial"/>
          <w:sz w:val="24"/>
          <w:szCs w:val="24"/>
          <w:rtl w:val="0"/>
          <w:lang w:val="de-DE"/>
        </w:rPr>
        <w:t xml:space="preserve">(Friedman, 1970). </w:t>
      </w:r>
      <w:bookmarkEnd w:id="0"/>
      <w:r>
        <w:rPr>
          <w:rFonts w:ascii="Arial" w:hAnsi="Arial"/>
          <w:sz w:val="24"/>
          <w:szCs w:val="24"/>
          <w:rtl w:val="0"/>
          <w:lang w:val="en-US"/>
        </w:rPr>
        <w:t>Critics on Friedman</w:t>
      </w:r>
      <w:r>
        <w:rPr>
          <w:rFonts w:ascii="Arial" w:hAnsi="Arial" w:hint="default"/>
          <w:sz w:val="24"/>
          <w:szCs w:val="24"/>
          <w:rtl w:val="0"/>
          <w:lang w:val="en-US"/>
        </w:rPr>
        <w:t>’</w:t>
      </w:r>
      <w:r>
        <w:rPr>
          <w:rFonts w:ascii="Arial" w:hAnsi="Arial"/>
          <w:sz w:val="24"/>
          <w:szCs w:val="24"/>
          <w:rtl w:val="0"/>
          <w:lang w:val="en-US"/>
        </w:rPr>
        <w:t xml:space="preserve">s article are divided between those that are of the opinion that all businesses should have a greater social responsibility and </w:t>
      </w:r>
      <w:r>
        <w:rPr>
          <w:rFonts w:ascii="Arial" w:hAnsi="Arial"/>
          <w:sz w:val="24"/>
          <w:szCs w:val="24"/>
          <w:rtl w:val="0"/>
          <w:lang w:val="en-US"/>
        </w:rPr>
        <w:t xml:space="preserve">the ones </w:t>
      </w:r>
      <w:r>
        <w:rPr>
          <w:rFonts w:ascii="Arial" w:hAnsi="Arial"/>
          <w:sz w:val="24"/>
          <w:szCs w:val="24"/>
          <w:rtl w:val="0"/>
          <w:lang w:val="en-US"/>
        </w:rPr>
        <w:t xml:space="preserve">who believe that the social responsibility of a business is to make </w:t>
      </w:r>
      <w:r>
        <w:rPr>
          <w:rFonts w:ascii="Arial" w:hAnsi="Arial"/>
          <w:sz w:val="24"/>
          <w:szCs w:val="24"/>
          <w:rtl w:val="0"/>
          <w:lang w:val="en-US"/>
        </w:rPr>
        <w:t>gain</w:t>
      </w:r>
      <w:r>
        <w:rPr>
          <w:rFonts w:ascii="Arial" w:hAnsi="Arial"/>
          <w:sz w:val="24"/>
          <w:szCs w:val="24"/>
          <w:rtl w:val="0"/>
          <w:lang w:val="en-US"/>
        </w:rPr>
        <w:t>, these critics also believe that social goals and responsibility are political and should be left that way. (Times, 2020)</w:t>
      </w:r>
    </w:p>
    <w:p>
      <w:pPr>
        <w:pStyle w:val="Body"/>
        <w:ind w:left="720" w:firstLine="0"/>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Over the last 53 years since Friedman</w:t>
      </w:r>
      <w:r>
        <w:rPr>
          <w:rFonts w:ascii="Arial" w:hAnsi="Arial" w:hint="default"/>
          <w:sz w:val="24"/>
          <w:szCs w:val="24"/>
          <w:rtl w:val="0"/>
          <w:lang w:val="en-US"/>
        </w:rPr>
        <w:t>’</w:t>
      </w:r>
      <w:r>
        <w:rPr>
          <w:rFonts w:ascii="Arial" w:hAnsi="Arial"/>
          <w:sz w:val="24"/>
          <w:szCs w:val="24"/>
          <w:rtl w:val="0"/>
          <w:lang w:val="en-US"/>
        </w:rPr>
        <w:t>s article was written Corporate Social Responsibility (CSR) has become more complex, with business having to juggle many different priorities. The rise of CSR responsibilities to businesses has increase drastically, Taylor Tepper a Forbes advisor states that approaches to social responsibility and investing has had to refocus the priorities of corporate leaderships and investors, this is regardless if they believe in social aims for business or not. (Tepper, 2020)</w:t>
      </w:r>
    </w:p>
    <w:p>
      <w:pPr>
        <w:pStyle w:val="Body"/>
        <w:ind w:left="720" w:firstLine="0"/>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Present day businesses are more concerned about appearing socially responsible, and socially responsible investing (SRI) </w:t>
      </w:r>
      <w:r>
        <w:rPr>
          <w:rFonts w:ascii="Arial" w:hAnsi="Arial"/>
          <w:sz w:val="24"/>
          <w:szCs w:val="24"/>
          <w:rtl w:val="0"/>
          <w:lang w:val="en-US"/>
        </w:rPr>
        <w:t xml:space="preserve">as well as </w:t>
      </w:r>
      <w:r>
        <w:rPr>
          <w:rFonts w:ascii="Arial" w:hAnsi="Arial"/>
          <w:sz w:val="24"/>
          <w:szCs w:val="24"/>
          <w:rtl w:val="0"/>
          <w:lang w:val="en-US"/>
        </w:rPr>
        <w:t>social impact of an investment instead of the long term returns to their portfolio. Approaches to being more socially responsible in the boardroom and on investing committees, looking at factors which include employee diversity and also executive pay, along with carbon emissions.</w:t>
      </w:r>
      <w:r>
        <w:rPr>
          <w:rFonts w:ascii="Arial" w:hAnsi="Arial"/>
          <w:sz w:val="24"/>
          <w:szCs w:val="24"/>
          <w:rtl w:val="0"/>
          <w:lang w:val="en-US"/>
        </w:rPr>
        <w:t xml:space="preserve"> Appearing more globally conscious has improved many businesses credibility and profits.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Jeff Leinaweaver wrote an article with the title </w:t>
      </w:r>
      <w:r>
        <w:rPr>
          <w:rFonts w:ascii="Arial" w:hAnsi="Arial" w:hint="default"/>
          <w:sz w:val="24"/>
          <w:szCs w:val="24"/>
          <w:rtl w:val="0"/>
          <w:lang w:val="en-US"/>
        </w:rPr>
        <w:t>“</w:t>
      </w:r>
      <w:r>
        <w:rPr>
          <w:rFonts w:ascii="Arial" w:hAnsi="Arial"/>
          <w:sz w:val="24"/>
          <w:szCs w:val="24"/>
          <w:rtl w:val="0"/>
          <w:lang w:val="en-US"/>
        </w:rPr>
        <w:t xml:space="preserve">is corporate sustainability reporting a great waste of time? </w:t>
      </w:r>
      <w:r>
        <w:rPr>
          <w:rFonts w:ascii="Arial" w:hAnsi="Arial" w:hint="default"/>
          <w:sz w:val="24"/>
          <w:szCs w:val="24"/>
          <w:rtl w:val="0"/>
          <w:lang w:val="en-US"/>
        </w:rPr>
        <w:t>“</w:t>
      </w:r>
      <w:r>
        <w:rPr>
          <w:rFonts w:ascii="Arial" w:hAnsi="Arial"/>
          <w:sz w:val="24"/>
          <w:szCs w:val="24"/>
          <w:rtl w:val="0"/>
          <w:lang w:val="en-US"/>
        </w:rPr>
        <w:t xml:space="preserve">, with a further question does reporting make a difference? Jeff states that if CSR is going to be of any use it needs a complete overhaul. His argument is how can reams and reams of reporting be sustainable if it is never read wholly?  This concern has also been found in a report by strategic </w:t>
      </w:r>
      <w:r>
        <w:rPr>
          <w:rFonts w:ascii="Arial" w:hAnsi="Arial"/>
          <w:sz w:val="24"/>
          <w:szCs w:val="24"/>
          <w:rtl w:val="0"/>
          <w:lang w:val="en-US"/>
        </w:rPr>
        <w:t>T</w:t>
      </w:r>
      <w:r>
        <w:rPr>
          <w:rFonts w:ascii="Arial" w:hAnsi="Arial"/>
          <w:sz w:val="24"/>
          <w:szCs w:val="24"/>
          <w:rtl w:val="0"/>
          <w:lang w:val="en-US"/>
        </w:rPr>
        <w:t>hinktank and consultancy sustainability, the report states that many companies are wasting time and money generating sustainability reports that are not effective</w:t>
      </w:r>
      <w:r>
        <w:rPr>
          <w:rFonts w:ascii="Arial" w:hAnsi="Arial"/>
          <w:sz w:val="24"/>
          <w:szCs w:val="24"/>
          <w:rtl w:val="0"/>
          <w:lang w:val="en-US"/>
        </w:rPr>
        <w:t xml:space="preserve">,smaller copies </w:t>
      </w:r>
      <w:r>
        <w:rPr>
          <w:rFonts w:ascii="Arial" w:hAnsi="Arial"/>
          <w:sz w:val="24"/>
          <w:szCs w:val="24"/>
          <w:rtl w:val="0"/>
          <w:lang w:val="en-US"/>
        </w:rPr>
        <w:t xml:space="preserve"> Margo mosher report author and sustainability manager expresses that although many good things do come out of some reports, there could be so much more which would add more value to the reporting. (2015)</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The report also found that many companies are producing reports that do not connect with a wide audience, the acceleration of corporate credibility and transparency has increased the sustainable report movement, SustainAbility argue </w:t>
      </w:r>
      <w:r>
        <w:rPr>
          <w:rFonts w:ascii="Arial" w:hAnsi="Arial" w:hint="default"/>
          <w:sz w:val="24"/>
          <w:szCs w:val="24"/>
          <w:rtl w:val="0"/>
          <w:lang w:val="en-US"/>
        </w:rPr>
        <w:t xml:space="preserve">“ </w:t>
      </w:r>
      <w:r>
        <w:rPr>
          <w:rFonts w:ascii="Arial" w:hAnsi="Arial"/>
          <w:sz w:val="24"/>
          <w:szCs w:val="24"/>
          <w:rtl w:val="0"/>
        </w:rPr>
        <w:t>it</w:t>
      </w:r>
      <w:r>
        <w:rPr>
          <w:rFonts w:ascii="Arial" w:hAnsi="Arial" w:hint="default"/>
          <w:sz w:val="24"/>
          <w:szCs w:val="24"/>
          <w:rtl w:val="0"/>
          <w:lang w:val="en-US"/>
        </w:rPr>
        <w:t>’</w:t>
      </w:r>
      <w:r>
        <w:rPr>
          <w:rFonts w:ascii="Arial" w:hAnsi="Arial"/>
          <w:sz w:val="24"/>
          <w:szCs w:val="24"/>
          <w:rtl w:val="0"/>
          <w:lang w:val="en-US"/>
        </w:rPr>
        <w:t xml:space="preserve">s time to take a step back and revisit the report agenda </w:t>
      </w:r>
      <w:r>
        <w:rPr>
          <w:rFonts w:ascii="Arial" w:hAnsi="Arial" w:hint="default"/>
          <w:sz w:val="24"/>
          <w:szCs w:val="24"/>
          <w:rtl w:val="0"/>
          <w:lang w:val="en-US"/>
        </w:rPr>
        <w:t>“</w:t>
      </w:r>
      <w:r>
        <w:rPr>
          <w:rFonts w:ascii="Arial" w:hAnsi="Arial"/>
          <w:sz w:val="24"/>
          <w:szCs w:val="24"/>
          <w:rtl w:val="0"/>
          <w:lang w:val="en-US"/>
        </w:rPr>
        <w:t>(Reporter, 2015), CSR is not about increased reporting or the increase of people reading the reports it is in fact the need to focus on the reports to drive better decision making, and improve company performance towards sustainability.</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Clothes, food, gold and electronic goods such as mobile phones are products that can and are being produced by process that does not respect human rights. Human rights watch group has documented the disastrous and tragic events  that have been happening in </w:t>
      </w:r>
      <w:r>
        <w:rPr>
          <w:rFonts w:ascii="Arial" w:hAnsi="Arial"/>
          <w:sz w:val="24"/>
          <w:szCs w:val="24"/>
          <w:rtl w:val="0"/>
          <w:lang w:val="en-US"/>
        </w:rPr>
        <w:t xml:space="preserve">Bangladeshes leather factories </w:t>
      </w:r>
      <w:r>
        <w:rPr>
          <w:rFonts w:ascii="Arial" w:hAnsi="Arial"/>
          <w:sz w:val="24"/>
          <w:szCs w:val="24"/>
          <w:rtl w:val="0"/>
          <w:lang w:val="en-US"/>
        </w:rPr>
        <w:t>, clot</w:t>
      </w:r>
      <w:r>
        <w:rPr>
          <w:rFonts w:ascii="Arial" w:hAnsi="Arial"/>
          <w:sz w:val="24"/>
          <w:szCs w:val="24"/>
          <w:rtl w:val="0"/>
          <w:lang w:val="en-US"/>
        </w:rPr>
        <w:t xml:space="preserve">hing </w:t>
      </w:r>
      <w:r>
        <w:rPr>
          <w:rFonts w:ascii="Arial" w:hAnsi="Arial"/>
          <w:sz w:val="24"/>
          <w:szCs w:val="24"/>
          <w:rtl w:val="0"/>
          <w:lang w:val="en-US"/>
        </w:rPr>
        <w:t xml:space="preserve"> factories in Cambodia and also gold mines in the Philippines(kippenberg,2020), Dhaka in Bangladesh has around  clothes 150 factories and  leather tanneries along with foot wear factories, and is said to be one of the most polluted place</w:t>
      </w:r>
      <w:r>
        <w:rPr>
          <w:rFonts w:ascii="Arial" w:hAnsi="Arial" w:hint="default"/>
          <w:sz w:val="24"/>
          <w:szCs w:val="24"/>
          <w:rtl w:val="0"/>
          <w:lang w:val="en-US"/>
        </w:rPr>
        <w:t>’</w:t>
      </w:r>
      <w:r>
        <w:rPr>
          <w:rFonts w:ascii="Arial" w:hAnsi="Arial"/>
          <w:sz w:val="24"/>
          <w:szCs w:val="24"/>
          <w:rtl w:val="0"/>
          <w:lang w:val="en-US"/>
        </w:rPr>
        <w:t>s on the planet, with the odour of rotting animal flesh, raw sewage and strong chemicals. Town has open canals running with untreated effluent from the tanneries, rubbish, human and animal waste.(Price &amp; Price, 2017).</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The  gold mines in the Philippines, an article from 2015 state that the government </w:t>
      </w:r>
      <w:r>
        <w:rPr>
          <w:rFonts w:ascii="Arial" w:hAnsi="Arial"/>
          <w:sz w:val="24"/>
          <w:szCs w:val="24"/>
          <w:rtl w:val="0"/>
          <w:lang w:val="en-US"/>
        </w:rPr>
        <w:t xml:space="preserve"> and their shortcomings to </w:t>
      </w:r>
      <w:r>
        <w:rPr>
          <w:rFonts w:ascii="Arial" w:hAnsi="Arial"/>
          <w:sz w:val="24"/>
          <w:szCs w:val="24"/>
          <w:rtl w:val="0"/>
          <w:lang w:val="en-US"/>
        </w:rPr>
        <w:t xml:space="preserve">protect the children who are </w:t>
      </w:r>
      <w:r>
        <w:rPr>
          <w:rFonts w:ascii="Arial" w:hAnsi="Arial"/>
          <w:sz w:val="24"/>
          <w:szCs w:val="24"/>
          <w:rtl w:val="0"/>
          <w:lang w:val="en-US"/>
        </w:rPr>
        <w:t>working the mines</w:t>
      </w:r>
      <w:r>
        <w:rPr>
          <w:rFonts w:ascii="Arial" w:hAnsi="Arial"/>
          <w:sz w:val="24"/>
          <w:szCs w:val="24"/>
          <w:rtl w:val="0"/>
          <w:lang w:val="en-US"/>
        </w:rPr>
        <w:t xml:space="preserve"> and diving  in the mines for gold (Philippines: Children Risk Death to Dig and Dive for Gold, 2020)</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According to a news website in 2018 called Reuters although it is said that child labour and squalid conditions has fallen sharply in Cambodia</w:t>
      </w:r>
      <w:r>
        <w:rPr>
          <w:rFonts w:ascii="Arial" w:hAnsi="Arial" w:hint="default"/>
          <w:sz w:val="24"/>
          <w:szCs w:val="24"/>
          <w:rtl w:val="0"/>
          <w:lang w:val="en-US"/>
        </w:rPr>
        <w:t>’</w:t>
      </w:r>
      <w:r>
        <w:rPr>
          <w:rFonts w:ascii="Arial" w:hAnsi="Arial"/>
          <w:sz w:val="24"/>
          <w:szCs w:val="24"/>
          <w:rtl w:val="0"/>
          <w:lang w:val="en-US"/>
        </w:rPr>
        <w:t>s many garment factories, there are still numerous subcontractors still using children. Better factories Cambodia a UN international Organisation and the World bank initiative found that only 10 cases of child labour, down from 74 in 2014, this was from its last survey of over 500 export factories. However, Esther German</w:t>
      </w:r>
      <w:r>
        <w:rPr>
          <w:rFonts w:ascii="Arial" w:hAnsi="Arial" w:hint="default"/>
          <w:sz w:val="24"/>
          <w:szCs w:val="24"/>
          <w:rtl w:val="0"/>
          <w:lang w:val="en-US"/>
        </w:rPr>
        <w:t>’</w:t>
      </w:r>
      <w:r>
        <w:rPr>
          <w:rFonts w:ascii="Arial" w:hAnsi="Arial"/>
          <w:sz w:val="24"/>
          <w:szCs w:val="24"/>
          <w:rtl w:val="0"/>
          <w:lang w:val="en-US"/>
        </w:rPr>
        <w:t>s is a program manager from ILO, states that general working conditions are worse than ever with subcontractors although there is no rea data source. (Ferrie, 2018)</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rtl w:val="0"/>
          <w:lang w:val="en-US"/>
        </w:rPr>
        <w:t>T</w:t>
      </w:r>
      <w:r>
        <w:rPr>
          <w:rFonts w:ascii="Arial" w:hAnsi="Arial"/>
          <w:sz w:val="24"/>
          <w:szCs w:val="24"/>
          <w:rtl w:val="0"/>
          <w:lang w:val="en-US"/>
        </w:rPr>
        <w:t xml:space="preserve">he German government put into place a National </w:t>
      </w:r>
      <w:r>
        <w:rPr>
          <w:rFonts w:ascii="Arial" w:hAnsi="Arial"/>
          <w:sz w:val="24"/>
          <w:szCs w:val="24"/>
          <w:rtl w:val="0"/>
          <w:lang w:val="en-US"/>
        </w:rPr>
        <w:t>strategy f</w:t>
      </w:r>
      <w:r>
        <w:rPr>
          <w:rFonts w:ascii="Arial" w:hAnsi="Arial"/>
          <w:sz w:val="24"/>
          <w:szCs w:val="24"/>
          <w:rtl w:val="0"/>
        </w:rPr>
        <w:t>or Business</w:t>
      </w:r>
      <w:r>
        <w:rPr>
          <w:rFonts w:ascii="Arial" w:hAnsi="Arial"/>
          <w:sz w:val="24"/>
          <w:szCs w:val="24"/>
          <w:rtl w:val="0"/>
          <w:lang w:val="en-US"/>
        </w:rPr>
        <w:t>'s</w:t>
      </w:r>
      <w:r>
        <w:rPr>
          <w:rFonts w:ascii="Arial" w:hAnsi="Arial"/>
          <w:sz w:val="24"/>
          <w:szCs w:val="24"/>
          <w:rtl w:val="0"/>
          <w:lang w:val="en-US"/>
        </w:rPr>
        <w:t xml:space="preserve"> and Human Rights</w:t>
      </w:r>
      <w:r>
        <w:rPr>
          <w:rFonts w:ascii="Arial" w:hAnsi="Arial"/>
          <w:sz w:val="24"/>
          <w:szCs w:val="24"/>
          <w:rtl w:val="0"/>
          <w:lang w:val="en-US"/>
        </w:rPr>
        <w:t xml:space="preserve"> in 2016</w:t>
      </w:r>
      <w:r>
        <w:rPr>
          <w:rFonts w:ascii="Arial" w:hAnsi="Arial"/>
          <w:sz w:val="24"/>
          <w:szCs w:val="24"/>
          <w:rtl w:val="0"/>
          <w:lang w:val="en-US"/>
        </w:rPr>
        <w:t xml:space="preserve">, encouraging </w:t>
      </w:r>
      <w:r>
        <w:rPr>
          <w:rFonts w:ascii="Arial" w:hAnsi="Arial"/>
          <w:sz w:val="24"/>
          <w:szCs w:val="24"/>
          <w:rtl w:val="0"/>
          <w:lang w:val="en-US"/>
        </w:rPr>
        <w:t xml:space="preserve">the </w:t>
      </w:r>
      <w:r>
        <w:rPr>
          <w:rFonts w:ascii="Arial" w:hAnsi="Arial"/>
          <w:sz w:val="24"/>
          <w:szCs w:val="24"/>
          <w:rtl w:val="0"/>
          <w:lang w:val="en-US"/>
        </w:rPr>
        <w:t>German business to human rights, and safeguard</w:t>
      </w:r>
      <w:r>
        <w:rPr>
          <w:rFonts w:ascii="Arial" w:hAnsi="Arial"/>
          <w:sz w:val="24"/>
          <w:szCs w:val="24"/>
          <w:rtl w:val="0"/>
          <w:lang w:val="en-US"/>
        </w:rPr>
        <w:t xml:space="preserve">ing to </w:t>
      </w:r>
      <w:r>
        <w:rPr>
          <w:rFonts w:ascii="Arial" w:hAnsi="Arial"/>
          <w:sz w:val="24"/>
          <w:szCs w:val="24"/>
          <w:rtl w:val="0"/>
          <w:lang w:val="fr-FR"/>
        </w:rPr>
        <w:t>ensu</w:t>
      </w:r>
      <w:r>
        <w:rPr>
          <w:rFonts w:ascii="Arial" w:hAnsi="Arial"/>
          <w:sz w:val="24"/>
          <w:szCs w:val="24"/>
          <w:rtl w:val="0"/>
          <w:lang w:val="en-US"/>
        </w:rPr>
        <w:t>re</w:t>
      </w:r>
      <w:r>
        <w:rPr>
          <w:rFonts w:ascii="Arial" w:hAnsi="Arial"/>
          <w:sz w:val="24"/>
          <w:szCs w:val="24"/>
          <w:rtl w:val="0"/>
          <w:lang w:val="en-US"/>
        </w:rPr>
        <w:t xml:space="preserve"> business are taking into consideration rights across their broad supply chains. This Plan is built from the UN Principles on Business and Human Rights and are considered standard for all businesses responsibilities in this area. (Kippenberg, 2020) In 2017 Germany aimed to have 50 percent of businesses implement this plan </w:t>
      </w:r>
      <w:r>
        <w:rPr>
          <w:rFonts w:ascii="Arial" w:hAnsi="Arial"/>
          <w:sz w:val="24"/>
          <w:szCs w:val="24"/>
          <w:rtl w:val="0"/>
          <w:lang w:val="en-US"/>
        </w:rPr>
        <w:t xml:space="preserve">of action by </w:t>
      </w:r>
      <w:r>
        <w:rPr>
          <w:rFonts w:ascii="Arial" w:hAnsi="Arial"/>
          <w:sz w:val="24"/>
          <w:szCs w:val="24"/>
          <w:rtl w:val="0"/>
          <w:lang w:val="en-US"/>
        </w:rPr>
        <w:t xml:space="preserve">2020, if business </w:t>
      </w:r>
      <w:r>
        <w:rPr>
          <w:rFonts w:ascii="Arial" w:hAnsi="Arial"/>
          <w:sz w:val="24"/>
          <w:szCs w:val="24"/>
          <w:rtl w:val="0"/>
          <w:lang w:val="en-US"/>
        </w:rPr>
        <w:t>are unsuccessful</w:t>
      </w:r>
      <w:r>
        <w:rPr>
          <w:rFonts w:ascii="Arial" w:hAnsi="Arial"/>
          <w:sz w:val="24"/>
          <w:szCs w:val="24"/>
          <w:rtl w:val="0"/>
          <w:lang w:val="en-US"/>
        </w:rPr>
        <w:t xml:space="preserve"> to reach this goal the German government had plan to consider </w:t>
      </w:r>
      <w:r>
        <w:rPr>
          <w:rFonts w:ascii="Arial" w:hAnsi="Arial"/>
          <w:sz w:val="24"/>
          <w:szCs w:val="24"/>
          <w:rtl w:val="0"/>
          <w:lang w:val="en-US"/>
        </w:rPr>
        <w:t>lawful</w:t>
      </w:r>
      <w:r>
        <w:rPr>
          <w:rFonts w:ascii="Arial" w:hAnsi="Arial"/>
          <w:sz w:val="24"/>
          <w:szCs w:val="24"/>
          <w:rtl w:val="0"/>
          <w:lang w:val="en-US"/>
        </w:rPr>
        <w:t xml:space="preserve"> measures.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The</w:t>
      </w:r>
      <w:r>
        <w:rPr>
          <w:rFonts w:ascii="Arial" w:hAnsi="Arial"/>
          <w:sz w:val="24"/>
          <w:szCs w:val="24"/>
          <w:rtl w:val="0"/>
          <w:lang w:val="en-US"/>
        </w:rPr>
        <w:t xml:space="preserve"> requirement </w:t>
      </w:r>
      <w:r>
        <w:rPr>
          <w:rFonts w:ascii="Arial" w:hAnsi="Arial"/>
          <w:sz w:val="24"/>
          <w:szCs w:val="24"/>
          <w:rtl w:val="0"/>
          <w:lang w:val="en-US"/>
        </w:rPr>
        <w:t xml:space="preserve">that businesses </w:t>
      </w:r>
      <w:r>
        <w:rPr>
          <w:rFonts w:ascii="Arial" w:hAnsi="Arial"/>
          <w:sz w:val="24"/>
          <w:szCs w:val="24"/>
          <w:rtl w:val="0"/>
          <w:lang w:val="en-US"/>
        </w:rPr>
        <w:t>are</w:t>
      </w:r>
      <w:r>
        <w:rPr>
          <w:rFonts w:ascii="Arial" w:hAnsi="Arial"/>
          <w:sz w:val="24"/>
          <w:szCs w:val="24"/>
          <w:rtl w:val="0"/>
          <w:lang w:val="en-US"/>
        </w:rPr>
        <w:t xml:space="preserve"> more accountable for their actions has been reflected in the increase of voluntary CSR reporting (Jain et al., 2015), however there is always concern about the credibility and quality of the reports.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Advantages of voluntary CSR</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Businesses that volunteer their information regarding CSR could obtain higher financial performance and enhance their image, they can also operate more efficiently and reduce company cost. The amalgamation of responding to social and marketing pressures to protect businesses brands, and their reputation whist proactively using cost saving techniques is called </w:t>
      </w:r>
      <w:r>
        <w:rPr>
          <w:rFonts w:ascii="Arial" w:hAnsi="Arial" w:hint="default"/>
          <w:sz w:val="24"/>
          <w:szCs w:val="24"/>
          <w:rtl w:val="0"/>
          <w:lang w:val="en-US"/>
        </w:rPr>
        <w:t>“</w:t>
      </w:r>
      <w:r>
        <w:rPr>
          <w:rFonts w:ascii="Arial" w:hAnsi="Arial"/>
          <w:sz w:val="24"/>
          <w:szCs w:val="24"/>
          <w:rtl w:val="0"/>
          <w:lang w:val="en-US"/>
        </w:rPr>
        <w:t>business case</w:t>
      </w:r>
      <w:r>
        <w:rPr>
          <w:rFonts w:ascii="Arial" w:hAnsi="Arial" w:hint="default"/>
          <w:sz w:val="24"/>
          <w:szCs w:val="24"/>
          <w:rtl w:val="0"/>
          <w:lang w:val="en-US"/>
        </w:rPr>
        <w:t xml:space="preserve">” </w:t>
      </w:r>
      <w:r>
        <w:rPr>
          <w:rFonts w:ascii="Arial" w:hAnsi="Arial"/>
          <w:sz w:val="24"/>
          <w:szCs w:val="24"/>
          <w:rtl w:val="0"/>
        </w:rPr>
        <w:t>for CSR (McBarnet et al., 2007)</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There are many businesses that voluntary report and that are environmentally responsible, one of which is Coca-Cola, their product is 100% dependant on water which means they need a well-functioning eco system. For them to implement eco-friendly practices it is the most logical solution  to preserve the resources that help them exist and their business is based on. Coca-Cola does this by replenishing water projects. (Coca-Cola and Its Bottlers </w:t>
      </w:r>
      <w:r>
        <w:rPr>
          <w:rFonts w:ascii="Arial" w:hAnsi="Arial" w:hint="default"/>
          <w:sz w:val="24"/>
          <w:szCs w:val="24"/>
          <w:rtl w:val="0"/>
          <w:lang w:val="en-US"/>
        </w:rPr>
        <w:t>“</w:t>
      </w:r>
      <w:r>
        <w:rPr>
          <w:rFonts w:ascii="Arial" w:hAnsi="Arial"/>
          <w:sz w:val="24"/>
          <w:szCs w:val="24"/>
          <w:rtl w:val="0"/>
          <w:lang w:val="en-US"/>
        </w:rPr>
        <w:t>replenish</w:t>
      </w:r>
      <w:r>
        <w:rPr>
          <w:rFonts w:ascii="Arial" w:hAnsi="Arial" w:hint="default"/>
          <w:sz w:val="24"/>
          <w:szCs w:val="24"/>
          <w:rtl w:val="0"/>
          <w:lang w:val="en-US"/>
        </w:rPr>
        <w:t xml:space="preserve">” </w:t>
      </w:r>
      <w:r>
        <w:rPr>
          <w:rFonts w:ascii="Arial" w:hAnsi="Arial"/>
          <w:sz w:val="24"/>
          <w:szCs w:val="24"/>
          <w:rtl w:val="0"/>
          <w:lang w:val="en-US"/>
        </w:rPr>
        <w:t xml:space="preserve">All the Water They Use | Greenbiz, n.d.) Coca-Cola also put a large focus on sustainability, climate, packaging, and agriculture. </w:t>
      </w:r>
      <w:r>
        <w:rPr>
          <w:rFonts w:ascii="Arial" w:hAnsi="Arial" w:hint="default"/>
          <w:sz w:val="24"/>
          <w:szCs w:val="24"/>
          <w:rtl w:val="0"/>
          <w:lang w:val="en-US"/>
        </w:rPr>
        <w:t>“</w:t>
      </w:r>
      <w:r>
        <w:rPr>
          <w:rFonts w:ascii="Arial" w:hAnsi="Arial"/>
          <w:sz w:val="24"/>
          <w:szCs w:val="24"/>
          <w:rtl w:val="0"/>
          <w:lang w:val="en-US"/>
        </w:rPr>
        <w:t>A world without waste</w:t>
      </w:r>
      <w:r>
        <w:rPr>
          <w:rFonts w:ascii="Arial" w:hAnsi="Arial" w:hint="default"/>
          <w:sz w:val="24"/>
          <w:szCs w:val="24"/>
          <w:rtl w:val="0"/>
          <w:lang w:val="en-US"/>
        </w:rPr>
        <w:t xml:space="preserve">” </w:t>
      </w:r>
      <w:r>
        <w:rPr>
          <w:rFonts w:ascii="Arial" w:hAnsi="Arial"/>
          <w:sz w:val="24"/>
          <w:szCs w:val="24"/>
          <w:rtl w:val="0"/>
          <w:lang w:val="en-US"/>
        </w:rPr>
        <w:t>aiming to collect and recycle every bottle and make their packaging 100% recyclable aiming to reduce their carbon footprint by 25% by 2030. (Simon @ DMI, 2022)</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Johnson and Johnson are another business that implement voluntary CSR, they </w:t>
      </w:r>
      <w:r>
        <w:rPr>
          <w:rFonts w:ascii="Arial" w:hAnsi="Arial"/>
          <w:sz w:val="24"/>
          <w:szCs w:val="24"/>
          <w:rtl w:val="0"/>
          <w:lang w:val="en-US"/>
        </w:rPr>
        <w:t xml:space="preserve">have </w:t>
      </w:r>
      <w:r>
        <w:rPr>
          <w:rFonts w:ascii="Arial" w:hAnsi="Arial"/>
          <w:sz w:val="24"/>
          <w:szCs w:val="24"/>
          <w:rtl w:val="0"/>
          <w:lang w:val="en-US"/>
        </w:rPr>
        <w:t>focus</w:t>
      </w:r>
      <w:r>
        <w:rPr>
          <w:rFonts w:ascii="Arial" w:hAnsi="Arial"/>
          <w:sz w:val="24"/>
          <w:szCs w:val="24"/>
          <w:rtl w:val="0"/>
          <w:lang w:val="en-US"/>
        </w:rPr>
        <w:t xml:space="preserve">ed </w:t>
      </w:r>
      <w:r>
        <w:rPr>
          <w:rFonts w:ascii="Arial" w:hAnsi="Arial"/>
          <w:sz w:val="24"/>
          <w:szCs w:val="24"/>
          <w:rtl w:val="0"/>
        </w:rPr>
        <w:t xml:space="preserve"> on </w:t>
      </w:r>
      <w:r>
        <w:rPr>
          <w:rFonts w:ascii="Arial" w:hAnsi="Arial"/>
          <w:sz w:val="24"/>
          <w:szCs w:val="24"/>
          <w:rtl w:val="0"/>
          <w:lang w:val="en-US"/>
        </w:rPr>
        <w:t xml:space="preserve">reduction of their negative impact </w:t>
      </w:r>
      <w:r>
        <w:rPr>
          <w:rFonts w:ascii="Arial" w:hAnsi="Arial"/>
          <w:sz w:val="24"/>
          <w:szCs w:val="24"/>
          <w:rtl w:val="0"/>
          <w:lang w:val="en-US"/>
        </w:rPr>
        <w:t>on the planet for over 30 years, from using wind power to provide safe</w:t>
      </w:r>
      <w:r>
        <w:rPr>
          <w:rFonts w:ascii="Arial" w:hAnsi="Arial"/>
          <w:sz w:val="24"/>
          <w:szCs w:val="24"/>
          <w:rtl w:val="0"/>
          <w:lang w:val="en-US"/>
        </w:rPr>
        <w:t xml:space="preserve">r </w:t>
      </w:r>
      <w:r>
        <w:rPr>
          <w:rFonts w:ascii="Arial" w:hAnsi="Arial"/>
          <w:sz w:val="24"/>
          <w:szCs w:val="24"/>
          <w:rtl w:val="0"/>
          <w:lang w:val="en-US"/>
        </w:rPr>
        <w:t>water to</w:t>
      </w:r>
      <w:r>
        <w:rPr>
          <w:rFonts w:ascii="Arial" w:hAnsi="Arial"/>
          <w:sz w:val="24"/>
          <w:szCs w:val="24"/>
          <w:rtl w:val="0"/>
          <w:lang w:val="en-US"/>
        </w:rPr>
        <w:t xml:space="preserve"> </w:t>
      </w:r>
      <w:r>
        <w:rPr>
          <w:rFonts w:ascii="Arial" w:hAnsi="Arial"/>
          <w:sz w:val="24"/>
          <w:szCs w:val="24"/>
          <w:rtl w:val="0"/>
          <w:lang w:val="en-US"/>
        </w:rPr>
        <w:t>neighbourhood's</w:t>
      </w:r>
      <w:r>
        <w:rPr>
          <w:rFonts w:ascii="Arial" w:hAnsi="Arial"/>
          <w:sz w:val="24"/>
          <w:szCs w:val="24"/>
          <w:rtl w:val="0"/>
          <w:lang w:val="en-US"/>
        </w:rPr>
        <w:t xml:space="preserve"> </w:t>
      </w:r>
      <w:r>
        <w:rPr>
          <w:rFonts w:ascii="Arial" w:hAnsi="Arial"/>
          <w:sz w:val="24"/>
          <w:szCs w:val="24"/>
          <w:rtl w:val="0"/>
          <w:lang w:val="en-US"/>
        </w:rPr>
        <w:t xml:space="preserve">around the world </w:t>
      </w:r>
      <w:r>
        <w:rPr>
          <w:rFonts w:ascii="Arial" w:hAnsi="Arial"/>
          <w:sz w:val="24"/>
          <w:szCs w:val="24"/>
          <w:rtl w:val="0"/>
          <w:lang w:val="en-US"/>
        </w:rPr>
        <w:t>and t</w:t>
      </w:r>
      <w:r>
        <w:rPr>
          <w:rFonts w:ascii="Arial" w:hAnsi="Arial"/>
          <w:sz w:val="24"/>
          <w:szCs w:val="24"/>
          <w:rtl w:val="0"/>
          <w:lang w:val="en-US"/>
        </w:rPr>
        <w:t xml:space="preserve">o seek out renewable energy options. </w:t>
      </w:r>
      <w:r>
        <w:rPr>
          <w:rFonts w:ascii="Arial" w:hAnsi="Arial"/>
          <w:sz w:val="24"/>
          <w:szCs w:val="24"/>
          <w:rtl w:val="0"/>
          <w:lang w:val="en-US"/>
        </w:rPr>
        <w:t xml:space="preserve">Buying </w:t>
      </w:r>
      <w:r>
        <w:rPr>
          <w:rFonts w:ascii="Arial" w:hAnsi="Arial"/>
          <w:sz w:val="24"/>
          <w:szCs w:val="24"/>
          <w:rtl w:val="0"/>
        </w:rPr>
        <w:t xml:space="preserve"> private</w:t>
      </w:r>
      <w:r>
        <w:rPr>
          <w:rFonts w:ascii="Arial" w:hAnsi="Arial"/>
          <w:sz w:val="24"/>
          <w:szCs w:val="24"/>
          <w:rtl w:val="0"/>
          <w:lang w:val="en-US"/>
        </w:rPr>
        <w:t xml:space="preserve">ly owned </w:t>
      </w:r>
      <w:r>
        <w:rPr>
          <w:rFonts w:ascii="Arial" w:hAnsi="Arial"/>
          <w:sz w:val="24"/>
          <w:szCs w:val="24"/>
          <w:rtl w:val="0"/>
          <w:lang w:val="en-US"/>
        </w:rPr>
        <w:t xml:space="preserve"> energy supplier</w:t>
      </w:r>
      <w:r>
        <w:rPr>
          <w:rFonts w:ascii="Arial" w:hAnsi="Arial"/>
          <w:sz w:val="24"/>
          <w:szCs w:val="24"/>
          <w:rtl w:val="0"/>
          <w:lang w:val="en-US"/>
        </w:rPr>
        <w:t xml:space="preserve">s </w:t>
      </w:r>
      <w:r>
        <w:rPr>
          <w:rFonts w:ascii="Arial" w:hAnsi="Arial"/>
          <w:sz w:val="24"/>
          <w:szCs w:val="24"/>
          <w:rtl w:val="0"/>
          <w:lang w:val="de-DE"/>
        </w:rPr>
        <w:t xml:space="preserve">in Texas Panhandle, </w:t>
      </w:r>
      <w:r>
        <w:rPr>
          <w:rFonts w:ascii="Arial" w:hAnsi="Arial"/>
          <w:sz w:val="24"/>
          <w:szCs w:val="24"/>
          <w:rtl w:val="0"/>
          <w:lang w:val="en-US"/>
        </w:rPr>
        <w:t>this permitted</w:t>
      </w:r>
      <w:r>
        <w:rPr>
          <w:rFonts w:ascii="Arial" w:hAnsi="Arial"/>
          <w:sz w:val="24"/>
          <w:szCs w:val="24"/>
          <w:rtl w:val="0"/>
          <w:lang w:val="en-US"/>
        </w:rPr>
        <w:t xml:space="preserve"> the</w:t>
      </w:r>
      <w:r>
        <w:rPr>
          <w:rFonts w:ascii="Arial" w:hAnsi="Arial"/>
          <w:sz w:val="24"/>
          <w:szCs w:val="24"/>
          <w:rtl w:val="0"/>
          <w:lang w:val="en-US"/>
        </w:rPr>
        <w:t xml:space="preserve"> company </w:t>
      </w:r>
      <w:r>
        <w:rPr>
          <w:rFonts w:ascii="Arial" w:hAnsi="Arial"/>
          <w:sz w:val="24"/>
          <w:szCs w:val="24"/>
          <w:rtl w:val="0"/>
          <w:lang w:val="en-US"/>
        </w:rPr>
        <w:t>to reduce pollution</w:t>
      </w:r>
      <w:r>
        <w:rPr>
          <w:rFonts w:ascii="Arial" w:hAnsi="Arial"/>
          <w:sz w:val="24"/>
          <w:szCs w:val="24"/>
          <w:rtl w:val="0"/>
          <w:lang w:val="en-US"/>
        </w:rPr>
        <w:t>,</w:t>
      </w:r>
      <w:r>
        <w:rPr>
          <w:rFonts w:ascii="Arial" w:hAnsi="Arial"/>
          <w:sz w:val="24"/>
          <w:szCs w:val="24"/>
          <w:rtl w:val="0"/>
          <w:lang w:val="en-US"/>
        </w:rPr>
        <w:t xml:space="preserve"> whilst </w:t>
      </w:r>
      <w:r>
        <w:rPr>
          <w:rFonts w:ascii="Arial" w:hAnsi="Arial"/>
          <w:sz w:val="24"/>
          <w:szCs w:val="24"/>
          <w:rtl w:val="0"/>
          <w:lang w:val="en-US"/>
        </w:rPr>
        <w:t xml:space="preserve">supplying </w:t>
      </w:r>
      <w:r>
        <w:rPr>
          <w:rFonts w:ascii="Arial" w:hAnsi="Arial"/>
          <w:sz w:val="24"/>
          <w:szCs w:val="24"/>
          <w:rtl w:val="0"/>
          <w:lang w:val="en-US"/>
        </w:rPr>
        <w:t xml:space="preserve">renewable and </w:t>
      </w:r>
      <w:r>
        <w:rPr>
          <w:rFonts w:ascii="Arial" w:hAnsi="Arial"/>
          <w:sz w:val="24"/>
          <w:szCs w:val="24"/>
          <w:rtl w:val="0"/>
          <w:lang w:val="en-US"/>
        </w:rPr>
        <w:t xml:space="preserve"> </w:t>
      </w:r>
      <w:r>
        <w:rPr>
          <w:rFonts w:ascii="Arial" w:hAnsi="Arial"/>
          <w:sz w:val="24"/>
          <w:szCs w:val="24"/>
          <w:rtl w:val="0"/>
          <w:lang w:val="nl-NL"/>
        </w:rPr>
        <w:t xml:space="preserve">moor economical  </w:t>
      </w:r>
      <w:r>
        <w:rPr>
          <w:rFonts w:ascii="Arial" w:hAnsi="Arial"/>
          <w:sz w:val="24"/>
          <w:szCs w:val="24"/>
          <w:rtl w:val="0"/>
          <w:lang w:val="en-US"/>
        </w:rPr>
        <w:t xml:space="preserve">option to </w:t>
      </w:r>
      <w:r>
        <w:rPr>
          <w:rFonts w:ascii="Arial" w:hAnsi="Arial"/>
          <w:sz w:val="24"/>
          <w:szCs w:val="24"/>
          <w:rtl w:val="0"/>
          <w:lang w:val="en-US"/>
        </w:rPr>
        <w:t xml:space="preserve">electricity. Continuing to find more renewable energy options with the aim of having 100% of its energy from these sources by 2025. </w:t>
      </w:r>
      <w:bookmarkStart w:name="_Hlk127193024" w:id="1"/>
      <w:r>
        <w:rPr>
          <w:rFonts w:ascii="Arial" w:hAnsi="Arial"/>
          <w:sz w:val="24"/>
          <w:szCs w:val="24"/>
          <w:rtl w:val="0"/>
          <w:lang w:val="de-DE"/>
        </w:rPr>
        <w:t>(Simon @ DMI, 2022)</w:t>
      </w:r>
      <w:bookmarkEnd w:id="1"/>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Known </w:t>
      </w:r>
      <w:r>
        <w:rPr>
          <w:rFonts w:ascii="Arial" w:hAnsi="Arial"/>
          <w:sz w:val="24"/>
          <w:szCs w:val="24"/>
          <w:rtl w:val="0"/>
        </w:rPr>
        <w:t xml:space="preserve"> f</w:t>
      </w:r>
      <w:r>
        <w:rPr>
          <w:rFonts w:ascii="Arial" w:hAnsi="Arial"/>
          <w:sz w:val="24"/>
          <w:szCs w:val="24"/>
          <w:rtl w:val="0"/>
        </w:rPr>
        <w:t xml:space="preserve">or </w:t>
      </w:r>
      <w:r>
        <w:rPr>
          <w:rFonts w:ascii="Arial" w:hAnsi="Arial"/>
          <w:sz w:val="24"/>
          <w:szCs w:val="24"/>
          <w:rtl w:val="0"/>
          <w:lang w:val="en-US"/>
        </w:rPr>
        <w:t xml:space="preserve">being </w:t>
      </w:r>
      <w:r>
        <w:rPr>
          <w:rFonts w:ascii="Arial" w:hAnsi="Arial"/>
          <w:sz w:val="24"/>
          <w:szCs w:val="24"/>
          <w:rtl w:val="0"/>
          <w:lang w:val="en-US"/>
        </w:rPr>
        <w:t>its environmentally friendly</w:t>
      </w:r>
      <w:r>
        <w:rPr>
          <w:rFonts w:ascii="Arial" w:hAnsi="Arial"/>
          <w:sz w:val="24"/>
          <w:szCs w:val="24"/>
          <w:rtl w:val="0"/>
          <w:lang w:val="en-US"/>
        </w:rPr>
        <w:t>,</w:t>
      </w:r>
      <w:r>
        <w:rPr>
          <w:rFonts w:ascii="Arial" w:hAnsi="Arial"/>
          <w:sz w:val="24"/>
          <w:szCs w:val="24"/>
          <w:rtl w:val="0"/>
          <w:lang w:val="nl-NL"/>
        </w:rPr>
        <w:t xml:space="preserve"> Google is </w:t>
      </w:r>
      <w:r>
        <w:rPr>
          <w:rFonts w:ascii="Arial" w:hAnsi="Arial"/>
          <w:sz w:val="24"/>
          <w:szCs w:val="24"/>
          <w:rtl w:val="0"/>
          <w:lang w:val="en-US"/>
        </w:rPr>
        <w:t>additionally</w:t>
      </w:r>
      <w:r>
        <w:rPr>
          <w:rFonts w:ascii="Arial" w:hAnsi="Arial"/>
          <w:sz w:val="24"/>
          <w:szCs w:val="24"/>
          <w:rtl w:val="0"/>
          <w:lang w:val="en-US"/>
        </w:rPr>
        <w:t xml:space="preserve"> known for their outspoke CEO Sundar Pichai, </w:t>
      </w:r>
      <w:r>
        <w:rPr>
          <w:rFonts w:ascii="Arial" w:hAnsi="Arial"/>
          <w:sz w:val="24"/>
          <w:szCs w:val="24"/>
          <w:rtl w:val="0"/>
          <w:lang w:val="en-US"/>
        </w:rPr>
        <w:t>s</w:t>
      </w:r>
      <w:r>
        <w:rPr>
          <w:rFonts w:ascii="Arial" w:hAnsi="Arial"/>
          <w:sz w:val="24"/>
          <w:szCs w:val="24"/>
          <w:rtl w:val="0"/>
        </w:rPr>
        <w:t>tand</w:t>
      </w:r>
      <w:r>
        <w:rPr>
          <w:rFonts w:ascii="Arial" w:hAnsi="Arial"/>
          <w:sz w:val="24"/>
          <w:szCs w:val="24"/>
          <w:rtl w:val="0"/>
          <w:lang w:val="en-US"/>
        </w:rPr>
        <w:t xml:space="preserve">ing </w:t>
      </w:r>
      <w:r>
        <w:rPr>
          <w:rFonts w:ascii="Arial" w:hAnsi="Arial"/>
          <w:sz w:val="24"/>
          <w:szCs w:val="24"/>
          <w:rtl w:val="0"/>
          <w:lang w:val="en-US"/>
        </w:rPr>
        <w:t xml:space="preserve">up for many social </w:t>
      </w:r>
      <w:r>
        <w:rPr>
          <w:rFonts w:ascii="Arial" w:hAnsi="Arial"/>
          <w:sz w:val="24"/>
          <w:szCs w:val="24"/>
          <w:rtl w:val="0"/>
          <w:lang w:val="en-US"/>
        </w:rPr>
        <w:t>challenges</w:t>
      </w:r>
      <w:r>
        <w:rPr>
          <w:rFonts w:ascii="Arial" w:hAnsi="Arial"/>
          <w:sz w:val="24"/>
          <w:szCs w:val="24"/>
          <w:rtl w:val="0"/>
          <w:lang w:val="en-US"/>
        </w:rPr>
        <w:t xml:space="preserve"> which include that of President Donald Trump</w:t>
      </w:r>
      <w:r>
        <w:rPr>
          <w:rFonts w:ascii="Arial" w:hAnsi="Arial" w:hint="default"/>
          <w:sz w:val="24"/>
          <w:szCs w:val="24"/>
          <w:rtl w:val="0"/>
          <w:lang w:val="en-US"/>
        </w:rPr>
        <w:t>’</w:t>
      </w:r>
      <w:r>
        <w:rPr>
          <w:rFonts w:ascii="Arial" w:hAnsi="Arial"/>
          <w:sz w:val="24"/>
          <w:szCs w:val="24"/>
          <w:rtl w:val="0"/>
          <w:lang w:val="en-US"/>
        </w:rPr>
        <w:t xml:space="preserve">s anti-Muslimism </w:t>
      </w:r>
      <w:r>
        <w:rPr>
          <w:rFonts w:ascii="Arial" w:hAnsi="Arial"/>
          <w:sz w:val="24"/>
          <w:szCs w:val="24"/>
          <w:rtl w:val="0"/>
          <w:lang w:val="en-US"/>
        </w:rPr>
        <w:t>remark</w:t>
      </w:r>
      <w:r>
        <w:rPr>
          <w:rFonts w:ascii="Arial" w:hAnsi="Arial"/>
          <w:sz w:val="24"/>
          <w:szCs w:val="24"/>
          <w:rtl w:val="0"/>
          <w:lang w:val="pt-PT"/>
        </w:rPr>
        <w:t>. Earning the reputation Institute</w:t>
      </w:r>
      <w:r>
        <w:rPr>
          <w:rFonts w:ascii="Arial" w:hAnsi="Arial" w:hint="default"/>
          <w:sz w:val="24"/>
          <w:szCs w:val="24"/>
          <w:rtl w:val="0"/>
          <w:lang w:val="en-US"/>
        </w:rPr>
        <w:t>’</w:t>
      </w:r>
      <w:r>
        <w:rPr>
          <w:rFonts w:ascii="Arial" w:hAnsi="Arial"/>
          <w:sz w:val="24"/>
          <w:szCs w:val="24"/>
          <w:rtl w:val="0"/>
          <w:lang w:val="en-US"/>
        </w:rPr>
        <w:t>s highest CSR 2018 score due to their data centres using 60% less energy than other businesses worldwide, whilst having commitment to $1 Billion renewable energy projects and which may help other businesses to reduce their environmental impact such as Gmail. (Simon @ DMI, 2022)</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Ford motor company mission statement Is </w:t>
      </w:r>
      <w:r>
        <w:rPr>
          <w:rFonts w:ascii="Arial" w:hAnsi="Arial" w:hint="default"/>
          <w:sz w:val="24"/>
          <w:szCs w:val="24"/>
          <w:rtl w:val="0"/>
          <w:lang w:val="en-US"/>
        </w:rPr>
        <w:t>“</w:t>
      </w:r>
      <w:r>
        <w:rPr>
          <w:rFonts w:ascii="Arial" w:hAnsi="Arial"/>
          <w:sz w:val="24"/>
          <w:szCs w:val="24"/>
          <w:rtl w:val="0"/>
          <w:lang w:val="en-US"/>
        </w:rPr>
        <w:t>build a better world, where everyone is free to move and pursue their dreams</w:t>
      </w:r>
      <w:r>
        <w:rPr>
          <w:rFonts w:ascii="Arial" w:hAnsi="Arial" w:hint="default"/>
          <w:sz w:val="24"/>
          <w:szCs w:val="24"/>
          <w:rtl w:val="0"/>
          <w:lang w:val="en-US"/>
        </w:rPr>
        <w:t>”</w:t>
      </w:r>
      <w:r>
        <w:rPr>
          <w:rFonts w:ascii="Arial" w:hAnsi="Arial"/>
          <w:sz w:val="24"/>
          <w:szCs w:val="24"/>
          <w:rtl w:val="0"/>
          <w:lang w:val="en-US"/>
        </w:rPr>
        <w:t>(2021) Ford have big plans when it comes to CSR, they are committed to becoming carbon neutral by 2050 (Cangancy, 2020), Bob Holycross Ford</w:t>
      </w:r>
      <w:r>
        <w:rPr>
          <w:rFonts w:ascii="Arial" w:hAnsi="Arial" w:hint="default"/>
          <w:sz w:val="24"/>
          <w:szCs w:val="24"/>
          <w:rtl w:val="0"/>
          <w:lang w:val="en-US"/>
        </w:rPr>
        <w:t>’</w:t>
      </w:r>
      <w:r>
        <w:rPr>
          <w:rFonts w:ascii="Arial" w:hAnsi="Arial"/>
          <w:sz w:val="24"/>
          <w:szCs w:val="24"/>
          <w:rtl w:val="0"/>
          <w:lang w:val="en-US"/>
        </w:rPr>
        <w:t xml:space="preserve">s VP, Chief Sustainability Environment and Safety Officer states </w:t>
      </w:r>
      <w:r>
        <w:rPr>
          <w:rFonts w:ascii="Arial" w:hAnsi="Arial" w:hint="default"/>
          <w:sz w:val="24"/>
          <w:szCs w:val="24"/>
          <w:rtl w:val="0"/>
          <w:lang w:val="en-US"/>
        </w:rPr>
        <w:t>“</w:t>
      </w:r>
      <w:r>
        <w:rPr>
          <w:rFonts w:ascii="Arial" w:hAnsi="Arial"/>
          <w:sz w:val="24"/>
          <w:szCs w:val="24"/>
          <w:rtl w:val="0"/>
        </w:rPr>
        <w:t>it</w:t>
      </w:r>
      <w:r>
        <w:rPr>
          <w:rFonts w:ascii="Arial" w:hAnsi="Arial" w:hint="default"/>
          <w:sz w:val="24"/>
          <w:szCs w:val="24"/>
          <w:rtl w:val="0"/>
          <w:lang w:val="en-US"/>
        </w:rPr>
        <w:t>’</w:t>
      </w:r>
      <w:r>
        <w:rPr>
          <w:rFonts w:ascii="Arial" w:hAnsi="Arial"/>
          <w:sz w:val="24"/>
          <w:szCs w:val="24"/>
          <w:rtl w:val="0"/>
          <w:lang w:val="en-US"/>
        </w:rPr>
        <w:t>s the right thing to do for our customers, the planet and Ford.</w:t>
      </w:r>
      <w:r>
        <w:rPr>
          <w:rFonts w:ascii="Arial" w:hAnsi="Arial" w:hint="default"/>
          <w:sz w:val="24"/>
          <w:szCs w:val="24"/>
          <w:rtl w:val="0"/>
          <w:lang w:val="en-US"/>
        </w:rPr>
        <w:t xml:space="preserve">” </w:t>
      </w:r>
      <w:r>
        <w:rPr>
          <w:rFonts w:ascii="Arial" w:hAnsi="Arial"/>
          <w:sz w:val="24"/>
          <w:szCs w:val="24"/>
          <w:rtl w:val="0"/>
          <w:lang w:val="en-US"/>
        </w:rPr>
        <w:t>(Simon @ DMI, 2022). Ford also have another goal they are currently focusing on pay equity, diversity, and inclusion. Providing jobs for people regardless their gender, ability, sexual orientation, and race. (Foote, 2022)</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Communicate voluntary CSR and showing that a business is socially accountable to </w:t>
      </w:r>
      <w:r>
        <w:rPr>
          <w:rFonts w:ascii="Arial" w:hAnsi="Arial"/>
          <w:sz w:val="24"/>
          <w:szCs w:val="24"/>
          <w:rtl w:val="0"/>
          <w:lang w:val="en-US"/>
        </w:rPr>
        <w:t xml:space="preserve"> all </w:t>
      </w:r>
      <w:r>
        <w:rPr>
          <w:rFonts w:ascii="Arial" w:hAnsi="Arial"/>
          <w:sz w:val="24"/>
          <w:szCs w:val="24"/>
          <w:rtl w:val="0"/>
          <w:lang w:val="en-US"/>
        </w:rPr>
        <w:t>can boost their brand while doing this, a successful corporation that is more visible sets a standard of responsibility and ethical behaviour for its competition and industry to follow.</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Position against voluntary reporting</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Frequent heard arguments against CSR are, Many Businesses are owned by their shareholders and any money that is spent on CSR by managers is theft, as the money is the rightful owners of the shareholders. Businesses that focus greater on CSR are not successful in the market place, another well know saying amongst many business especially after the Covid-19 pandemic is times are hard we have to focus on the bottom line in order to keep our business going (Arguments Against Corporate Social Responsibility - and Some Responses, 2008) however the likes of Coca-Cola and Google have seen an increase in sales and support from various platform</w:t>
      </w:r>
      <w:r>
        <w:rPr>
          <w:rFonts w:ascii="Arial" w:hAnsi="Arial" w:hint="default"/>
          <w:sz w:val="24"/>
          <w:szCs w:val="24"/>
          <w:rtl w:val="0"/>
          <w:lang w:val="en-US"/>
        </w:rPr>
        <w:t>’</w:t>
      </w:r>
      <w:r>
        <w:rPr>
          <w:rFonts w:ascii="Arial" w:hAnsi="Arial"/>
          <w:sz w:val="24"/>
          <w:szCs w:val="24"/>
          <w:rtl w:val="0"/>
          <w:lang w:val="en-US"/>
        </w:rPr>
        <w:t>s due to their high visual standing of their voluntary CSR reporting.</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Ineffectiveness of self- regulation in the field of CSR over many years has resulting in a shift from voluntary CSR to mandatory CSR initiatives. The failure of voluntary CSR has meant there has been no succession to resolve social and ecological problems, as there are many businesses that do not behave responsively.</w:t>
      </w:r>
    </w:p>
    <w:p>
      <w:pPr>
        <w:pStyle w:val="Body"/>
        <w:rPr>
          <w:rFonts w:ascii="Arial" w:cs="Arial" w:hAnsi="Arial" w:eastAsia="Arial"/>
          <w:sz w:val="24"/>
          <w:szCs w:val="24"/>
        </w:rPr>
      </w:pPr>
      <w:r>
        <w:rPr>
          <w:rFonts w:ascii="Arial" w:hAnsi="Arial"/>
          <w:sz w:val="24"/>
          <w:szCs w:val="24"/>
          <w:rtl w:val="0"/>
          <w:lang w:val="en-US"/>
        </w:rPr>
        <w:t xml:space="preserve">Many countries have established mandatory CSR which included legal requirements and penalties for not complying. The </w:t>
      </w:r>
      <w:r>
        <w:rPr>
          <w:rFonts w:ascii="Arial" w:hAnsi="Arial"/>
          <w:sz w:val="24"/>
          <w:szCs w:val="24"/>
          <w:rtl w:val="0"/>
          <w:lang w:val="en-US"/>
        </w:rPr>
        <w:t xml:space="preserve">2016 </w:t>
      </w:r>
      <w:r>
        <w:rPr>
          <w:rFonts w:ascii="Arial" w:hAnsi="Arial"/>
          <w:sz w:val="24"/>
          <w:szCs w:val="24"/>
          <w:rtl w:val="0"/>
          <w:lang w:val="en-US"/>
        </w:rPr>
        <w:t xml:space="preserve"> Carrots and Sticks</w:t>
      </w:r>
      <w:r>
        <w:rPr>
          <w:rFonts w:ascii="Arial" w:hAnsi="Arial"/>
          <w:sz w:val="24"/>
          <w:szCs w:val="24"/>
          <w:rtl w:val="0"/>
          <w:lang w:val="en-US"/>
        </w:rPr>
        <w:t xml:space="preserve"> study brought to light that </w:t>
      </w:r>
      <w:r>
        <w:rPr>
          <w:rFonts w:ascii="Arial" w:hAnsi="Arial"/>
          <w:sz w:val="24"/>
          <w:szCs w:val="24"/>
          <w:rtl w:val="0"/>
          <w:lang w:val="en-US"/>
        </w:rPr>
        <w:t xml:space="preserve">there were around 400 sustainability reporting instruments in over 64 countries, 65% of these are mandatory, these figures have grown rapidly since 2013 where it was reported that 180 instruments in just 44 countries this is a deficit of 72%. (Smith, 2020). </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United Kingdom state that </w:t>
      </w:r>
      <w:r>
        <w:rPr>
          <w:rFonts w:ascii="Arial" w:hAnsi="Arial"/>
          <w:sz w:val="24"/>
          <w:szCs w:val="24"/>
          <w:rtl w:val="0"/>
          <w:lang w:val="en-US"/>
        </w:rPr>
        <w:t>corporate companies</w:t>
      </w:r>
      <w:r>
        <w:rPr>
          <w:rFonts w:ascii="Arial" w:hAnsi="Arial"/>
          <w:sz w:val="24"/>
          <w:szCs w:val="24"/>
          <w:rtl w:val="0"/>
          <w:lang w:val="en-US"/>
        </w:rPr>
        <w:t xml:space="preserve"> are mandated to disclos</w:t>
      </w:r>
      <w:r>
        <w:rPr>
          <w:rFonts w:ascii="Arial" w:hAnsi="Arial"/>
          <w:sz w:val="24"/>
          <w:szCs w:val="24"/>
          <w:rtl w:val="0"/>
          <w:lang w:val="en-US"/>
        </w:rPr>
        <w:t xml:space="preserve">e </w:t>
      </w:r>
      <w:r>
        <w:rPr>
          <w:rFonts w:ascii="Arial" w:hAnsi="Arial"/>
          <w:sz w:val="24"/>
          <w:szCs w:val="24"/>
          <w:rtl w:val="0"/>
          <w:lang w:val="en-US"/>
        </w:rPr>
        <w:t>their annual greenhouse gas emissions, diversity and human rights under companies Act 2006(Strategic and Director</w:t>
      </w:r>
      <w:r>
        <w:rPr>
          <w:rFonts w:ascii="Arial" w:hAnsi="Arial" w:hint="default"/>
          <w:sz w:val="24"/>
          <w:szCs w:val="24"/>
          <w:rtl w:val="0"/>
          <w:lang w:val="en-US"/>
        </w:rPr>
        <w:t>’</w:t>
      </w:r>
      <w:r>
        <w:rPr>
          <w:rFonts w:ascii="Arial" w:hAnsi="Arial"/>
          <w:sz w:val="24"/>
          <w:szCs w:val="24"/>
          <w:rtl w:val="0"/>
          <w:lang w:val="en-US"/>
        </w:rPr>
        <w:t>s Report) Regulation 2013. (Smith, 2020). Premium listing companies of equity shares UK also need to report, this is on how they apply the Corporate Governance Code 2012(Smith, 2020).</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The EC Directive on Disclosure of Non-financial and Diversity information 2013 is considered a crucial </w:t>
      </w:r>
      <w:r>
        <w:rPr>
          <w:rFonts w:ascii="Arial" w:hAnsi="Arial"/>
          <w:sz w:val="24"/>
          <w:szCs w:val="24"/>
          <w:rtl w:val="0"/>
          <w:lang w:val="en-US"/>
        </w:rPr>
        <w:t>t</w:t>
      </w:r>
      <w:r>
        <w:rPr>
          <w:rFonts w:ascii="Arial" w:hAnsi="Arial"/>
          <w:sz w:val="24"/>
          <w:szCs w:val="24"/>
          <w:rtl w:val="0"/>
          <w:lang w:val="en-US"/>
        </w:rPr>
        <w:t xml:space="preserve">ool of the EU. Requirements of </w:t>
      </w:r>
      <w:r>
        <w:rPr>
          <w:rFonts w:ascii="Arial" w:hAnsi="Arial"/>
          <w:sz w:val="24"/>
          <w:szCs w:val="24"/>
          <w:rtl w:val="0"/>
          <w:lang w:val="en-US"/>
        </w:rPr>
        <w:t xml:space="preserve"> </w:t>
      </w:r>
      <w:r>
        <w:rPr>
          <w:rFonts w:ascii="Arial" w:hAnsi="Arial"/>
          <w:sz w:val="24"/>
          <w:szCs w:val="24"/>
          <w:rtl w:val="0"/>
          <w:lang w:val="en-US"/>
        </w:rPr>
        <w:t>large companies and public interests</w:t>
      </w:r>
      <w:r>
        <w:rPr>
          <w:rFonts w:ascii="Arial" w:hAnsi="Arial" w:hint="default"/>
          <w:sz w:val="24"/>
          <w:szCs w:val="24"/>
          <w:rtl w:val="0"/>
          <w:lang w:val="en-US"/>
        </w:rPr>
        <w:t xml:space="preserve">’ </w:t>
      </w:r>
      <w:r>
        <w:rPr>
          <w:rFonts w:ascii="Arial" w:hAnsi="Arial"/>
          <w:sz w:val="24"/>
          <w:szCs w:val="24"/>
          <w:rtl w:val="0"/>
          <w:lang w:val="en-US"/>
        </w:rPr>
        <w:t>companies to disclose information such as environmental, social, and employment related affairs such as anti-bribery, corruption, and human rights.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China has seven regulations that act as their mandatory disclosure on sustainability, The Environmental Information Discourse Act,2008 mandates all corporations to disclose their environmental information according to the regulated requirements. In order to have access to more grants and public support China report voluntarily yearly their resource </w:t>
      </w:r>
      <w:r>
        <w:rPr>
          <w:rFonts w:ascii="Arial" w:hAnsi="Arial"/>
          <w:sz w:val="24"/>
          <w:szCs w:val="24"/>
          <w:rtl w:val="0"/>
          <w:lang w:val="en-US"/>
        </w:rPr>
        <w:t>utilisation</w:t>
      </w:r>
      <w:r>
        <w:rPr>
          <w:rFonts w:ascii="Arial" w:hAnsi="Arial"/>
          <w:sz w:val="24"/>
          <w:szCs w:val="24"/>
          <w:rtl w:val="0"/>
          <w:lang w:val="en-US"/>
        </w:rPr>
        <w:t>, pollution levels, disposal methods, and waste generation. If a company is listed on the Shanghai Stock Exchange, it must do a yearly environmental disclosure. (Smith, 2020)</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Voluntary and mandatory CSR initiatives are not that different in term of content, encouraging businesses to improve their policies include CSR responsibilities in their code of conduct, while also reducing their carbon footprint. In countries where they have mandatory CSR penalties or legal sanctions will be given if CSR is breached. CSR initiatives that are voluntary are deemed ineffective and not enough to ensure society</w:t>
      </w:r>
      <w:r>
        <w:rPr>
          <w:rFonts w:ascii="Arial" w:hAnsi="Arial" w:hint="default"/>
          <w:sz w:val="24"/>
          <w:szCs w:val="24"/>
          <w:rtl w:val="0"/>
          <w:lang w:val="en-US"/>
        </w:rPr>
        <w:t>’</w:t>
      </w:r>
      <w:r>
        <w:rPr>
          <w:rFonts w:ascii="Arial" w:hAnsi="Arial"/>
          <w:sz w:val="24"/>
          <w:szCs w:val="24"/>
          <w:rtl w:val="0"/>
          <w:lang w:val="en-US"/>
        </w:rPr>
        <w:t>s well-being, communities must rely on companies to be responsible and as there is no sanctions if voluntary CSR is violated many companies do not adhere.</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After researching Voluntary and mandatory CSR there are many arguments for and against, many say that if a mandatory CSR was put in place in all countries it would benefit them in the long run, it would improve the country</w:t>
      </w:r>
      <w:r>
        <w:rPr>
          <w:rFonts w:ascii="Arial" w:hAnsi="Arial" w:hint="default"/>
          <w:sz w:val="24"/>
          <w:szCs w:val="24"/>
          <w:rtl w:val="0"/>
          <w:lang w:val="en-US"/>
        </w:rPr>
        <w:t>’</w:t>
      </w:r>
      <w:r>
        <w:rPr>
          <w:rFonts w:ascii="Arial" w:hAnsi="Arial"/>
          <w:sz w:val="24"/>
          <w:szCs w:val="24"/>
          <w:rtl w:val="0"/>
          <w:lang w:val="en-US"/>
        </w:rPr>
        <w:t>s reputation, each participating country would be showing an example globally by applying mandatory CSR there is hope that all countries without mandatory CSR would see the benefits and follow. However, with mandatory CSR brings much more administration for countries and companies, many governments lack monitoring power, this would cause issues with regulating companies activities related to mandatory CSR. The final argument against mandatory CSR is that there is a risk of companies leaving mandatory countries and moving their headquarters to countries that do not have a mandatory policy.</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The majority of large corporate companies </w:t>
      </w:r>
      <w:r>
        <w:rPr>
          <w:rFonts w:ascii="Arial" w:hAnsi="Arial"/>
          <w:sz w:val="24"/>
          <w:szCs w:val="24"/>
          <w:rtl w:val="0"/>
          <w:lang w:val="en-US"/>
        </w:rPr>
        <w:t>work sust</w:t>
      </w:r>
      <w:r>
        <w:rPr>
          <w:rFonts w:ascii="Arial" w:hAnsi="Arial"/>
          <w:sz w:val="24"/>
          <w:szCs w:val="24"/>
          <w:rtl w:val="0"/>
          <w:lang w:val="en-US"/>
        </w:rPr>
        <w:t>ainability and ethically, CSR improves many aspects of society, this also promotes positivity and the brand image. Broken down into four components CSR focuses on the environmental impacts, ethical responsibility, philanthropic endeavours and financial responsibilities,  Raising moral in the work place also aids productivity which enhances profit , happy workers produce more profit. So, should CSR be mandatory or Voluntary?</w:t>
      </w:r>
    </w:p>
    <w:p>
      <w:pPr>
        <w:pStyle w:val="Body"/>
        <w:rPr>
          <w:rFonts w:ascii="Arial" w:cs="Arial" w:hAnsi="Arial" w:eastAsia="Arial"/>
          <w:sz w:val="24"/>
          <w:szCs w:val="24"/>
        </w:rPr>
      </w:pPr>
    </w:p>
    <w:p>
      <w:pPr>
        <w:pStyle w:val="Body"/>
        <w:rPr>
          <w:rFonts w:ascii="Arial" w:cs="Arial" w:hAnsi="Arial" w:eastAsia="Arial"/>
          <w:sz w:val="24"/>
          <w:szCs w:val="24"/>
        </w:rPr>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Normal (Web)"/>
        <w:spacing w:before="0" w:after="0" w:line="480" w:lineRule="auto"/>
        <w:ind w:left="720" w:hanging="720"/>
        <w:rPr>
          <w:rFonts w:ascii="Arial" w:cs="Arial" w:hAnsi="Arial" w:eastAsia="Arial"/>
          <w:i w:val="1"/>
          <w:iCs w:val="1"/>
        </w:rPr>
      </w:pPr>
      <w:r>
        <w:rPr>
          <w:rFonts w:ascii="Arial" w:hAnsi="Arial"/>
          <w:i w:val="1"/>
          <w:iCs w:val="1"/>
          <w:rtl w:val="0"/>
          <w:lang w:val="en-US"/>
        </w:rPr>
        <w:t xml:space="preserve">References </w:t>
      </w:r>
    </w:p>
    <w:p>
      <w:pPr>
        <w:pStyle w:val="Normal (Web)"/>
        <w:spacing w:before="0" w:after="0"/>
        <w:ind w:left="720" w:hanging="720"/>
        <w:rPr>
          <w:rStyle w:val="Link"/>
        </w:rPr>
      </w:pPr>
      <w:r>
        <w:rPr>
          <w:rFonts w:ascii="Arial" w:hAnsi="Arial"/>
          <w:i w:val="1"/>
          <w:iCs w:val="1"/>
          <w:rtl w:val="0"/>
          <w:lang w:val="en-US"/>
        </w:rPr>
        <w:t>Arguments against corporate social responsibility - And some responses</w:t>
      </w:r>
      <w:r>
        <w:rPr>
          <w:rFonts w:ascii="Arial" w:hAnsi="Arial"/>
          <w:rtl w:val="0"/>
          <w:lang w:val="en-US"/>
        </w:rPr>
        <w:t xml:space="preserve">. (2008, May 23). SITE_NAME. Retrieved February 14, 2023, from https://www.mallenbaker.net/article/clear-reflection/SITE_DOMAIN/article/clear-reflection/arguments-againCangancy, J. (2020). </w:t>
      </w:r>
      <w:r>
        <w:rPr>
          <w:rFonts w:ascii="Arial" w:hAnsi="Arial"/>
          <w:i w:val="1"/>
          <w:iCs w:val="1"/>
          <w:rtl w:val="0"/>
          <w:lang w:val="en-US"/>
        </w:rPr>
        <w:t>FORD COMMITS TO CARBON NEUTRALITY BY 2050</w:t>
      </w:r>
      <w:r>
        <w:rPr>
          <w:rFonts w:ascii="Arial" w:hAnsi="Arial"/>
          <w:rtl w:val="0"/>
          <w:lang w:val="en-US"/>
        </w:rPr>
        <w:t xml:space="preserve">. Corporate.Ford. Retrieved February 14, 2023, from </w:t>
      </w:r>
      <w:r>
        <w:rPr>
          <w:rStyle w:val="Hyperlink.0"/>
        </w:rPr>
        <w:fldChar w:fldCharType="begin" w:fldLock="0"/>
      </w:r>
      <w:r>
        <w:rPr>
          <w:rStyle w:val="Hyperlink.0"/>
        </w:rPr>
        <w:instrText xml:space="preserve"> HYPERLINK "https://corporate.ford.com/articles/sustainability/ford-expands-climate-change-goals.html"</w:instrText>
      </w:r>
      <w:r>
        <w:rPr>
          <w:rStyle w:val="Hyperlink.0"/>
        </w:rPr>
        <w:fldChar w:fldCharType="separate" w:fldLock="0"/>
      </w:r>
      <w:r>
        <w:rPr>
          <w:rStyle w:val="Hyperlink.0"/>
          <w:rtl w:val="0"/>
          <w:lang w:val="en-US"/>
        </w:rPr>
        <w:t>https://corporate.ford.com/articles/sustainability/ford-expands-climate-change-goals.html</w:t>
      </w:r>
      <w:r>
        <w:rPr/>
        <w:fldChar w:fldCharType="end" w:fldLock="0"/>
      </w:r>
    </w:p>
    <w:p>
      <w:pPr>
        <w:pStyle w:val="Normal (Web)"/>
        <w:spacing w:before="0" w:after="0"/>
        <w:ind w:left="720" w:hanging="720"/>
      </w:pPr>
    </w:p>
    <w:p>
      <w:pPr>
        <w:pStyle w:val="Normal (Web)"/>
        <w:spacing w:before="0" w:after="0"/>
        <w:ind w:left="720" w:hanging="720"/>
        <w:rPr>
          <w:rFonts w:ascii="Arial" w:cs="Arial" w:hAnsi="Arial" w:eastAsia="Arial"/>
        </w:rPr>
      </w:pPr>
      <w:r>
        <w:rPr>
          <w:rFonts w:ascii="Arial" w:hAnsi="Arial"/>
          <w:i w:val="1"/>
          <w:iCs w:val="1"/>
          <w:rtl w:val="0"/>
          <w:lang w:val="en-US"/>
        </w:rPr>
        <w:t xml:space="preserve">Coca-Cola and its bottlers </w:t>
      </w:r>
      <w:r>
        <w:rPr>
          <w:rFonts w:ascii="Arial" w:hAnsi="Arial" w:hint="default"/>
          <w:i w:val="1"/>
          <w:iCs w:val="1"/>
          <w:rtl w:val="0"/>
          <w:lang w:val="en-US"/>
        </w:rPr>
        <w:t>“</w:t>
      </w:r>
      <w:r>
        <w:rPr>
          <w:rFonts w:ascii="Arial" w:hAnsi="Arial"/>
          <w:i w:val="1"/>
          <w:iCs w:val="1"/>
          <w:rtl w:val="0"/>
          <w:lang w:val="en-US"/>
        </w:rPr>
        <w:t>replenish</w:t>
      </w:r>
      <w:r>
        <w:rPr>
          <w:rFonts w:ascii="Arial" w:hAnsi="Arial" w:hint="default"/>
          <w:i w:val="1"/>
          <w:iCs w:val="1"/>
          <w:rtl w:val="0"/>
          <w:lang w:val="en-US"/>
        </w:rPr>
        <w:t xml:space="preserve">” </w:t>
      </w:r>
      <w:r>
        <w:rPr>
          <w:rFonts w:ascii="Arial" w:hAnsi="Arial"/>
          <w:i w:val="1"/>
          <w:iCs w:val="1"/>
          <w:rtl w:val="0"/>
          <w:lang w:val="en-US"/>
        </w:rPr>
        <w:t>all the water they use | Greenbiz</w:t>
      </w:r>
      <w:r>
        <w:rPr>
          <w:rFonts w:ascii="Arial" w:hAnsi="Arial"/>
          <w:rtl w:val="0"/>
          <w:lang w:val="en-US"/>
        </w:rPr>
        <w:t>. (n.d.). Retrieved February 13, 2023, from</w:t>
      </w:r>
    </w:p>
    <w:p>
      <w:pPr>
        <w:pStyle w:val="Normal (Web)"/>
        <w:spacing w:before="0" w:after="0"/>
        <w:ind w:left="720" w:hanging="720"/>
        <w:rPr>
          <w:rFonts w:ascii="Arial" w:cs="Arial" w:hAnsi="Arial" w:eastAsia="Arial"/>
        </w:rPr>
      </w:pPr>
      <w:r>
        <w:rPr>
          <w:rFonts w:ascii="Arial" w:hAnsi="Arial"/>
          <w:rtl w:val="0"/>
          <w:lang w:val="en-US"/>
        </w:rPr>
        <w:t xml:space="preserve"> </w:t>
      </w:r>
      <w:r>
        <w:rPr>
          <w:rStyle w:val="Hyperlink.0"/>
        </w:rPr>
        <w:fldChar w:fldCharType="begin" w:fldLock="0"/>
      </w:r>
      <w:r>
        <w:rPr>
          <w:rStyle w:val="Hyperlink.0"/>
        </w:rPr>
        <w:instrText xml:space="preserve"> HYPERLINK "https://www.greenbiz.com/article/coca-cola-and-its-bottlers-replenish-all-water-they-use"</w:instrText>
      </w:r>
      <w:r>
        <w:rPr>
          <w:rStyle w:val="Hyperlink.0"/>
        </w:rPr>
        <w:fldChar w:fldCharType="separate" w:fldLock="0"/>
      </w:r>
      <w:r>
        <w:rPr>
          <w:rStyle w:val="Hyperlink.0"/>
          <w:rtl w:val="0"/>
          <w:lang w:val="en-US"/>
        </w:rPr>
        <w:t>https://www.greenbiz.com/article/coca-cola-and-its-bottlers-replenish-all-water-they-use</w:t>
      </w:r>
      <w:r>
        <w:rPr/>
        <w:fldChar w:fldCharType="end" w:fldLock="0"/>
      </w:r>
    </w:p>
    <w:p>
      <w:pPr>
        <w:pStyle w:val="Normal (Web)"/>
        <w:spacing w:before="0" w:after="0"/>
        <w:ind w:left="720" w:hanging="720"/>
        <w:rPr>
          <w:rFonts w:ascii="Arial" w:cs="Arial" w:hAnsi="Arial" w:eastAsia="Arial"/>
        </w:rPr>
      </w:pPr>
    </w:p>
    <w:p>
      <w:pPr>
        <w:pStyle w:val="Normal (Web)"/>
        <w:spacing w:before="0" w:after="0"/>
        <w:rPr>
          <w:rFonts w:ascii="Arial" w:cs="Arial" w:hAnsi="Arial" w:eastAsia="Arial"/>
        </w:rPr>
      </w:pPr>
      <w:r>
        <w:rPr>
          <w:rFonts w:ascii="Arial" w:hAnsi="Arial"/>
          <w:rtl w:val="0"/>
          <w:lang w:val="en-US"/>
        </w:rPr>
        <w:t xml:space="preserve">Foote, B. (2022, February 14). </w:t>
      </w:r>
      <w:r>
        <w:rPr>
          <w:rFonts w:ascii="Arial" w:hAnsi="Arial"/>
          <w:i w:val="1"/>
          <w:iCs w:val="1"/>
          <w:rtl w:val="0"/>
          <w:lang w:val="en-US"/>
        </w:rPr>
        <w:t>diversity, equity &amp; inclusion</w:t>
      </w:r>
      <w:r>
        <w:rPr>
          <w:rFonts w:ascii="Arial" w:hAnsi="Arial"/>
          <w:rtl w:val="0"/>
          <w:lang w:val="en-US"/>
        </w:rPr>
        <w:t xml:space="preserve">. fordauthority.com. Retrieved February 14, 2023, from </w:t>
      </w:r>
      <w:r>
        <w:rPr>
          <w:rStyle w:val="Hyperlink.0"/>
        </w:rPr>
        <w:fldChar w:fldCharType="begin" w:fldLock="0"/>
      </w:r>
      <w:r>
        <w:rPr>
          <w:rStyle w:val="Hyperlink.0"/>
        </w:rPr>
        <w:instrText xml:space="preserve"> HYPERLINK "https://www.scribbr.com/citation/generator/folders/3ufR95TdZoNR7NnEwaQJsR/lists/76WQ7kuVNEaS3gE9gDRwOl/"</w:instrText>
      </w:r>
      <w:r>
        <w:rPr>
          <w:rStyle w:val="Hyperlink.0"/>
        </w:rPr>
        <w:fldChar w:fldCharType="separate" w:fldLock="0"/>
      </w:r>
      <w:r>
        <w:rPr>
          <w:rStyle w:val="Hyperlink.0"/>
          <w:rtl w:val="0"/>
          <w:lang w:val="en-US"/>
        </w:rPr>
        <w:t>https://www.scribbr.com/citation/generator/folders/3ufR95TdZoNR7NnEwaQJsR/lists/76WQ7kuVNEaS3gE9gDRwOl/</w:t>
      </w:r>
      <w:r>
        <w:rPr/>
        <w:fldChar w:fldCharType="end" w:fldLock="0"/>
      </w:r>
    </w:p>
    <w:p>
      <w:pPr>
        <w:pStyle w:val="Normal (Web)"/>
        <w:spacing w:before="0" w:after="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Friedman, M. (1970, September 13). The social responsibility of business is to increase its profits. </w:t>
      </w:r>
      <w:r>
        <w:rPr>
          <w:rFonts w:ascii="Arial" w:hAnsi="Arial"/>
          <w:i w:val="1"/>
          <w:iCs w:val="1"/>
          <w:rtl w:val="0"/>
          <w:lang w:val="en-US"/>
        </w:rPr>
        <w:t>The New York Times Magazine</w:t>
      </w:r>
      <w:r>
        <w:rPr>
          <w:rFonts w:ascii="Arial" w:hAnsi="Arial"/>
          <w:rtl w:val="0"/>
          <w:lang w:val="en-US"/>
        </w:rPr>
        <w:t>.</w:t>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Jain, A., Keneley, M., &amp; Thomson, D. (2015). Voluntary CSR disclosure works! Evidence from Asia-Pacific banks. </w:t>
      </w:r>
      <w:r>
        <w:rPr>
          <w:rFonts w:ascii="Arial" w:hAnsi="Arial"/>
          <w:i w:val="1"/>
          <w:iCs w:val="1"/>
          <w:rtl w:val="0"/>
          <w:lang w:val="en-US"/>
        </w:rPr>
        <w:t>Social Responsibility Journal</w:t>
      </w:r>
      <w:r>
        <w:rPr>
          <w:rFonts w:ascii="Arial" w:hAnsi="Arial"/>
          <w:rtl w:val="0"/>
          <w:lang w:val="en-US"/>
        </w:rPr>
        <w:t xml:space="preserve">, </w:t>
      </w:r>
      <w:r>
        <w:rPr>
          <w:rFonts w:ascii="Arial" w:hAnsi="Arial"/>
          <w:i w:val="1"/>
          <w:iCs w:val="1"/>
          <w:rtl w:val="0"/>
          <w:lang w:val="en-US"/>
        </w:rPr>
        <w:t>11</w:t>
      </w:r>
      <w:r>
        <w:rPr>
          <w:rFonts w:ascii="Arial" w:hAnsi="Arial"/>
          <w:rtl w:val="0"/>
          <w:lang w:val="en-US"/>
        </w:rPr>
        <w:t>(1), 2</w:t>
      </w:r>
      <w:r>
        <w:rPr>
          <w:rFonts w:ascii="Arial" w:hAnsi="Arial" w:hint="default"/>
          <w:rtl w:val="0"/>
          <w:lang w:val="en-US"/>
        </w:rPr>
        <w:t>–</w:t>
      </w:r>
      <w:r>
        <w:rPr>
          <w:rFonts w:ascii="Arial" w:hAnsi="Arial"/>
          <w:rtl w:val="0"/>
          <w:lang w:val="en-US"/>
        </w:rPr>
        <w:t xml:space="preserve">18. </w:t>
      </w:r>
      <w:r>
        <w:rPr>
          <w:rStyle w:val="Hyperlink.0"/>
        </w:rPr>
        <w:fldChar w:fldCharType="begin" w:fldLock="0"/>
      </w:r>
      <w:r>
        <w:rPr>
          <w:rStyle w:val="Hyperlink.0"/>
        </w:rPr>
        <w:instrText xml:space="preserve"> HYPERLINK "https://doi.org/10.1108/srj-10-2012-0136"</w:instrText>
      </w:r>
      <w:r>
        <w:rPr>
          <w:rStyle w:val="Hyperlink.0"/>
        </w:rPr>
        <w:fldChar w:fldCharType="separate" w:fldLock="0"/>
      </w:r>
      <w:r>
        <w:rPr>
          <w:rStyle w:val="Hyperlink.0"/>
          <w:rtl w:val="0"/>
          <w:lang w:val="en-US"/>
        </w:rPr>
        <w:t>https://doi.org/10.1108/srj-10-2012-0136</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Kippenberg, J. (2020, October 28). Should Corporate Social Responsibility be Voluntary or Binding? </w:t>
      </w:r>
      <w:r>
        <w:rPr>
          <w:rFonts w:ascii="Arial" w:hAnsi="Arial"/>
          <w:i w:val="1"/>
          <w:iCs w:val="1"/>
          <w:rtl w:val="0"/>
          <w:lang w:val="en-US"/>
        </w:rPr>
        <w:t>Human Rights Watch</w:t>
      </w:r>
      <w:r>
        <w:rPr>
          <w:rFonts w:ascii="Arial" w:hAnsi="Arial"/>
          <w:rtl w:val="0"/>
          <w:lang w:val="en-US"/>
        </w:rPr>
        <w:t xml:space="preserve">. Retrieved February 13, 2023, from </w:t>
      </w:r>
      <w:r>
        <w:rPr>
          <w:rStyle w:val="Hyperlink.0"/>
        </w:rPr>
        <w:fldChar w:fldCharType="begin" w:fldLock="0"/>
      </w:r>
      <w:r>
        <w:rPr>
          <w:rStyle w:val="Hyperlink.0"/>
        </w:rPr>
        <w:instrText xml:space="preserve"> HYPERLINK "https://www.hrw.org/news/2017/09/18/should-corporate-social-responsibility-be-voluntary-or-binding"</w:instrText>
      </w:r>
      <w:r>
        <w:rPr>
          <w:rStyle w:val="Hyperlink.0"/>
        </w:rPr>
        <w:fldChar w:fldCharType="separate" w:fldLock="0"/>
      </w:r>
      <w:r>
        <w:rPr>
          <w:rStyle w:val="Hyperlink.0"/>
          <w:rtl w:val="0"/>
          <w:lang w:val="en-US"/>
        </w:rPr>
        <w:t>https://www.hrw.org/news/2017/09/18/should-corporate-social-responsibility-be-voluntary-or-binding</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Lockett, A., Moon, J., &amp; Visser, W. (2006). Corporate Social Responsibility in Management Research: Focus, Nature, Salience and Sources of Influence*. </w:t>
      </w:r>
      <w:r>
        <w:rPr>
          <w:rFonts w:ascii="Arial" w:hAnsi="Arial"/>
          <w:i w:val="1"/>
          <w:iCs w:val="1"/>
          <w:rtl w:val="0"/>
          <w:lang w:val="en-US"/>
        </w:rPr>
        <w:t>Journal of Management Studies</w:t>
      </w:r>
      <w:r>
        <w:rPr>
          <w:rFonts w:ascii="Arial" w:hAnsi="Arial"/>
          <w:rtl w:val="0"/>
          <w:lang w:val="en-US"/>
        </w:rPr>
        <w:t xml:space="preserve">, </w:t>
      </w:r>
      <w:r>
        <w:rPr>
          <w:rFonts w:ascii="Arial" w:hAnsi="Arial"/>
          <w:i w:val="1"/>
          <w:iCs w:val="1"/>
          <w:rtl w:val="0"/>
          <w:lang w:val="en-US"/>
        </w:rPr>
        <w:t>43</w:t>
      </w:r>
      <w:r>
        <w:rPr>
          <w:rFonts w:ascii="Arial" w:hAnsi="Arial"/>
          <w:rtl w:val="0"/>
          <w:lang w:val="en-US"/>
        </w:rPr>
        <w:t>(1), 115</w:t>
      </w:r>
      <w:r>
        <w:rPr>
          <w:rFonts w:ascii="Arial" w:hAnsi="Arial" w:hint="default"/>
          <w:rtl w:val="0"/>
          <w:lang w:val="en-US"/>
        </w:rPr>
        <w:t>–</w:t>
      </w:r>
      <w:r>
        <w:rPr>
          <w:rFonts w:ascii="Arial" w:hAnsi="Arial"/>
          <w:rtl w:val="0"/>
          <w:lang w:val="en-US"/>
        </w:rPr>
        <w:t>136.</w:t>
      </w:r>
    </w:p>
    <w:p>
      <w:pPr>
        <w:pStyle w:val="Normal (Web)"/>
        <w:spacing w:before="0" w:after="0"/>
        <w:ind w:left="720" w:hanging="720"/>
        <w:rPr>
          <w:rFonts w:ascii="Arial" w:cs="Arial" w:hAnsi="Arial" w:eastAsia="Arial"/>
        </w:rPr>
      </w:pPr>
      <w:r>
        <w:rPr>
          <w:rFonts w:ascii="Arial" w:hAnsi="Arial"/>
          <w:rtl w:val="0"/>
          <w:lang w:val="en-US"/>
        </w:rPr>
        <w:t xml:space="preserve"> </w:t>
      </w:r>
      <w:r>
        <w:rPr>
          <w:rStyle w:val="Hyperlink.0"/>
        </w:rPr>
        <w:fldChar w:fldCharType="begin" w:fldLock="0"/>
      </w:r>
      <w:r>
        <w:rPr>
          <w:rStyle w:val="Hyperlink.0"/>
        </w:rPr>
        <w:instrText xml:space="preserve"> HYPERLINK "https://doi.org/10.1111/j.1467-6486.2006.00585.x"</w:instrText>
      </w:r>
      <w:r>
        <w:rPr>
          <w:rStyle w:val="Hyperlink.0"/>
        </w:rPr>
        <w:fldChar w:fldCharType="separate" w:fldLock="0"/>
      </w:r>
      <w:r>
        <w:rPr>
          <w:rStyle w:val="Hyperlink.0"/>
          <w:rtl w:val="0"/>
          <w:lang w:val="en-US"/>
        </w:rPr>
        <w:t>https://doi.org/10.1111/j.1467-6486.2006.00585.x</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M. (2021, January 27). </w:t>
      </w:r>
      <w:r>
        <w:rPr>
          <w:rFonts w:ascii="Arial" w:hAnsi="Arial"/>
          <w:i w:val="1"/>
          <w:iCs w:val="1"/>
          <w:rtl w:val="0"/>
          <w:lang w:val="en-US"/>
        </w:rPr>
        <w:t>Ford Mission Statement 2023 | Ford Mission &amp; Vision Analysis</w:t>
      </w:r>
      <w:r>
        <w:rPr>
          <w:rFonts w:ascii="Arial" w:hAnsi="Arial"/>
          <w:rtl w:val="0"/>
          <w:lang w:val="en-US"/>
        </w:rPr>
        <w:t>. Biggest Mission Statements Collection - Mission Statement Academy. Retrieved February 13, 2023, from</w:t>
      </w:r>
    </w:p>
    <w:p>
      <w:pPr>
        <w:pStyle w:val="Normal (Web)"/>
        <w:spacing w:before="0" w:after="0"/>
        <w:ind w:left="720" w:hanging="720"/>
        <w:rPr>
          <w:rFonts w:ascii="Arial" w:cs="Arial" w:hAnsi="Arial" w:eastAsia="Arial"/>
        </w:rPr>
      </w:pPr>
      <w:r>
        <w:rPr>
          <w:rFonts w:ascii="Arial" w:hAnsi="Arial"/>
          <w:rtl w:val="0"/>
          <w:lang w:val="en-US"/>
        </w:rPr>
        <w:t xml:space="preserve"> </w:t>
      </w:r>
      <w:r>
        <w:rPr>
          <w:rStyle w:val="Hyperlink.0"/>
        </w:rPr>
        <w:fldChar w:fldCharType="begin" w:fldLock="0"/>
      </w:r>
      <w:r>
        <w:rPr>
          <w:rStyle w:val="Hyperlink.0"/>
        </w:rPr>
        <w:instrText xml:space="preserve"> HYPERLINK "https://mission-statement.com/ford/"</w:instrText>
      </w:r>
      <w:r>
        <w:rPr>
          <w:rStyle w:val="Hyperlink.0"/>
        </w:rPr>
        <w:fldChar w:fldCharType="separate" w:fldLock="0"/>
      </w:r>
      <w:r>
        <w:rPr>
          <w:rStyle w:val="Hyperlink.0"/>
          <w:rtl w:val="0"/>
          <w:lang w:val="en-US"/>
        </w:rPr>
        <w:t>https://mission-statement.com/ford/</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McBarnet, D., Voiculescu, A., &amp; Campbell, T. (2007). The New Corporate Accountability: Corporate Social Responsibility and the Law. </w:t>
      </w:r>
      <w:r>
        <w:rPr>
          <w:rFonts w:ascii="Arial" w:hAnsi="Arial"/>
          <w:i w:val="1"/>
          <w:iCs w:val="1"/>
          <w:rtl w:val="0"/>
          <w:lang w:val="en-US"/>
        </w:rPr>
        <w:t>Cambridge University Press EBooks</w:t>
      </w:r>
      <w:r>
        <w:rPr>
          <w:rFonts w:ascii="Arial" w:hAnsi="Arial"/>
          <w:rtl w:val="0"/>
          <w:lang w:val="en-US"/>
        </w:rPr>
        <w:t xml:space="preserve">. </w:t>
      </w:r>
      <w:r>
        <w:rPr>
          <w:rStyle w:val="Hyperlink.0"/>
        </w:rPr>
        <w:fldChar w:fldCharType="begin" w:fldLock="0"/>
      </w:r>
      <w:r>
        <w:rPr>
          <w:rStyle w:val="Hyperlink.0"/>
        </w:rPr>
        <w:instrText xml:space="preserve"> HYPERLINK "http://ci.nii.ac.jp/ncid/BB00347053"</w:instrText>
      </w:r>
      <w:r>
        <w:rPr>
          <w:rStyle w:val="Hyperlink.0"/>
        </w:rPr>
        <w:fldChar w:fldCharType="separate" w:fldLock="0"/>
      </w:r>
      <w:r>
        <w:rPr>
          <w:rStyle w:val="Hyperlink.0"/>
          <w:rtl w:val="0"/>
          <w:lang w:val="en-US"/>
        </w:rPr>
        <w:t>http://ci.nii.ac.jp/ncid/BB00347053</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McWilliams, A., Rupp, D. E., Siegel, D. S., Stahl, G. K., &amp; Waldman, D. A. (2019). </w:t>
      </w:r>
      <w:r>
        <w:rPr>
          <w:rFonts w:ascii="Arial" w:hAnsi="Arial"/>
          <w:i w:val="1"/>
          <w:iCs w:val="1"/>
          <w:rtl w:val="0"/>
          <w:lang w:val="en-US"/>
        </w:rPr>
        <w:t>The oxford handbook of corporate social responsibility: Psychological and organizational perspectives (oxford handbooks)</w:t>
      </w:r>
      <w:r>
        <w:rPr>
          <w:rFonts w:ascii="Arial" w:hAnsi="Arial"/>
          <w:rtl w:val="0"/>
          <w:lang w:val="en-US"/>
        </w:rPr>
        <w:t xml:space="preserve"> (Illustrated). Oxford University Press. </w:t>
      </w:r>
      <w:r>
        <w:rPr>
          <w:rStyle w:val="Hyperlink.0"/>
        </w:rPr>
        <w:fldChar w:fldCharType="begin" w:fldLock="0"/>
      </w:r>
      <w:r>
        <w:rPr>
          <w:rStyle w:val="Hyperlink.0"/>
        </w:rPr>
        <w:instrText xml:space="preserve"> HYPERLINK "https://doi.org/10.1093/oxfordhb/9780198802280.001.0001"</w:instrText>
      </w:r>
      <w:r>
        <w:rPr>
          <w:rStyle w:val="Hyperlink.0"/>
        </w:rPr>
        <w:fldChar w:fldCharType="separate" w:fldLock="0"/>
      </w:r>
      <w:r>
        <w:rPr>
          <w:rStyle w:val="Hyperlink.0"/>
          <w:rtl w:val="0"/>
          <w:lang w:val="en-US"/>
        </w:rPr>
        <w:t>https://doi.org/10.1093/oxfordhb/9780198802280.001.0001</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Reporter, G. S. (2015, January 6). Is corporate sustainability reporting a great waste of time? </w:t>
      </w:r>
      <w:r>
        <w:rPr>
          <w:rFonts w:ascii="Arial" w:hAnsi="Arial"/>
          <w:i w:val="1"/>
          <w:iCs w:val="1"/>
          <w:rtl w:val="0"/>
          <w:lang w:val="en-US"/>
        </w:rPr>
        <w:t>The Guardian</w:t>
      </w:r>
      <w:r>
        <w:rPr>
          <w:rFonts w:ascii="Arial" w:hAnsi="Arial"/>
          <w:rtl w:val="0"/>
          <w:lang w:val="en-US"/>
        </w:rPr>
        <w:t xml:space="preserve">. Retrieved February 12, 2023, from </w:t>
      </w:r>
      <w:r>
        <w:rPr>
          <w:rStyle w:val="Hyperlink.0"/>
        </w:rPr>
        <w:fldChar w:fldCharType="begin" w:fldLock="0"/>
      </w:r>
      <w:r>
        <w:rPr>
          <w:rStyle w:val="Hyperlink.0"/>
        </w:rPr>
        <w:instrText xml:space="preserve"> HYPERLINK "https://www.theguardian.com/sustainable-business/2015/jan/06/corporate-sustainability-reporting-waste-time"</w:instrText>
      </w:r>
      <w:r>
        <w:rPr>
          <w:rStyle w:val="Hyperlink.0"/>
        </w:rPr>
        <w:fldChar w:fldCharType="separate" w:fldLock="0"/>
      </w:r>
      <w:r>
        <w:rPr>
          <w:rStyle w:val="Hyperlink.0"/>
          <w:rtl w:val="0"/>
          <w:lang w:val="en-US"/>
        </w:rPr>
        <w:t>https://www.theguardian.com/sustainable-business/2015/jan/06/corporate-sustainability-reporting-waste-time</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Simon @ DMI. (2022, November 11). </w:t>
      </w:r>
      <w:r>
        <w:rPr>
          <w:rFonts w:ascii="Arial" w:hAnsi="Arial"/>
          <w:i w:val="1"/>
          <w:iCs w:val="1"/>
          <w:rtl w:val="0"/>
          <w:lang w:val="en-US"/>
        </w:rPr>
        <w:t>16 Brands Doing Corporate Social Responsibility Successfully</w:t>
      </w:r>
      <w:r>
        <w:rPr>
          <w:rFonts w:ascii="Arial" w:hAnsi="Arial"/>
          <w:rtl w:val="0"/>
          <w:lang w:val="en-US"/>
        </w:rPr>
        <w:t xml:space="preserve">. Digital Marketing Institute. Retrieved February 13, 2023, from </w:t>
      </w:r>
      <w:r>
        <w:rPr>
          <w:rStyle w:val="Hyperlink.0"/>
        </w:rPr>
        <w:fldChar w:fldCharType="begin" w:fldLock="0"/>
      </w:r>
      <w:r>
        <w:rPr>
          <w:rStyle w:val="Hyperlink.0"/>
        </w:rPr>
        <w:instrText xml:space="preserve"> HYPERLINK "https://digitalmarketinginstitute.com/blog/corporate-16-brands-doing-corporate-social-responsibility-successfully"</w:instrText>
      </w:r>
      <w:r>
        <w:rPr>
          <w:rStyle w:val="Hyperlink.0"/>
        </w:rPr>
        <w:fldChar w:fldCharType="separate" w:fldLock="0"/>
      </w:r>
      <w:r>
        <w:rPr>
          <w:rStyle w:val="Hyperlink.0"/>
          <w:rtl w:val="0"/>
          <w:lang w:val="en-US"/>
        </w:rPr>
        <w:t>https://digitalmarketinginstitute.com/blog/corporate-16-brands-doing-corporate-social-responsibility-successfully</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Tepper, T. (2020, September 16). Milton friedman on the social responsibility of business, 50 years later. </w:t>
      </w:r>
      <w:r>
        <w:rPr>
          <w:rFonts w:ascii="Arial" w:hAnsi="Arial"/>
          <w:i w:val="1"/>
          <w:iCs w:val="1"/>
          <w:rtl w:val="0"/>
          <w:lang w:val="en-US"/>
        </w:rPr>
        <w:t>Forbes Advisor</w:t>
      </w:r>
      <w:r>
        <w:rPr>
          <w:rFonts w:ascii="Arial" w:hAnsi="Arial"/>
          <w:rtl w:val="0"/>
          <w:lang w:val="en-US"/>
        </w:rPr>
        <w:t xml:space="preserve">. Retrieved February 13, 2023, from </w:t>
      </w:r>
      <w:r>
        <w:rPr>
          <w:rStyle w:val="Hyperlink.0"/>
        </w:rPr>
        <w:fldChar w:fldCharType="begin" w:fldLock="0"/>
      </w:r>
      <w:r>
        <w:rPr>
          <w:rStyle w:val="Hyperlink.0"/>
        </w:rPr>
        <w:instrText xml:space="preserve"> HYPERLINK "https://www.forbes.com/advisor/investing/milton-friedman-social-responsibility-of-business/"</w:instrText>
      </w:r>
      <w:r>
        <w:rPr>
          <w:rStyle w:val="Hyperlink.0"/>
        </w:rPr>
        <w:fldChar w:fldCharType="separate" w:fldLock="0"/>
      </w:r>
      <w:r>
        <w:rPr>
          <w:rStyle w:val="Hyperlink.0"/>
          <w:rtl w:val="0"/>
          <w:lang w:val="en-US"/>
        </w:rPr>
        <w:t>https://www.forbes.com/advisor/investing/milton-friedman-social-responsibility-of-business/</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Times, T. N. Y. (2020, September 13). Milton Friedman</w:t>
      </w:r>
      <w:r>
        <w:rPr>
          <w:rFonts w:ascii="Arial" w:hAnsi="Arial" w:hint="default"/>
          <w:rtl w:val="0"/>
          <w:lang w:val="en-US"/>
        </w:rPr>
        <w:t>’</w:t>
      </w:r>
      <w:r>
        <w:rPr>
          <w:rFonts w:ascii="Arial" w:hAnsi="Arial"/>
          <w:rtl w:val="0"/>
          <w:lang w:val="en-US"/>
        </w:rPr>
        <w:t xml:space="preserve">s Influential Essay on Business, 50 Years Later. </w:t>
      </w:r>
      <w:r>
        <w:rPr>
          <w:rFonts w:ascii="Arial" w:hAnsi="Arial"/>
          <w:i w:val="1"/>
          <w:iCs w:val="1"/>
          <w:rtl w:val="0"/>
          <w:lang w:val="en-US"/>
        </w:rPr>
        <w:t>The New York Times</w:t>
      </w:r>
      <w:r>
        <w:rPr>
          <w:rFonts w:ascii="Arial" w:hAnsi="Arial"/>
          <w:rtl w:val="0"/>
          <w:lang w:val="en-US"/>
        </w:rPr>
        <w:t xml:space="preserve">. </w:t>
      </w:r>
      <w:r>
        <w:rPr>
          <w:rStyle w:val="Hyperlink.0"/>
        </w:rPr>
        <w:fldChar w:fldCharType="begin" w:fldLock="0"/>
      </w:r>
      <w:r>
        <w:rPr>
          <w:rStyle w:val="Hyperlink.0"/>
        </w:rPr>
        <w:instrText xml:space="preserve"> HYPERLINK "https://www.nytimes.com/2020/09/13/business/dealbook/milton-friedman-essay-anniversary.html?referringSource=articleShare"</w:instrText>
      </w:r>
      <w:r>
        <w:rPr>
          <w:rStyle w:val="Hyperlink.0"/>
        </w:rPr>
        <w:fldChar w:fldCharType="separate" w:fldLock="0"/>
      </w:r>
      <w:r>
        <w:rPr>
          <w:rStyle w:val="Hyperlink.0"/>
          <w:rtl w:val="0"/>
          <w:lang w:val="en-US"/>
        </w:rPr>
        <w:t>https://www.nytimes.com/2020/09/13/business/dealbook/milton-friedman-essay-anniversary.html?referringSource=articleShare</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st-corporate-social-responsibility-and-some-responses</w:t>
      </w:r>
    </w:p>
    <w:p>
      <w:pPr>
        <w:pStyle w:val="Normal (Web)"/>
        <w:spacing w:before="0" w:after="0"/>
        <w:ind w:left="720" w:hanging="720"/>
        <w:rPr>
          <w:rFonts w:ascii="Arial" w:cs="Arial" w:hAnsi="Arial" w:eastAsia="Arial"/>
        </w:rPr>
      </w:pPr>
      <w:r>
        <w:rPr>
          <w:rFonts w:ascii="Arial" w:hAnsi="Arial"/>
          <w:rtl w:val="0"/>
          <w:lang w:val="en-US"/>
        </w:rPr>
        <w:t xml:space="preserve">Smith, S. (2020, April 30). </w:t>
      </w:r>
      <w:r>
        <w:rPr>
          <w:rFonts w:ascii="Arial" w:hAnsi="Arial"/>
          <w:i w:val="1"/>
          <w:iCs w:val="1"/>
          <w:rtl w:val="0"/>
          <w:lang w:val="en-US"/>
        </w:rPr>
        <w:t>Mandatory Sustainability Reporting: What Countries Have It And Should Other Join?</w:t>
      </w:r>
      <w:r>
        <w:rPr>
          <w:rFonts w:ascii="Arial" w:hAnsi="Arial"/>
          <w:rtl w:val="0"/>
          <w:lang w:val="en-US"/>
        </w:rPr>
        <w:t xml:space="preserve"> Report Adviser. Retrieved February 14, 2023, from </w:t>
      </w:r>
      <w:r>
        <w:rPr>
          <w:rStyle w:val="Hyperlink.0"/>
        </w:rPr>
        <w:fldChar w:fldCharType="begin" w:fldLock="0"/>
      </w:r>
      <w:r>
        <w:rPr>
          <w:rStyle w:val="Hyperlink.0"/>
        </w:rPr>
        <w:instrText xml:space="preserve"> HYPERLINK "https://reportadviser.info/news/mandatory-sustainability-reporting-what-countries-have-it-and-should-other-join"</w:instrText>
      </w:r>
      <w:r>
        <w:rPr>
          <w:rStyle w:val="Hyperlink.0"/>
        </w:rPr>
        <w:fldChar w:fldCharType="separate" w:fldLock="0"/>
      </w:r>
      <w:r>
        <w:rPr>
          <w:rStyle w:val="Hyperlink.0"/>
          <w:rtl w:val="0"/>
          <w:lang w:val="en-US"/>
        </w:rPr>
        <w:t>https://reportadviser.info/news/mandatory-sustainability-reporting-what-countries-have-it-and-should-other-join</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rtl w:val="0"/>
          <w:lang w:val="en-US"/>
        </w:rPr>
        <w:t xml:space="preserve">Price, C., &amp; Price, M. (2017, March 17). </w:t>
      </w:r>
      <w:r>
        <w:rPr>
          <w:rFonts w:ascii="Arial" w:hAnsi="Arial"/>
          <w:i w:val="1"/>
          <w:iCs w:val="1"/>
          <w:rtl w:val="0"/>
          <w:lang w:val="en-US"/>
        </w:rPr>
        <w:t>Bangladesh: Toxic Tanneries</w:t>
      </w:r>
      <w:r>
        <w:rPr>
          <w:rFonts w:ascii="Arial" w:hAnsi="Arial"/>
          <w:rtl w:val="0"/>
          <w:lang w:val="en-US"/>
        </w:rPr>
        <w:t xml:space="preserve">. Pulitzer Center. Retrieved February 14, 2023, from </w:t>
      </w:r>
    </w:p>
    <w:p>
      <w:pPr>
        <w:pStyle w:val="Normal (Web)"/>
        <w:spacing w:before="0" w:after="0"/>
        <w:ind w:left="720" w:hanging="720"/>
        <w:rPr>
          <w:rFonts w:ascii="Arial" w:cs="Arial" w:hAnsi="Arial" w:eastAsia="Arial"/>
        </w:rPr>
      </w:pPr>
      <w:r>
        <w:rPr>
          <w:rStyle w:val="Hyperlink.0"/>
        </w:rPr>
        <w:fldChar w:fldCharType="begin" w:fldLock="0"/>
      </w:r>
      <w:r>
        <w:rPr>
          <w:rStyle w:val="Hyperlink.0"/>
        </w:rPr>
        <w:instrText xml:space="preserve"> HYPERLINK "https://pulitzercenter.org/stories/bangladesh-toxic-tanneries"</w:instrText>
      </w:r>
      <w:r>
        <w:rPr>
          <w:rStyle w:val="Hyperlink.0"/>
        </w:rPr>
        <w:fldChar w:fldCharType="separate" w:fldLock="0"/>
      </w:r>
      <w:r>
        <w:rPr>
          <w:rStyle w:val="Hyperlink.0"/>
          <w:rtl w:val="0"/>
          <w:lang w:val="en-US"/>
        </w:rPr>
        <w:t>https://pulitzercenter.org/stories/bangladesh-toxic-tanneries</w:t>
      </w:r>
      <w:r>
        <w:rPr/>
        <w:fldChar w:fldCharType="end" w:fldLock="0"/>
      </w:r>
    </w:p>
    <w:p>
      <w:pPr>
        <w:pStyle w:val="Normal (Web)"/>
        <w:spacing w:before="0" w:after="0"/>
        <w:ind w:left="720" w:hanging="720"/>
        <w:rPr>
          <w:rFonts w:ascii="Arial" w:cs="Arial" w:hAnsi="Arial" w:eastAsia="Arial"/>
        </w:rPr>
      </w:pPr>
    </w:p>
    <w:p>
      <w:pPr>
        <w:pStyle w:val="Normal (Web)"/>
        <w:spacing w:before="0" w:after="0"/>
        <w:ind w:left="720" w:hanging="720"/>
        <w:rPr>
          <w:rFonts w:ascii="Arial" w:cs="Arial" w:hAnsi="Arial" w:eastAsia="Arial"/>
        </w:rPr>
      </w:pPr>
      <w:r>
        <w:rPr>
          <w:rFonts w:ascii="Arial" w:hAnsi="Arial"/>
          <w:i w:val="1"/>
          <w:iCs w:val="1"/>
          <w:rtl w:val="0"/>
          <w:lang w:val="en-US"/>
        </w:rPr>
        <w:t>Philippines: Children Risk Death to Dig and Dive For Gold</w:t>
      </w:r>
      <w:r>
        <w:rPr>
          <w:rFonts w:ascii="Arial" w:hAnsi="Arial"/>
          <w:rtl w:val="0"/>
          <w:lang w:val="en-US"/>
        </w:rPr>
        <w:t xml:space="preserve">. (2020, October 28). Human Rights Watch. Retrieved February 14, 2023, from </w:t>
      </w:r>
      <w:r>
        <w:rPr>
          <w:rStyle w:val="Hyperlink.0"/>
        </w:rPr>
        <w:fldChar w:fldCharType="begin" w:fldLock="0"/>
      </w:r>
      <w:r>
        <w:rPr>
          <w:rStyle w:val="Hyperlink.0"/>
        </w:rPr>
        <w:instrText xml:space="preserve"> HYPERLINK "https://www.hrw.org/news/2015/09/29/philippines-children-risk-death-dig-and-dive-gold"</w:instrText>
      </w:r>
      <w:r>
        <w:rPr>
          <w:rStyle w:val="Hyperlink.0"/>
        </w:rPr>
        <w:fldChar w:fldCharType="separate" w:fldLock="0"/>
      </w:r>
      <w:r>
        <w:rPr>
          <w:rStyle w:val="Hyperlink.0"/>
          <w:rtl w:val="0"/>
          <w:lang w:val="en-US"/>
        </w:rPr>
        <w:t>https://www.hrw.org/news/2015/09/29/philippines-children-risk-death-dig-and-dive-gold</w:t>
      </w:r>
      <w:r>
        <w:rPr/>
        <w:fldChar w:fldCharType="end" w:fldLock="0"/>
      </w:r>
    </w:p>
    <w:p>
      <w:pPr>
        <w:pStyle w:val="Normal (Web)"/>
        <w:spacing w:before="0" w:after="0"/>
        <w:ind w:left="720" w:hanging="720"/>
      </w:pPr>
      <w:r>
        <w:rPr>
          <w:rFonts w:ascii="Arial" w:cs="Arial" w:hAnsi="Arial" w:eastAsia="Arial"/>
        </w:rPr>
      </w:r>
    </w:p>
    <w:sectPr>
      <w:headerReference w:type="default" r:id="rId6"/>
      <w:headerReference w:type="first" r:id="rId7"/>
      <w:footerReference w:type="default" r:id="rId8"/>
      <w:footerReference w:type="first" r:id="rId9"/>
      <w:pgSz w:w="11900" w:h="16840" w:orient="portrait"/>
      <w:pgMar w:top="1440" w:right="1440" w:bottom="1440" w:left="1440" w:header="708" w:footer="708"/>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noFill/>
      </w14:textOutline>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rFonts w:ascii="Arial" w:cs="Arial" w:hAnsi="Arial" w:eastAsia="Aria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