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C7F704" w14:textId="75591B0E" w:rsidR="00106979" w:rsidRPr="0052476F" w:rsidRDefault="00106979" w:rsidP="00B46CDC">
      <w:pPr>
        <w:spacing w:beforeLines="120" w:before="288" w:afterLines="120" w:after="288" w:line="360" w:lineRule="auto"/>
      </w:pPr>
      <w:r w:rsidRPr="0052476F">
        <w:rPr>
          <w:noProof/>
          <w:lang w:bidi="ar-SA"/>
        </w:rPr>
        <w:drawing>
          <wp:anchor distT="0" distB="0" distL="114300" distR="114300" simplePos="0" relativeHeight="251659264" behindDoc="0" locked="0" layoutInCell="1" allowOverlap="1" wp14:anchorId="18BC238C" wp14:editId="4058B0B9">
            <wp:simplePos x="0" y="0"/>
            <wp:positionH relativeFrom="margin">
              <wp:align>center</wp:align>
            </wp:positionH>
            <wp:positionV relativeFrom="paragraph">
              <wp:posOffset>190500</wp:posOffset>
            </wp:positionV>
            <wp:extent cx="2221487" cy="876683"/>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4-12 14171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1487" cy="876683"/>
                    </a:xfrm>
                    <a:prstGeom prst="rect">
                      <a:avLst/>
                    </a:prstGeom>
                  </pic:spPr>
                </pic:pic>
              </a:graphicData>
            </a:graphic>
          </wp:anchor>
        </w:drawing>
      </w:r>
      <w:r>
        <w:br w:type="textWrapping" w:clear="all"/>
      </w:r>
    </w:p>
    <w:p w14:paraId="236CD55C" w14:textId="22F43FFE" w:rsidR="00106979" w:rsidRDefault="00A41569" w:rsidP="00B46CDC">
      <w:pPr>
        <w:spacing w:beforeLines="120" w:before="288" w:afterLines="120" w:after="288" w:line="360" w:lineRule="auto"/>
        <w:jc w:val="center"/>
      </w:pPr>
      <w:r w:rsidRPr="00A41569">
        <w:rPr>
          <w:b/>
          <w:bCs/>
          <w:sz w:val="32"/>
          <w:szCs w:val="32"/>
        </w:rPr>
        <w:t>Preserving Forests and Biodiversity through the COP Process: A Critical Assessment of Commitments and Delivery</w:t>
      </w:r>
    </w:p>
    <w:p w14:paraId="2141FCC5" w14:textId="77777777" w:rsidR="00106979" w:rsidRPr="0052476F" w:rsidRDefault="00106979" w:rsidP="00B46CDC">
      <w:pPr>
        <w:spacing w:beforeLines="120" w:before="288" w:afterLines="120" w:after="288" w:line="360" w:lineRule="auto"/>
        <w:jc w:val="center"/>
      </w:pPr>
      <w:r w:rsidRPr="0052476F">
        <w:t>Submitted by: Foyajul Karim Rimon</w:t>
      </w:r>
    </w:p>
    <w:p w14:paraId="194AFF6A" w14:textId="33E8DFE0" w:rsidR="00106979" w:rsidRDefault="00106979" w:rsidP="00A41569">
      <w:pPr>
        <w:spacing w:beforeLines="120" w:before="288" w:afterLines="120" w:after="288" w:line="360" w:lineRule="auto"/>
        <w:jc w:val="center"/>
      </w:pPr>
      <w:r w:rsidRPr="0052476F">
        <w:t>ID: 2504503</w:t>
      </w:r>
    </w:p>
    <w:p w14:paraId="6DFD8945" w14:textId="77777777" w:rsidR="00A41569" w:rsidRPr="0052476F" w:rsidRDefault="00A41569" w:rsidP="00A41569">
      <w:pPr>
        <w:spacing w:beforeLines="120" w:before="288" w:afterLines="120" w:after="288" w:line="360" w:lineRule="auto"/>
        <w:jc w:val="center"/>
      </w:pPr>
    </w:p>
    <w:p w14:paraId="6D3554B4" w14:textId="71C4C3CC" w:rsidR="00106979" w:rsidRPr="00B46CDC" w:rsidRDefault="00106979" w:rsidP="00B46CDC">
      <w:pPr>
        <w:spacing w:beforeLines="120" w:before="288" w:afterLines="120" w:after="288" w:line="360" w:lineRule="auto"/>
        <w:jc w:val="center"/>
      </w:pPr>
      <w:r w:rsidRPr="00B46CDC">
        <w:t xml:space="preserve">Module Code: </w:t>
      </w:r>
      <w:r w:rsidR="00B46CDC" w:rsidRPr="00B46CDC">
        <w:t>ACBA7007</w:t>
      </w:r>
      <w:r w:rsidRPr="00B46CDC">
        <w:t xml:space="preserve"> | </w:t>
      </w:r>
      <w:r w:rsidR="00B46CDC" w:rsidRPr="00B46CDC">
        <w:t>Strategic Management for Conservation</w:t>
      </w:r>
    </w:p>
    <w:p w14:paraId="31FF7D5F" w14:textId="77777777" w:rsidR="00106979" w:rsidRPr="0052476F" w:rsidRDefault="00106979" w:rsidP="00B46CDC">
      <w:pPr>
        <w:spacing w:beforeLines="120" w:before="288" w:afterLines="120" w:after="288" w:line="360" w:lineRule="auto"/>
        <w:jc w:val="center"/>
      </w:pPr>
      <w:r w:rsidRPr="0052476F">
        <w:t>University of Wales Trinity Saint David</w:t>
      </w:r>
    </w:p>
    <w:p w14:paraId="6741EAD3" w14:textId="10A0A7D8" w:rsidR="00106979" w:rsidRDefault="00106979" w:rsidP="00B46CDC">
      <w:pPr>
        <w:jc w:val="center"/>
      </w:pPr>
      <w:r w:rsidRPr="0052476F">
        <w:t>Academic Year: 2025-26</w:t>
      </w:r>
    </w:p>
    <w:p w14:paraId="39947D88" w14:textId="706CE016" w:rsidR="00106979" w:rsidRDefault="00106979" w:rsidP="00106979">
      <w:r>
        <w:br w:type="page"/>
      </w:r>
    </w:p>
    <w:sdt>
      <w:sdtPr>
        <w:rPr>
          <w:rFonts w:ascii="Times New Roman" w:eastAsia="Times New Roman" w:hAnsi="Times New Roman" w:cs="Times New Roman"/>
          <w:b w:val="0"/>
          <w:color w:val="000000"/>
          <w:sz w:val="24"/>
          <w:szCs w:val="24"/>
          <w:lang w:bidi="bn-BD"/>
        </w:rPr>
        <w:id w:val="1397167821"/>
        <w:docPartObj>
          <w:docPartGallery w:val="Table of Contents"/>
          <w:docPartUnique/>
        </w:docPartObj>
      </w:sdtPr>
      <w:sdtEndPr>
        <w:rPr>
          <w:bCs/>
          <w:noProof/>
        </w:rPr>
      </w:sdtEndPr>
      <w:sdtContent>
        <w:p w14:paraId="7D9E7D87" w14:textId="77777777" w:rsidR="00106979" w:rsidRPr="00106979" w:rsidRDefault="00106979" w:rsidP="00106979">
          <w:pPr>
            <w:pStyle w:val="TOCHeading"/>
            <w:jc w:val="center"/>
            <w:rPr>
              <w:rFonts w:ascii="Times New Roman" w:hAnsi="Times New Roman" w:cs="Times New Roman"/>
              <w:color w:val="auto"/>
            </w:rPr>
          </w:pPr>
          <w:r w:rsidRPr="00106979">
            <w:rPr>
              <w:rFonts w:ascii="Times New Roman" w:hAnsi="Times New Roman" w:cs="Times New Roman"/>
              <w:color w:val="auto"/>
            </w:rPr>
            <w:t>Table of Contents</w:t>
          </w:r>
        </w:p>
        <w:p w14:paraId="10CD5061" w14:textId="77777777" w:rsidR="00A94EC0" w:rsidRDefault="00106979">
          <w:pPr>
            <w:pStyle w:val="TOC1"/>
            <w:tabs>
              <w:tab w:val="right" w:leader="dot" w:pos="9016"/>
            </w:tabs>
            <w:rPr>
              <w:rFonts w:asciiTheme="minorHAnsi" w:eastAsiaTheme="minorEastAsia" w:hAnsiTheme="minorHAnsi" w:cstheme="minorBidi"/>
              <w:noProof/>
              <w:color w:val="auto"/>
              <w:sz w:val="22"/>
              <w:szCs w:val="22"/>
              <w:lang w:bidi="ar-SA"/>
            </w:rPr>
          </w:pPr>
          <w:r>
            <w:fldChar w:fldCharType="begin"/>
          </w:r>
          <w:r>
            <w:instrText xml:space="preserve"> TOC \o "1-3" \h \z \u </w:instrText>
          </w:r>
          <w:r>
            <w:fldChar w:fldCharType="separate"/>
          </w:r>
          <w:hyperlink w:anchor="_Toc228278400" w:history="1">
            <w:r w:rsidR="00A94EC0" w:rsidRPr="00962517">
              <w:rPr>
                <w:rStyle w:val="Hyperlink"/>
                <w:noProof/>
              </w:rPr>
              <w:t>Chapter 1: Introduction</w:t>
            </w:r>
            <w:r w:rsidR="00A94EC0">
              <w:rPr>
                <w:noProof/>
                <w:webHidden/>
              </w:rPr>
              <w:tab/>
            </w:r>
            <w:r w:rsidR="00A94EC0">
              <w:rPr>
                <w:noProof/>
                <w:webHidden/>
              </w:rPr>
              <w:fldChar w:fldCharType="begin"/>
            </w:r>
            <w:r w:rsidR="00A94EC0">
              <w:rPr>
                <w:noProof/>
                <w:webHidden/>
              </w:rPr>
              <w:instrText xml:space="preserve"> PAGEREF _Toc228278400 \h </w:instrText>
            </w:r>
            <w:r w:rsidR="00A94EC0">
              <w:rPr>
                <w:noProof/>
                <w:webHidden/>
              </w:rPr>
            </w:r>
            <w:r w:rsidR="00A94EC0">
              <w:rPr>
                <w:noProof/>
                <w:webHidden/>
              </w:rPr>
              <w:fldChar w:fldCharType="separate"/>
            </w:r>
            <w:r w:rsidR="00A94EC0">
              <w:rPr>
                <w:noProof/>
                <w:webHidden/>
              </w:rPr>
              <w:t>5</w:t>
            </w:r>
            <w:r w:rsidR="00A94EC0">
              <w:rPr>
                <w:noProof/>
                <w:webHidden/>
              </w:rPr>
              <w:fldChar w:fldCharType="end"/>
            </w:r>
          </w:hyperlink>
        </w:p>
        <w:p w14:paraId="2F915435"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01" w:history="1">
            <w:r w:rsidRPr="00962517">
              <w:rPr>
                <w:rStyle w:val="Hyperlink"/>
                <w:noProof/>
              </w:rPr>
              <w:t>1.1 Background and Significance</w:t>
            </w:r>
            <w:r>
              <w:rPr>
                <w:noProof/>
                <w:webHidden/>
              </w:rPr>
              <w:tab/>
            </w:r>
            <w:r>
              <w:rPr>
                <w:noProof/>
                <w:webHidden/>
              </w:rPr>
              <w:fldChar w:fldCharType="begin"/>
            </w:r>
            <w:r>
              <w:rPr>
                <w:noProof/>
                <w:webHidden/>
              </w:rPr>
              <w:instrText xml:space="preserve"> PAGEREF _Toc228278401 \h </w:instrText>
            </w:r>
            <w:r>
              <w:rPr>
                <w:noProof/>
                <w:webHidden/>
              </w:rPr>
            </w:r>
            <w:r>
              <w:rPr>
                <w:noProof/>
                <w:webHidden/>
              </w:rPr>
              <w:fldChar w:fldCharType="separate"/>
            </w:r>
            <w:r>
              <w:rPr>
                <w:noProof/>
                <w:webHidden/>
              </w:rPr>
              <w:t>5</w:t>
            </w:r>
            <w:r>
              <w:rPr>
                <w:noProof/>
                <w:webHidden/>
              </w:rPr>
              <w:fldChar w:fldCharType="end"/>
            </w:r>
          </w:hyperlink>
        </w:p>
        <w:p w14:paraId="75584D37"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02" w:history="1">
            <w:r w:rsidRPr="00962517">
              <w:rPr>
                <w:rStyle w:val="Hyperlink"/>
                <w:noProof/>
              </w:rPr>
              <w:t>1.2 Aims and Objectives</w:t>
            </w:r>
            <w:r>
              <w:rPr>
                <w:noProof/>
                <w:webHidden/>
              </w:rPr>
              <w:tab/>
            </w:r>
            <w:r>
              <w:rPr>
                <w:noProof/>
                <w:webHidden/>
              </w:rPr>
              <w:fldChar w:fldCharType="begin"/>
            </w:r>
            <w:r>
              <w:rPr>
                <w:noProof/>
                <w:webHidden/>
              </w:rPr>
              <w:instrText xml:space="preserve"> PAGEREF _Toc228278402 \h </w:instrText>
            </w:r>
            <w:r>
              <w:rPr>
                <w:noProof/>
                <w:webHidden/>
              </w:rPr>
            </w:r>
            <w:r>
              <w:rPr>
                <w:noProof/>
                <w:webHidden/>
              </w:rPr>
              <w:fldChar w:fldCharType="separate"/>
            </w:r>
            <w:r>
              <w:rPr>
                <w:noProof/>
                <w:webHidden/>
              </w:rPr>
              <w:t>5</w:t>
            </w:r>
            <w:r>
              <w:rPr>
                <w:noProof/>
                <w:webHidden/>
              </w:rPr>
              <w:fldChar w:fldCharType="end"/>
            </w:r>
          </w:hyperlink>
        </w:p>
        <w:p w14:paraId="5797409F"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03" w:history="1">
            <w:r w:rsidRPr="00962517">
              <w:rPr>
                <w:rStyle w:val="Hyperlink"/>
                <w:noProof/>
              </w:rPr>
              <w:t>1.3 Methodology</w:t>
            </w:r>
            <w:r>
              <w:rPr>
                <w:noProof/>
                <w:webHidden/>
              </w:rPr>
              <w:tab/>
            </w:r>
            <w:r>
              <w:rPr>
                <w:noProof/>
                <w:webHidden/>
              </w:rPr>
              <w:fldChar w:fldCharType="begin"/>
            </w:r>
            <w:r>
              <w:rPr>
                <w:noProof/>
                <w:webHidden/>
              </w:rPr>
              <w:instrText xml:space="preserve"> PAGEREF _Toc228278403 \h </w:instrText>
            </w:r>
            <w:r>
              <w:rPr>
                <w:noProof/>
                <w:webHidden/>
              </w:rPr>
            </w:r>
            <w:r>
              <w:rPr>
                <w:noProof/>
                <w:webHidden/>
              </w:rPr>
              <w:fldChar w:fldCharType="separate"/>
            </w:r>
            <w:r>
              <w:rPr>
                <w:noProof/>
                <w:webHidden/>
              </w:rPr>
              <w:t>5</w:t>
            </w:r>
            <w:r>
              <w:rPr>
                <w:noProof/>
                <w:webHidden/>
              </w:rPr>
              <w:fldChar w:fldCharType="end"/>
            </w:r>
          </w:hyperlink>
        </w:p>
        <w:p w14:paraId="60970786" w14:textId="77777777" w:rsidR="00A94EC0" w:rsidRDefault="00A94EC0">
          <w:pPr>
            <w:pStyle w:val="TOC1"/>
            <w:tabs>
              <w:tab w:val="right" w:leader="dot" w:pos="9016"/>
            </w:tabs>
            <w:rPr>
              <w:rFonts w:asciiTheme="minorHAnsi" w:eastAsiaTheme="minorEastAsia" w:hAnsiTheme="minorHAnsi" w:cstheme="minorBidi"/>
              <w:noProof/>
              <w:color w:val="auto"/>
              <w:sz w:val="22"/>
              <w:szCs w:val="22"/>
              <w:lang w:bidi="ar-SA"/>
            </w:rPr>
          </w:pPr>
          <w:hyperlink w:anchor="_Toc228278404" w:history="1">
            <w:r w:rsidRPr="00962517">
              <w:rPr>
                <w:rStyle w:val="Hyperlink"/>
                <w:noProof/>
              </w:rPr>
              <w:t>Chapter 2: Conceptual and Policy Background</w:t>
            </w:r>
            <w:r>
              <w:rPr>
                <w:noProof/>
                <w:webHidden/>
              </w:rPr>
              <w:tab/>
            </w:r>
            <w:r>
              <w:rPr>
                <w:noProof/>
                <w:webHidden/>
              </w:rPr>
              <w:fldChar w:fldCharType="begin"/>
            </w:r>
            <w:r>
              <w:rPr>
                <w:noProof/>
                <w:webHidden/>
              </w:rPr>
              <w:instrText xml:space="preserve"> PAGEREF _Toc228278404 \h </w:instrText>
            </w:r>
            <w:r>
              <w:rPr>
                <w:noProof/>
                <w:webHidden/>
              </w:rPr>
            </w:r>
            <w:r>
              <w:rPr>
                <w:noProof/>
                <w:webHidden/>
              </w:rPr>
              <w:fldChar w:fldCharType="separate"/>
            </w:r>
            <w:r>
              <w:rPr>
                <w:noProof/>
                <w:webHidden/>
              </w:rPr>
              <w:t>6</w:t>
            </w:r>
            <w:r>
              <w:rPr>
                <w:noProof/>
                <w:webHidden/>
              </w:rPr>
              <w:fldChar w:fldCharType="end"/>
            </w:r>
          </w:hyperlink>
        </w:p>
        <w:p w14:paraId="1D0891DF"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05" w:history="1">
            <w:r w:rsidRPr="00962517">
              <w:rPr>
                <w:rStyle w:val="Hyperlink"/>
                <w:noProof/>
              </w:rPr>
              <w:t>2.1 Key Concepts and Definitions</w:t>
            </w:r>
            <w:r>
              <w:rPr>
                <w:noProof/>
                <w:webHidden/>
              </w:rPr>
              <w:tab/>
            </w:r>
            <w:r>
              <w:rPr>
                <w:noProof/>
                <w:webHidden/>
              </w:rPr>
              <w:fldChar w:fldCharType="begin"/>
            </w:r>
            <w:r>
              <w:rPr>
                <w:noProof/>
                <w:webHidden/>
              </w:rPr>
              <w:instrText xml:space="preserve"> PAGEREF _Toc228278405 \h </w:instrText>
            </w:r>
            <w:r>
              <w:rPr>
                <w:noProof/>
                <w:webHidden/>
              </w:rPr>
            </w:r>
            <w:r>
              <w:rPr>
                <w:noProof/>
                <w:webHidden/>
              </w:rPr>
              <w:fldChar w:fldCharType="separate"/>
            </w:r>
            <w:r>
              <w:rPr>
                <w:noProof/>
                <w:webHidden/>
              </w:rPr>
              <w:t>6</w:t>
            </w:r>
            <w:r>
              <w:rPr>
                <w:noProof/>
                <w:webHidden/>
              </w:rPr>
              <w:fldChar w:fldCharType="end"/>
            </w:r>
          </w:hyperlink>
        </w:p>
        <w:p w14:paraId="6CD0EAF4"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06" w:history="1">
            <w:r w:rsidRPr="00962517">
              <w:rPr>
                <w:rStyle w:val="Hyperlink"/>
                <w:noProof/>
              </w:rPr>
              <w:t>2.2 International Governance Architecture</w:t>
            </w:r>
            <w:r>
              <w:rPr>
                <w:noProof/>
                <w:webHidden/>
              </w:rPr>
              <w:tab/>
            </w:r>
            <w:r>
              <w:rPr>
                <w:noProof/>
                <w:webHidden/>
              </w:rPr>
              <w:fldChar w:fldCharType="begin"/>
            </w:r>
            <w:r>
              <w:rPr>
                <w:noProof/>
                <w:webHidden/>
              </w:rPr>
              <w:instrText xml:space="preserve"> PAGEREF _Toc228278406 \h </w:instrText>
            </w:r>
            <w:r>
              <w:rPr>
                <w:noProof/>
                <w:webHidden/>
              </w:rPr>
            </w:r>
            <w:r>
              <w:rPr>
                <w:noProof/>
                <w:webHidden/>
              </w:rPr>
              <w:fldChar w:fldCharType="separate"/>
            </w:r>
            <w:r>
              <w:rPr>
                <w:noProof/>
                <w:webHidden/>
              </w:rPr>
              <w:t>8</w:t>
            </w:r>
            <w:r>
              <w:rPr>
                <w:noProof/>
                <w:webHidden/>
              </w:rPr>
              <w:fldChar w:fldCharType="end"/>
            </w:r>
          </w:hyperlink>
        </w:p>
        <w:p w14:paraId="25D295C4" w14:textId="77777777" w:rsidR="00A94EC0" w:rsidRDefault="00A94EC0">
          <w:pPr>
            <w:pStyle w:val="TOC1"/>
            <w:tabs>
              <w:tab w:val="right" w:leader="dot" w:pos="9016"/>
            </w:tabs>
            <w:rPr>
              <w:rFonts w:asciiTheme="minorHAnsi" w:eastAsiaTheme="minorEastAsia" w:hAnsiTheme="minorHAnsi" w:cstheme="minorBidi"/>
              <w:noProof/>
              <w:color w:val="auto"/>
              <w:sz w:val="22"/>
              <w:szCs w:val="22"/>
              <w:lang w:bidi="ar-SA"/>
            </w:rPr>
          </w:pPr>
          <w:hyperlink w:anchor="_Toc228278407" w:history="1">
            <w:r w:rsidRPr="00962517">
              <w:rPr>
                <w:rStyle w:val="Hyperlink"/>
                <w:noProof/>
              </w:rPr>
              <w:t>Chapter 3: Historical COP Delivery on Forests and Biodiversity</w:t>
            </w:r>
            <w:r>
              <w:rPr>
                <w:noProof/>
                <w:webHidden/>
              </w:rPr>
              <w:tab/>
            </w:r>
            <w:r>
              <w:rPr>
                <w:noProof/>
                <w:webHidden/>
              </w:rPr>
              <w:fldChar w:fldCharType="begin"/>
            </w:r>
            <w:r>
              <w:rPr>
                <w:noProof/>
                <w:webHidden/>
              </w:rPr>
              <w:instrText xml:space="preserve"> PAGEREF _Toc228278407 \h </w:instrText>
            </w:r>
            <w:r>
              <w:rPr>
                <w:noProof/>
                <w:webHidden/>
              </w:rPr>
            </w:r>
            <w:r>
              <w:rPr>
                <w:noProof/>
                <w:webHidden/>
              </w:rPr>
              <w:fldChar w:fldCharType="separate"/>
            </w:r>
            <w:r>
              <w:rPr>
                <w:noProof/>
                <w:webHidden/>
              </w:rPr>
              <w:t>11</w:t>
            </w:r>
            <w:r>
              <w:rPr>
                <w:noProof/>
                <w:webHidden/>
              </w:rPr>
              <w:fldChar w:fldCharType="end"/>
            </w:r>
          </w:hyperlink>
        </w:p>
        <w:p w14:paraId="1AC85540"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08" w:history="1">
            <w:r w:rsidRPr="00962517">
              <w:rPr>
                <w:rStyle w:val="Hyperlink"/>
                <w:noProof/>
              </w:rPr>
              <w:t>3.1 Early COPs and the Emergence of the Forest Agenda (1997-2004)</w:t>
            </w:r>
            <w:r>
              <w:rPr>
                <w:noProof/>
                <w:webHidden/>
              </w:rPr>
              <w:tab/>
            </w:r>
            <w:r>
              <w:rPr>
                <w:noProof/>
                <w:webHidden/>
              </w:rPr>
              <w:fldChar w:fldCharType="begin"/>
            </w:r>
            <w:r>
              <w:rPr>
                <w:noProof/>
                <w:webHidden/>
              </w:rPr>
              <w:instrText xml:space="preserve"> PAGEREF _Toc228278408 \h </w:instrText>
            </w:r>
            <w:r>
              <w:rPr>
                <w:noProof/>
                <w:webHidden/>
              </w:rPr>
            </w:r>
            <w:r>
              <w:rPr>
                <w:noProof/>
                <w:webHidden/>
              </w:rPr>
              <w:fldChar w:fldCharType="separate"/>
            </w:r>
            <w:r>
              <w:rPr>
                <w:noProof/>
                <w:webHidden/>
              </w:rPr>
              <w:t>11</w:t>
            </w:r>
            <w:r>
              <w:rPr>
                <w:noProof/>
                <w:webHidden/>
              </w:rPr>
              <w:fldChar w:fldCharType="end"/>
            </w:r>
          </w:hyperlink>
        </w:p>
        <w:p w14:paraId="127B31F3"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09" w:history="1">
            <w:r w:rsidRPr="00962517">
              <w:rPr>
                <w:rStyle w:val="Hyperlink"/>
                <w:noProof/>
              </w:rPr>
              <w:t>3.2 REDD+ and the Institutionalisation of Forest Governance (2005-2013)</w:t>
            </w:r>
            <w:r>
              <w:rPr>
                <w:noProof/>
                <w:webHidden/>
              </w:rPr>
              <w:tab/>
            </w:r>
            <w:r>
              <w:rPr>
                <w:noProof/>
                <w:webHidden/>
              </w:rPr>
              <w:fldChar w:fldCharType="begin"/>
            </w:r>
            <w:r>
              <w:rPr>
                <w:noProof/>
                <w:webHidden/>
              </w:rPr>
              <w:instrText xml:space="preserve"> PAGEREF _Toc228278409 \h </w:instrText>
            </w:r>
            <w:r>
              <w:rPr>
                <w:noProof/>
                <w:webHidden/>
              </w:rPr>
            </w:r>
            <w:r>
              <w:rPr>
                <w:noProof/>
                <w:webHidden/>
              </w:rPr>
              <w:fldChar w:fldCharType="separate"/>
            </w:r>
            <w:r>
              <w:rPr>
                <w:noProof/>
                <w:webHidden/>
              </w:rPr>
              <w:t>11</w:t>
            </w:r>
            <w:r>
              <w:rPr>
                <w:noProof/>
                <w:webHidden/>
              </w:rPr>
              <w:fldChar w:fldCharType="end"/>
            </w:r>
          </w:hyperlink>
        </w:p>
        <w:p w14:paraId="1B37E583"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0" w:history="1">
            <w:r w:rsidRPr="00962517">
              <w:rPr>
                <w:rStyle w:val="Hyperlink"/>
                <w:noProof/>
              </w:rPr>
              <w:t>3.3 Paris Agreement to COP 26: Ambition versus Delivery (2015-2021)</w:t>
            </w:r>
            <w:r>
              <w:rPr>
                <w:noProof/>
                <w:webHidden/>
              </w:rPr>
              <w:tab/>
            </w:r>
            <w:r>
              <w:rPr>
                <w:noProof/>
                <w:webHidden/>
              </w:rPr>
              <w:fldChar w:fldCharType="begin"/>
            </w:r>
            <w:r>
              <w:rPr>
                <w:noProof/>
                <w:webHidden/>
              </w:rPr>
              <w:instrText xml:space="preserve"> PAGEREF _Toc228278410 \h </w:instrText>
            </w:r>
            <w:r>
              <w:rPr>
                <w:noProof/>
                <w:webHidden/>
              </w:rPr>
            </w:r>
            <w:r>
              <w:rPr>
                <w:noProof/>
                <w:webHidden/>
              </w:rPr>
              <w:fldChar w:fldCharType="separate"/>
            </w:r>
            <w:r>
              <w:rPr>
                <w:noProof/>
                <w:webHidden/>
              </w:rPr>
              <w:t>13</w:t>
            </w:r>
            <w:r>
              <w:rPr>
                <w:noProof/>
                <w:webHidden/>
              </w:rPr>
              <w:fldChar w:fldCharType="end"/>
            </w:r>
          </w:hyperlink>
        </w:p>
        <w:p w14:paraId="4A6C88D6"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1" w:history="1">
            <w:r w:rsidRPr="00962517">
              <w:rPr>
                <w:rStyle w:val="Hyperlink"/>
                <w:noProof/>
              </w:rPr>
              <w:t>3.4 COP 27 and COP 28 (2022-2023)</w:t>
            </w:r>
            <w:r>
              <w:rPr>
                <w:noProof/>
                <w:webHidden/>
              </w:rPr>
              <w:tab/>
            </w:r>
            <w:r>
              <w:rPr>
                <w:noProof/>
                <w:webHidden/>
              </w:rPr>
              <w:fldChar w:fldCharType="begin"/>
            </w:r>
            <w:r>
              <w:rPr>
                <w:noProof/>
                <w:webHidden/>
              </w:rPr>
              <w:instrText xml:space="preserve"> PAGEREF _Toc228278411 \h </w:instrText>
            </w:r>
            <w:r>
              <w:rPr>
                <w:noProof/>
                <w:webHidden/>
              </w:rPr>
            </w:r>
            <w:r>
              <w:rPr>
                <w:noProof/>
                <w:webHidden/>
              </w:rPr>
              <w:fldChar w:fldCharType="separate"/>
            </w:r>
            <w:r>
              <w:rPr>
                <w:noProof/>
                <w:webHidden/>
              </w:rPr>
              <w:t>14</w:t>
            </w:r>
            <w:r>
              <w:rPr>
                <w:noProof/>
                <w:webHidden/>
              </w:rPr>
              <w:fldChar w:fldCharType="end"/>
            </w:r>
          </w:hyperlink>
        </w:p>
        <w:p w14:paraId="40CA6710"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2" w:history="1">
            <w:r w:rsidRPr="00962517">
              <w:rPr>
                <w:rStyle w:val="Hyperlink"/>
                <w:noProof/>
              </w:rPr>
              <w:t>3.5 Overall Assessment of Historical COP Delivery</w:t>
            </w:r>
            <w:r>
              <w:rPr>
                <w:noProof/>
                <w:webHidden/>
              </w:rPr>
              <w:tab/>
            </w:r>
            <w:r>
              <w:rPr>
                <w:noProof/>
                <w:webHidden/>
              </w:rPr>
              <w:fldChar w:fldCharType="begin"/>
            </w:r>
            <w:r>
              <w:rPr>
                <w:noProof/>
                <w:webHidden/>
              </w:rPr>
              <w:instrText xml:space="preserve"> PAGEREF _Toc228278412 \h </w:instrText>
            </w:r>
            <w:r>
              <w:rPr>
                <w:noProof/>
                <w:webHidden/>
              </w:rPr>
            </w:r>
            <w:r>
              <w:rPr>
                <w:noProof/>
                <w:webHidden/>
              </w:rPr>
              <w:fldChar w:fldCharType="separate"/>
            </w:r>
            <w:r>
              <w:rPr>
                <w:noProof/>
                <w:webHidden/>
              </w:rPr>
              <w:t>14</w:t>
            </w:r>
            <w:r>
              <w:rPr>
                <w:noProof/>
                <w:webHidden/>
              </w:rPr>
              <w:fldChar w:fldCharType="end"/>
            </w:r>
          </w:hyperlink>
        </w:p>
        <w:p w14:paraId="2FE0AB2D" w14:textId="77777777" w:rsidR="00A94EC0" w:rsidRDefault="00A94EC0">
          <w:pPr>
            <w:pStyle w:val="TOC1"/>
            <w:tabs>
              <w:tab w:val="right" w:leader="dot" w:pos="9016"/>
            </w:tabs>
            <w:rPr>
              <w:rFonts w:asciiTheme="minorHAnsi" w:eastAsiaTheme="minorEastAsia" w:hAnsiTheme="minorHAnsi" w:cstheme="minorBidi"/>
              <w:noProof/>
              <w:color w:val="auto"/>
              <w:sz w:val="22"/>
              <w:szCs w:val="22"/>
              <w:lang w:bidi="ar-SA"/>
            </w:rPr>
          </w:pPr>
          <w:hyperlink w:anchor="_Toc228278413" w:history="1">
            <w:r w:rsidRPr="00962517">
              <w:rPr>
                <w:rStyle w:val="Hyperlink"/>
                <w:noProof/>
              </w:rPr>
              <w:t>Chapter 4: Prospects for Forests and Biodiversity after COP 29</w:t>
            </w:r>
            <w:r>
              <w:rPr>
                <w:noProof/>
                <w:webHidden/>
              </w:rPr>
              <w:tab/>
            </w:r>
            <w:r>
              <w:rPr>
                <w:noProof/>
                <w:webHidden/>
              </w:rPr>
              <w:fldChar w:fldCharType="begin"/>
            </w:r>
            <w:r>
              <w:rPr>
                <w:noProof/>
                <w:webHidden/>
              </w:rPr>
              <w:instrText xml:space="preserve"> PAGEREF _Toc228278413 \h </w:instrText>
            </w:r>
            <w:r>
              <w:rPr>
                <w:noProof/>
                <w:webHidden/>
              </w:rPr>
            </w:r>
            <w:r>
              <w:rPr>
                <w:noProof/>
                <w:webHidden/>
              </w:rPr>
              <w:fldChar w:fldCharType="separate"/>
            </w:r>
            <w:r>
              <w:rPr>
                <w:noProof/>
                <w:webHidden/>
              </w:rPr>
              <w:t>17</w:t>
            </w:r>
            <w:r>
              <w:rPr>
                <w:noProof/>
                <w:webHidden/>
              </w:rPr>
              <w:fldChar w:fldCharType="end"/>
            </w:r>
          </w:hyperlink>
        </w:p>
        <w:p w14:paraId="5913B96F"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4" w:history="1">
            <w:r w:rsidRPr="00962517">
              <w:rPr>
                <w:rStyle w:val="Hyperlink"/>
                <w:noProof/>
              </w:rPr>
              <w:t>4.1 COP 29: The Baku Climate Unity Pact (November 2024)</w:t>
            </w:r>
            <w:r>
              <w:rPr>
                <w:noProof/>
                <w:webHidden/>
              </w:rPr>
              <w:tab/>
            </w:r>
            <w:r>
              <w:rPr>
                <w:noProof/>
                <w:webHidden/>
              </w:rPr>
              <w:fldChar w:fldCharType="begin"/>
            </w:r>
            <w:r>
              <w:rPr>
                <w:noProof/>
                <w:webHidden/>
              </w:rPr>
              <w:instrText xml:space="preserve"> PAGEREF _Toc228278414 \h </w:instrText>
            </w:r>
            <w:r>
              <w:rPr>
                <w:noProof/>
                <w:webHidden/>
              </w:rPr>
            </w:r>
            <w:r>
              <w:rPr>
                <w:noProof/>
                <w:webHidden/>
              </w:rPr>
              <w:fldChar w:fldCharType="separate"/>
            </w:r>
            <w:r>
              <w:rPr>
                <w:noProof/>
                <w:webHidden/>
              </w:rPr>
              <w:t>17</w:t>
            </w:r>
            <w:r>
              <w:rPr>
                <w:noProof/>
                <w:webHidden/>
              </w:rPr>
              <w:fldChar w:fldCharType="end"/>
            </w:r>
          </w:hyperlink>
        </w:p>
        <w:p w14:paraId="64BDBA3A"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5" w:history="1">
            <w:r w:rsidRPr="00962517">
              <w:rPr>
                <w:rStyle w:val="Hyperlink"/>
                <w:noProof/>
              </w:rPr>
              <w:t>4.2 COP 30: The Belem Package and Forest Outcomes (November 2025)</w:t>
            </w:r>
            <w:r>
              <w:rPr>
                <w:noProof/>
                <w:webHidden/>
              </w:rPr>
              <w:tab/>
            </w:r>
            <w:r>
              <w:rPr>
                <w:noProof/>
                <w:webHidden/>
              </w:rPr>
              <w:fldChar w:fldCharType="begin"/>
            </w:r>
            <w:r>
              <w:rPr>
                <w:noProof/>
                <w:webHidden/>
              </w:rPr>
              <w:instrText xml:space="preserve"> PAGEREF _Toc228278415 \h </w:instrText>
            </w:r>
            <w:r>
              <w:rPr>
                <w:noProof/>
                <w:webHidden/>
              </w:rPr>
            </w:r>
            <w:r>
              <w:rPr>
                <w:noProof/>
                <w:webHidden/>
              </w:rPr>
              <w:fldChar w:fldCharType="separate"/>
            </w:r>
            <w:r>
              <w:rPr>
                <w:noProof/>
                <w:webHidden/>
              </w:rPr>
              <w:t>17</w:t>
            </w:r>
            <w:r>
              <w:rPr>
                <w:noProof/>
                <w:webHidden/>
              </w:rPr>
              <w:fldChar w:fldCharType="end"/>
            </w:r>
          </w:hyperlink>
        </w:p>
        <w:p w14:paraId="5D9E3A48"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6" w:history="1">
            <w:r w:rsidRPr="00962517">
              <w:rPr>
                <w:rStyle w:val="Hyperlink"/>
                <w:noProof/>
              </w:rPr>
              <w:t>4.3 Critical Assessment of Post-COP 30 Prospects</w:t>
            </w:r>
            <w:r>
              <w:rPr>
                <w:noProof/>
                <w:webHidden/>
              </w:rPr>
              <w:tab/>
            </w:r>
            <w:r>
              <w:rPr>
                <w:noProof/>
                <w:webHidden/>
              </w:rPr>
              <w:fldChar w:fldCharType="begin"/>
            </w:r>
            <w:r>
              <w:rPr>
                <w:noProof/>
                <w:webHidden/>
              </w:rPr>
              <w:instrText xml:space="preserve"> PAGEREF _Toc228278416 \h </w:instrText>
            </w:r>
            <w:r>
              <w:rPr>
                <w:noProof/>
                <w:webHidden/>
              </w:rPr>
            </w:r>
            <w:r>
              <w:rPr>
                <w:noProof/>
                <w:webHidden/>
              </w:rPr>
              <w:fldChar w:fldCharType="separate"/>
            </w:r>
            <w:r>
              <w:rPr>
                <w:noProof/>
                <w:webHidden/>
              </w:rPr>
              <w:t>18</w:t>
            </w:r>
            <w:r>
              <w:rPr>
                <w:noProof/>
                <w:webHidden/>
              </w:rPr>
              <w:fldChar w:fldCharType="end"/>
            </w:r>
          </w:hyperlink>
        </w:p>
        <w:p w14:paraId="1A2EB5A0" w14:textId="77777777" w:rsidR="00A94EC0" w:rsidRDefault="00A94EC0">
          <w:pPr>
            <w:pStyle w:val="TOC1"/>
            <w:tabs>
              <w:tab w:val="right" w:leader="dot" w:pos="9016"/>
            </w:tabs>
            <w:rPr>
              <w:rFonts w:asciiTheme="minorHAnsi" w:eastAsiaTheme="minorEastAsia" w:hAnsiTheme="minorHAnsi" w:cstheme="minorBidi"/>
              <w:noProof/>
              <w:color w:val="auto"/>
              <w:sz w:val="22"/>
              <w:szCs w:val="22"/>
              <w:lang w:bidi="ar-SA"/>
            </w:rPr>
          </w:pPr>
          <w:hyperlink w:anchor="_Toc228278417" w:history="1">
            <w:r w:rsidRPr="00962517">
              <w:rPr>
                <w:rStyle w:val="Hyperlink"/>
                <w:noProof/>
              </w:rPr>
              <w:t>Chapter 5: Conclusions and Recommendations</w:t>
            </w:r>
            <w:r>
              <w:rPr>
                <w:noProof/>
                <w:webHidden/>
              </w:rPr>
              <w:tab/>
            </w:r>
            <w:r>
              <w:rPr>
                <w:noProof/>
                <w:webHidden/>
              </w:rPr>
              <w:fldChar w:fldCharType="begin"/>
            </w:r>
            <w:r>
              <w:rPr>
                <w:noProof/>
                <w:webHidden/>
              </w:rPr>
              <w:instrText xml:space="preserve"> PAGEREF _Toc228278417 \h </w:instrText>
            </w:r>
            <w:r>
              <w:rPr>
                <w:noProof/>
                <w:webHidden/>
              </w:rPr>
            </w:r>
            <w:r>
              <w:rPr>
                <w:noProof/>
                <w:webHidden/>
              </w:rPr>
              <w:fldChar w:fldCharType="separate"/>
            </w:r>
            <w:r>
              <w:rPr>
                <w:noProof/>
                <w:webHidden/>
              </w:rPr>
              <w:t>20</w:t>
            </w:r>
            <w:r>
              <w:rPr>
                <w:noProof/>
                <w:webHidden/>
              </w:rPr>
              <w:fldChar w:fldCharType="end"/>
            </w:r>
          </w:hyperlink>
        </w:p>
        <w:p w14:paraId="0CFA69F5"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8" w:history="1">
            <w:r w:rsidRPr="00962517">
              <w:rPr>
                <w:rStyle w:val="Hyperlink"/>
                <w:noProof/>
              </w:rPr>
              <w:t>5.1 Summary of Findings</w:t>
            </w:r>
            <w:r>
              <w:rPr>
                <w:noProof/>
                <w:webHidden/>
              </w:rPr>
              <w:tab/>
            </w:r>
            <w:r>
              <w:rPr>
                <w:noProof/>
                <w:webHidden/>
              </w:rPr>
              <w:fldChar w:fldCharType="begin"/>
            </w:r>
            <w:r>
              <w:rPr>
                <w:noProof/>
                <w:webHidden/>
              </w:rPr>
              <w:instrText xml:space="preserve"> PAGEREF _Toc228278418 \h </w:instrText>
            </w:r>
            <w:r>
              <w:rPr>
                <w:noProof/>
                <w:webHidden/>
              </w:rPr>
            </w:r>
            <w:r>
              <w:rPr>
                <w:noProof/>
                <w:webHidden/>
              </w:rPr>
              <w:fldChar w:fldCharType="separate"/>
            </w:r>
            <w:r>
              <w:rPr>
                <w:noProof/>
                <w:webHidden/>
              </w:rPr>
              <w:t>20</w:t>
            </w:r>
            <w:r>
              <w:rPr>
                <w:noProof/>
                <w:webHidden/>
              </w:rPr>
              <w:fldChar w:fldCharType="end"/>
            </w:r>
          </w:hyperlink>
        </w:p>
        <w:p w14:paraId="7DBFA3A2"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19" w:history="1">
            <w:r w:rsidRPr="00962517">
              <w:rPr>
                <w:rStyle w:val="Hyperlink"/>
                <w:noProof/>
              </w:rPr>
              <w:t>5.2 Policy Recommendations</w:t>
            </w:r>
            <w:r>
              <w:rPr>
                <w:noProof/>
                <w:webHidden/>
              </w:rPr>
              <w:tab/>
            </w:r>
            <w:r>
              <w:rPr>
                <w:noProof/>
                <w:webHidden/>
              </w:rPr>
              <w:fldChar w:fldCharType="begin"/>
            </w:r>
            <w:r>
              <w:rPr>
                <w:noProof/>
                <w:webHidden/>
              </w:rPr>
              <w:instrText xml:space="preserve"> PAGEREF _Toc228278419 \h </w:instrText>
            </w:r>
            <w:r>
              <w:rPr>
                <w:noProof/>
                <w:webHidden/>
              </w:rPr>
            </w:r>
            <w:r>
              <w:rPr>
                <w:noProof/>
                <w:webHidden/>
              </w:rPr>
              <w:fldChar w:fldCharType="separate"/>
            </w:r>
            <w:r>
              <w:rPr>
                <w:noProof/>
                <w:webHidden/>
              </w:rPr>
              <w:t>20</w:t>
            </w:r>
            <w:r>
              <w:rPr>
                <w:noProof/>
                <w:webHidden/>
              </w:rPr>
              <w:fldChar w:fldCharType="end"/>
            </w:r>
          </w:hyperlink>
        </w:p>
        <w:p w14:paraId="3BF57091" w14:textId="77777777" w:rsidR="00A94EC0" w:rsidRDefault="00A94EC0">
          <w:pPr>
            <w:pStyle w:val="TOC2"/>
            <w:tabs>
              <w:tab w:val="right" w:leader="dot" w:pos="9016"/>
            </w:tabs>
            <w:rPr>
              <w:rFonts w:asciiTheme="minorHAnsi" w:eastAsiaTheme="minorEastAsia" w:hAnsiTheme="minorHAnsi" w:cstheme="minorBidi"/>
              <w:noProof/>
              <w:color w:val="auto"/>
              <w:sz w:val="22"/>
              <w:szCs w:val="22"/>
              <w:lang w:bidi="ar-SA"/>
            </w:rPr>
          </w:pPr>
          <w:hyperlink w:anchor="_Toc228278420" w:history="1">
            <w:r w:rsidRPr="00962517">
              <w:rPr>
                <w:rStyle w:val="Hyperlink"/>
                <w:noProof/>
              </w:rPr>
              <w:t>5.3 Limitations of the Analysis</w:t>
            </w:r>
            <w:r>
              <w:rPr>
                <w:noProof/>
                <w:webHidden/>
              </w:rPr>
              <w:tab/>
            </w:r>
            <w:r>
              <w:rPr>
                <w:noProof/>
                <w:webHidden/>
              </w:rPr>
              <w:fldChar w:fldCharType="begin"/>
            </w:r>
            <w:r>
              <w:rPr>
                <w:noProof/>
                <w:webHidden/>
              </w:rPr>
              <w:instrText xml:space="preserve"> PAGEREF _Toc228278420 \h </w:instrText>
            </w:r>
            <w:r>
              <w:rPr>
                <w:noProof/>
                <w:webHidden/>
              </w:rPr>
            </w:r>
            <w:r>
              <w:rPr>
                <w:noProof/>
                <w:webHidden/>
              </w:rPr>
              <w:fldChar w:fldCharType="separate"/>
            </w:r>
            <w:r>
              <w:rPr>
                <w:noProof/>
                <w:webHidden/>
              </w:rPr>
              <w:t>21</w:t>
            </w:r>
            <w:r>
              <w:rPr>
                <w:noProof/>
                <w:webHidden/>
              </w:rPr>
              <w:fldChar w:fldCharType="end"/>
            </w:r>
          </w:hyperlink>
        </w:p>
        <w:p w14:paraId="51EC481C" w14:textId="77777777" w:rsidR="00A94EC0" w:rsidRDefault="00A94EC0">
          <w:pPr>
            <w:pStyle w:val="TOC1"/>
            <w:tabs>
              <w:tab w:val="right" w:leader="dot" w:pos="9016"/>
            </w:tabs>
            <w:rPr>
              <w:rFonts w:asciiTheme="minorHAnsi" w:eastAsiaTheme="minorEastAsia" w:hAnsiTheme="minorHAnsi" w:cstheme="minorBidi"/>
              <w:noProof/>
              <w:color w:val="auto"/>
              <w:sz w:val="22"/>
              <w:szCs w:val="22"/>
              <w:lang w:bidi="ar-SA"/>
            </w:rPr>
          </w:pPr>
          <w:hyperlink w:anchor="_Toc228278421" w:history="1">
            <w:r w:rsidRPr="00962517">
              <w:rPr>
                <w:rStyle w:val="Hyperlink"/>
                <w:noProof/>
              </w:rPr>
              <w:t>References</w:t>
            </w:r>
            <w:r>
              <w:rPr>
                <w:noProof/>
                <w:webHidden/>
              </w:rPr>
              <w:tab/>
            </w:r>
            <w:r>
              <w:rPr>
                <w:noProof/>
                <w:webHidden/>
              </w:rPr>
              <w:fldChar w:fldCharType="begin"/>
            </w:r>
            <w:r>
              <w:rPr>
                <w:noProof/>
                <w:webHidden/>
              </w:rPr>
              <w:instrText xml:space="preserve"> PAGEREF _Toc228278421 \h </w:instrText>
            </w:r>
            <w:r>
              <w:rPr>
                <w:noProof/>
                <w:webHidden/>
              </w:rPr>
            </w:r>
            <w:r>
              <w:rPr>
                <w:noProof/>
                <w:webHidden/>
              </w:rPr>
              <w:fldChar w:fldCharType="separate"/>
            </w:r>
            <w:r>
              <w:rPr>
                <w:noProof/>
                <w:webHidden/>
              </w:rPr>
              <w:t>22</w:t>
            </w:r>
            <w:r>
              <w:rPr>
                <w:noProof/>
                <w:webHidden/>
              </w:rPr>
              <w:fldChar w:fldCharType="end"/>
            </w:r>
          </w:hyperlink>
        </w:p>
        <w:p w14:paraId="7097476A" w14:textId="77777777" w:rsidR="00A94EC0" w:rsidRDefault="00A94EC0">
          <w:pPr>
            <w:pStyle w:val="TOC1"/>
            <w:tabs>
              <w:tab w:val="right" w:leader="dot" w:pos="9016"/>
            </w:tabs>
            <w:rPr>
              <w:rFonts w:asciiTheme="minorHAnsi" w:eastAsiaTheme="minorEastAsia" w:hAnsiTheme="minorHAnsi" w:cstheme="minorBidi"/>
              <w:noProof/>
              <w:color w:val="auto"/>
              <w:sz w:val="22"/>
              <w:szCs w:val="22"/>
              <w:lang w:bidi="ar-SA"/>
            </w:rPr>
          </w:pPr>
          <w:hyperlink w:anchor="_Toc228278422" w:history="1">
            <w:r w:rsidRPr="00962517">
              <w:rPr>
                <w:rStyle w:val="Hyperlink"/>
                <w:noProof/>
              </w:rPr>
              <w:t>Appendix A: PESTEL Analysis</w:t>
            </w:r>
            <w:r>
              <w:rPr>
                <w:noProof/>
                <w:webHidden/>
              </w:rPr>
              <w:tab/>
            </w:r>
            <w:r>
              <w:rPr>
                <w:noProof/>
                <w:webHidden/>
              </w:rPr>
              <w:fldChar w:fldCharType="begin"/>
            </w:r>
            <w:r>
              <w:rPr>
                <w:noProof/>
                <w:webHidden/>
              </w:rPr>
              <w:instrText xml:space="preserve"> PAGEREF _Toc228278422 \h </w:instrText>
            </w:r>
            <w:r>
              <w:rPr>
                <w:noProof/>
                <w:webHidden/>
              </w:rPr>
            </w:r>
            <w:r>
              <w:rPr>
                <w:noProof/>
                <w:webHidden/>
              </w:rPr>
              <w:fldChar w:fldCharType="separate"/>
            </w:r>
            <w:r>
              <w:rPr>
                <w:noProof/>
                <w:webHidden/>
              </w:rPr>
              <w:t>25</w:t>
            </w:r>
            <w:r>
              <w:rPr>
                <w:noProof/>
                <w:webHidden/>
              </w:rPr>
              <w:fldChar w:fldCharType="end"/>
            </w:r>
          </w:hyperlink>
        </w:p>
        <w:p w14:paraId="769BA743" w14:textId="77777777" w:rsidR="00A94EC0" w:rsidRDefault="00A94EC0">
          <w:pPr>
            <w:pStyle w:val="TOC1"/>
            <w:tabs>
              <w:tab w:val="right" w:leader="dot" w:pos="9016"/>
            </w:tabs>
            <w:rPr>
              <w:rFonts w:asciiTheme="minorHAnsi" w:eastAsiaTheme="minorEastAsia" w:hAnsiTheme="minorHAnsi" w:cstheme="minorBidi"/>
              <w:noProof/>
              <w:color w:val="auto"/>
              <w:sz w:val="22"/>
              <w:szCs w:val="22"/>
              <w:lang w:bidi="ar-SA"/>
            </w:rPr>
          </w:pPr>
          <w:hyperlink w:anchor="_Toc228278423" w:history="1">
            <w:r w:rsidRPr="00962517">
              <w:rPr>
                <w:rStyle w:val="Hyperlink"/>
                <w:noProof/>
              </w:rPr>
              <w:t>Appendix B: Glossary of Key Acronyms and Terms</w:t>
            </w:r>
            <w:r>
              <w:rPr>
                <w:noProof/>
                <w:webHidden/>
              </w:rPr>
              <w:tab/>
            </w:r>
            <w:r>
              <w:rPr>
                <w:noProof/>
                <w:webHidden/>
              </w:rPr>
              <w:fldChar w:fldCharType="begin"/>
            </w:r>
            <w:r>
              <w:rPr>
                <w:noProof/>
                <w:webHidden/>
              </w:rPr>
              <w:instrText xml:space="preserve"> PAGEREF _Toc228278423 \h </w:instrText>
            </w:r>
            <w:r>
              <w:rPr>
                <w:noProof/>
                <w:webHidden/>
              </w:rPr>
            </w:r>
            <w:r>
              <w:rPr>
                <w:noProof/>
                <w:webHidden/>
              </w:rPr>
              <w:fldChar w:fldCharType="separate"/>
            </w:r>
            <w:r>
              <w:rPr>
                <w:noProof/>
                <w:webHidden/>
              </w:rPr>
              <w:t>27</w:t>
            </w:r>
            <w:r>
              <w:rPr>
                <w:noProof/>
                <w:webHidden/>
              </w:rPr>
              <w:fldChar w:fldCharType="end"/>
            </w:r>
          </w:hyperlink>
        </w:p>
        <w:p w14:paraId="1C995054" w14:textId="19B57B58" w:rsidR="00106979" w:rsidRDefault="00106979" w:rsidP="00106979">
          <w:r>
            <w:rPr>
              <w:b/>
              <w:bCs/>
              <w:noProof/>
            </w:rPr>
            <w:fldChar w:fldCharType="end"/>
          </w:r>
        </w:p>
      </w:sdtContent>
    </w:sdt>
    <w:p w14:paraId="40AB5798" w14:textId="77777777" w:rsidR="00106979" w:rsidRDefault="00106979" w:rsidP="00106979">
      <w:pPr>
        <w:rPr>
          <w:b/>
          <w:bCs/>
          <w:sz w:val="28"/>
          <w:szCs w:val="28"/>
        </w:rPr>
      </w:pPr>
      <w:r>
        <w:rPr>
          <w:b/>
          <w:bCs/>
          <w:sz w:val="28"/>
          <w:szCs w:val="28"/>
        </w:rPr>
        <w:br w:type="page"/>
      </w:r>
    </w:p>
    <w:p w14:paraId="084C3B16" w14:textId="77777777" w:rsidR="00106979" w:rsidRPr="00106979" w:rsidRDefault="00106979" w:rsidP="00106979">
      <w:pPr>
        <w:pStyle w:val="TableofFigures"/>
        <w:tabs>
          <w:tab w:val="right" w:leader="dot" w:pos="9016"/>
        </w:tabs>
        <w:jc w:val="center"/>
        <w:rPr>
          <w:b/>
          <w:bCs/>
          <w:sz w:val="32"/>
          <w:szCs w:val="32"/>
        </w:rPr>
      </w:pPr>
      <w:r w:rsidRPr="00106979">
        <w:rPr>
          <w:b/>
          <w:bCs/>
          <w:sz w:val="32"/>
          <w:szCs w:val="32"/>
        </w:rPr>
        <w:lastRenderedPageBreak/>
        <w:t>List of Tables</w:t>
      </w:r>
    </w:p>
    <w:p w14:paraId="18CE65C3" w14:textId="77777777" w:rsidR="00A94EC0" w:rsidRDefault="00106979">
      <w:pPr>
        <w:pStyle w:val="TableofFigures"/>
        <w:tabs>
          <w:tab w:val="right" w:leader="dot" w:pos="9016"/>
        </w:tabs>
        <w:rPr>
          <w:rFonts w:asciiTheme="minorHAnsi" w:eastAsiaTheme="minorEastAsia" w:hAnsiTheme="minorHAnsi" w:cstheme="minorBidi"/>
          <w:noProof/>
          <w:color w:val="auto"/>
          <w:sz w:val="22"/>
          <w:szCs w:val="22"/>
          <w:lang w:bidi="ar-SA"/>
        </w:rPr>
      </w:pPr>
      <w:r w:rsidRPr="00501265">
        <w:rPr>
          <w:sz w:val="28"/>
          <w:szCs w:val="28"/>
        </w:rPr>
        <w:fldChar w:fldCharType="begin"/>
      </w:r>
      <w:r w:rsidRPr="00501265">
        <w:rPr>
          <w:sz w:val="28"/>
          <w:szCs w:val="28"/>
        </w:rPr>
        <w:instrText xml:space="preserve"> TOC \h \z \c "Table" </w:instrText>
      </w:r>
      <w:r w:rsidRPr="00501265">
        <w:rPr>
          <w:sz w:val="28"/>
          <w:szCs w:val="28"/>
        </w:rPr>
        <w:fldChar w:fldCharType="separate"/>
      </w:r>
      <w:hyperlink w:anchor="_Toc228278424" w:history="1">
        <w:r w:rsidR="00A94EC0" w:rsidRPr="0095719A">
          <w:rPr>
            <w:rStyle w:val="Hyperlink"/>
            <w:noProof/>
          </w:rPr>
          <w:t>Table 1: Key international treaties and frameworks governing forests and biodiversity under the COP process</w:t>
        </w:r>
        <w:r w:rsidR="00A94EC0">
          <w:rPr>
            <w:noProof/>
            <w:webHidden/>
          </w:rPr>
          <w:tab/>
        </w:r>
        <w:r w:rsidR="00A94EC0">
          <w:rPr>
            <w:noProof/>
            <w:webHidden/>
          </w:rPr>
          <w:fldChar w:fldCharType="begin"/>
        </w:r>
        <w:r w:rsidR="00A94EC0">
          <w:rPr>
            <w:noProof/>
            <w:webHidden/>
          </w:rPr>
          <w:instrText xml:space="preserve"> PAGEREF _Toc228278424 \h </w:instrText>
        </w:r>
        <w:r w:rsidR="00A94EC0">
          <w:rPr>
            <w:noProof/>
            <w:webHidden/>
          </w:rPr>
        </w:r>
        <w:r w:rsidR="00A94EC0">
          <w:rPr>
            <w:noProof/>
            <w:webHidden/>
          </w:rPr>
          <w:fldChar w:fldCharType="separate"/>
        </w:r>
        <w:r w:rsidR="00A94EC0">
          <w:rPr>
            <w:noProof/>
            <w:webHidden/>
          </w:rPr>
          <w:t>9</w:t>
        </w:r>
        <w:r w:rsidR="00A94EC0">
          <w:rPr>
            <w:noProof/>
            <w:webHidden/>
          </w:rPr>
          <w:fldChar w:fldCharType="end"/>
        </w:r>
      </w:hyperlink>
    </w:p>
    <w:p w14:paraId="41229693" w14:textId="77777777" w:rsidR="00A94EC0" w:rsidRDefault="00A94EC0">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78425" w:history="1">
        <w:r w:rsidRPr="0095719A">
          <w:rPr>
            <w:rStyle w:val="Hyperlink"/>
            <w:noProof/>
          </w:rPr>
          <w:t>Table 2: Key COP milestones on forests and biodiversity, 1997-2023: commitment and delivery assessment</w:t>
        </w:r>
        <w:r>
          <w:rPr>
            <w:noProof/>
            <w:webHidden/>
          </w:rPr>
          <w:tab/>
        </w:r>
        <w:r>
          <w:rPr>
            <w:noProof/>
            <w:webHidden/>
          </w:rPr>
          <w:fldChar w:fldCharType="begin"/>
        </w:r>
        <w:r>
          <w:rPr>
            <w:noProof/>
            <w:webHidden/>
          </w:rPr>
          <w:instrText xml:space="preserve"> PAGEREF _Toc228278425 \h </w:instrText>
        </w:r>
        <w:r>
          <w:rPr>
            <w:noProof/>
            <w:webHidden/>
          </w:rPr>
        </w:r>
        <w:r>
          <w:rPr>
            <w:noProof/>
            <w:webHidden/>
          </w:rPr>
          <w:fldChar w:fldCharType="separate"/>
        </w:r>
        <w:r>
          <w:rPr>
            <w:noProof/>
            <w:webHidden/>
          </w:rPr>
          <w:t>15</w:t>
        </w:r>
        <w:r>
          <w:rPr>
            <w:noProof/>
            <w:webHidden/>
          </w:rPr>
          <w:fldChar w:fldCharType="end"/>
        </w:r>
      </w:hyperlink>
    </w:p>
    <w:p w14:paraId="66F749BC" w14:textId="77777777" w:rsidR="00A94EC0" w:rsidRDefault="00A94EC0">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78426" w:history="1">
        <w:r w:rsidRPr="0095719A">
          <w:rPr>
            <w:rStyle w:val="Hyperlink"/>
            <w:noProof/>
          </w:rPr>
          <w:t>Table 3: SWOT analysis of prospects for forests and biodiversity in the post-COP 30 landscape</w:t>
        </w:r>
        <w:r>
          <w:rPr>
            <w:noProof/>
            <w:webHidden/>
          </w:rPr>
          <w:tab/>
        </w:r>
        <w:r>
          <w:rPr>
            <w:noProof/>
            <w:webHidden/>
          </w:rPr>
          <w:fldChar w:fldCharType="begin"/>
        </w:r>
        <w:r>
          <w:rPr>
            <w:noProof/>
            <w:webHidden/>
          </w:rPr>
          <w:instrText xml:space="preserve"> PAGEREF _Toc228278426 \h </w:instrText>
        </w:r>
        <w:r>
          <w:rPr>
            <w:noProof/>
            <w:webHidden/>
          </w:rPr>
        </w:r>
        <w:r>
          <w:rPr>
            <w:noProof/>
            <w:webHidden/>
          </w:rPr>
          <w:fldChar w:fldCharType="separate"/>
        </w:r>
        <w:r>
          <w:rPr>
            <w:noProof/>
            <w:webHidden/>
          </w:rPr>
          <w:t>18</w:t>
        </w:r>
        <w:r>
          <w:rPr>
            <w:noProof/>
            <w:webHidden/>
          </w:rPr>
          <w:fldChar w:fldCharType="end"/>
        </w:r>
      </w:hyperlink>
    </w:p>
    <w:p w14:paraId="2DF07026" w14:textId="4A1D1686" w:rsidR="00106979" w:rsidRDefault="00106979" w:rsidP="00106979">
      <w:pPr>
        <w:spacing w:before="480" w:after="240" w:line="360" w:lineRule="auto"/>
        <w:rPr>
          <w:b/>
          <w:bCs/>
          <w:sz w:val="28"/>
          <w:szCs w:val="28"/>
        </w:rPr>
      </w:pPr>
      <w:r w:rsidRPr="00501265">
        <w:rPr>
          <w:sz w:val="28"/>
          <w:szCs w:val="28"/>
        </w:rPr>
        <w:fldChar w:fldCharType="end"/>
      </w:r>
    </w:p>
    <w:p w14:paraId="7C0B2D1B" w14:textId="77777777" w:rsidR="00106979" w:rsidRDefault="00106979" w:rsidP="00106979">
      <w:pPr>
        <w:rPr>
          <w:b/>
          <w:bCs/>
          <w:sz w:val="28"/>
          <w:szCs w:val="28"/>
        </w:rPr>
      </w:pPr>
      <w:r>
        <w:rPr>
          <w:b/>
          <w:bCs/>
          <w:sz w:val="28"/>
          <w:szCs w:val="28"/>
        </w:rPr>
        <w:br w:type="page"/>
      </w:r>
    </w:p>
    <w:p w14:paraId="53CE53B4" w14:textId="77777777" w:rsidR="00106979" w:rsidRPr="00106979" w:rsidRDefault="00106979" w:rsidP="00106979">
      <w:pPr>
        <w:pStyle w:val="TableofFigures"/>
        <w:tabs>
          <w:tab w:val="right" w:leader="dot" w:pos="9016"/>
        </w:tabs>
        <w:jc w:val="center"/>
        <w:rPr>
          <w:b/>
          <w:bCs/>
          <w:sz w:val="32"/>
          <w:szCs w:val="32"/>
        </w:rPr>
      </w:pPr>
      <w:r w:rsidRPr="00106979">
        <w:rPr>
          <w:b/>
          <w:bCs/>
          <w:sz w:val="32"/>
          <w:szCs w:val="32"/>
        </w:rPr>
        <w:lastRenderedPageBreak/>
        <w:t>List of Figures</w:t>
      </w:r>
    </w:p>
    <w:bookmarkStart w:id="0" w:name="_GoBack"/>
    <w:bookmarkEnd w:id="0"/>
    <w:p w14:paraId="4E05C0D7" w14:textId="77777777" w:rsidR="00A94EC0" w:rsidRDefault="00106979">
      <w:pPr>
        <w:pStyle w:val="TableofFigures"/>
        <w:tabs>
          <w:tab w:val="right" w:leader="dot" w:pos="9016"/>
        </w:tabs>
        <w:rPr>
          <w:rFonts w:asciiTheme="minorHAnsi" w:eastAsiaTheme="minorEastAsia" w:hAnsiTheme="minorHAnsi" w:cstheme="minorBidi"/>
          <w:noProof/>
          <w:color w:val="auto"/>
          <w:sz w:val="22"/>
          <w:szCs w:val="22"/>
          <w:lang w:bidi="ar-SA"/>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8278432" w:history="1">
        <w:r w:rsidR="00A94EC0" w:rsidRPr="00F52009">
          <w:rPr>
            <w:rStyle w:val="Hyperlink"/>
            <w:noProof/>
          </w:rPr>
          <w:t>Figure 1: IUCN Red List threatened species grew fourfold from 11,046 (2000) to 44,016 (2023), accelerating after 2018 despite successive biodiversity governance milestones (IUCN, 2025)</w:t>
        </w:r>
        <w:r w:rsidR="00A94EC0">
          <w:rPr>
            <w:noProof/>
            <w:webHidden/>
          </w:rPr>
          <w:tab/>
        </w:r>
        <w:r w:rsidR="00A94EC0">
          <w:rPr>
            <w:noProof/>
            <w:webHidden/>
          </w:rPr>
          <w:fldChar w:fldCharType="begin"/>
        </w:r>
        <w:r w:rsidR="00A94EC0">
          <w:rPr>
            <w:noProof/>
            <w:webHidden/>
          </w:rPr>
          <w:instrText xml:space="preserve"> PAGEREF _Toc228278432 \h </w:instrText>
        </w:r>
        <w:r w:rsidR="00A94EC0">
          <w:rPr>
            <w:noProof/>
            <w:webHidden/>
          </w:rPr>
        </w:r>
        <w:r w:rsidR="00A94EC0">
          <w:rPr>
            <w:noProof/>
            <w:webHidden/>
          </w:rPr>
          <w:fldChar w:fldCharType="separate"/>
        </w:r>
        <w:r w:rsidR="00A94EC0">
          <w:rPr>
            <w:noProof/>
            <w:webHidden/>
          </w:rPr>
          <w:t>7</w:t>
        </w:r>
        <w:r w:rsidR="00A94EC0">
          <w:rPr>
            <w:noProof/>
            <w:webHidden/>
          </w:rPr>
          <w:fldChar w:fldCharType="end"/>
        </w:r>
      </w:hyperlink>
    </w:p>
    <w:p w14:paraId="4DC3E3B4" w14:textId="77777777" w:rsidR="00A94EC0" w:rsidRDefault="00A94EC0">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78433" w:history="1">
        <w:r w:rsidRPr="00F52009">
          <w:rPr>
            <w:rStyle w:val="Hyperlink"/>
            <w:noProof/>
          </w:rPr>
          <w:t>Figure 2: The climate-biodiversity feedback loop, showing how deforestation, climate change, and biodiversity loss mutually reinforce each other through three interlocking pathways (IPBES, 2019; Boran and Pettorelli, 2024)</w:t>
        </w:r>
        <w:r>
          <w:rPr>
            <w:noProof/>
            <w:webHidden/>
          </w:rPr>
          <w:tab/>
        </w:r>
        <w:r>
          <w:rPr>
            <w:noProof/>
            <w:webHidden/>
          </w:rPr>
          <w:fldChar w:fldCharType="begin"/>
        </w:r>
        <w:r>
          <w:rPr>
            <w:noProof/>
            <w:webHidden/>
          </w:rPr>
          <w:instrText xml:space="preserve"> PAGEREF _Toc228278433 \h </w:instrText>
        </w:r>
        <w:r>
          <w:rPr>
            <w:noProof/>
            <w:webHidden/>
          </w:rPr>
        </w:r>
        <w:r>
          <w:rPr>
            <w:noProof/>
            <w:webHidden/>
          </w:rPr>
          <w:fldChar w:fldCharType="separate"/>
        </w:r>
        <w:r>
          <w:rPr>
            <w:noProof/>
            <w:webHidden/>
          </w:rPr>
          <w:t>8</w:t>
        </w:r>
        <w:r>
          <w:rPr>
            <w:noProof/>
            <w:webHidden/>
          </w:rPr>
          <w:fldChar w:fldCharType="end"/>
        </w:r>
      </w:hyperlink>
    </w:p>
    <w:p w14:paraId="6F0343EF" w14:textId="77777777" w:rsidR="00A94EC0" w:rsidRDefault="00A94EC0">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78434" w:history="1">
        <w:r w:rsidRPr="00F52009">
          <w:rPr>
            <w:rStyle w:val="Hyperlink"/>
            <w:noProof/>
          </w:rPr>
          <w:t>Figure 3: Cumulative forest climate finance pledged consistently exceeded estimated disbursements across all three governance eras (2008-2023), confirming a persistent financing gap (Angelsen et al., 2018; FDA, 2025)</w:t>
        </w:r>
        <w:r>
          <w:rPr>
            <w:noProof/>
            <w:webHidden/>
          </w:rPr>
          <w:tab/>
        </w:r>
        <w:r>
          <w:rPr>
            <w:noProof/>
            <w:webHidden/>
          </w:rPr>
          <w:fldChar w:fldCharType="begin"/>
        </w:r>
        <w:r>
          <w:rPr>
            <w:noProof/>
            <w:webHidden/>
          </w:rPr>
          <w:instrText xml:space="preserve"> PAGEREF _Toc228278434 \h </w:instrText>
        </w:r>
        <w:r>
          <w:rPr>
            <w:noProof/>
            <w:webHidden/>
          </w:rPr>
        </w:r>
        <w:r>
          <w:rPr>
            <w:noProof/>
            <w:webHidden/>
          </w:rPr>
          <w:fldChar w:fldCharType="separate"/>
        </w:r>
        <w:r>
          <w:rPr>
            <w:noProof/>
            <w:webHidden/>
          </w:rPr>
          <w:t>12</w:t>
        </w:r>
        <w:r>
          <w:rPr>
            <w:noProof/>
            <w:webHidden/>
          </w:rPr>
          <w:fldChar w:fldCharType="end"/>
        </w:r>
      </w:hyperlink>
    </w:p>
    <w:p w14:paraId="6B5215F7" w14:textId="77777777" w:rsidR="00A94EC0" w:rsidRDefault="00A94EC0">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78435" w:history="1">
        <w:r w:rsidRPr="00F52009">
          <w:rPr>
            <w:rStyle w:val="Hyperlink"/>
            <w:noProof/>
          </w:rPr>
          <w:t>Figure 4: Annual tropical primary forest loss (million hectares), 2001-2022, with key COP milestones annotated; loss increased 10 per cent in 2022, the year following the Glasgow Declaration (Weisse, Goldman and Carter, 2023)</w:t>
        </w:r>
        <w:r>
          <w:rPr>
            <w:noProof/>
            <w:webHidden/>
          </w:rPr>
          <w:tab/>
        </w:r>
        <w:r>
          <w:rPr>
            <w:noProof/>
            <w:webHidden/>
          </w:rPr>
          <w:fldChar w:fldCharType="begin"/>
        </w:r>
        <w:r>
          <w:rPr>
            <w:noProof/>
            <w:webHidden/>
          </w:rPr>
          <w:instrText xml:space="preserve"> PAGEREF _Toc228278435 \h </w:instrText>
        </w:r>
        <w:r>
          <w:rPr>
            <w:noProof/>
            <w:webHidden/>
          </w:rPr>
        </w:r>
        <w:r>
          <w:rPr>
            <w:noProof/>
            <w:webHidden/>
          </w:rPr>
          <w:fldChar w:fldCharType="separate"/>
        </w:r>
        <w:r>
          <w:rPr>
            <w:noProof/>
            <w:webHidden/>
          </w:rPr>
          <w:t>14</w:t>
        </w:r>
        <w:r>
          <w:rPr>
            <w:noProof/>
            <w:webHidden/>
          </w:rPr>
          <w:fldChar w:fldCharType="end"/>
        </w:r>
      </w:hyperlink>
    </w:p>
    <w:p w14:paraId="4721A588" w14:textId="77777777" w:rsidR="00A94EC0" w:rsidRDefault="00A94EC0">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78436" w:history="1">
        <w:r w:rsidRPr="00F52009">
          <w:rPr>
            <w:rStyle w:val="Hyperlink"/>
            <w:noProof/>
          </w:rPr>
          <w:t>Figure 5: Global protected land area increased from 13.0 per cent (2010) to only 17.6 per cent (2025), leaving a 12.4 percentage-point gap to the 30x30 GBF target by 2030 (Hughes and Grumbine, 2023)</w:t>
        </w:r>
        <w:r>
          <w:rPr>
            <w:noProof/>
            <w:webHidden/>
          </w:rPr>
          <w:tab/>
        </w:r>
        <w:r>
          <w:rPr>
            <w:noProof/>
            <w:webHidden/>
          </w:rPr>
          <w:fldChar w:fldCharType="begin"/>
        </w:r>
        <w:r>
          <w:rPr>
            <w:noProof/>
            <w:webHidden/>
          </w:rPr>
          <w:instrText xml:space="preserve"> PAGEREF _Toc228278436 \h </w:instrText>
        </w:r>
        <w:r>
          <w:rPr>
            <w:noProof/>
            <w:webHidden/>
          </w:rPr>
        </w:r>
        <w:r>
          <w:rPr>
            <w:noProof/>
            <w:webHidden/>
          </w:rPr>
          <w:fldChar w:fldCharType="separate"/>
        </w:r>
        <w:r>
          <w:rPr>
            <w:noProof/>
            <w:webHidden/>
          </w:rPr>
          <w:t>19</w:t>
        </w:r>
        <w:r>
          <w:rPr>
            <w:noProof/>
            <w:webHidden/>
          </w:rPr>
          <w:fldChar w:fldCharType="end"/>
        </w:r>
      </w:hyperlink>
    </w:p>
    <w:p w14:paraId="4A295BC0" w14:textId="52D20AE1" w:rsidR="00106979" w:rsidRDefault="00106979" w:rsidP="00106979">
      <w:pPr>
        <w:spacing w:before="480" w:after="240" w:line="360" w:lineRule="auto"/>
        <w:rPr>
          <w:b/>
          <w:bCs/>
          <w:sz w:val="28"/>
          <w:szCs w:val="28"/>
        </w:rPr>
      </w:pPr>
      <w:r>
        <w:rPr>
          <w:b/>
          <w:bCs/>
          <w:sz w:val="28"/>
          <w:szCs w:val="28"/>
        </w:rPr>
        <w:fldChar w:fldCharType="end"/>
      </w:r>
    </w:p>
    <w:p w14:paraId="2FB1AA9F" w14:textId="77777777" w:rsidR="00106979" w:rsidRDefault="00106979" w:rsidP="00106979">
      <w:pPr>
        <w:rPr>
          <w:b/>
          <w:bCs/>
          <w:sz w:val="28"/>
          <w:szCs w:val="28"/>
        </w:rPr>
      </w:pPr>
      <w:r>
        <w:rPr>
          <w:b/>
          <w:bCs/>
          <w:sz w:val="28"/>
          <w:szCs w:val="28"/>
        </w:rPr>
        <w:br w:type="page"/>
      </w:r>
    </w:p>
    <w:p w14:paraId="4DEB4F62" w14:textId="77777777" w:rsidR="00106979" w:rsidRDefault="00106979" w:rsidP="00106979">
      <w:pPr>
        <w:pStyle w:val="Heading1"/>
      </w:pPr>
      <w:bookmarkStart w:id="1" w:name="_Toc228278400"/>
      <w:r>
        <w:lastRenderedPageBreak/>
        <w:t>Chapter 1: Introduction</w:t>
      </w:r>
      <w:bookmarkEnd w:id="1"/>
    </w:p>
    <w:p w14:paraId="5751303A" w14:textId="77777777" w:rsidR="00106979" w:rsidRPr="00FA106A" w:rsidRDefault="00106979" w:rsidP="00106979">
      <w:pPr>
        <w:pStyle w:val="Heading2"/>
      </w:pPr>
      <w:bookmarkStart w:id="2" w:name="_Toc228278401"/>
      <w:r w:rsidRPr="00FA106A">
        <w:t>1.1 Background and Significance</w:t>
      </w:r>
      <w:bookmarkEnd w:id="2"/>
    </w:p>
    <w:p w14:paraId="60B401CD" w14:textId="0D3C77BF" w:rsidR="00106979" w:rsidRPr="00A41569" w:rsidRDefault="009309B4" w:rsidP="00106979">
      <w:pPr>
        <w:spacing w:after="200" w:line="360" w:lineRule="auto"/>
        <w:jc w:val="both"/>
      </w:pPr>
      <w:r w:rsidRPr="009309B4">
        <w:t xml:space="preserve">Tropical forests cover about 12% of the land on Earth and are home to more than half of all </w:t>
      </w:r>
      <w:r>
        <w:t>known species that live on land</w:t>
      </w:r>
      <w:r w:rsidR="00106979" w:rsidRPr="00A41569">
        <w:t xml:space="preserve">, making them the most biodiverse ecosystems on the planet </w:t>
      </w:r>
      <w:r w:rsidR="00106979" w:rsidRPr="00A41569">
        <w:fldChar w:fldCharType="begin"/>
      </w:r>
      <w:r w:rsidR="00106979" w:rsidRPr="00A41569">
        <w:instrText xml:space="preserve"> ADDIN ZOTERO_ITEM CSL_CITATION {"citationID":"ynwG8rSd","properties":{"unsorted":false,"formattedCitation":"(IPBES, 2019)","plainCitation":"(IPBES, 2019)","noteIndex":0},"citationItems":[{"id":129,"uris":["http://zotero.org/users/11719957/items/T72KM9Y4"],"itemData":{"id":129,"type":"report","abstract":"IPBES is to perform regular and timely assessments of knowledge on biodiversity and ecosystem services and their interlinkages at the global level. Also addressing an invitation by the Conference of the Parties of the Convention on Biological Diversity (CBD) to prepare a global assessment of biodiversity and ecosystem services building, inter alia, on its own and other relevant regional, subregional and thematic assessments, as well as on national reports.\n\n\nThe overall scope of the assessment is to assess the status and trends with regard to biodiversity and ecosystem services, the impact of biodiversity and ecosystem services on human well-being and the effectiveness of responses, including the Strategic Plan and its Aichi Biodiversity Targets. It is anticipated that this deliverable will contribute to the process for the evaluation and renewal of the Strategic Plan for Biodiversity and its Aichi Biodiversity Targets.\n\n\nThe IPBES Global Assessment on Biodiversity and Ecosystem Services is composed of 1) a Summary for Policymakers (SPM), approved by the IPBES Plenary at its 7th session in May 2019 in Paris, France (IPBES-7); and 2) a set of six Chapters, accepted by the IPBES Plenary.","DOI":"10.5281/ZENODO.3831673","language":"en","license":"Creative Commons Attribution 4.0 International","note":"version: 1","publisher":"Zenodo","source":"DOI.org (Datacite)","title":"Global assessment report on biodiversity and ecosystem services of the Intergovernmental Science-Policy Platform on Biodiversity and Ecosystem Services","URL":"https://zenodo.org/doi/10.5281/zenodo.3831673","author":[{"literal":"IPBES"}],"editor":[{"family":"Brondizio","given":"Eduardo"},{"family":"Diaz","given":"Sandra"},{"family":"Settele","given":"Josef"},{"family":"Ngo","given":"Hien T."}],"accessed":{"date-parts":[["2026",4,27]]},"issued":{"date-parts":[["2019",5,4]]}}}],"schema":"https://github.com/citation-style-language/schema/raw/master/csl-citation.json"} </w:instrText>
      </w:r>
      <w:r w:rsidR="00106979" w:rsidRPr="00A41569">
        <w:fldChar w:fldCharType="separate"/>
      </w:r>
      <w:r w:rsidR="00106979" w:rsidRPr="00A41569">
        <w:t>(IPBES, 2019)</w:t>
      </w:r>
      <w:r w:rsidR="00106979" w:rsidRPr="00A41569">
        <w:fldChar w:fldCharType="end"/>
      </w:r>
      <w:r w:rsidR="00106979" w:rsidRPr="00A41569">
        <w:t xml:space="preserve">. They also sequester an estimated 7.6 GtCO2e per year on a net basis, placing forest preservation at the centre of any credible climate mitigation strategy </w:t>
      </w:r>
      <w:r w:rsidR="00106979" w:rsidRPr="00A41569">
        <w:fldChar w:fldCharType="begin"/>
      </w:r>
      <w:r w:rsidR="008263B8">
        <w:instrText xml:space="preserve"> ADDIN ZOTERO_ITEM CSL_CITATION {"citationID":"EY8QfMfu","properties":{"unsorted":false,"formattedCitation":"(Nasi, 2022)","plainCitation":"(Nasi, 2022)","noteIndex":0},"citationItems":[{"id":125,"uris":["http://zotero.org/users/11719957/items/QC8TU4UI"],"itemData":{"id":125,"type":"article-journal","container-title":"Global Change Biology","DOI":"10.1111/gcb.16039","ISSN":"1354-1013, 1365-2486","issue":"6","journalAbbreviation":"Global Change Biology","language":"en","page":"1951-1952","source":"DOI.org (Crossref)","title":"The Glasgow leaders’ declaration on forests and land use: Significance toward “Net Zero”","title-short":"The glasgow leaders’ declaration on forests and land use","volume":"28","author":[{"family":"Nasi","given":"Robert"}],"issued":{"date-parts":[["2022",3]]}}}],"schema":"https://github.com/citation-style-language/schema/raw/master/csl-citation.json"} </w:instrText>
      </w:r>
      <w:r w:rsidR="00106979" w:rsidRPr="00A41569">
        <w:fldChar w:fldCharType="separate"/>
      </w:r>
      <w:r w:rsidR="00106979" w:rsidRPr="00A41569">
        <w:t>(Nasi, 2022)</w:t>
      </w:r>
      <w:r w:rsidR="00106979" w:rsidRPr="00A41569">
        <w:fldChar w:fldCharType="end"/>
      </w:r>
      <w:r w:rsidR="00106979" w:rsidRPr="00A41569">
        <w:t xml:space="preserve">. </w:t>
      </w:r>
      <w:r w:rsidR="00601D41">
        <w:t xml:space="preserve"> </w:t>
      </w:r>
      <w:r w:rsidR="00601D41" w:rsidRPr="00601D41">
        <w:t>The Food and Agriculture Organization of the United Nations says that about 10 million hectares of forest are lost each year, and most of the land that is permanently changed from one use to another is for commercial agriculture.</w:t>
      </w:r>
      <w:r w:rsidR="00601D41">
        <w:t xml:space="preserve"> </w:t>
      </w:r>
      <w:r w:rsidR="00106979" w:rsidRPr="00A41569">
        <w:fldChar w:fldCharType="begin"/>
      </w:r>
      <w:r w:rsidR="008263B8">
        <w:instrText xml:space="preserve"> ADDIN ZOTERO_ITEM CSL_CITATION {"citationID":"uklbZqQP","properties":{"unsorted":false,"formattedCitation":"(FAO, 2020)","plainCitation":"(FAO, 2020)","noteIndex":0},"citationItems":[{"id":126,"uris":["http://zotero.org/users/11719957/items/5CLWUMDG"],"itemData":{"id":126,"type":"book","DOI":"10.4060/ca9825en","ISBN":"978-92-5-132974-0","language":"en","publisher":"FAO","source":"DOI.org (Crossref)","title":"Global Forest Resources Assessment","URL":"http://www.fao.org/documents/card/en/c/ca9825en","author":[{"literal":"FAO"}],"accessed":{"date-parts":[["2026",4,27]]},"issued":{"date-parts":[["2020"]]}}}],"schema":"https://github.com/citation-style-language/schema/raw/master/csl-citation.json"} </w:instrText>
      </w:r>
      <w:r w:rsidR="00106979" w:rsidRPr="00A41569">
        <w:fldChar w:fldCharType="separate"/>
      </w:r>
      <w:r w:rsidR="008263B8" w:rsidRPr="008263B8">
        <w:t>(FAO, 2020)</w:t>
      </w:r>
      <w:r w:rsidR="00106979" w:rsidRPr="00A41569">
        <w:fldChar w:fldCharType="end"/>
      </w:r>
      <w:r w:rsidR="00106979" w:rsidRPr="00A41569">
        <w:t xml:space="preserve">. The United Nations has characterised biodiversity loss and climate change as twin, mutually reinforcing crises: each accelerates the other through feedback mechanisms that now constitute a major driver of ecological instability at global scale </w:t>
      </w:r>
      <w:r w:rsidR="00106979" w:rsidRPr="00A41569">
        <w:fldChar w:fldCharType="begin"/>
      </w:r>
      <w:r w:rsidR="00106979" w:rsidRPr="00A41569">
        <w:instrText xml:space="preserve"> ADDIN ZOTERO_ITEM CSL_CITATION {"citationID":"fdiHbLda","properties":{"unsorted":false,"formattedCitation":"(Boran and Pettorelli, 2024)","plainCitation":"(Boran and Pettorelli, 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people","volume":"61","author":[{"family":"Boran","given":"Idil"},{"family":"Pettorelli","given":"Nathalie"}],"issued":{"date-parts":[["2024",9]]}}}],"schema":"https://github.com/citation-style-language/schema/raw/master/csl-citation.json"} </w:instrText>
      </w:r>
      <w:r w:rsidR="00106979" w:rsidRPr="00A41569">
        <w:fldChar w:fldCharType="separate"/>
      </w:r>
      <w:r w:rsidR="00106979" w:rsidRPr="00A41569">
        <w:t>(Boran and Pettorelli, 2024)</w:t>
      </w:r>
      <w:r w:rsidR="00106979" w:rsidRPr="00A41569">
        <w:fldChar w:fldCharType="end"/>
      </w:r>
      <w:r w:rsidR="00106979" w:rsidRPr="00A41569">
        <w:t>.</w:t>
      </w:r>
    </w:p>
    <w:p w14:paraId="74B6026A" w14:textId="77777777" w:rsidR="00106979" w:rsidRDefault="00106979" w:rsidP="00106979">
      <w:pPr>
        <w:pStyle w:val="Heading2"/>
      </w:pPr>
      <w:bookmarkStart w:id="3" w:name="_Toc228278402"/>
      <w:r>
        <w:t>1.2 Aims and Objectives</w:t>
      </w:r>
      <w:bookmarkEnd w:id="3"/>
    </w:p>
    <w:p w14:paraId="0587A0C3" w14:textId="77777777" w:rsidR="00106979" w:rsidRDefault="00106979" w:rsidP="00106979">
      <w:pPr>
        <w:spacing w:after="200" w:line="360" w:lineRule="auto"/>
        <w:jc w:val="both"/>
      </w:pPr>
      <w:r>
        <w:t>This report addresses two linked objectives drawn from the COP 30 thematic agenda as set out in the ACBA7007 module brief. First, it assesses to what extent previous COP conferences have delivered on the preservation of forests and biodiversity. Second, it critically evaluates the prospects for forests and biodiversity following COP 29 in Baku (2024) and COP 30 in Belem (2025). Together, these objectives provide a longitudinal assessment of multilateral forest and biodiversity governance from 1997 to the present.</w:t>
      </w:r>
    </w:p>
    <w:p w14:paraId="3F2EFCE1" w14:textId="77777777" w:rsidR="00106979" w:rsidRDefault="00106979" w:rsidP="00106979">
      <w:pPr>
        <w:pStyle w:val="Heading2"/>
      </w:pPr>
      <w:bookmarkStart w:id="4" w:name="_Toc228278403"/>
      <w:r>
        <w:t>1.3 Methodology</w:t>
      </w:r>
      <w:bookmarkEnd w:id="4"/>
    </w:p>
    <w:p w14:paraId="08A82BBE" w14:textId="556871C3" w:rsidR="00106979" w:rsidRDefault="00106979" w:rsidP="00106979">
      <w:pPr>
        <w:spacing w:after="200" w:line="360" w:lineRule="auto"/>
        <w:jc w:val="both"/>
      </w:pPr>
      <w:r>
        <w:t xml:space="preserve">The report is grounded in a systematic review of peer-reviewed academic literature, supplemented by primary policy documents from the UNFCCC, CBD, and IPBES. Sources were selected from journals including Global Change Biology, Nature Climate Change, PLOS ONE, Conservation Biology, and the Journal of Applied Ecology, prioritising publications from 2018 to 2025 to ensure currency and relevance to the post-Paris governance period. </w:t>
      </w:r>
      <w:r w:rsidR="00A41569">
        <w:t xml:space="preserve">Two </w:t>
      </w:r>
      <w:r>
        <w:t>analytical frameworks are applied: PESTEL analysis, presented in Appendix A, to map structural political, economic, social, technological, environmental, and legal drivers of the forest governance gap; and SWOT analysis in Chapter 4 to evaluate post-COP 30 prospects in a structured comparative format.</w:t>
      </w:r>
      <w:r>
        <w:br w:type="page"/>
      </w:r>
    </w:p>
    <w:p w14:paraId="36A2CFFF" w14:textId="77777777" w:rsidR="00106979" w:rsidRDefault="00106979" w:rsidP="00106979">
      <w:pPr>
        <w:pStyle w:val="Heading1"/>
      </w:pPr>
      <w:bookmarkStart w:id="5" w:name="_Toc228278404"/>
      <w:r>
        <w:lastRenderedPageBreak/>
        <w:t>Chapter 2: Conceptual and Policy Background</w:t>
      </w:r>
      <w:bookmarkEnd w:id="5"/>
    </w:p>
    <w:p w14:paraId="1F12376A" w14:textId="77777777" w:rsidR="00106979" w:rsidRDefault="00106979" w:rsidP="00106979">
      <w:pPr>
        <w:pStyle w:val="Heading2"/>
      </w:pPr>
      <w:bookmarkStart w:id="6" w:name="_Toc228278405"/>
      <w:r>
        <w:t>2.1 Key Concepts and Definitions</w:t>
      </w:r>
      <w:bookmarkEnd w:id="6"/>
    </w:p>
    <w:p w14:paraId="18E4A5D1" w14:textId="5B998847" w:rsidR="00106979" w:rsidRDefault="00734935" w:rsidP="00106979">
      <w:pPr>
        <w:spacing w:after="200" w:line="360" w:lineRule="auto"/>
        <w:jc w:val="both"/>
      </w:pPr>
      <w:r w:rsidRPr="00734935">
        <w:t>Biodiversity is the variety of living things from all sources, such as land, sea, and other aquatic ecosystems, as well as the ecolog</w:t>
      </w:r>
      <w:r>
        <w:t xml:space="preserve">ical systems they are a part of </w:t>
      </w:r>
      <w:r w:rsidR="00C148A2">
        <w:t>21’</w:t>
      </w:r>
      <w:r w:rsidR="00C148A2">
        <w:br/>
        <w:t>tgtd s</w:t>
      </w:r>
      <w:r w:rsidR="00106979">
        <w:fldChar w:fldCharType="begin"/>
      </w:r>
      <w:r w:rsidR="00106979">
        <w:instrText xml:space="preserve"> ADDIN ZOTERO_ITEM CSL_CITATION {"citationID":"r2gaLjL8","properties":{"unsorted":false,"formattedCitation":"(CBD, 1992)","plainCitation":"(CBD, 1992)","noteIndex":0},"citationItems":[{"id":135,"uris":["http://zotero.org/users/11719957/items/QCNCKU35"],"itemData":{"id":135,"type":"book","publisher":"United Nations","title":"Convention on Biological Diversity","URL":"https://treaties.un.org/doc/Treaties/1992/06/19920605%2008-44%20PM/Ch_XXVII_08p.pdf","volume":"2","author":[{"literal":"CBD"}],"accessed":{"date-parts":[["2026",4,27]]},"issued":{"date-parts":[["1992"]]}}}],"schema":"https://github.com/citation-style-language/schema/raw/master/csl-citation.json"} </w:instrText>
      </w:r>
      <w:r w:rsidR="00106979">
        <w:fldChar w:fldCharType="separate"/>
      </w:r>
      <w:r w:rsidR="00106979" w:rsidRPr="00AB0D8E">
        <w:t>(CBD, 1992)</w:t>
      </w:r>
      <w:r w:rsidR="00106979">
        <w:fldChar w:fldCharType="end"/>
      </w:r>
      <w:r w:rsidR="00106979">
        <w:t>. This definition covers diversity within species, between species, and of ecosystems.</w:t>
      </w:r>
      <w:r w:rsidR="001478E8" w:rsidRPr="001478E8">
        <w:t xml:space="preserve"> The idea of ecosystem services builds on this idea by talking about the many ways that ecosystems help people, such as providing food and water, controlling floods and</w:t>
      </w:r>
      <w:r w:rsidR="001478E8">
        <w:t xml:space="preserve"> climate, and cycling nutrients</w:t>
      </w:r>
      <w:r w:rsidR="00106979">
        <w:t xml:space="preserve"> </w:t>
      </w:r>
      <w:r w:rsidR="00106979">
        <w:fldChar w:fldCharType="begin"/>
      </w:r>
      <w:r w:rsidR="00106979">
        <w:instrText xml:space="preserve"> ADDIN ZOTERO_ITEM CSL_CITATION {"citationID":"bPsymCE6","properties":{"unsorted":false,"formattedCitation":"(IPBES, 2019)","plainCitation":"(IPBES, 2019)","noteIndex":0},"citationItems":[{"id":129,"uris":["http://zotero.org/users/11719957/items/T72KM9Y4"],"itemData":{"id":129,"type":"report","abstract":"IPBES is to perform regular and timely assessments of knowledge on biodiversity and ecosystem services and their interlinkages at the global level. Also addressing an invitation by the Conference of the Parties of the Convention on Biological Diversity (CBD) to prepare a global assessment of biodiversity and ecosystem services building, inter alia, on its own and other relevant regional, subregional and thematic assessments, as well as on national reports.\n\n\nThe overall scope of the assessment is to assess the status and trends with regard to biodiversity and ecosystem services, the impact of biodiversity and ecosystem services on human well-being and the effectiveness of responses, including the Strategic Plan and its Aichi Biodiversity Targets. It is anticipated that this deliverable will contribute to the process for the evaluation and renewal of the Strategic Plan for Biodiversity and its Aichi Biodiversity Targets.\n\n\nThe IPBES Global Assessment on Biodiversity and Ecosystem Services is composed of 1) a Summary for Policymakers (SPM), approved by the IPBES Plenary at its 7th session in May 2019 in Paris, France (IPBES-7); and 2) a set of six Chapters, accepted by the IPBES Plenary.","DOI":"10.5281/ZENODO.3831673","language":"en","license":"Creative Commons Attribution 4.0 International","note":"version: 1","publisher":"Zenodo","source":"DOI.org (Datacite)","title":"Global assessment report on biodiversity and ecosystem services of the Intergovernmental Science-Policy Platform on Biodiversity and Ecosystem Services","URL":"https://zenodo.org/doi/10.5281/zenodo.3831673","author":[{"literal":"IPBES"}],"editor":[{"family":"Brondizio","given":"Eduardo"},{"family":"Diaz","given":"Sandra"},{"family":"Settele","given":"Josef"},{"family":"Ngo","given":"Hien T."}],"accessed":{"date-parts":[["2026",4,27]]},"issued":{"date-parts":[["2019",5,4]]}}}],"schema":"https://github.com/citation-style-language/schema/raw/master/csl-citation.json"} </w:instrText>
      </w:r>
      <w:r w:rsidR="00106979">
        <w:fldChar w:fldCharType="separate"/>
      </w:r>
      <w:r w:rsidR="00106979" w:rsidRPr="00AB0D8E">
        <w:t>(IPBES, 2019)</w:t>
      </w:r>
      <w:r w:rsidR="00106979">
        <w:fldChar w:fldCharType="end"/>
      </w:r>
      <w:r w:rsidR="00106979">
        <w:t>.</w:t>
      </w:r>
      <w:r w:rsidR="00601D41" w:rsidRPr="00601D41">
        <w:t xml:space="preserve"> Nature is estimated to account for more than half of global GDP, and over a billion people rely directly o</w:t>
      </w:r>
      <w:r w:rsidR="00601D41">
        <w:t xml:space="preserve">n forests for their livelihoods </w:t>
      </w:r>
      <w:r w:rsidR="00106979">
        <w:fldChar w:fldCharType="begin"/>
      </w:r>
      <w:r w:rsidR="00106979">
        <w:instrText xml:space="preserve"> ADDIN ZOTERO_ITEM CSL_CITATION {"citationID":"QWDwNbPa","properties":{"unsorted":false,"formattedCitation":"(UN, 2024)","plainCitation":"(UN, 2024)","noteIndex":0},"citationItems":[{"id":136,"uris":["http://zotero.org/users/11719957/items/Q6R57Z3K"],"itemData":{"id":136,"type":"webpage","title":"Biodiversity: Our Strongest Natural Defense against Climate Change","URL":"https://www.un.org/en/climatechange/science/climate-issues/biodiversity","author":[{"literal":"UN"}],"accessed":{"date-parts":[["2026",4,27]]},"issued":{"date-parts":[["2024"]]}}}],"schema":"https://github.com/citation-style-language/schema/raw/master/csl-citation.json"} </w:instrText>
      </w:r>
      <w:r w:rsidR="00106979">
        <w:fldChar w:fldCharType="separate"/>
      </w:r>
      <w:r w:rsidR="00106979" w:rsidRPr="005B1A6E">
        <w:t>(UN, 2024)</w:t>
      </w:r>
      <w:r w:rsidR="00106979">
        <w:fldChar w:fldCharType="end"/>
      </w:r>
      <w:r w:rsidR="00106979">
        <w:t>.</w:t>
      </w:r>
    </w:p>
    <w:p w14:paraId="16BA0145" w14:textId="2FE94BCE" w:rsidR="00106979" w:rsidRPr="00A41569" w:rsidRDefault="00106979" w:rsidP="00106979">
      <w:pPr>
        <w:spacing w:after="200" w:line="360" w:lineRule="auto"/>
        <w:jc w:val="both"/>
      </w:pPr>
      <w:r w:rsidRPr="00A41569">
        <w:t xml:space="preserve">Global deforestation remains one of the most critical proximate drivers of biodiversity loss. The Food and Agriculture Organisation of the United Nations </w:t>
      </w:r>
      <w:r w:rsidRPr="00A41569">
        <w:fldChar w:fldCharType="begin"/>
      </w:r>
      <w:r w:rsidR="008263B8">
        <w:instrText xml:space="preserve"> ADDIN ZOTERO_ITEM CSL_CITATION {"citationID":"bjl01KFb","properties":{"unsorted":false,"formattedCitation":"(FAO, 2020)","plainCitation":"(FAO, 2020)","noteIndex":0},"citationItems":[{"id":126,"uris":["http://zotero.org/users/11719957/items/5CLWUMDG"],"itemData":{"id":126,"type":"book","DOI":"10.4060/ca9825en","ISBN":"978-92-5-132974-0","language":"en","publisher":"FAO","source":"DOI.org (Crossref)","title":"Global Forest Resources Assessment","URL":"http://www.fao.org/documents/card/en/c/ca9825en","author":[{"literal":"FAO"}],"accessed":{"date-parts":[["2026",4,27]]},"issued":{"date-parts":[["2020"]]}}}],"schema":"https://github.com/citation-style-language/schema/raw/master/csl-citation.json"} </w:instrText>
      </w:r>
      <w:r w:rsidRPr="00A41569">
        <w:fldChar w:fldCharType="separate"/>
      </w:r>
      <w:r w:rsidR="008263B8" w:rsidRPr="008263B8">
        <w:t>(FAO, 2020)</w:t>
      </w:r>
      <w:r w:rsidRPr="00A41569">
        <w:fldChar w:fldCharType="end"/>
      </w:r>
      <w:r w:rsidRPr="00A41569">
        <w:t xml:space="preserve"> estimates that approximately 10 million hectares of forest are lost annually, with tropical forests disproportionately affected. These losses carry profound implications for climate regulation, as forests sequester an estimated 7.6 GtCO2e per year on a net basis, meaning their continued loss directly undermines the capacity to limit global warming </w:t>
      </w:r>
      <w:r w:rsidRPr="00A41569">
        <w:fldChar w:fldCharType="begin"/>
      </w:r>
      <w:r w:rsidR="008263B8">
        <w:instrText xml:space="preserve"> ADDIN ZOTERO_ITEM CSL_CITATION {"citationID":"UHggA6Zn","properties":{"unsorted":false,"formattedCitation":"(Nasi, 2022)","plainCitation":"(Nasi, 2022)","noteIndex":0},"citationItems":[{"id":125,"uris":["http://zotero.org/users/11719957/items/QC8TU4UI"],"itemData":{"id":125,"type":"article-journal","container-title":"Global Change Biology","DOI":"10.1111/gcb.16039","ISSN":"1354-1013, 1365-2486","issue":"6","journalAbbreviation":"Global Change Biology","language":"en","page":"1951-1952","source":"DOI.org (Crossref)","title":"The Glasgow leaders’ declaration on forests and land use: Significance toward “Net Zero”","title-short":"The glasgow leaders’ declaration on forests and land use","volume":"28","author":[{"family":"Nasi","given":"Robert"}],"issued":{"date-parts":[["2022",3]]}}}],"schema":"https://github.com/citation-style-language/schema/raw/master/csl-citation.json"} </w:instrText>
      </w:r>
      <w:r w:rsidRPr="00A41569">
        <w:fldChar w:fldCharType="separate"/>
      </w:r>
      <w:r w:rsidRPr="00A41569">
        <w:t>(Nasi, 2022)</w:t>
      </w:r>
      <w:r w:rsidRPr="00A41569">
        <w:fldChar w:fldCharType="end"/>
      </w:r>
      <w:r w:rsidRPr="00A41569">
        <w:t xml:space="preserve">. The United Nations further reports that up to one million species are currently threatened with extinction, many within decades, and that parts of the Amazon rainforest are already transitioning from carbon sinks to carbon sources due to cumulative deforestation pressure </w:t>
      </w:r>
      <w:r w:rsidRPr="00A41569">
        <w:fldChar w:fldCharType="begin"/>
      </w:r>
      <w:r w:rsidRPr="00A41569">
        <w:instrText xml:space="preserve"> ADDIN ZOTERO_ITEM CSL_CITATION {"citationID":"7bKoOBOx","properties":{"unsorted":false,"formattedCitation":"(UN, 2024)","plainCitation":"(UN, 2024)","noteIndex":0},"citationItems":[{"id":136,"uris":["http://zotero.org/users/11719957/items/Q6R57Z3K"],"itemData":{"id":136,"type":"webpage","title":"Biodiversity: Our Strongest Natural Defense against Climate Change","URL":"https://www.un.org/en/climatechange/science/climate-issues/biodiversity","author":[{"literal":"UN"}],"accessed":{"date-parts":[["2026",4,27]]},"issued":{"date-parts":[["2024"]]}}}],"schema":"https://github.com/citation-style-language/schema/raw/master/csl-citation.json"} </w:instrText>
      </w:r>
      <w:r w:rsidRPr="00A41569">
        <w:fldChar w:fldCharType="separate"/>
      </w:r>
      <w:r w:rsidRPr="00A41569">
        <w:t>(UN, 2024)</w:t>
      </w:r>
      <w:r w:rsidRPr="00A41569">
        <w:fldChar w:fldCharType="end"/>
      </w:r>
      <w:r w:rsidRPr="00A41569">
        <w:t>. Figure 1 illustrates this acceleration: the number of species assessed as threatened on the IUCN Red List has grown from approximately 11,000 in 2000 to over 44,000 by 2023, with no deceleration visible despite successive biodiversity governance milestones.</w:t>
      </w:r>
    </w:p>
    <w:p w14:paraId="78CF6C56" w14:textId="77777777" w:rsidR="00106979" w:rsidRDefault="00106979" w:rsidP="00106979">
      <w:pPr>
        <w:keepNext/>
        <w:spacing w:before="200" w:after="80" w:line="360" w:lineRule="auto"/>
        <w:jc w:val="center"/>
      </w:pPr>
      <w:r>
        <w:rPr>
          <w:noProof/>
          <w:lang w:bidi="ar-SA"/>
        </w:rPr>
        <w:lastRenderedPageBreak/>
        <w:drawing>
          <wp:inline distT="0" distB="0" distL="0" distR="0" wp14:anchorId="7E75E101" wp14:editId="0B45E4FE">
            <wp:extent cx="5731510" cy="3072765"/>
            <wp:effectExtent l="0" t="0" r="2540" b="0"/>
            <wp:docPr id="13212937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293707" name="Picture 132129370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72765"/>
                    </a:xfrm>
                    <a:prstGeom prst="rect">
                      <a:avLst/>
                    </a:prstGeom>
                  </pic:spPr>
                </pic:pic>
              </a:graphicData>
            </a:graphic>
          </wp:inline>
        </w:drawing>
      </w:r>
    </w:p>
    <w:p w14:paraId="487C08E4" w14:textId="4E79862A" w:rsidR="00106979" w:rsidRPr="00026340" w:rsidRDefault="00106979" w:rsidP="00106979">
      <w:pPr>
        <w:pStyle w:val="Caption"/>
        <w:jc w:val="center"/>
        <w:rPr>
          <w:i w:val="0"/>
          <w:iCs w:val="0"/>
          <w:color w:val="auto"/>
          <w:sz w:val="22"/>
        </w:rPr>
      </w:pPr>
      <w:bookmarkStart w:id="7" w:name="_Toc228278432"/>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Pr>
          <w:i w:val="0"/>
          <w:iCs w:val="0"/>
          <w:noProof/>
          <w:color w:val="auto"/>
          <w:sz w:val="22"/>
        </w:rPr>
        <w:t>1</w:t>
      </w:r>
      <w:r w:rsidRPr="00026340">
        <w:rPr>
          <w:i w:val="0"/>
          <w:iCs w:val="0"/>
          <w:color w:val="auto"/>
          <w:sz w:val="22"/>
        </w:rPr>
        <w:fldChar w:fldCharType="end"/>
      </w:r>
      <w:r w:rsidRPr="00026340">
        <w:rPr>
          <w:i w:val="0"/>
          <w:iCs w:val="0"/>
          <w:color w:val="auto"/>
          <w:sz w:val="22"/>
        </w:rPr>
        <w:t>: IUCN Red List threatened species grew fourfold from 11,046 (2000) to 44,016 (2023), accelerating after 2018 despite successive biodiversity governance milestones</w:t>
      </w:r>
      <w:r w:rsidR="001A5FB8">
        <w:rPr>
          <w:i w:val="0"/>
          <w:iCs w:val="0"/>
          <w:color w:val="auto"/>
          <w:sz w:val="22"/>
        </w:rPr>
        <w:t xml:space="preserve"> </w:t>
      </w:r>
      <w:r w:rsidR="001A5FB8">
        <w:rPr>
          <w:i w:val="0"/>
          <w:iCs w:val="0"/>
          <w:color w:val="auto"/>
          <w:sz w:val="22"/>
        </w:rPr>
        <w:fldChar w:fldCharType="begin"/>
      </w:r>
      <w:r w:rsidR="001A5FB8">
        <w:rPr>
          <w:i w:val="0"/>
          <w:iCs w:val="0"/>
          <w:color w:val="auto"/>
          <w:sz w:val="22"/>
        </w:rPr>
        <w:instrText xml:space="preserve"> ADDIN ZOTERO_ITEM CSL_CITATION {"citationID":"zpAdFwCF","properties":{"unsorted":false,"formattedCitation":"(IUCN, 2025)","plainCitation":"(IUCN, 2025)","noteIndex":0},"citationItems":[{"id":161,"uris":["http://zotero.org/users/11719957/items/U4VK4A8T"],"itemData":{"id":161,"type":"webpage","title":"The IUCN Red List of Threatened Species","URL":"https://www.iucnredlist.org/resources/summary-statistics#Summary%20Tables","author":[{"literal":"IUCN"}],"accessed":{"date-parts":[["2026",4,27]]},"issued":{"date-parts":[["2025"]]}}}],"schema":"https://github.com/citation-style-language/schema/raw/master/csl-citation.json"} </w:instrText>
      </w:r>
      <w:r w:rsidR="001A5FB8">
        <w:rPr>
          <w:i w:val="0"/>
          <w:iCs w:val="0"/>
          <w:color w:val="auto"/>
          <w:sz w:val="22"/>
        </w:rPr>
        <w:fldChar w:fldCharType="separate"/>
      </w:r>
      <w:r w:rsidR="001A5FB8" w:rsidRPr="001A5FB8">
        <w:rPr>
          <w:i w:val="0"/>
          <w:iCs w:val="0"/>
          <w:color w:val="auto"/>
          <w:sz w:val="22"/>
        </w:rPr>
        <w:t>(IUCN, 2025)</w:t>
      </w:r>
      <w:bookmarkEnd w:id="7"/>
      <w:r w:rsidR="001A5FB8">
        <w:rPr>
          <w:i w:val="0"/>
          <w:iCs w:val="0"/>
          <w:color w:val="auto"/>
          <w:sz w:val="22"/>
        </w:rPr>
        <w:fldChar w:fldCharType="end"/>
      </w:r>
    </w:p>
    <w:p w14:paraId="596DF129" w14:textId="54916449" w:rsidR="00106979" w:rsidRDefault="0088762F" w:rsidP="00106979">
      <w:pPr>
        <w:spacing w:after="200" w:line="360" w:lineRule="auto"/>
        <w:jc w:val="both"/>
      </w:pPr>
      <w:r w:rsidRPr="0088762F">
        <w:t xml:space="preserve">Climate change and biodiversity loss are mutually reinforcing. The Intergovernmental Panel on Climate Change (IPCC) and the Intergovernmental Science-Policy Platform on Biodiversity and Ecosystem Services (IPBES) have concluded that, while biodiversity loss reduces ecosystem resilience and natural systems' ability to absorb and store carbon, climate change is one of the primary direct drivers of accelerating biodiversity loss. </w:t>
      </w:r>
      <w:r w:rsidR="00106979">
        <w:fldChar w:fldCharType="begin"/>
      </w:r>
      <w:r w:rsidR="00106979">
        <w:instrText xml:space="preserve"> ADDIN ZOTERO_ITEM CSL_CITATION {"citationID":"5otpmosI","properties":{"unsorted":false,"formattedCitation":"(Boran and Pettorelli, 2024)","plainCitation":"(Boran and Pettorelli, 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people","volume":"61","author":[{"family":"Boran","given":"Idil"},{"family":"Pettorelli","given":"Nathalie"}],"issued":{"date-parts":[["2024",9]]}}}],"schema":"https://github.com/citation-style-language/schema/raw/master/csl-citation.json"} </w:instrText>
      </w:r>
      <w:r w:rsidR="00106979">
        <w:fldChar w:fldCharType="separate"/>
      </w:r>
      <w:r w:rsidR="00106979" w:rsidRPr="0051667D">
        <w:t>(Boran and Pettorelli, 2024)</w:t>
      </w:r>
      <w:r w:rsidR="00106979">
        <w:fldChar w:fldCharType="end"/>
      </w:r>
      <w:r w:rsidR="00106979">
        <w:t xml:space="preserve">. This creates a self-reinforcing feedback loop in which each crisis amplifies the other, as illustrated in Figure 2. </w:t>
      </w:r>
      <w:r w:rsidR="007E65E3" w:rsidRPr="007E65E3">
        <w:t xml:space="preserve">Sanz and Perea Blazquez </w:t>
      </w:r>
      <w:r w:rsidR="00106979">
        <w:fldChar w:fldCharType="begin"/>
      </w:r>
      <w:r w:rsidR="00106979">
        <w:instrText xml:space="preserve"> ADDIN ZOTERO_ITEM CSL_CITATION {"citationID":"1jZL6Ngc","properties":{"unsorted":false,"formattedCitation":"(2025)","plainCitation":"(2025)","noteIndex":0},"citationItems":[{"id":130,"uris":["http://zotero.org/users/11719957/items/59DALTGD"],"itemData":{"id":130,"type":"article-journal","container-title":"Earth System Governance","DOI":"10.1016/j.esg.2025.100278","ISSN":"25898116","journalAbbreviation":"Earth System Governance","language":"en","page":"100278","source":"DOI.org (Crossref)","title":"Analysis of international climate change governance for the agriculture, forest and land use sector: Gaps and recommendations for future improvement","title-short":"Analysis of international climate change governance for the agriculture, forest and land use sector","volume":"25","author":[{"family":"Sanz","given":"María Jose"},{"family":"Perea Blazquez","given":"Ana Karla"}],"issued":{"date-parts":[["2025",8]]}},"suppress-author":true}],"schema":"https://github.com/citation-style-language/schema/raw/master/csl-citation.json"} </w:instrText>
      </w:r>
      <w:r w:rsidR="00106979">
        <w:fldChar w:fldCharType="separate"/>
      </w:r>
      <w:r w:rsidR="00106979" w:rsidRPr="00B431F1">
        <w:t>(2025)</w:t>
      </w:r>
      <w:r w:rsidR="00106979">
        <w:fldChar w:fldCharType="end"/>
      </w:r>
      <w:r w:rsidR="00106979">
        <w:t xml:space="preserve"> further </w:t>
      </w:r>
      <w:r w:rsidR="006E5431" w:rsidRPr="006E5431">
        <w:t>note that the IPCC mostly uses peer-reviewed scientific literature to guide the UNFCCC process. In contrast, IPBES focuses on combining traditional and local knowledge with scientific evidence, which shows that each convention has its own way of doing things.</w:t>
      </w:r>
    </w:p>
    <w:p w14:paraId="69C9A608" w14:textId="77777777" w:rsidR="00106979" w:rsidRDefault="00106979" w:rsidP="00106979">
      <w:pPr>
        <w:keepNext/>
        <w:spacing w:before="200" w:after="80" w:line="360" w:lineRule="auto"/>
        <w:jc w:val="center"/>
      </w:pPr>
      <w:r>
        <w:rPr>
          <w:noProof/>
          <w:lang w:bidi="ar-SA"/>
        </w:rPr>
        <w:lastRenderedPageBreak/>
        <w:drawing>
          <wp:inline distT="0" distB="0" distL="0" distR="0" wp14:anchorId="136EA10B" wp14:editId="1624E263">
            <wp:extent cx="5731510" cy="3794125"/>
            <wp:effectExtent l="0" t="0" r="2540" b="0"/>
            <wp:docPr id="15787912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91209" name="Picture 157879120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94125"/>
                    </a:xfrm>
                    <a:prstGeom prst="rect">
                      <a:avLst/>
                    </a:prstGeom>
                  </pic:spPr>
                </pic:pic>
              </a:graphicData>
            </a:graphic>
          </wp:inline>
        </w:drawing>
      </w:r>
    </w:p>
    <w:p w14:paraId="77F36F92" w14:textId="77777777" w:rsidR="00106979" w:rsidRPr="00026340" w:rsidRDefault="00106979" w:rsidP="00106979">
      <w:pPr>
        <w:pStyle w:val="Caption"/>
        <w:jc w:val="center"/>
        <w:rPr>
          <w:i w:val="0"/>
          <w:iCs w:val="0"/>
          <w:color w:val="auto"/>
          <w:sz w:val="22"/>
        </w:rPr>
      </w:pPr>
      <w:bookmarkStart w:id="8" w:name="_Toc228278433"/>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2</w:t>
      </w:r>
      <w:r w:rsidRPr="00026340">
        <w:rPr>
          <w:i w:val="0"/>
          <w:iCs w:val="0"/>
          <w:color w:val="auto"/>
          <w:sz w:val="22"/>
        </w:rPr>
        <w:fldChar w:fldCharType="end"/>
      </w:r>
      <w:r w:rsidRPr="00026340">
        <w:rPr>
          <w:i w:val="0"/>
          <w:iCs w:val="0"/>
          <w:color w:val="auto"/>
          <w:sz w:val="22"/>
        </w:rPr>
        <w:t>: The climate-biodiversity feedback loop, showing how deforestation, climate change, and biodiversity loss mutually reinforce each other through three interlocking pathways (IPBES, 2019; Boran and Pettorelli, 2024)</w:t>
      </w:r>
      <w:bookmarkEnd w:id="8"/>
    </w:p>
    <w:p w14:paraId="510C3F1B" w14:textId="77777777" w:rsidR="00106979" w:rsidRDefault="00106979" w:rsidP="00106979">
      <w:pPr>
        <w:pStyle w:val="Heading2"/>
      </w:pPr>
      <w:bookmarkStart w:id="9" w:name="_Toc228278406"/>
      <w:r>
        <w:t>2.2 International Governance Architecture</w:t>
      </w:r>
      <w:bookmarkEnd w:id="9"/>
    </w:p>
    <w:p w14:paraId="5DDDCD71" w14:textId="4CDCA7F6" w:rsidR="00106979" w:rsidRDefault="001478E8" w:rsidP="00106979">
      <w:pPr>
        <w:spacing w:after="200" w:line="360" w:lineRule="auto"/>
        <w:jc w:val="both"/>
      </w:pPr>
      <w:r w:rsidRPr="001478E8">
        <w:t>The main international legal framework governing climate change is the UN Framework Convention on Climate Change (UNFCCC), which was created in 1992. The annual Conference of the Parties (COP) is the final decision-making body under the UNFCCC. At the Rio Earth Summit in 1992, the Convention on Biologi</w:t>
      </w:r>
      <w:r w:rsidR="001F4354">
        <w:t>cal Diversity (CBD) was created, and o</w:t>
      </w:r>
      <w:r w:rsidR="00106979">
        <w:t xml:space="preserve">perates as a parallel but legally separate treaty with its own COP process. As </w:t>
      </w:r>
      <w:r w:rsidR="00A41569" w:rsidRPr="00026340">
        <w:rPr>
          <w:color w:val="auto"/>
          <w:sz w:val="22"/>
        </w:rPr>
        <w:t>Boran and Pettorelli</w:t>
      </w:r>
      <w:r w:rsidR="00A41569">
        <w:t xml:space="preserve"> </w:t>
      </w:r>
      <w:r w:rsidR="00106979">
        <w:t>(2024) argue, no single policy instrument currently addresses both crises jointly, representing a structural gap in global environmental governance that subsequent agreements have sought, with limited success, to bridge.</w:t>
      </w:r>
    </w:p>
    <w:p w14:paraId="211F51B4" w14:textId="72E69DEF" w:rsidR="00106979" w:rsidRDefault="00106979" w:rsidP="00106979">
      <w:pPr>
        <w:spacing w:after="200" w:line="360" w:lineRule="auto"/>
        <w:jc w:val="both"/>
      </w:pPr>
      <w:r>
        <w:t xml:space="preserve">Within the UNFCCC framework, Reducing Emissions from Deforestation and Forest Degradation (REDD+) was established as the primary mechanism linking forest governance to climate mitigation. First proposed at COP 11 in 2005 and progressively developed through the Bali Action Plan, the Cancun Agreements, and the Warsaw Framework, REDD+ aims to provide financial incentives to developing countries for verified reductions in forest loss </w:t>
      </w:r>
      <w:r>
        <w:fldChar w:fldCharType="begin"/>
      </w:r>
      <w:r>
        <w:instrText xml:space="preserve"> ADDIN ZOTERO_ITEM CSL_CITATION {"citationID":"q3Ke36wp","properties":{"unsorted":false,"formattedCitation":"(Sanz and Perea Blazquez, 2025)","plainCitation":"(Sanz and Perea Blazquez, 2025)","noteIndex":0},"citationItems":[{"id":130,"uris":["http://zotero.org/users/11719957/items/59DALTGD"],"itemData":{"id":130,"type":"article-journal","container-title":"Earth System Governance","DOI":"10.1016/j.esg.2025.100278","ISSN":"25898116","journalAbbreviation":"Earth System Governance","language":"en","page":"100278","source":"DOI.org (Crossref)","title":"Analysis of international climate change governance for the agriculture, forest and land use sector: Gaps and recommendations for future improvement","title-short":"Analysis of international climate change governance for the agriculture, forest and land use sector","volume":"25","author":[{"family":"Sanz","given":"María Jose"},{"family":"Perea Blazquez","given":"Ana Karla"}],"issued":{"date-parts":[["2025",8]]}}}],"schema":"https://github.com/citation-style-language/schema/raw/master/csl-citation.json"} </w:instrText>
      </w:r>
      <w:r>
        <w:fldChar w:fldCharType="separate"/>
      </w:r>
      <w:r w:rsidRPr="00B431F1">
        <w:t>(Sanz and Perea Blazquez, 2025)</w:t>
      </w:r>
      <w:r>
        <w:fldChar w:fldCharType="end"/>
      </w:r>
      <w:r>
        <w:t>.</w:t>
      </w:r>
      <w:r w:rsidR="0088762F" w:rsidRPr="0088762F">
        <w:t xml:space="preserve"> The mechanism also promotes sustainable forest management </w:t>
      </w:r>
      <w:r w:rsidR="0088762F" w:rsidRPr="0088762F">
        <w:lastRenderedPageBreak/>
        <w:t>while preserving and improving forest carbon stocks.</w:t>
      </w:r>
      <w:r>
        <w:t xml:space="preserve"> However, as Chapter 3 of this report demonstrates, the gap between REDD+ design and effective implementation has been substantial.</w:t>
      </w:r>
    </w:p>
    <w:p w14:paraId="498E1E36" w14:textId="68488C01" w:rsidR="00106979" w:rsidRDefault="00106979" w:rsidP="00106979">
      <w:pPr>
        <w:spacing w:after="200" w:line="360" w:lineRule="auto"/>
        <w:jc w:val="both"/>
      </w:pPr>
      <w:r>
        <w:t>The Kunming-Montreal Global Biodiversity Framework (GBF), adopted at CBD COP 15 in December 2022, represents the most ambitious multilateral agreement on biodiversity to date</w:t>
      </w:r>
      <w:r w:rsidR="007E65E3">
        <w:t xml:space="preserve"> </w:t>
      </w:r>
      <w:r w:rsidR="007E65E3" w:rsidRPr="004B74FC">
        <w:fldChar w:fldCharType="begin"/>
      </w:r>
      <w:r w:rsidR="004B74FC" w:rsidRPr="004B74FC">
        <w:instrText xml:space="preserve"> ADDIN ZOTERO_ITEM CSL_CITATION {"citationID":"6Mnz3S9L","properties":{"unsorted":false,"formattedCitation":"(Lehmann {\\i{}et al.}, 2025)","plainCitation":"(Lehmann et al., 2025)","noteIndex":0},"citationItems":[{"id":132,"uris":["http://zotero.org/users/11719957/items/92PTY4D9"],"itemData":{"id":132,"type":"article-journal","abstract":"Abstract\n            In the era of the sixth mass extinction, reversing global biodiversity loss is of vital importance for life on Earth. In 2022, parties to the Convention on Biological Diversity (CBD) adopted the Kunming‐Montreal Global Biodiversity Framework (GBF), a strategic plan with 23 action‐oriented targets to be achieved by 2030. However, biodiversity action carries direct and indirect costs that are unevenly distributed globally. Moreover, parties to the CBD may differ relative to various aspects of bearing these costs. Although the GBF implicitly acknowledges its parties’ common but different responsibilities for its implementation, what this means in practice is left open. We suggested a distributive justice framework to guide global sharing of the costs of biodiversity action, with a focus on specific GBF targets. We combined the contributor pays, beneficiary pays, and ability to pay principles from the normative‐philosophical justice literature together with empirical information on trends in biodiversity degradation, benefits from resource exploitation, and livelihood levels in different countries to develop a distinct and comprehensive account of distributive justice in a global biodiversity policy context and to specify implications for target implementation. Our framework suggests that high‐income countries should provide substantial financial resources for the implementation of GBF targets domestically and internationally. Moreover, these countries have a particularly high moral obligation to take action to reduce pressure on biodiversity—for instance, by reducing pollution or changing consumption patterns. Recent institutional innovations related to the funding, planning, monitoring, reporting, and review structures of the GBF hold promise for its just implementation, which ultimately depends on parties’ political will.\n          , \n            \n              \n              Consecuencias de los principios de justicia global distributiva en la implementación del Marco Mundial de Biodiversidad Kunming‐Montreal\n              \n                Resumen\n                En la era de la sexta extinción masiva, revertir la pérdida de biodiversidad global es de vital importancia para la vida en la Tierra. En 2022, las partes del Convenio sobre la Diversidad Biológica adoptaron el Marco Global de Biodiversidad de Kunming‐Montreal (MGB), un plan estratégico con 23 objetivos orientados a la acción que deben alcanzarse para 2030. Sin embargo, las medidas en favor de la biodiversidad conllevan gastos directos e indirectos que se distribuyen de forma desigual a nivel mundial. Además, las partes del CDB pueden enfrentarse a circunstancias diferentes en relación con diversos aspectos de sobrellevar estos costes. Si bien el MGB reconoce implícitamente las responsabilidades comunes pero diferentes de sus partes en cuanto a su aplicación, no queda claro lo que esto significa en la práctica. Planteamos un marco de justicia distributiva para orientar el reparto mundial de los costes de las medidas en favor de la biodiversidad centrado en objetivos específicos. Combinamos los principios de «quien contribuye paga», «quien se beneficia paga» y «capacidad de pago» de la literatura normativa‐filosófica sobre justicia con información empírica sobre las tendencias en la degradación de la biodiversidad, los beneficios de la explotación de los recursos y los niveles de subsistencia en diferentes países para desarrollar una visión clara y completa de la justicia distributiva en el contexto de las políticas globales de biodiversidad y especificar las implicaciones para la implementación de los objetivos. Nuestro marco sugiere que los países de altos ingresos deberían proporcionar recursos financieros sustanciales para la implementación de los objetivos del MGB a nivel nacional e internacional. Además, estos países tienen una obligación moral muy elevada de tomar medidas para reducir la presión sobre la biodiversidad, por ejemplo, la reducción de la contaminación o cambios en los patrones de consumo. Las recientes innovaciones institucionales relacionadas con las estructuras de financiación, planificación, seguimiento, presentación de informes y revisión del MGB son prometedoras para su implementación justa, que en última instancia depende de la voluntad política de las partes.\n              \n            \n          , \n            </w:instrText>
      </w:r>
      <w:r w:rsidR="004B74FC" w:rsidRPr="004B74FC">
        <w:rPr>
          <w:rFonts w:ascii="MS Mincho" w:eastAsia="MS Mincho" w:hAnsi="MS Mincho" w:cs="MS Mincho" w:hint="eastAsia"/>
        </w:rPr>
        <w:instrText>全球分配公正原</w:instrText>
      </w:r>
      <w:r w:rsidR="004B74FC" w:rsidRPr="004B74FC">
        <w:rPr>
          <w:rFonts w:ascii="SimSun" w:eastAsia="SimSun" w:hAnsi="SimSun" w:cs="SimSun" w:hint="eastAsia"/>
        </w:rPr>
        <w:instrText>则对实施《昆明</w:instrText>
      </w:r>
      <w:r w:rsidR="004B74FC" w:rsidRPr="004B74FC">
        <w:instrText>‐</w:instrText>
      </w:r>
      <w:r w:rsidR="004B74FC" w:rsidRPr="004B74FC">
        <w:rPr>
          <w:rFonts w:ascii="MS Mincho" w:eastAsia="MS Mincho" w:hAnsi="MS Mincho" w:cs="MS Mincho" w:hint="eastAsia"/>
        </w:rPr>
        <w:instrText>蒙特利</w:instrText>
      </w:r>
      <w:r w:rsidR="004B74FC" w:rsidRPr="004B74FC">
        <w:rPr>
          <w:rFonts w:ascii="Yu Gothic" w:eastAsia="Yu Gothic" w:hAnsi="Yu Gothic" w:cs="Yu Gothic" w:hint="eastAsia"/>
        </w:rPr>
        <w:instrText>尔全球生物多</w:instrText>
      </w:r>
      <w:r w:rsidR="004B74FC" w:rsidRPr="004B74FC">
        <w:rPr>
          <w:rFonts w:ascii="SimSun" w:eastAsia="SimSun" w:hAnsi="SimSun" w:cs="SimSun" w:hint="eastAsia"/>
        </w:rPr>
        <w:instrText>样性框架》的影响</w:instrText>
      </w:r>
      <w:r w:rsidR="004B74FC" w:rsidRPr="004B74FC">
        <w:instrText xml:space="preserve">\n            \n              </w:instrText>
      </w:r>
      <w:r w:rsidR="004B74FC" w:rsidRPr="004B74FC">
        <w:rPr>
          <w:rFonts w:ascii="MS Mincho" w:eastAsia="MS Mincho" w:hAnsi="MS Mincho" w:cs="MS Mincho" w:hint="eastAsia"/>
        </w:rPr>
        <w:instrText>【摘要】</w:instrText>
      </w:r>
      <w:r w:rsidR="004B74FC" w:rsidRPr="004B74FC">
        <w:instrText xml:space="preserve">\n              </w:instrText>
      </w:r>
      <w:r w:rsidR="004B74FC" w:rsidRPr="004B74FC">
        <w:rPr>
          <w:rFonts w:ascii="MS Mincho" w:eastAsia="MS Mincho" w:hAnsi="MS Mincho" w:cs="MS Mincho" w:hint="eastAsia"/>
        </w:rPr>
        <w:instrText>在第六次生物大</w:instrText>
      </w:r>
      <w:r w:rsidR="004B74FC" w:rsidRPr="004B74FC">
        <w:rPr>
          <w:rFonts w:ascii="SimSun" w:eastAsia="SimSun" w:hAnsi="SimSun" w:cs="SimSun" w:hint="eastAsia"/>
        </w:rPr>
        <w:instrText>灭绝的时代</w:instrText>
      </w:r>
      <w:r w:rsidR="004B74FC" w:rsidRPr="004B74FC">
        <w:instrText xml:space="preserve">, </w:instrText>
      </w:r>
      <w:r w:rsidR="004B74FC" w:rsidRPr="004B74FC">
        <w:rPr>
          <w:rFonts w:ascii="Yu Gothic" w:eastAsia="Yu Gothic" w:hAnsi="Yu Gothic" w:cs="Yu Gothic" w:hint="eastAsia"/>
        </w:rPr>
        <w:instrText>扭</w:instrText>
      </w:r>
      <w:r w:rsidR="004B74FC" w:rsidRPr="004B74FC">
        <w:rPr>
          <w:rFonts w:ascii="SimSun" w:eastAsia="SimSun" w:hAnsi="SimSun" w:cs="SimSun" w:hint="eastAsia"/>
        </w:rPr>
        <w:instrText>转全球生物多样性丧失对地球上的生命至关重要。</w:instrText>
      </w:r>
      <w:r w:rsidR="004B74FC" w:rsidRPr="004B74FC">
        <w:instrText>2022</w:instrText>
      </w:r>
      <w:r w:rsidR="004B74FC" w:rsidRPr="004B74FC">
        <w:rPr>
          <w:rFonts w:ascii="MS Mincho" w:eastAsia="MS Mincho" w:hAnsi="MS Mincho" w:cs="MS Mincho" w:hint="eastAsia"/>
        </w:rPr>
        <w:instrText>年</w:instrText>
      </w:r>
      <w:r w:rsidR="004B74FC" w:rsidRPr="004B74FC">
        <w:instrText xml:space="preserve">, </w:instrText>
      </w:r>
      <w:r w:rsidR="004B74FC" w:rsidRPr="004B74FC">
        <w:rPr>
          <w:rFonts w:ascii="MS Mincho" w:eastAsia="MS Mincho" w:hAnsi="MS Mincho" w:cs="MS Mincho" w:hint="eastAsia"/>
        </w:rPr>
        <w:instrText>《生物多</w:instrText>
      </w:r>
      <w:r w:rsidR="004B74FC" w:rsidRPr="004B74FC">
        <w:rPr>
          <w:rFonts w:ascii="SimSun" w:eastAsia="SimSun" w:hAnsi="SimSun" w:cs="SimSun" w:hint="eastAsia"/>
        </w:rPr>
        <w:instrText>样性公约》缔约方通过了《昆明</w:instrText>
      </w:r>
      <w:r w:rsidR="004B74FC" w:rsidRPr="004B74FC">
        <w:instrText>‐</w:instrText>
      </w:r>
      <w:r w:rsidR="004B74FC" w:rsidRPr="004B74FC">
        <w:rPr>
          <w:rFonts w:ascii="MS Mincho" w:eastAsia="MS Mincho" w:hAnsi="MS Mincho" w:cs="MS Mincho" w:hint="eastAsia"/>
        </w:rPr>
        <w:instrText>蒙特利</w:instrText>
      </w:r>
      <w:r w:rsidR="004B74FC" w:rsidRPr="004B74FC">
        <w:rPr>
          <w:rFonts w:ascii="Yu Gothic" w:eastAsia="Yu Gothic" w:hAnsi="Yu Gothic" w:cs="Yu Gothic" w:hint="eastAsia"/>
        </w:rPr>
        <w:instrText>尔全球生物多</w:instrText>
      </w:r>
      <w:r w:rsidR="004B74FC" w:rsidRPr="004B74FC">
        <w:rPr>
          <w:rFonts w:ascii="SimSun" w:eastAsia="SimSun" w:hAnsi="SimSun" w:cs="SimSun" w:hint="eastAsia"/>
        </w:rPr>
        <w:instrText>样性框架》</w:instrText>
      </w:r>
      <w:r w:rsidR="004B74FC" w:rsidRPr="004B74FC">
        <w:instrText xml:space="preserve">(GBF), </w:instrText>
      </w:r>
      <w:r w:rsidR="004B74FC" w:rsidRPr="004B74FC">
        <w:rPr>
          <w:rFonts w:ascii="SimSun" w:eastAsia="SimSun" w:hAnsi="SimSun" w:cs="SimSun" w:hint="eastAsia"/>
        </w:rPr>
        <w:instrText>这是一项战略计划</w:instrText>
      </w:r>
      <w:r w:rsidR="004B74FC" w:rsidRPr="004B74FC">
        <w:instrText xml:space="preserve">, </w:instrText>
      </w:r>
      <w:r w:rsidR="004B74FC" w:rsidRPr="004B74FC">
        <w:rPr>
          <w:rFonts w:ascii="MS Mincho" w:eastAsia="MS Mincho" w:hAnsi="MS Mincho" w:cs="MS Mincho" w:hint="eastAsia"/>
        </w:rPr>
        <w:instrText>包含</w:instrText>
      </w:r>
      <w:r w:rsidR="004B74FC" w:rsidRPr="004B74FC">
        <w:instrText>23</w:instrText>
      </w:r>
      <w:r w:rsidR="004B74FC" w:rsidRPr="004B74FC">
        <w:rPr>
          <w:rFonts w:ascii="MS Mincho" w:eastAsia="MS Mincho" w:hAnsi="MS Mincho" w:cs="MS Mincho" w:hint="eastAsia"/>
        </w:rPr>
        <w:instrText>个需在</w:instrText>
      </w:r>
      <w:r w:rsidR="004B74FC" w:rsidRPr="004B74FC">
        <w:instrText>2030</w:instrText>
      </w:r>
      <w:r w:rsidR="004B74FC" w:rsidRPr="004B74FC">
        <w:rPr>
          <w:rFonts w:ascii="MS Mincho" w:eastAsia="MS Mincho" w:hAnsi="MS Mincho" w:cs="MS Mincho" w:hint="eastAsia"/>
        </w:rPr>
        <w:instrText>年前</w:instrText>
      </w:r>
      <w:r w:rsidR="004B74FC" w:rsidRPr="004B74FC">
        <w:rPr>
          <w:rFonts w:ascii="SimSun" w:eastAsia="SimSun" w:hAnsi="SimSun" w:cs="SimSun" w:hint="eastAsia"/>
        </w:rPr>
        <w:instrText>实现的以行动为导向的目标。然而</w:instrText>
      </w:r>
      <w:r w:rsidR="004B74FC" w:rsidRPr="004B74FC">
        <w:instrText xml:space="preserve">, </w:instrText>
      </w:r>
      <w:r w:rsidR="004B74FC" w:rsidRPr="004B74FC">
        <w:rPr>
          <w:rFonts w:ascii="MS Mincho" w:eastAsia="MS Mincho" w:hAnsi="MS Mincho" w:cs="MS Mincho" w:hint="eastAsia"/>
        </w:rPr>
        <w:instrText>生物多</w:instrText>
      </w:r>
      <w:r w:rsidR="004B74FC" w:rsidRPr="004B74FC">
        <w:rPr>
          <w:rFonts w:ascii="SimSun" w:eastAsia="SimSun" w:hAnsi="SimSun" w:cs="SimSun" w:hint="eastAsia"/>
        </w:rPr>
        <w:instrText>样性行动需要付出直接与间接成本</w:instrText>
      </w:r>
      <w:r w:rsidR="004B74FC" w:rsidRPr="004B74FC">
        <w:instrText xml:space="preserve">, </w:instrText>
      </w:r>
      <w:r w:rsidR="004B74FC" w:rsidRPr="004B74FC">
        <w:rPr>
          <w:rFonts w:ascii="MS Mincho" w:eastAsia="MS Mincho" w:hAnsi="MS Mincho" w:cs="MS Mincho" w:hint="eastAsia"/>
        </w:rPr>
        <w:instrText>而</w:instrText>
      </w:r>
      <w:r w:rsidR="004B74FC" w:rsidRPr="004B74FC">
        <w:rPr>
          <w:rFonts w:ascii="SimSun" w:eastAsia="SimSun" w:hAnsi="SimSun" w:cs="SimSun" w:hint="eastAsia"/>
        </w:rPr>
        <w:instrText>这些成本在全球的分布并不均衡。此外</w:instrText>
      </w:r>
      <w:r w:rsidR="004B74FC" w:rsidRPr="004B74FC">
        <w:instrText xml:space="preserve">, </w:instrText>
      </w:r>
      <w:r w:rsidR="004B74FC" w:rsidRPr="004B74FC">
        <w:rPr>
          <w:rFonts w:ascii="MS Mincho" w:eastAsia="MS Mincho" w:hAnsi="MS Mincho" w:cs="MS Mincho" w:hint="eastAsia"/>
        </w:rPr>
        <w:instrText>《生物多</w:instrText>
      </w:r>
      <w:r w:rsidR="004B74FC" w:rsidRPr="004B74FC">
        <w:rPr>
          <w:rFonts w:ascii="SimSun" w:eastAsia="SimSun" w:hAnsi="SimSun" w:cs="SimSun" w:hint="eastAsia"/>
        </w:rPr>
        <w:instrText>样性公约》缔约方在承担这些成本的各个方面可能面临不同情况。虽然</w:instrText>
      </w:r>
      <w:r w:rsidR="004B74FC" w:rsidRPr="004B74FC">
        <w:instrText>GBF</w:instrText>
      </w:r>
      <w:r w:rsidR="004B74FC" w:rsidRPr="004B74FC">
        <w:rPr>
          <w:rFonts w:ascii="SimSun" w:eastAsia="SimSun" w:hAnsi="SimSun" w:cs="SimSun" w:hint="eastAsia"/>
        </w:rPr>
        <w:instrText>隐含地承认了缔约方对其实施负有共同但不一致的责任</w:instrText>
      </w:r>
      <w:r w:rsidR="004B74FC" w:rsidRPr="004B74FC">
        <w:instrText xml:space="preserve">, </w:instrText>
      </w:r>
      <w:r w:rsidR="004B74FC" w:rsidRPr="004B74FC">
        <w:rPr>
          <w:rFonts w:ascii="MS Mincho" w:eastAsia="MS Mincho" w:hAnsi="MS Mincho" w:cs="MS Mincho" w:hint="eastAsia"/>
        </w:rPr>
        <w:instrText>但</w:instrText>
      </w:r>
      <w:r w:rsidR="004B74FC" w:rsidRPr="004B74FC">
        <w:rPr>
          <w:rFonts w:ascii="SimSun" w:eastAsia="SimSun" w:hAnsi="SimSun" w:cs="SimSun" w:hint="eastAsia"/>
        </w:rPr>
        <w:instrText>这在实践中意味着什么却尚无定论。我们提出了一个分配公正框架</w:instrText>
      </w:r>
      <w:r w:rsidR="004B74FC" w:rsidRPr="004B74FC">
        <w:instrText xml:space="preserve">, </w:instrText>
      </w:r>
      <w:r w:rsidR="004B74FC" w:rsidRPr="004B74FC">
        <w:rPr>
          <w:rFonts w:ascii="MS Mincho" w:eastAsia="MS Mincho" w:hAnsi="MS Mincho" w:cs="MS Mincho" w:hint="eastAsia"/>
        </w:rPr>
        <w:instrText>以指</w:instrText>
      </w:r>
      <w:r w:rsidR="004B74FC" w:rsidRPr="004B74FC">
        <w:rPr>
          <w:rFonts w:ascii="SimSun" w:eastAsia="SimSun" w:hAnsi="SimSun" w:cs="SimSun" w:hint="eastAsia"/>
        </w:rPr>
        <w:instrText>导全球各国分担生物多样性行动的成本</w:instrText>
      </w:r>
      <w:r w:rsidR="004B74FC" w:rsidRPr="004B74FC">
        <w:instrText xml:space="preserve">, </w:instrText>
      </w:r>
      <w:r w:rsidR="004B74FC" w:rsidRPr="004B74FC">
        <w:rPr>
          <w:rFonts w:ascii="MS Mincho" w:eastAsia="MS Mincho" w:hAnsi="MS Mincho" w:cs="MS Mincho" w:hint="eastAsia"/>
        </w:rPr>
        <w:instrText>重点</w:instrText>
      </w:r>
      <w:r w:rsidR="004B74FC" w:rsidRPr="004B74FC">
        <w:rPr>
          <w:rFonts w:ascii="Yu Gothic" w:eastAsia="Yu Gothic" w:hAnsi="Yu Gothic" w:cs="Yu Gothic" w:hint="eastAsia"/>
        </w:rPr>
        <w:instrText>关注具体的目</w:instrText>
      </w:r>
      <w:r w:rsidR="004B74FC" w:rsidRPr="004B74FC">
        <w:rPr>
          <w:rFonts w:ascii="SimSun" w:eastAsia="SimSun" w:hAnsi="SimSun" w:cs="SimSun" w:hint="eastAsia"/>
        </w:rPr>
        <w:instrText>标。我们将规范</w:instrText>
      </w:r>
      <w:r w:rsidR="004B74FC" w:rsidRPr="004B74FC">
        <w:instrText>‐</w:instrText>
      </w:r>
      <w:r w:rsidR="004B74FC" w:rsidRPr="004B74FC">
        <w:rPr>
          <w:rFonts w:ascii="MS Mincho" w:eastAsia="MS Mincho" w:hAnsi="MS Mincho" w:cs="MS Mincho" w:hint="eastAsia"/>
        </w:rPr>
        <w:instrText>哲学正</w:instrText>
      </w:r>
      <w:r w:rsidR="004B74FC" w:rsidRPr="004B74FC">
        <w:rPr>
          <w:rFonts w:ascii="SimSun" w:eastAsia="SimSun" w:hAnsi="SimSun" w:cs="SimSun" w:hint="eastAsia"/>
        </w:rPr>
        <w:instrText>义研究中的</w:instrText>
      </w:r>
      <w:r w:rsidR="004B74FC" w:rsidRPr="004B74FC">
        <w:instrText>“</w:instrText>
      </w:r>
      <w:r w:rsidR="004B74FC" w:rsidRPr="004B74FC">
        <w:rPr>
          <w:rFonts w:ascii="SimSun" w:eastAsia="SimSun" w:hAnsi="SimSun" w:cs="SimSun" w:hint="eastAsia"/>
        </w:rPr>
        <w:instrText>贡献者付费</w:instrText>
      </w:r>
      <w:r w:rsidR="004B74FC" w:rsidRPr="004B74FC">
        <w:instrText>”</w:instrText>
      </w:r>
      <w:r w:rsidR="004B74FC" w:rsidRPr="004B74FC">
        <w:rPr>
          <w:rFonts w:ascii="MS Mincho" w:eastAsia="MS Mincho" w:hAnsi="MS Mincho" w:cs="MS Mincho" w:hint="eastAsia"/>
        </w:rPr>
        <w:instrText>、</w:instrText>
      </w:r>
      <w:r w:rsidR="004B74FC" w:rsidRPr="004B74FC">
        <w:instrText>“</w:instrText>
      </w:r>
      <w:r w:rsidR="004B74FC" w:rsidRPr="004B74FC">
        <w:rPr>
          <w:rFonts w:ascii="MS Mincho" w:eastAsia="MS Mincho" w:hAnsi="MS Mincho" w:cs="MS Mincho" w:hint="eastAsia"/>
        </w:rPr>
        <w:instrText>受益者付</w:instrText>
      </w:r>
      <w:r w:rsidR="004B74FC" w:rsidRPr="004B74FC">
        <w:rPr>
          <w:rFonts w:ascii="SimSun" w:eastAsia="SimSun" w:hAnsi="SimSun" w:cs="SimSun" w:hint="eastAsia"/>
        </w:rPr>
        <w:instrText>费</w:instrText>
      </w:r>
      <w:r w:rsidR="004B74FC" w:rsidRPr="004B74FC">
        <w:instrText>”</w:instrText>
      </w:r>
      <w:r w:rsidR="004B74FC" w:rsidRPr="004B74FC">
        <w:rPr>
          <w:rFonts w:ascii="MS Mincho" w:eastAsia="MS Mincho" w:hAnsi="MS Mincho" w:cs="MS Mincho" w:hint="eastAsia"/>
        </w:rPr>
        <w:instrText>和</w:instrText>
      </w:r>
      <w:r w:rsidR="004B74FC" w:rsidRPr="004B74FC">
        <w:instrText>“</w:instrText>
      </w:r>
      <w:r w:rsidR="004B74FC" w:rsidRPr="004B74FC">
        <w:rPr>
          <w:rFonts w:ascii="MS Mincho" w:eastAsia="MS Mincho" w:hAnsi="MS Mincho" w:cs="MS Mincho" w:hint="eastAsia"/>
        </w:rPr>
        <w:instrText>支付能力</w:instrText>
      </w:r>
      <w:r w:rsidR="004B74FC" w:rsidRPr="004B74FC">
        <w:instrText>”</w:instrText>
      </w:r>
      <w:r w:rsidR="004B74FC" w:rsidRPr="004B74FC">
        <w:rPr>
          <w:rFonts w:ascii="MS Mincho" w:eastAsia="MS Mincho" w:hAnsi="MS Mincho" w:cs="MS Mincho" w:hint="eastAsia"/>
        </w:rPr>
        <w:instrText>原</w:instrText>
      </w:r>
      <w:r w:rsidR="004B74FC" w:rsidRPr="004B74FC">
        <w:rPr>
          <w:rFonts w:ascii="SimSun" w:eastAsia="SimSun" w:hAnsi="SimSun" w:cs="SimSun" w:hint="eastAsia"/>
        </w:rPr>
        <w:instrText>则与不同国家生物多样性丧失趋势、资源开发收益和生计水平的经验信息相结合</w:instrText>
      </w:r>
      <w:r w:rsidR="004B74FC" w:rsidRPr="004B74FC">
        <w:instrText xml:space="preserve">, </w:instrText>
      </w:r>
      <w:r w:rsidR="004B74FC" w:rsidRPr="004B74FC">
        <w:rPr>
          <w:rFonts w:ascii="SimSun" w:eastAsia="SimSun" w:hAnsi="SimSun" w:cs="SimSun" w:hint="eastAsia"/>
        </w:rPr>
        <w:instrText>对全球生物多样性政策背景下的分配正义进行了独特且全面的阐述</w:instrText>
      </w:r>
      <w:r w:rsidR="004B74FC" w:rsidRPr="004B74FC">
        <w:instrText xml:space="preserve">, </w:instrText>
      </w:r>
      <w:r w:rsidR="004B74FC" w:rsidRPr="004B74FC">
        <w:rPr>
          <w:rFonts w:ascii="MS Mincho" w:eastAsia="MS Mincho" w:hAnsi="MS Mincho" w:cs="MS Mincho" w:hint="eastAsia"/>
        </w:rPr>
        <w:instrText>并明</w:instrText>
      </w:r>
      <w:r w:rsidR="004B74FC" w:rsidRPr="004B74FC">
        <w:rPr>
          <w:rFonts w:ascii="Yu Gothic" w:eastAsia="Yu Gothic" w:hAnsi="Yu Gothic" w:cs="Yu Gothic" w:hint="eastAsia"/>
        </w:rPr>
        <w:instrText>确了</w:instrText>
      </w:r>
      <w:r w:rsidR="004B74FC" w:rsidRPr="004B74FC">
        <w:rPr>
          <w:rFonts w:ascii="SimSun" w:eastAsia="SimSun" w:hAnsi="SimSun" w:cs="SimSun" w:hint="eastAsia"/>
        </w:rPr>
        <w:instrText>实施目标的意义。我们的框架表明</w:instrText>
      </w:r>
      <w:r w:rsidR="004B74FC" w:rsidRPr="004B74FC">
        <w:instrText xml:space="preserve">, </w:instrText>
      </w:r>
      <w:r w:rsidR="004B74FC" w:rsidRPr="004B74FC">
        <w:rPr>
          <w:rFonts w:ascii="MS Mincho" w:eastAsia="MS Mincho" w:hAnsi="MS Mincho" w:cs="MS Mincho" w:hint="eastAsia"/>
        </w:rPr>
        <w:instrText>高收入国家</w:instrText>
      </w:r>
      <w:r w:rsidR="004B74FC" w:rsidRPr="004B74FC">
        <w:rPr>
          <w:rFonts w:ascii="SimSun" w:eastAsia="SimSun" w:hAnsi="SimSun" w:cs="SimSun" w:hint="eastAsia"/>
        </w:rPr>
        <w:instrText>应为在国内和国际上实施</w:instrText>
      </w:r>
      <w:r w:rsidR="004B74FC" w:rsidRPr="004B74FC">
        <w:instrText>GBF</w:instrText>
      </w:r>
      <w:r w:rsidR="004B74FC" w:rsidRPr="004B74FC">
        <w:rPr>
          <w:rFonts w:ascii="MS Mincho" w:eastAsia="MS Mincho" w:hAnsi="MS Mincho" w:cs="MS Mincho" w:hint="eastAsia"/>
        </w:rPr>
        <w:instrText>目</w:instrText>
      </w:r>
      <w:r w:rsidR="004B74FC" w:rsidRPr="004B74FC">
        <w:rPr>
          <w:rFonts w:ascii="SimSun" w:eastAsia="SimSun" w:hAnsi="SimSun" w:cs="SimSun" w:hint="eastAsia"/>
        </w:rPr>
        <w:instrText>标提供大量财政资源。此外</w:instrText>
      </w:r>
      <w:r w:rsidR="004B74FC" w:rsidRPr="004B74FC">
        <w:instrText xml:space="preserve">, </w:instrText>
      </w:r>
      <w:r w:rsidR="004B74FC" w:rsidRPr="004B74FC">
        <w:rPr>
          <w:rFonts w:ascii="SimSun" w:eastAsia="SimSun" w:hAnsi="SimSun" w:cs="SimSun" w:hint="eastAsia"/>
        </w:rPr>
        <w:instrText>这些国家有非常高的道德义务来采取行动</w:instrText>
      </w:r>
      <w:r w:rsidR="004B74FC" w:rsidRPr="004B74FC">
        <w:instrText xml:space="preserve">, </w:instrText>
      </w:r>
      <w:r w:rsidR="004B74FC" w:rsidRPr="004B74FC">
        <w:rPr>
          <w:rFonts w:ascii="MS Mincho" w:eastAsia="MS Mincho" w:hAnsi="MS Mincho" w:cs="MS Mincho" w:hint="eastAsia"/>
        </w:rPr>
        <w:instrText>以</w:instrText>
      </w:r>
      <w:r w:rsidR="004B74FC" w:rsidRPr="004B74FC">
        <w:rPr>
          <w:rFonts w:ascii="Yu Gothic" w:eastAsia="Yu Gothic" w:hAnsi="Yu Gothic" w:cs="Yu Gothic" w:hint="eastAsia"/>
        </w:rPr>
        <w:instrText>减少</w:instrText>
      </w:r>
      <w:r w:rsidR="004B74FC" w:rsidRPr="004B74FC">
        <w:rPr>
          <w:rFonts w:ascii="SimSun" w:eastAsia="SimSun" w:hAnsi="SimSun" w:cs="SimSun" w:hint="eastAsia"/>
        </w:rPr>
        <w:instrText>对生物多样性的压力</w:instrText>
      </w:r>
      <w:r w:rsidR="004B74FC" w:rsidRPr="004B74FC">
        <w:instrText xml:space="preserve">, </w:instrText>
      </w:r>
      <w:r w:rsidR="004B74FC" w:rsidRPr="004B74FC">
        <w:rPr>
          <w:rFonts w:ascii="MS Mincho" w:eastAsia="MS Mincho" w:hAnsi="MS Mincho" w:cs="MS Mincho" w:hint="eastAsia"/>
        </w:rPr>
        <w:instrText>例如通</w:instrText>
      </w:r>
      <w:r w:rsidR="004B74FC" w:rsidRPr="004B74FC">
        <w:rPr>
          <w:rFonts w:ascii="SimSun" w:eastAsia="SimSun" w:hAnsi="SimSun" w:cs="SimSun" w:hint="eastAsia"/>
        </w:rPr>
        <w:instrText>过减少污染或改变消费模式。最近与</w:instrText>
      </w:r>
      <w:r w:rsidR="004B74FC" w:rsidRPr="004B74FC">
        <w:instrText>GBF</w:instrText>
      </w:r>
      <w:r w:rsidR="004B74FC" w:rsidRPr="004B74FC">
        <w:rPr>
          <w:rFonts w:ascii="MS Mincho" w:eastAsia="MS Mincho" w:hAnsi="MS Mincho" w:cs="MS Mincho" w:hint="eastAsia"/>
        </w:rPr>
        <w:instrText>的</w:instrText>
      </w:r>
      <w:r w:rsidR="004B74FC" w:rsidRPr="004B74FC">
        <w:rPr>
          <w:rFonts w:ascii="SimSun" w:eastAsia="SimSun" w:hAnsi="SimSun" w:cs="SimSun" w:hint="eastAsia"/>
        </w:rPr>
        <w:instrText>资金、规划、监测、报告和审查结构相关的制度创新为其公正实施带来了希望</w:instrText>
      </w:r>
      <w:r w:rsidR="004B74FC" w:rsidRPr="004B74FC">
        <w:instrText xml:space="preserve">, </w:instrText>
      </w:r>
      <w:r w:rsidR="004B74FC" w:rsidRPr="004B74FC">
        <w:rPr>
          <w:rFonts w:ascii="MS Mincho" w:eastAsia="MS Mincho" w:hAnsi="MS Mincho" w:cs="MS Mincho" w:hint="eastAsia"/>
        </w:rPr>
        <w:instrText>而其成功与否最</w:instrText>
      </w:r>
      <w:r w:rsidR="004B74FC" w:rsidRPr="004B74FC">
        <w:rPr>
          <w:rFonts w:ascii="SimSun" w:eastAsia="SimSun" w:hAnsi="SimSun" w:cs="SimSun" w:hint="eastAsia"/>
        </w:rPr>
        <w:instrText>终</w:instrText>
      </w:r>
      <w:r w:rsidR="004B74FC" w:rsidRPr="004B74FC">
        <w:rPr>
          <w:rFonts w:ascii="MS Mincho" w:eastAsia="MS Mincho" w:hAnsi="MS Mincho" w:cs="MS Mincho" w:hint="eastAsia"/>
        </w:rPr>
        <w:instrText>取决于各个</w:instrText>
      </w:r>
      <w:r w:rsidR="004B74FC" w:rsidRPr="004B74FC">
        <w:rPr>
          <w:rFonts w:ascii="SimSun" w:eastAsia="SimSun" w:hAnsi="SimSun" w:cs="SimSun" w:hint="eastAsia"/>
        </w:rPr>
        <w:instrText>缔约方的政治意愿。</w:instrText>
      </w:r>
      <w:r w:rsidR="004B74FC" w:rsidRPr="004B74FC">
        <w:instrText xml:space="preserve">\n              </w:instrText>
      </w:r>
      <w:r w:rsidR="004B74FC" w:rsidRPr="004B74FC">
        <w:rPr>
          <w:rFonts w:ascii="MS Mincho" w:eastAsia="MS Mincho" w:hAnsi="MS Mincho" w:cs="MS Mincho" w:hint="eastAsia"/>
        </w:rPr>
        <w:instrText>【翻</w:instrText>
      </w:r>
      <w:r w:rsidR="004B74FC" w:rsidRPr="004B74FC">
        <w:rPr>
          <w:rFonts w:ascii="SimSun" w:eastAsia="SimSun" w:hAnsi="SimSun" w:cs="SimSun" w:hint="eastAsia"/>
        </w:rPr>
        <w:instrText>译</w:instrText>
      </w:r>
      <w:r w:rsidR="004B74FC" w:rsidRPr="004B74FC">
        <w:instrText>:</w:instrText>
      </w:r>
      <w:r w:rsidR="004B74FC" w:rsidRPr="004B74FC">
        <w:rPr>
          <w:rFonts w:ascii="MS Mincho" w:eastAsia="MS Mincho" w:hAnsi="MS Mincho" w:cs="MS Mincho" w:hint="eastAsia"/>
        </w:rPr>
        <w:instrText>胡怡思</w:instrText>
      </w:r>
      <w:r w:rsidR="004B74FC" w:rsidRPr="004B74FC">
        <w:instrText>;</w:instrText>
      </w:r>
      <w:r w:rsidR="004B74FC" w:rsidRPr="004B74FC">
        <w:rPr>
          <w:rFonts w:ascii="SimSun" w:eastAsia="SimSun" w:hAnsi="SimSun" w:cs="SimSun" w:hint="eastAsia"/>
        </w:rPr>
        <w:instrText>审校</w:instrText>
      </w:r>
      <w:r w:rsidR="004B74FC" w:rsidRPr="004B74FC">
        <w:instrText>:</w:instrText>
      </w:r>
      <w:r w:rsidR="004B74FC" w:rsidRPr="004B74FC">
        <w:rPr>
          <w:rFonts w:ascii="SimSun" w:eastAsia="SimSun" w:hAnsi="SimSun" w:cs="SimSun" w:hint="eastAsia"/>
        </w:rPr>
        <w:instrText>聂永刚】</w:instrText>
      </w:r>
      <w:r w:rsidR="004B74FC" w:rsidRPr="004B74FC">
        <w:instrText xml:space="preserve">","container-title":"Conservation Biology","DOI":"10.1111/cobi.70167","ISSN":"0888-8892, 1523-1739","issue":"1","journalAbbreviation":"Conservation Biology","language":"en","page":"e70167","source":"DOI.org (Crossref)","title":"Implications of global distributive justice principles for implementation of the Kunming‐Montreal Global Biodiversity Framework","volume":"40","author":[{"family":"Lehmann","given":"Ina"},{"family":"Kok","given":"Marcel"},{"family":"Immerzeel","given":"Roos"},{"family":"Marques","given":"Alexandra"}],"issued":{"date-parts":[["2025"]]}}}],"schema":"https://github.com/citation-style-language/schema/raw/master/csl-citation.json"} </w:instrText>
      </w:r>
      <w:r w:rsidR="007E65E3" w:rsidRPr="004B74FC">
        <w:fldChar w:fldCharType="separate"/>
      </w:r>
      <w:r w:rsidR="004B74FC" w:rsidRPr="004B74FC">
        <w:t>(Lehmann et al., 2025)</w:t>
      </w:r>
      <w:r w:rsidR="007E65E3" w:rsidRPr="004B74FC">
        <w:fldChar w:fldCharType="end"/>
      </w:r>
      <w:r w:rsidRPr="004B74FC">
        <w:t>.</w:t>
      </w:r>
      <w:r w:rsidRPr="007E65E3">
        <w:t xml:space="preserve"> Its 23 action-oriented targets include the 30x30 goal, </w:t>
      </w:r>
      <w:r w:rsidR="006E5431" w:rsidRPr="006E5431">
        <w:t>which says that those who sign it must protect and preserve at least 30% of the world's land, freshwater, and ocean areas by 2030.</w:t>
      </w:r>
      <w:r w:rsidR="006E5431">
        <w:t xml:space="preserve"> </w:t>
      </w:r>
      <w:r>
        <w:t xml:space="preserve">Hughes and Grumbine </w:t>
      </w:r>
      <w:r>
        <w:fldChar w:fldCharType="begin"/>
      </w:r>
      <w:r>
        <w:instrText xml:space="preserve"> ADDIN ZOTERO_ITEM CSL_CITATION {"citationID":"ih7Fpwfu","properties":{"unsorted":false,"formattedCitation":"(2023)","plainCitation":"(2023)","noteIndex":0},"citationItems":[{"id":133,"uris":["http://zotero.org/users/11719957/items/S2RK733Q"],"itemData":{"id":133,"type":"article-journal","abstract":"The Kunming-Montreal Global Biodiversity Framework (GBF) marks one of the most ambitious environmental agreements of the 21st century. Yet despite the ambition, and the considerable change in approach since negotiating its predecessor (the 2025 Vision and Aichi targets), the many pressures, including working through a global pandemic mean that the final agreement, despite several years of delay, is weaker than might have been hoped for. The GBF provides a set of four goals, composed of 23 targets (and a series of supporting annexes) which explore the options for conservation, restoration and sustainable use of biodiversity, and the mobilisation of necessary resources to maintain life on Earth. In this perspective we systematically examine the composition of the GBF, exploring what the targets lack and what weaknesses exist in text. We also detail the link between the targets and the key indicators which can be used to track success toward fulfilling the targets. We offer key recommendations which could help strengthen the application of various targets, and show where the indicators could be improved to provide more detailed information to monitor progress. Furthermore, we discuss the association between targets and their indicators, and detail where indicators may lack the necessary temporal resolution or other elements. Finally, we discuss how various actors might better prepare for the successor to the GBF in 2030 and what has been learnt about the negotiating process, including lessons to help ensure that future agreements can circumnavigate issues which may have weakened the agreement.","container-title":"Frontiers in Environmental Science","DOI":"10.3389/fenvs.2023.1281536","ISSN":"2296-665X","journalAbbreviation":"Front. Environ. Sci.","page":"1281536","source":"DOI.org (Crossref)","title":"The Kunming-Montreal Global Biodiversity Framework: what it does and does not do, and how to improve it","title-short":"The Kunming-Montreal Global Biodiversity Framework","volume":"11","author":[{"family":"Hughes","given":"Alice C."},{"family":"Grumbine","given":"R. Edward"}],"issued":{"date-parts":[["2023",11,6]]}},"suppress-author":true}],"schema":"https://github.com/citation-style-language/schema/raw/master/csl-citation.json"} </w:instrText>
      </w:r>
      <w:r>
        <w:fldChar w:fldCharType="separate"/>
      </w:r>
      <w:r w:rsidRPr="00B431F1">
        <w:t>(2023)</w:t>
      </w:r>
      <w:r>
        <w:fldChar w:fldCharType="end"/>
      </w:r>
      <w:r>
        <w:t xml:space="preserve"> note, however, that the final text of the GBF is weaker than anticipated, with several critical indicators failing to achieve headline monitoring status and long-standing financial inequities between the Global North and Global South remaining inadequately resolved. The United Nations Sustainable Development Goal 15, Life on Land, provides a further governance layer, calling for the protection, restoration, and sustainable use of terrestrial ecosystems and the halting of biodiversity loss by 2020, a target that was not met </w:t>
      </w:r>
      <w:r>
        <w:fldChar w:fldCharType="begin"/>
      </w:r>
      <w:r>
        <w:instrText xml:space="preserve"> ADDIN ZOTERO_ITEM CSL_CITATION {"citationID":"ppIW1aVp","properties":{"unsorted":false,"formattedCitation":"(UN, 2015)","plainCitation":"(UN, 2015)","noteIndex":0},"citationItems":[{"id":137,"uris":["http://zotero.org/users/11719957/items/PSNENPQR"],"itemData":{"id":137,"type":"report","title":"Transforming our World: The 2030 Agenda for Sustainable Development","URL":"https://sdgs.un.org/2030agenda","author":[{"literal":"UN"}],"accessed":{"date-parts":[["2026",4,27]]},"issued":{"date-parts":[["2015"]]}}}],"schema":"https://github.com/citation-style-language/schema/raw/master/csl-citation.json"} </w:instrText>
      </w:r>
      <w:r>
        <w:fldChar w:fldCharType="separate"/>
      </w:r>
      <w:r w:rsidRPr="00612015">
        <w:t>(UN, 2015)</w:t>
      </w:r>
      <w:r>
        <w:fldChar w:fldCharType="end"/>
      </w:r>
      <w:r>
        <w:t>. Table 1 below summarises the key international treaties and frameworks governing forests and biodiversity under the COP process.</w:t>
      </w:r>
    </w:p>
    <w:p w14:paraId="6C29E3D1" w14:textId="77777777" w:rsidR="00106979" w:rsidRPr="00501265" w:rsidRDefault="00106979" w:rsidP="00106979">
      <w:pPr>
        <w:pStyle w:val="Caption"/>
        <w:keepNext/>
        <w:jc w:val="center"/>
        <w:rPr>
          <w:i w:val="0"/>
          <w:iCs w:val="0"/>
          <w:color w:val="auto"/>
          <w:sz w:val="22"/>
        </w:rPr>
      </w:pPr>
      <w:bookmarkStart w:id="10" w:name="_Toc228278424"/>
      <w:r w:rsidRPr="00501265">
        <w:rPr>
          <w:i w:val="0"/>
          <w:iCs w:val="0"/>
          <w:color w:val="auto"/>
          <w:sz w:val="22"/>
        </w:rPr>
        <w:t xml:space="preserve">Table </w:t>
      </w:r>
      <w:r w:rsidRPr="00501265">
        <w:rPr>
          <w:i w:val="0"/>
          <w:iCs w:val="0"/>
          <w:color w:val="auto"/>
          <w:sz w:val="22"/>
        </w:rPr>
        <w:fldChar w:fldCharType="begin"/>
      </w:r>
      <w:r w:rsidRPr="00501265">
        <w:rPr>
          <w:i w:val="0"/>
          <w:iCs w:val="0"/>
          <w:color w:val="auto"/>
          <w:sz w:val="22"/>
        </w:rPr>
        <w:instrText xml:space="preserve"> SEQ Table \* ARABIC </w:instrText>
      </w:r>
      <w:r w:rsidRPr="00501265">
        <w:rPr>
          <w:i w:val="0"/>
          <w:iCs w:val="0"/>
          <w:color w:val="auto"/>
          <w:sz w:val="22"/>
        </w:rPr>
        <w:fldChar w:fldCharType="separate"/>
      </w:r>
      <w:r w:rsidRPr="00501265">
        <w:rPr>
          <w:i w:val="0"/>
          <w:iCs w:val="0"/>
          <w:noProof/>
          <w:color w:val="auto"/>
          <w:sz w:val="22"/>
        </w:rPr>
        <w:t>1</w:t>
      </w:r>
      <w:r w:rsidRPr="00501265">
        <w:rPr>
          <w:i w:val="0"/>
          <w:iCs w:val="0"/>
          <w:color w:val="auto"/>
          <w:sz w:val="22"/>
        </w:rPr>
        <w:fldChar w:fldCharType="end"/>
      </w:r>
      <w:r w:rsidRPr="00501265">
        <w:rPr>
          <w:i w:val="0"/>
          <w:iCs w:val="0"/>
          <w:color w:val="auto"/>
          <w:sz w:val="22"/>
        </w:rPr>
        <w:t>: Key international treaties and frameworks governing forests and biodiversity under the COP process</w:t>
      </w:r>
      <w:bookmarkEnd w:id="10"/>
    </w:p>
    <w:tbl>
      <w:tblPr>
        <w:tblW w:w="8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5"/>
        <w:gridCol w:w="1273"/>
        <w:gridCol w:w="5117"/>
      </w:tblGrid>
      <w:tr w:rsidR="00106979" w14:paraId="193E81FF"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E15BFD7" w14:textId="77777777" w:rsidR="00106979" w:rsidRDefault="00106979" w:rsidP="009309B4">
            <w:pPr>
              <w:spacing w:line="280" w:lineRule="auto"/>
            </w:pPr>
            <w:r>
              <w:rPr>
                <w:b/>
                <w:bCs/>
                <w:sz w:val="22"/>
                <w:szCs w:val="22"/>
              </w:rPr>
              <w:t>Framework</w:t>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36D58C6" w14:textId="77777777" w:rsidR="00106979" w:rsidRDefault="00106979" w:rsidP="009309B4">
            <w:pPr>
              <w:spacing w:line="280" w:lineRule="auto"/>
            </w:pPr>
            <w:r>
              <w:rPr>
                <w:b/>
                <w:bCs/>
                <w:sz w:val="22"/>
                <w:szCs w:val="22"/>
              </w:rPr>
              <w:t>Legal status</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4F36A36" w14:textId="77777777" w:rsidR="00106979" w:rsidRDefault="00106979" w:rsidP="009309B4">
            <w:pPr>
              <w:spacing w:line="280" w:lineRule="auto"/>
            </w:pPr>
            <w:r>
              <w:rPr>
                <w:b/>
                <w:bCs/>
                <w:sz w:val="22"/>
                <w:szCs w:val="22"/>
              </w:rPr>
              <w:t>Primary forest and biodiversity commitment</w:t>
            </w:r>
          </w:p>
        </w:tc>
      </w:tr>
      <w:tr w:rsidR="00106979" w14:paraId="03C7D9CE"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E0DC817" w14:textId="77777777" w:rsidR="00106979" w:rsidRDefault="00106979" w:rsidP="009309B4">
            <w:pPr>
              <w:spacing w:line="280" w:lineRule="auto"/>
            </w:pPr>
            <w:r>
              <w:rPr>
                <w:sz w:val="20"/>
                <w:szCs w:val="20"/>
              </w:rPr>
              <w:t xml:space="preserve">Convention on Biological Diversity </w:t>
            </w:r>
            <w:r>
              <w:rPr>
                <w:sz w:val="20"/>
                <w:szCs w:val="20"/>
              </w:rPr>
              <w:fldChar w:fldCharType="begin"/>
            </w:r>
            <w:r>
              <w:rPr>
                <w:sz w:val="20"/>
                <w:szCs w:val="20"/>
              </w:rPr>
              <w:instrText xml:space="preserve"> ADDIN ZOTERO_ITEM CSL_CITATION {"citationID":"lWDdfQ5B","properties":{"unsorted":false,"formattedCitation":"(CBD, 1992)","plainCitation":"(CBD, 1992)","noteIndex":0},"citationItems":[{"id":135,"uris":["http://zotero.org/users/11719957/items/QCNCKU35"],"itemData":{"id":135,"type":"book","publisher":"United Nations","title":"Convention on Biological Diversity","URL":"https://treaties.un.org/doc/Treaties/1992/06/19920605%2008-44%20PM/Ch_XXVII_08p.pdf","volume":"2","author":[{"literal":"CBD"}],"accessed":{"date-parts":[["2026",4,27]]},"issued":{"date-parts":[["1992"]]}}}],"schema":"https://github.com/citation-style-language/schema/raw/master/csl-citation.json"} </w:instrText>
            </w:r>
            <w:r>
              <w:rPr>
                <w:sz w:val="20"/>
                <w:szCs w:val="20"/>
              </w:rPr>
              <w:fldChar w:fldCharType="separate"/>
            </w:r>
            <w:r w:rsidRPr="00612015">
              <w:rPr>
                <w:sz w:val="20"/>
              </w:rPr>
              <w:t>(CBD, 1992)</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1C1D387"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3DCAC39" w14:textId="4A29BCB5" w:rsidR="00106979" w:rsidRPr="0088762F" w:rsidRDefault="0088762F" w:rsidP="009309B4">
            <w:pPr>
              <w:spacing w:line="280" w:lineRule="auto"/>
              <w:rPr>
                <w:sz w:val="20"/>
                <w:szCs w:val="20"/>
              </w:rPr>
            </w:pPr>
            <w:r w:rsidRPr="0088762F">
              <w:rPr>
                <w:sz w:val="20"/>
                <w:szCs w:val="20"/>
              </w:rPr>
              <w:t>Biodiversity conservation and sustainable use; fair sharing of the advantages of genetic resources.</w:t>
            </w:r>
          </w:p>
        </w:tc>
      </w:tr>
      <w:tr w:rsidR="00106979" w14:paraId="44CF3DC9"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FB782C" w14:textId="77777777" w:rsidR="00106979" w:rsidRDefault="00106979" w:rsidP="009309B4">
            <w:pPr>
              <w:spacing w:line="280" w:lineRule="auto"/>
            </w:pPr>
            <w:r>
              <w:rPr>
                <w:sz w:val="20"/>
                <w:szCs w:val="20"/>
              </w:rPr>
              <w:t xml:space="preserve">UN Framework Convention on Climate Change </w:t>
            </w:r>
            <w:r>
              <w:rPr>
                <w:sz w:val="20"/>
                <w:szCs w:val="20"/>
              </w:rPr>
              <w:fldChar w:fldCharType="begin"/>
            </w:r>
            <w:r>
              <w:rPr>
                <w:sz w:val="20"/>
                <w:szCs w:val="20"/>
              </w:rPr>
              <w:instrText xml:space="preserve"> ADDIN ZOTERO_ITEM CSL_CITATION {"citationID":"0Gg1CnII","properties":{"unsorted":false,"formattedCitation":"(UNFCCC, 1992)","plainCitation":"(UNFCCC, 1992)","noteIndex":0},"citationItems":[{"id":139,"uris":["http://zotero.org/users/11719957/items/KFK7FF4L"],"itemData":{"id":139,"type":"report","language":"en","title":"United Nations Framework Convention on Climate Change","URL":"https://unfccc.int/resource/docs/convkp/conveng.pdf","author":[{"literal":"UNFCCC"}],"accessed":{"date-parts":[["2026",4,27]]},"issued":{"date-parts":[["1992"]]}}}],"schema":"https://github.com/citation-style-language/schema/raw/master/csl-citation.json"} </w:instrText>
            </w:r>
            <w:r>
              <w:rPr>
                <w:sz w:val="20"/>
                <w:szCs w:val="20"/>
              </w:rPr>
              <w:fldChar w:fldCharType="separate"/>
            </w:r>
            <w:r w:rsidRPr="00D31A0E">
              <w:rPr>
                <w:sz w:val="20"/>
              </w:rPr>
              <w:t>(UNFCCC, 1992)</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E3DFCA2"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B11CC17" w14:textId="77777777" w:rsidR="00106979" w:rsidRDefault="00106979" w:rsidP="009309B4">
            <w:pPr>
              <w:spacing w:line="280" w:lineRule="auto"/>
            </w:pPr>
            <w:r>
              <w:rPr>
                <w:sz w:val="20"/>
                <w:szCs w:val="20"/>
              </w:rPr>
              <w:t>Stabilisation of greenhouse gas concentrations; forests recognised as carbon sinks and sources</w:t>
            </w:r>
          </w:p>
        </w:tc>
      </w:tr>
      <w:tr w:rsidR="00106979" w14:paraId="683852AA"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D822108" w14:textId="77777777" w:rsidR="00106979" w:rsidRDefault="00106979" w:rsidP="009309B4">
            <w:pPr>
              <w:spacing w:line="280" w:lineRule="auto"/>
            </w:pPr>
            <w:r>
              <w:rPr>
                <w:sz w:val="20"/>
                <w:szCs w:val="20"/>
              </w:rPr>
              <w:t xml:space="preserve">Kyoto Protocol (COP 3) </w:t>
            </w:r>
            <w:r>
              <w:rPr>
                <w:sz w:val="20"/>
                <w:szCs w:val="20"/>
              </w:rPr>
              <w:fldChar w:fldCharType="begin"/>
            </w:r>
            <w:r>
              <w:rPr>
                <w:sz w:val="20"/>
                <w:szCs w:val="20"/>
              </w:rPr>
              <w:instrText xml:space="preserve"> ADDIN ZOTERO_ITEM CSL_CITATION {"citationID":"rdqmb0E6","properties":{"unsorted":false,"formattedCitation":"(UNFCCC, 1998)","plainCitation":"(UNFCCC, 1998)","noteIndex":0},"citationItems":[{"id":140,"uris":["http://zotero.org/users/11719957/items/WRXJ6U6U"],"itemData":{"id":140,"type":"report","language":"en","title":"Kyoto Protocol to the United Nations Framework Convention on Climate Change","URL":"https://unfccc.int/resource/docs/convkp/kpeng.pdf","author":[{"literal":"UNFCCC"}],"accessed":{"date-parts":[["2026",4,27]]},"issued":{"date-parts":[["1998"]]}}}],"schema":"https://github.com/citation-style-language/schema/raw/master/csl-citation.json"} </w:instrText>
            </w:r>
            <w:r>
              <w:rPr>
                <w:sz w:val="20"/>
                <w:szCs w:val="20"/>
              </w:rPr>
              <w:fldChar w:fldCharType="separate"/>
            </w:r>
            <w:r w:rsidRPr="00D31A0E">
              <w:rPr>
                <w:sz w:val="20"/>
              </w:rPr>
              <w:t>(UNFCCC, 1998)</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43A2804"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61E01D0" w14:textId="77777777" w:rsidR="00106979" w:rsidRDefault="00106979" w:rsidP="009309B4">
            <w:pPr>
              <w:spacing w:line="280" w:lineRule="auto"/>
            </w:pPr>
            <w:r>
              <w:rPr>
                <w:sz w:val="20"/>
                <w:szCs w:val="20"/>
              </w:rPr>
              <w:t>Binding emission reduction targets for Annex I parties; forests incorporated as carbon sinks under Articles 3.3 and 3.4 via LULUCF</w:t>
            </w:r>
          </w:p>
        </w:tc>
      </w:tr>
      <w:tr w:rsidR="00106979" w14:paraId="1E636A4D"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3C8363F" w14:textId="77777777" w:rsidR="00106979" w:rsidRDefault="00106979" w:rsidP="009309B4">
            <w:pPr>
              <w:spacing w:line="280" w:lineRule="auto"/>
            </w:pPr>
            <w:r>
              <w:rPr>
                <w:sz w:val="20"/>
                <w:szCs w:val="20"/>
              </w:rPr>
              <w:t xml:space="preserve">Bali Action Plan (COP 13)  </w:t>
            </w:r>
            <w:r>
              <w:rPr>
                <w:sz w:val="20"/>
                <w:szCs w:val="20"/>
              </w:rPr>
              <w:fldChar w:fldCharType="begin"/>
            </w:r>
            <w:r>
              <w:rPr>
                <w:sz w:val="20"/>
                <w:szCs w:val="20"/>
              </w:rPr>
              <w:instrText xml:space="preserve"> ADDIN ZOTERO_ITEM CSL_CITATION {"citationID":"KA2RI6yD","properties":{"unsorted":false,"formattedCitation":"(UNFCCC, 2008)","plainCitation":"(UNFCCC, 2008)","noteIndex":0},"citationItems":[{"id":141,"uris":["http://zotero.org/users/11719957/items/I4KWJNIK"],"itemData":{"id":141,"type":"report","language":"en","publisher-place":"Bali","title":"Report of the Conference of the Parties on its Thirteenth Session","URL":"https://unfccc.int/resource/docs/2007/cop13/eng/06a01.pdf","author":[{"literal":"UNFCCC"}],"accessed":{"date-parts":[["2026",4,27]]},"issued":{"date-parts":[["2008"]]}}}],"schema":"https://github.com/citation-style-language/schema/raw/master/csl-citation.json"} </w:instrText>
            </w:r>
            <w:r>
              <w:rPr>
                <w:sz w:val="20"/>
                <w:szCs w:val="20"/>
              </w:rPr>
              <w:fldChar w:fldCharType="separate"/>
            </w:r>
            <w:r w:rsidRPr="00D31A0E">
              <w:rPr>
                <w:sz w:val="20"/>
              </w:rPr>
              <w:t>(UNFCCC, 2008)</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2D5FDB5" w14:textId="77777777" w:rsidR="00106979" w:rsidRDefault="00106979" w:rsidP="009309B4">
            <w:pPr>
              <w:spacing w:line="280" w:lineRule="auto"/>
            </w:pPr>
            <w:r>
              <w:rPr>
                <w:sz w:val="20"/>
                <w:szCs w:val="20"/>
              </w:rPr>
              <w:t>Decision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672D508" w14:textId="7F2322D2" w:rsidR="00106979" w:rsidRPr="00565176" w:rsidRDefault="00565176" w:rsidP="009309B4">
            <w:pPr>
              <w:spacing w:line="280" w:lineRule="auto"/>
              <w:rPr>
                <w:sz w:val="20"/>
                <w:szCs w:val="20"/>
              </w:rPr>
            </w:pPr>
            <w:r w:rsidRPr="00565176">
              <w:rPr>
                <w:sz w:val="20"/>
                <w:szCs w:val="20"/>
              </w:rPr>
              <w:t>REDD+'s official launch as a strategy to lower emissions from deforestation in developing nations</w:t>
            </w:r>
          </w:p>
        </w:tc>
      </w:tr>
      <w:tr w:rsidR="00106979" w14:paraId="3F220DA8"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6F1D001" w14:textId="77777777" w:rsidR="00106979" w:rsidRDefault="00106979" w:rsidP="009309B4">
            <w:pPr>
              <w:spacing w:line="280" w:lineRule="auto"/>
            </w:pPr>
            <w:r>
              <w:rPr>
                <w:sz w:val="20"/>
                <w:szCs w:val="20"/>
              </w:rPr>
              <w:t xml:space="preserve">Cancun Agreements (COP 16) </w:t>
            </w:r>
            <w:r>
              <w:rPr>
                <w:sz w:val="20"/>
                <w:szCs w:val="20"/>
              </w:rPr>
              <w:fldChar w:fldCharType="begin"/>
            </w:r>
            <w:r>
              <w:rPr>
                <w:sz w:val="20"/>
                <w:szCs w:val="20"/>
              </w:rPr>
              <w:instrText xml:space="preserve"> ADDIN ZOTERO_ITEM CSL_CITATION {"citationID":"KrFK1vEU","properties":{"unsorted":false,"formattedCitation":"(UNFCCC, 2011)","plainCitation":"(UNFCCC, 2011)","noteIndex":0},"citationItems":[{"id":142,"uris":["http://zotero.org/users/11719957/items/8GEE5D9V"],"itemData":{"id":142,"type":"report","language":"en","publisher-place":"Cancun","title":"Report of the Conference of the Parties on its Sixteenth Session","URL":"https://unfccc.int/sites/default/files/resource/docs/2010/cop16/eng/07.pdf","author":[{"literal":"UNFCCC"}],"accessed":{"date-parts":[["2026",4,27]]},"issued":{"date-parts":[["2011"]]}}}],"schema":"https://github.com/citation-style-language/schema/raw/master/csl-citation.json"} </w:instrText>
            </w:r>
            <w:r>
              <w:rPr>
                <w:sz w:val="20"/>
                <w:szCs w:val="20"/>
              </w:rPr>
              <w:fldChar w:fldCharType="separate"/>
            </w:r>
            <w:r w:rsidRPr="00D31A0E">
              <w:rPr>
                <w:sz w:val="20"/>
              </w:rPr>
              <w:t>(UNFCCC, 2011)</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5C5B3DE" w14:textId="77777777" w:rsidR="00106979" w:rsidRDefault="00106979" w:rsidP="009309B4">
            <w:pPr>
              <w:spacing w:line="280" w:lineRule="auto"/>
            </w:pPr>
            <w:r>
              <w:rPr>
                <w:sz w:val="20"/>
                <w:szCs w:val="20"/>
              </w:rPr>
              <w:t>Decision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C922F00" w14:textId="77777777" w:rsidR="00106979" w:rsidRDefault="00106979" w:rsidP="009309B4">
            <w:pPr>
              <w:spacing w:line="280" w:lineRule="auto"/>
            </w:pPr>
            <w:r>
              <w:rPr>
                <w:sz w:val="20"/>
                <w:szCs w:val="20"/>
              </w:rPr>
              <w:t>REDD+ safeguards adopted, encompassing indigenous rights, biodiversity protections, and governance standards</w:t>
            </w:r>
          </w:p>
        </w:tc>
      </w:tr>
      <w:tr w:rsidR="00106979" w14:paraId="5A2DF70C"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872CD36" w14:textId="77777777" w:rsidR="00106979" w:rsidRDefault="00106979" w:rsidP="009309B4">
            <w:pPr>
              <w:spacing w:line="280" w:lineRule="auto"/>
            </w:pPr>
            <w:r>
              <w:rPr>
                <w:sz w:val="20"/>
                <w:szCs w:val="20"/>
              </w:rPr>
              <w:t xml:space="preserve">Warsaw Framework for REDD+ (COP 19)  </w:t>
            </w:r>
            <w:r>
              <w:rPr>
                <w:sz w:val="20"/>
                <w:szCs w:val="20"/>
              </w:rPr>
              <w:fldChar w:fldCharType="begin"/>
            </w:r>
            <w:r>
              <w:rPr>
                <w:sz w:val="20"/>
                <w:szCs w:val="20"/>
              </w:rPr>
              <w:instrText xml:space="preserve"> ADDIN ZOTERO_ITEM CSL_CITATION {"citationID":"jS9VLKHG","properties":{"unsorted":false,"formattedCitation":"(UNFCCC, 2014)","plainCitation":"(UNFCCC, 2014)","noteIndex":0},"citationItems":[{"id":143,"uris":["http://zotero.org/users/11719957/items/6F2A3YPY"],"itemData":{"id":143,"type":"report","language":"en","publisher-place":"Warsaw","title":"Report of the Conference of the Parties on its 19th session","URL":"https://unfccc.int/resource/docs/2013/cop19/eng/10a01.pdf","author":[{"literal":"UNFCCC"}],"accessed":{"date-parts":[["2026",4,27]]},"issued":{"date-parts":[["2014"]]}}}],"schema":"https://github.com/citation-style-language/schema/raw/master/csl-citation.json"} </w:instrText>
            </w:r>
            <w:r>
              <w:rPr>
                <w:sz w:val="20"/>
                <w:szCs w:val="20"/>
              </w:rPr>
              <w:fldChar w:fldCharType="separate"/>
            </w:r>
            <w:r w:rsidRPr="00D31A0E">
              <w:rPr>
                <w:sz w:val="20"/>
              </w:rPr>
              <w:t>(UNFCCC, 2014)</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73748AB" w14:textId="77777777" w:rsidR="00106979" w:rsidRDefault="00106979" w:rsidP="009309B4">
            <w:pPr>
              <w:spacing w:line="280" w:lineRule="auto"/>
            </w:pPr>
            <w:r>
              <w:rPr>
                <w:sz w:val="20"/>
                <w:szCs w:val="20"/>
              </w:rPr>
              <w:t>Decision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EEB7680" w14:textId="77777777" w:rsidR="00106979" w:rsidRDefault="00106979" w:rsidP="009309B4">
            <w:pPr>
              <w:spacing w:line="280" w:lineRule="auto"/>
            </w:pPr>
            <w:r>
              <w:rPr>
                <w:sz w:val="20"/>
                <w:szCs w:val="20"/>
              </w:rPr>
              <w:t>Established institutional architecture for national REDD+ programmes and results-based payment reporting</w:t>
            </w:r>
          </w:p>
        </w:tc>
      </w:tr>
      <w:tr w:rsidR="00106979" w14:paraId="228E986B"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06B6C97" w14:textId="77777777" w:rsidR="00106979" w:rsidRDefault="00106979" w:rsidP="009309B4">
            <w:pPr>
              <w:spacing w:line="280" w:lineRule="auto"/>
            </w:pPr>
            <w:r>
              <w:rPr>
                <w:sz w:val="20"/>
                <w:szCs w:val="20"/>
              </w:rPr>
              <w:t xml:space="preserve">Paris Agreement (COP 21)  </w:t>
            </w:r>
            <w:r>
              <w:rPr>
                <w:sz w:val="20"/>
                <w:szCs w:val="20"/>
              </w:rPr>
              <w:fldChar w:fldCharType="begin"/>
            </w:r>
            <w:r>
              <w:rPr>
                <w:sz w:val="20"/>
                <w:szCs w:val="20"/>
              </w:rPr>
              <w:instrText xml:space="preserve"> ADDIN ZOTERO_ITEM CSL_CITATION {"citationID":"oceFKACN","properties":{"unsorted":false,"formattedCitation":"(UNFCCC, 2015)","plainCitation":"(UNFCCC, 2015)","noteIndex":0},"citationItems":[{"id":144,"uris":["http://zotero.org/users/11719957/items/DIRPMI2W"],"itemData":{"id":144,"type":"report","language":"en","title":"Paris Agreement","URL":"https://unfccc.int/sites/default/files/english_paris_agreement.pdf#page=1.00&amp;gsr=0","author":[{"literal":"UNFCCC"}],"accessed":{"date-parts":[["2026",4,27]]},"issued":{"date-parts":[["2015"]]}}}],"schema":"https://github.com/citation-style-language/schema/raw/master/csl-citation.json"} </w:instrText>
            </w:r>
            <w:r>
              <w:rPr>
                <w:sz w:val="20"/>
                <w:szCs w:val="20"/>
              </w:rPr>
              <w:fldChar w:fldCharType="separate"/>
            </w:r>
            <w:r w:rsidRPr="00D31A0E">
              <w:rPr>
                <w:sz w:val="20"/>
              </w:rPr>
              <w:t>(UNFCCC, 2015)</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319F8B"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EC2644D" w14:textId="77777777" w:rsidR="00106979" w:rsidRDefault="00106979" w:rsidP="009309B4">
            <w:pPr>
              <w:spacing w:line="280" w:lineRule="auto"/>
            </w:pPr>
            <w:r>
              <w:rPr>
                <w:sz w:val="20"/>
                <w:szCs w:val="20"/>
              </w:rPr>
              <w:t>NDCs encompass forests; Article 5 recognises role of carbon sinks; commitments voluntary in scope</w:t>
            </w:r>
          </w:p>
        </w:tc>
      </w:tr>
      <w:tr w:rsidR="00106979" w14:paraId="4B8C8FE7"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37A0E6C" w14:textId="77777777" w:rsidR="00106979" w:rsidRDefault="00106979" w:rsidP="009309B4">
            <w:pPr>
              <w:spacing w:line="280" w:lineRule="auto"/>
            </w:pPr>
            <w:r>
              <w:rPr>
                <w:sz w:val="20"/>
                <w:szCs w:val="20"/>
              </w:rPr>
              <w:lastRenderedPageBreak/>
              <w:t xml:space="preserve">Kunming-Montreal Global Biodiversity Framework </w:t>
            </w:r>
            <w:r>
              <w:rPr>
                <w:sz w:val="20"/>
                <w:szCs w:val="20"/>
              </w:rPr>
              <w:fldChar w:fldCharType="begin"/>
            </w:r>
            <w:r>
              <w:rPr>
                <w:sz w:val="20"/>
                <w:szCs w:val="20"/>
              </w:rPr>
              <w:instrText xml:space="preserve"> ADDIN ZOTERO_ITEM CSL_CITATION {"citationID":"YPjtf838","properties":{"unsorted":false,"formattedCitation":"(CBD, 2022)","plainCitation":"(CBD, 2022)","noteIndex":0},"citationItems":[{"id":145,"uris":["http://zotero.org/users/11719957/items/MRS2242D"],"itemData":{"id":145,"type":"report","language":"en","publisher-place":"Montreal","title":"Kunming-Montreal Global Biodiversity Framework","URL":"https://www.cbd.int/doc/c/e6d3/cd1d/daf663719a03902a9b116c34/cop-15-l-25-en.pdf","author":[{"literal":"CBD"}],"accessed":{"date-parts":[["2026",4,27]]},"issued":{"date-parts":[["2022"]]}}}],"schema":"https://github.com/citation-style-language/schema/raw/master/csl-citation.json"} </w:instrText>
            </w:r>
            <w:r>
              <w:rPr>
                <w:sz w:val="20"/>
                <w:szCs w:val="20"/>
              </w:rPr>
              <w:fldChar w:fldCharType="separate"/>
            </w:r>
            <w:r w:rsidRPr="007C0985">
              <w:rPr>
                <w:sz w:val="20"/>
              </w:rPr>
              <w:t>(CBD, 2022)</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C881F00" w14:textId="77777777" w:rsidR="00106979" w:rsidRDefault="00106979" w:rsidP="009309B4">
            <w:pPr>
              <w:spacing w:line="280" w:lineRule="auto"/>
            </w:pPr>
            <w:r>
              <w:rPr>
                <w:sz w:val="20"/>
                <w:szCs w:val="20"/>
              </w:rPr>
              <w:t>Strategic plan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D1A0DB4" w14:textId="77777777" w:rsidR="00106979" w:rsidRDefault="00106979" w:rsidP="009309B4">
            <w:pPr>
              <w:spacing w:line="280" w:lineRule="auto"/>
            </w:pPr>
            <w:r>
              <w:rPr>
                <w:sz w:val="20"/>
                <w:szCs w:val="20"/>
              </w:rPr>
              <w:t>23 action-oriented targets including 30x30: conserve and protect 30 per cent of land and ocean by 2030; mainstream biodiversity across all sectors</w:t>
            </w:r>
          </w:p>
        </w:tc>
      </w:tr>
    </w:tbl>
    <w:p w14:paraId="6A795EC4" w14:textId="77777777" w:rsidR="00106979" w:rsidRDefault="00106979" w:rsidP="00106979">
      <w:r>
        <w:br w:type="page"/>
      </w:r>
    </w:p>
    <w:p w14:paraId="4D357AD7" w14:textId="77777777" w:rsidR="00106979" w:rsidRDefault="00106979" w:rsidP="00106979">
      <w:pPr>
        <w:pStyle w:val="Heading1"/>
      </w:pPr>
      <w:bookmarkStart w:id="11" w:name="_Toc228278407"/>
      <w:r>
        <w:lastRenderedPageBreak/>
        <w:t>Chapter 3: Historical COP Delivery on Forests and Biodiversity</w:t>
      </w:r>
      <w:bookmarkEnd w:id="11"/>
    </w:p>
    <w:p w14:paraId="17B66AB1" w14:textId="77777777" w:rsidR="00106979" w:rsidRDefault="00106979" w:rsidP="00106979">
      <w:pPr>
        <w:pStyle w:val="Heading2"/>
      </w:pPr>
      <w:bookmarkStart w:id="12" w:name="_Toc228278408"/>
      <w:r>
        <w:t>3.1 Early COPs and the Emergence of the Forest Agenda (1997-2004)</w:t>
      </w:r>
      <w:bookmarkEnd w:id="12"/>
    </w:p>
    <w:p w14:paraId="4C27C0F2" w14:textId="77777777" w:rsidR="00106979" w:rsidRDefault="00106979" w:rsidP="00106979">
      <w:pPr>
        <w:spacing w:after="200" w:line="360" w:lineRule="auto"/>
        <w:jc w:val="both"/>
      </w:pPr>
      <w:r>
        <w:t xml:space="preserve">The first decade of COP negotiations prioritised quantified emissions reductions over forest and biodiversity governance. The Kyoto Protocol (COP 3, 1997) was the first legally binding instrument under the UNFCCC, requiring industrialised nations to reduce greenhouse gas emissions against 1990 baselines. Forests were incorporated as carbon sinks under Articles 3.3 and 3.4 through the Land Use, Land Use Change and Forestry (LULUCF) framework, but their treatment was explicitly carbon-centric: forests were valued for their storage function rather than as biodiversity systems. The Clean Development Mechanism excluded avoided deforestation as a creditable activity, thereby limiting financial incentives for forest protection in developing countries. The Marrakesh Accords (COP 7, 2001) formalised LULUCF accounting rules but introduced flexibility provisions that critics identified as loopholes enabling land-use changes to offset industrial emissions with questionable ecological benefit </w:t>
      </w:r>
      <w:r>
        <w:fldChar w:fldCharType="begin"/>
      </w:r>
      <w:r>
        <w:instrText xml:space="preserve"> ADDIN ZOTERO_ITEM CSL_CITATION {"citationID":"xiuzihE7","properties":{"unsorted":false,"formattedCitation":"(Sanz and Perea Blazquez, 2025)","plainCitation":"(Sanz and Perea Blazquez, 2025)","noteIndex":0},"citationItems":[{"id":130,"uris":["http://zotero.org/users/11719957/items/59DALTGD"],"itemData":{"id":130,"type":"article-journal","container-title":"Earth System Governance","DOI":"10.1016/j.esg.2025.100278","ISSN":"25898116","journalAbbreviation":"Earth System Governance","language":"en","page":"100278","source":"DOI.org (Crossref)","title":"Analysis of international climate change governance for the agriculture, forest and land use sector: Gaps and recommendations for future improvement","title-short":"Analysis of international climate change governance for the agriculture, forest and land use sector","volume":"25","author":[{"family":"Sanz","given":"María Jose"},{"family":"Perea Blazquez","given":"Ana Karla"}],"issued":{"date-parts":[["2025",8]]}}}],"schema":"https://github.com/citation-style-language/schema/raw/master/csl-citation.json"} </w:instrText>
      </w:r>
      <w:r>
        <w:fldChar w:fldCharType="separate"/>
      </w:r>
      <w:r w:rsidRPr="007C0985">
        <w:t>(Sanz and Perea Blazquez, 2025)</w:t>
      </w:r>
      <w:r>
        <w:fldChar w:fldCharType="end"/>
      </w:r>
      <w:r>
        <w:t>.</w:t>
      </w:r>
    </w:p>
    <w:p w14:paraId="2C21EA0B" w14:textId="77777777" w:rsidR="00106979" w:rsidRDefault="00106979" w:rsidP="00106979">
      <w:pPr>
        <w:spacing w:after="200" w:line="360" w:lineRule="auto"/>
        <w:jc w:val="both"/>
      </w:pPr>
      <w:r>
        <w:t>Biodiversity was structurally absent from the COP process during this period. The UNFCCC and CBD operated in institutional silos, and no mechanism within the climate negotiations recognised or protected forest ecosystems beyond their carbon storage function. This narrow framing established a path dependency that would constrain forest and biodiversity governance across subsequent COPs.</w:t>
      </w:r>
    </w:p>
    <w:p w14:paraId="2C1C7194" w14:textId="77777777" w:rsidR="00106979" w:rsidRDefault="00106979" w:rsidP="00106979">
      <w:pPr>
        <w:pStyle w:val="Heading2"/>
      </w:pPr>
      <w:bookmarkStart w:id="13" w:name="_Toc228278409"/>
      <w:r>
        <w:t>3.2 REDD+ and the Institutionalisation of Forest Governance (2005-2013)</w:t>
      </w:r>
      <w:bookmarkEnd w:id="13"/>
    </w:p>
    <w:p w14:paraId="5A3DFC7A" w14:textId="77777777" w:rsidR="00106979" w:rsidRPr="00A41569" w:rsidRDefault="00106979" w:rsidP="00106979">
      <w:pPr>
        <w:spacing w:after="200" w:line="360" w:lineRule="auto"/>
        <w:jc w:val="both"/>
      </w:pPr>
      <w:r w:rsidRPr="00A41569">
        <w:t>The Bali Action Plan (COP 13, 2007) formally introduced REDD+ as a mechanism to incentivise developing countries to reduce emissions from deforestation. This represented a conceptual shift: for the first time the UNFCCC framework acknowledged that forest loss in the Global South was a major emissions source meriting financial compensation. The Cancun Agreements (COP 16, 2010) reinforced REDD+ by adopting social and environmental safeguards, including requirements to respect indigenous peoples' rights and deliver biodiversity co-benefits. The Warsaw Framework for REDD+ (COP 19, 2013) completed the institutional architecture, establishing national reporting requirements and a results-based payment structure.</w:t>
      </w:r>
    </w:p>
    <w:p w14:paraId="170BB9A0" w14:textId="4C8C3F9D" w:rsidR="00106979" w:rsidRDefault="00106979" w:rsidP="00106979">
      <w:pPr>
        <w:spacing w:after="200" w:line="360" w:lineRule="auto"/>
        <w:jc w:val="both"/>
      </w:pPr>
      <w:r w:rsidRPr="00A41569">
        <w:t xml:space="preserve">Despite this institutional development, the gap between REDD+ design and delivery has been extensively documented. Guizar‐Coutiño et al. </w:t>
      </w:r>
      <w:r w:rsidRPr="00A41569">
        <w:fldChar w:fldCharType="begin"/>
      </w:r>
      <w:r w:rsidRPr="00A41569">
        <w:instrText xml:space="preserve"> ADDIN ZOTERO_ITEM CSL_CITATION {"citationID":"OOM3u4Zm","properties":{"unsorted":false,"formattedCitation":"(2022)","plainCitation":"(2022)","noteIndex":0},"citationItems":[{"id":146,"uris":["http://zotero.org/users/11719957/items/SQUR5BIK"],"itemData":{"id":146,"type":"article-journal","abstract":"Abstract\n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Pr="00A41569">
        <w:rPr>
          <w:rFonts w:ascii="MS Mincho" w:eastAsia="MS Mincho" w:hAnsi="MS Mincho" w:cs="MS Mincho" w:hint="eastAsia"/>
        </w:rPr>
        <w:instrText>【摘要】</w:instrText>
      </w:r>
      <w:r w:rsidRPr="00A41569">
        <w:instrText xml:space="preserve">\n            \n              </w:instrText>
      </w:r>
      <w:r w:rsidRPr="00A41569">
        <w:rPr>
          <w:rFonts w:ascii="MS Mincho" w:eastAsia="MS Mincho" w:hAnsi="MS Mincho" w:cs="MS Mincho" w:hint="eastAsia"/>
        </w:rPr>
        <w:instrText>随着世界范</w:instrText>
      </w:r>
      <w:r w:rsidRPr="00A41569">
        <w:rPr>
          <w:rFonts w:ascii="SimSun" w:eastAsia="SimSun" w:hAnsi="SimSun" w:cs="SimSun" w:hint="eastAsia"/>
        </w:rPr>
        <w:instrText>围内人类与野生动物的冲突不断升级</w:instrText>
      </w:r>
      <w:r w:rsidRPr="00A41569">
        <w:instrText xml:space="preserve">, </w:instrText>
      </w:r>
      <w:r w:rsidRPr="00A41569">
        <w:rPr>
          <w:rFonts w:ascii="SimSun" w:eastAsia="SimSun" w:hAnsi="SimSun" w:cs="SimSun" w:hint="eastAsia"/>
        </w:rPr>
        <w:instrText>对野生动物的宽容和接纳等概念变得越来越重要。然而</w:instrText>
      </w:r>
      <w:r w:rsidRPr="00A41569">
        <w:instrText xml:space="preserve">, </w:instrText>
      </w:r>
      <w:r w:rsidRPr="00A41569">
        <w:rPr>
          <w:rFonts w:ascii="MS Mincho" w:eastAsia="MS Mincho" w:hAnsi="MS Mincho" w:cs="MS Mincho" w:hint="eastAsia"/>
        </w:rPr>
        <w:instrText>当代保</w:instrText>
      </w:r>
      <w:r w:rsidRPr="00A41569">
        <w:rPr>
          <w:rFonts w:ascii="SimSun" w:eastAsia="SimSun" w:hAnsi="SimSun" w:cs="SimSun" w:hint="eastAsia"/>
        </w:rPr>
        <w:instrText>护研究表明</w:instrText>
      </w:r>
      <w:r w:rsidRPr="00A41569">
        <w:instrText xml:space="preserve">, </w:instrText>
      </w:r>
      <w:r w:rsidRPr="00A41569">
        <w:rPr>
          <w:rFonts w:ascii="MS Mincho" w:eastAsia="MS Mincho" w:hAnsi="MS Mincho" w:cs="MS Mincho" w:hint="eastAsia"/>
        </w:rPr>
        <w:instrText>人</w:instrText>
      </w:r>
      <w:r w:rsidRPr="00A41569">
        <w:rPr>
          <w:rFonts w:ascii="SimSun" w:eastAsia="SimSun" w:hAnsi="SimSun" w:cs="SimSun" w:hint="eastAsia"/>
        </w:rPr>
        <w:instrText>们对人类与野生动物积极互作的认识有限</w:instrText>
      </w:r>
      <w:r w:rsidRPr="00A41569">
        <w:instrText xml:space="preserve">, </w:instrText>
      </w:r>
      <w:r w:rsidRPr="00A41569">
        <w:rPr>
          <w:rFonts w:ascii="SimSun" w:eastAsia="SimSun" w:hAnsi="SimSun" w:cs="SimSun" w:hint="eastAsia"/>
        </w:rPr>
        <w:instrText>导致可能难以准确描述人类与动物的相遇。如果不解决这些局限性</w:instrText>
      </w:r>
      <w:r w:rsidRPr="00A41569">
        <w:instrText xml:space="preserve">, </w:instrText>
      </w:r>
      <w:r w:rsidRPr="00A41569">
        <w:rPr>
          <w:rFonts w:ascii="MS Mincho" w:eastAsia="MS Mincho" w:hAnsi="MS Mincho" w:cs="MS Mincho" w:hint="eastAsia"/>
        </w:rPr>
        <w:instrText>就会</w:instrText>
      </w:r>
      <w:r w:rsidRPr="00A41569">
        <w:rPr>
          <w:rFonts w:ascii="SimSun" w:eastAsia="SimSun" w:hAnsi="SimSun" w:cs="SimSun" w:hint="eastAsia"/>
        </w:rPr>
        <w:instrText>导致野生动物和景观管理计划</w:instrText>
      </w:r>
      <w:r w:rsidRPr="00A41569">
        <w:rPr>
          <w:rFonts w:ascii="MS Mincho" w:eastAsia="MS Mincho" w:hAnsi="MS Mincho" w:cs="MS Mincho" w:hint="eastAsia"/>
        </w:rPr>
        <w:instrText>的</w:instrText>
      </w:r>
      <w:r w:rsidRPr="00A41569">
        <w:rPr>
          <w:rFonts w:ascii="SimSun" w:eastAsia="SimSun" w:hAnsi="SimSun" w:cs="SimSun" w:hint="eastAsia"/>
        </w:rPr>
        <w:instrText>设计和实施存在不足</w:instrText>
      </w:r>
      <w:r w:rsidRPr="00A41569">
        <w:instrText xml:space="preserve">, </w:instrText>
      </w:r>
      <w:r w:rsidRPr="00A41569">
        <w:rPr>
          <w:rFonts w:ascii="MS Mincho" w:eastAsia="MS Mincho" w:hAnsi="MS Mincho" w:cs="MS Mincho" w:hint="eastAsia"/>
        </w:rPr>
        <w:instrText>以及</w:instrText>
      </w:r>
      <w:r w:rsidRPr="00A41569">
        <w:rPr>
          <w:rFonts w:ascii="SimSun" w:eastAsia="SimSun" w:hAnsi="SimSun" w:cs="SimSun" w:hint="eastAsia"/>
        </w:rPr>
        <w:instrText>对本土生态知识的否定。我们利用印度喀拉拉邦瓦亚纳德野生动物保护区森林中的阿迪瓦西族</w:instrText>
      </w:r>
      <w:r w:rsidRPr="00A41569">
        <w:instrText>Kattunayakans</w:instrText>
      </w:r>
      <w:r w:rsidRPr="00A41569">
        <w:rPr>
          <w:rFonts w:ascii="MS Mincho" w:eastAsia="MS Mincho" w:hAnsi="MS Mincho" w:cs="MS Mincho" w:hint="eastAsia"/>
        </w:rPr>
        <w:instrText>部落的民族志</w:instrText>
      </w:r>
      <w:r w:rsidRPr="00A41569">
        <w:rPr>
          <w:rFonts w:ascii="SimSun" w:eastAsia="SimSun" w:hAnsi="SimSun" w:cs="SimSun" w:hint="eastAsia"/>
        </w:rPr>
        <w:instrText>证据</w:instrText>
      </w:r>
      <w:r w:rsidRPr="00A41569">
        <w:instrText xml:space="preserve">, </w:instrText>
      </w:r>
      <w:r w:rsidRPr="00A41569">
        <w:rPr>
          <w:rFonts w:ascii="MS Mincho" w:eastAsia="MS Mincho" w:hAnsi="MS Mincho" w:cs="MS Mincho" w:hint="eastAsia"/>
        </w:rPr>
        <w:instrText>来研究印度原住民</w:instrText>
      </w:r>
      <w:r w:rsidRPr="00A41569">
        <w:rPr>
          <w:rFonts w:ascii="SimSun" w:eastAsia="SimSun" w:hAnsi="SimSun" w:cs="SimSun" w:hint="eastAsia"/>
        </w:rPr>
        <w:instrText>对于人类与野生动物共存的观点。通过定性的实地研究</w:instrText>
      </w:r>
      <w:r w:rsidRPr="00A41569">
        <w:instrText>(</w:instrText>
      </w:r>
      <w:r w:rsidRPr="00A41569">
        <w:rPr>
          <w:rFonts w:ascii="MS Mincho" w:eastAsia="MS Mincho" w:hAnsi="MS Mincho" w:cs="MS Mincho" w:hint="eastAsia"/>
        </w:rPr>
        <w:instrText>包括</w:instrText>
      </w:r>
      <w:r w:rsidRPr="00A41569">
        <w:rPr>
          <w:rFonts w:ascii="SimSun" w:eastAsia="SimSun" w:hAnsi="SimSun" w:cs="SimSun" w:hint="eastAsia"/>
        </w:rPr>
        <w:instrText>访谈和在森林样带调查</w:instrText>
      </w:r>
      <w:r w:rsidRPr="00A41569">
        <w:instrText xml:space="preserve">), </w:instrText>
      </w:r>
      <w:r w:rsidRPr="00A41569">
        <w:rPr>
          <w:rFonts w:ascii="MS Mincho" w:eastAsia="MS Mincho" w:hAnsi="MS Mincho" w:cs="MS Mincho" w:hint="eastAsia"/>
        </w:rPr>
        <w:instrText>我</w:instrText>
      </w:r>
      <w:r w:rsidRPr="00A41569">
        <w:rPr>
          <w:rFonts w:ascii="SimSun" w:eastAsia="SimSun" w:hAnsi="SimSun" w:cs="SimSun" w:hint="eastAsia"/>
        </w:rPr>
        <w:instrText>们发现</w:instrText>
      </w:r>
      <w:r w:rsidRPr="00A41569">
        <w:instrText>Kattunayakans</w:instrText>
      </w:r>
      <w:r w:rsidRPr="00A41569">
        <w:rPr>
          <w:rFonts w:ascii="MS Mincho" w:eastAsia="MS Mincho" w:hAnsi="MS Mincho" w:cs="MS Mincho" w:hint="eastAsia"/>
        </w:rPr>
        <w:instrText>部落表</w:instrText>
      </w:r>
      <w:r w:rsidRPr="00A41569">
        <w:rPr>
          <w:rFonts w:ascii="SimSun" w:eastAsia="SimSun" w:hAnsi="SimSun" w:cs="SimSun" w:hint="eastAsia"/>
        </w:rPr>
        <w:instrText>现出对野生动物的宽容和接纳</w:instrText>
      </w:r>
      <w:r w:rsidRPr="00A41569">
        <w:instrText xml:space="preserve">, </w:instrText>
      </w:r>
      <w:r w:rsidRPr="00A41569">
        <w:rPr>
          <w:rFonts w:ascii="MS Mincho" w:eastAsia="MS Mincho" w:hAnsi="MS Mincho" w:cs="MS Mincho" w:hint="eastAsia"/>
        </w:rPr>
        <w:instrText>其特点是深入的共存</w:instrText>
      </w:r>
      <w:r w:rsidRPr="00A41569">
        <w:instrText xml:space="preserve">, </w:instrText>
      </w:r>
      <w:r w:rsidRPr="00A41569">
        <w:rPr>
          <w:rFonts w:ascii="MS Mincho" w:eastAsia="MS Mincho" w:hAnsi="MS Mincho" w:cs="MS Mincho" w:hint="eastAsia"/>
        </w:rPr>
        <w:instrText>包括三个中心思想</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动物是有理性的交流者</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动物是神、老师和平等的族群</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动物是实行</w:instrText>
      </w:r>
      <w:r w:rsidRPr="00A41569">
        <w:instrText xml:space="preserve"> “\n              dharmam\n              ”</w:instrText>
      </w:r>
      <w:r w:rsidRPr="00A41569">
        <w:rPr>
          <w:rFonts w:ascii="MS Mincho" w:eastAsia="MS Mincho" w:hAnsi="MS Mincho" w:cs="MS Mincho" w:hint="eastAsia"/>
        </w:rPr>
        <w:instrText>的具有共同起源的</w:instrText>
      </w:r>
      <w:r w:rsidRPr="00A41569">
        <w:rPr>
          <w:rFonts w:ascii="SimSun" w:eastAsia="SimSun" w:hAnsi="SimSun" w:cs="SimSun" w:hint="eastAsia"/>
        </w:rPr>
        <w:instrText>亲戚。我们认为</w:instrText>
      </w:r>
      <w:r w:rsidRPr="00A41569">
        <w:instrText xml:space="preserve">, </w:instrText>
      </w:r>
      <w:r w:rsidRPr="00A41569">
        <w:rPr>
          <w:rFonts w:ascii="MS Mincho" w:eastAsia="MS Mincho" w:hAnsi="MS Mincho" w:cs="MS Mincho" w:hint="eastAsia"/>
        </w:rPr>
        <w:instrText>充分理解以上几点有助于将</w:instrText>
      </w:r>
      <w:r w:rsidRPr="00A41569">
        <w:instrText>Kattunayakan</w:instrText>
      </w:r>
      <w:r w:rsidRPr="00A41569">
        <w:rPr>
          <w:rFonts w:ascii="MS Mincho" w:eastAsia="MS Mincho" w:hAnsi="MS Mincho" w:cs="MS Mincho" w:hint="eastAsia"/>
        </w:rPr>
        <w:instrText>部落的</w:instrText>
      </w:r>
      <w:r w:rsidRPr="00A41569">
        <w:rPr>
          <w:rFonts w:ascii="SimSun" w:eastAsia="SimSun" w:hAnsi="SimSun" w:cs="SimSun" w:hint="eastAsia"/>
        </w:rPr>
        <w:instrText>观点引入印度的森林管理</w:instrText>
      </w:r>
      <w:r w:rsidRPr="00A41569">
        <w:instrText xml:space="preserve">, </w:instrText>
      </w:r>
      <w:r w:rsidRPr="00A41569">
        <w:rPr>
          <w:rFonts w:ascii="MS Mincho" w:eastAsia="MS Mincho" w:hAnsi="MS Mincho" w:cs="MS Mincho" w:hint="eastAsia"/>
        </w:rPr>
        <w:instrText>并更广泛地解决人</w:instrText>
      </w:r>
      <w:r w:rsidRPr="00A41569">
        <w:rPr>
          <w:rFonts w:ascii="Yu Gothic" w:eastAsia="Yu Gothic" w:hAnsi="Yu Gothic" w:cs="Yu Gothic" w:hint="eastAsia"/>
        </w:rPr>
        <w:instrText>类与野生</w:instrText>
      </w:r>
      <w:r w:rsidRPr="00A41569">
        <w:rPr>
          <w:rFonts w:ascii="SimSun" w:eastAsia="SimSun" w:hAnsi="SimSun" w:cs="SimSun" w:hint="eastAsia"/>
        </w:rPr>
        <w:instrText>动物的冲突。</w:instrText>
      </w:r>
      <w:r w:rsidRPr="00A41569">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A."}],"issued":{"date-parts":[["2022",12]]}},"suppress-author":true}],"schema":"https://github.com/citation-style-language/schema/raw/master/csl-citation.json"} </w:instrText>
      </w:r>
      <w:r w:rsidRPr="00A41569">
        <w:fldChar w:fldCharType="separate"/>
      </w:r>
      <w:r w:rsidRPr="00A41569">
        <w:t>(2022)</w:t>
      </w:r>
      <w:r w:rsidRPr="00A41569">
        <w:fldChar w:fldCharType="end"/>
      </w:r>
      <w:r w:rsidRPr="00A41569">
        <w:t xml:space="preserve"> conducted a global evaluation of </w:t>
      </w:r>
      <w:r>
        <w:lastRenderedPageBreak/>
        <w:t xml:space="preserve">voluntary REDD+ projects and found that actual reductions in deforestation attributable to these projects were substantially below stated claims, with additionality failures, carbon leakage to adjacent areas, and permanence risks pervasive across project portfolios. Monitoring of biodiversity co-benefits remained inadequate: the majority of countries implementing REDD+ failed to include biodiversity-specific indicators in their national reporting frameworks </w:t>
      </w:r>
      <w:r w:rsidRPr="004B74FC">
        <w:fldChar w:fldCharType="begin"/>
      </w:r>
      <w:r w:rsidR="008263B8" w:rsidRPr="004B74FC">
        <w:instrText xml:space="preserve"> ADDIN ZOTERO_ITEM CSL_CITATION {"citationID":"1n7PqaJR","properties":{"unsorted":false,"formattedCitation":"(Angelsen {\\i{}et al.}, 2018)","plainCitation":"(Angelsen et al., 2018)","noteIndex":0},"citationItems":[{"id":150,"uris":["http://zotero.org/users/11719957/items/YWE3ATBJ"],"itemData":{"id":150,"type":"book","publisher":"CIFOR","title":"Transforming REDD+: Lessons and new directions","URL":"https://www.cifor-icraf.org/publications/pdf_files/Books/BAngelsen1801.pdf","author":[{"family":"Angelsen","given":"Arild"},{"family":"Martius","given":"Christopher"},{"family":"De Sy","given":"Veronique"},{"family":"Duchelle","given":"Amy E"},{"family":"Larson","given":"Anne M"},{"family":"Pham","given":"Thu Thuy"}],"issued":{"date-parts":[["2018"]]}}}],"schema":"https://github.com/citation-style-language/schema/raw/master/csl-citation.json"} </w:instrText>
      </w:r>
      <w:r w:rsidRPr="004B74FC">
        <w:fldChar w:fldCharType="separate"/>
      </w:r>
      <w:r w:rsidRPr="004B74FC">
        <w:t>(Angelsen et al., 2018)</w:t>
      </w:r>
      <w:r w:rsidRPr="004B74FC">
        <w:fldChar w:fldCharType="end"/>
      </w:r>
      <w:r w:rsidRPr="004B74FC">
        <w:t>.</w:t>
      </w:r>
      <w:r>
        <w:t xml:space="preserve"> Results-based payments were chronically underfunded, and REDD+ finance failed to achieve the scale needed to compete with the economic returns from commodity agriculture in deforestation-frontier economies. Brazil, Indonesia, and the Democratic Republic of Congo, the three largest recipients of REDD+ finance, continued to register persistently high deforestation rates, illustrating that incentive-based mechanisms cannot overcome structural economic drivers without complementary regulatory enforcement.</w:t>
      </w:r>
    </w:p>
    <w:p w14:paraId="37DCF8C8" w14:textId="77777777" w:rsidR="00106979" w:rsidRDefault="00106979" w:rsidP="00106979">
      <w:pPr>
        <w:spacing w:after="200" w:line="360" w:lineRule="auto"/>
        <w:jc w:val="both"/>
      </w:pPr>
      <w:r>
        <w:t>Figure 3 illustrates the cumulative financing gap across the three principal eras of international forest finance. In each period, pledged amounts substantially exceeded estimated disbursements, confirming that the rhetoric of forest finance has consistently outpaced actual resource transfer. The Glasgow era (2021-2023) exhibits the largest absolute gap, reflecting the scale of the USD 12 billion pledge made at COP 26 against a disbursement trajectory that remains far below commitment.</w:t>
      </w:r>
    </w:p>
    <w:p w14:paraId="3340D956" w14:textId="77777777" w:rsidR="00106979" w:rsidRDefault="00106979" w:rsidP="00106979">
      <w:pPr>
        <w:keepNext/>
        <w:spacing w:before="200" w:after="80" w:line="360" w:lineRule="auto"/>
        <w:jc w:val="center"/>
      </w:pPr>
      <w:r>
        <w:rPr>
          <w:noProof/>
          <w:lang w:bidi="ar-SA"/>
        </w:rPr>
        <w:drawing>
          <wp:inline distT="0" distB="0" distL="0" distR="0" wp14:anchorId="200DBD11" wp14:editId="4A1B0B7E">
            <wp:extent cx="5731510" cy="3310890"/>
            <wp:effectExtent l="0" t="0" r="2540" b="3810"/>
            <wp:docPr id="33705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05197" name="Picture 3370519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10890"/>
                    </a:xfrm>
                    <a:prstGeom prst="rect">
                      <a:avLst/>
                    </a:prstGeom>
                  </pic:spPr>
                </pic:pic>
              </a:graphicData>
            </a:graphic>
          </wp:inline>
        </w:drawing>
      </w:r>
    </w:p>
    <w:p w14:paraId="59DE996C" w14:textId="77777777" w:rsidR="00106979" w:rsidRPr="00026340" w:rsidRDefault="00106979" w:rsidP="00106979">
      <w:pPr>
        <w:pStyle w:val="Caption"/>
        <w:jc w:val="center"/>
        <w:rPr>
          <w:i w:val="0"/>
          <w:iCs w:val="0"/>
          <w:color w:val="auto"/>
          <w:sz w:val="22"/>
        </w:rPr>
      </w:pPr>
      <w:bookmarkStart w:id="14" w:name="_Toc228278434"/>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3</w:t>
      </w:r>
      <w:r w:rsidRPr="00026340">
        <w:rPr>
          <w:i w:val="0"/>
          <w:iCs w:val="0"/>
          <w:color w:val="auto"/>
          <w:sz w:val="22"/>
        </w:rPr>
        <w:fldChar w:fldCharType="end"/>
      </w:r>
      <w:r w:rsidRPr="00026340">
        <w:rPr>
          <w:i w:val="0"/>
          <w:iCs w:val="0"/>
          <w:color w:val="auto"/>
          <w:sz w:val="22"/>
        </w:rPr>
        <w:t>: Cumulative forest climate finance pledged consistently exceeded estimated disbursements across all three governance eras (2008-2023), confirming a persistent financing gap (Angelsen et al., 2018; FDA, 2025)</w:t>
      </w:r>
      <w:bookmarkEnd w:id="14"/>
    </w:p>
    <w:p w14:paraId="4BB0B4A0" w14:textId="77777777" w:rsidR="00106979" w:rsidRDefault="00106979" w:rsidP="00106979">
      <w:pPr>
        <w:pStyle w:val="Heading2"/>
      </w:pPr>
      <w:bookmarkStart w:id="15" w:name="_Toc228278410"/>
      <w:r>
        <w:lastRenderedPageBreak/>
        <w:t>3.3 Paris Agreement to COP 26: Ambition versus Delivery (2015-2021)</w:t>
      </w:r>
      <w:bookmarkEnd w:id="15"/>
    </w:p>
    <w:p w14:paraId="550E49A5" w14:textId="77777777" w:rsidR="00106979" w:rsidRDefault="00106979" w:rsidP="00106979">
      <w:pPr>
        <w:spacing w:after="200" w:line="360" w:lineRule="auto"/>
        <w:jc w:val="both"/>
      </w:pPr>
      <w:r>
        <w:t>The Paris Agreement (COP 21, 2015) embedded forests more substantially in the international climate architecture. Article 5 explicitly recognised the role of forests as carbon sinks and encouraged parties to implement REDD+, while the NDC framework allowed countries to incorporate forest and land use commitments in their national climate plans. However, the voluntary nature of NDCs meant that forest pledges carried no binding obligation, and subsequent analysis confirmed significant inconsistency in ambition and specificity across national submissions.</w:t>
      </w:r>
    </w:p>
    <w:p w14:paraId="202C31E2" w14:textId="759FBDA1" w:rsidR="00106979" w:rsidRDefault="001478E8" w:rsidP="00106979">
      <w:pPr>
        <w:spacing w:after="200" w:line="360" w:lineRule="auto"/>
        <w:jc w:val="both"/>
      </w:pPr>
      <w:r w:rsidRPr="001478E8">
        <w:t>The Glasgow Leaders' Declaration on Forests and Land Use was signed by 141 countries at COP 26 in Glasgow in 2021. These countries own 91% of the world's forests and promised to give about $20 billion in funding.</w:t>
      </w:r>
      <w:r w:rsidR="00106979">
        <w:t xml:space="preserve">Nasi </w:t>
      </w:r>
      <w:r w:rsidR="00106979">
        <w:fldChar w:fldCharType="begin"/>
      </w:r>
      <w:r w:rsidR="008263B8">
        <w:instrText xml:space="preserve"> ADDIN ZOTERO_ITEM CSL_CITATION {"citationID":"s1fJvTUH","properties":{"unsorted":false,"formattedCitation":"(2022)","plainCitation":"(2022)","noteIndex":0},"citationItems":[{"id":125,"uris":["http://zotero.org/users/11719957/items/QC8TU4UI"],"itemData":{"id":125,"type":"article-journal","container-title":"Global Change Biology","DOI":"10.1111/gcb.16039","ISSN":"1354-1013, 1365-2486","issue":"6","journalAbbreviation":"Global Change Biology","language":"en","page":"1951-1952","source":"DOI.org (Crossref)","title":"The Glasgow leaders’ declaration on forests and land use: Significance toward “Net Zero”","title-short":"The glasgow leaders’ declaration on forests and land use","volume":"28","author":[{"family":"Nasi","given":"Robert"}],"issued":{"date-parts":[["2022",3]]}},"suppress-author":true}],"schema":"https://github.com/citation-style-language/schema/raw/master/csl-citation.json"} </w:instrText>
      </w:r>
      <w:r w:rsidR="00106979">
        <w:fldChar w:fldCharType="separate"/>
      </w:r>
      <w:r w:rsidR="00106979" w:rsidRPr="00D676AF">
        <w:t>(2022)</w:t>
      </w:r>
      <w:r w:rsidR="00106979">
        <w:fldChar w:fldCharType="end"/>
      </w:r>
      <w:r w:rsidR="00106979">
        <w:t xml:space="preserve"> estimated that full implementation could deliver 22.9 GtCO2e in emissions reductions over the 2021-2030 period. Yet the post-Glasgow trajectory has been one of documented divergence between pledge and performance. </w:t>
      </w:r>
      <w:r w:rsidR="00106979" w:rsidRPr="00757058">
        <w:t>Weisse</w:t>
      </w:r>
      <w:r w:rsidR="00106979">
        <w:t xml:space="preserve"> et al. </w:t>
      </w:r>
      <w:r w:rsidR="00106979">
        <w:fldChar w:fldCharType="begin"/>
      </w:r>
      <w:r w:rsidR="001A5FB8">
        <w:instrText xml:space="preserve"> ADDIN ZOTERO_ITEM CSL_CITATION {"citationID":"7njaQbeu","properties":{"unsorted":false,"formattedCitation":"(2023)","plainCitation":"(2023)","noteIndex":0},"citationItems":[{"id":151,"uris":["http://zotero.org/users/11719957/items/GRZSZ6E4"],"itemData":{"id":151,"type":"article-journal","container-title":"World Resources Institute","title":"Tropical primary forest loss worsened in 2022, despite international commitments to end deforestation","URL":"https://www.globalforestwatch.org/blog/forest-insights/global-tree-cover-loss-data-2022/","volume":"27","author":[{"family":"Weisse","given":"Mikaela"},{"family":"Goldman","given":"Elizabeth"},{"family":"Carter","given":"Sarah"}],"issued":{"date-parts":[["2023"]]}},"suppress-author":true}],"schema":"https://github.com/citation-style-language/schema/raw/master/csl-citation.json"} </w:instrText>
      </w:r>
      <w:r w:rsidR="00106979">
        <w:fldChar w:fldCharType="separate"/>
      </w:r>
      <w:r w:rsidR="001A5FB8" w:rsidRPr="001A5FB8">
        <w:t>(2023)</w:t>
      </w:r>
      <w:r w:rsidR="00106979">
        <w:fldChar w:fldCharType="end"/>
      </w:r>
      <w:r w:rsidR="00106979">
        <w:t xml:space="preserve"> confirmed that tropical primary forest loss totalled 4.1 million hectares in 2022, a 10 per cent increase on 2021, the year the Declaration was signed. Brazil's primary forest loss rose 15 per cent between 2021 and 2022 under the Bolsonaro administration, demonstrating the degree to which forest outcomes depend on domestic political context rather than international commitment structures. Figure 4 illustrates the overall trend: despite successive COP milestones, annual tropical primary forest loss shows a broadly increasing trajectory, with no sustained reversal following any COP commitment.</w:t>
      </w:r>
    </w:p>
    <w:p w14:paraId="5A827701" w14:textId="2F62F1E5" w:rsidR="00106979" w:rsidRDefault="00106979" w:rsidP="00106979">
      <w:pPr>
        <w:spacing w:after="200" w:line="360" w:lineRule="auto"/>
        <w:jc w:val="both"/>
      </w:pPr>
      <w:r>
        <w:t xml:space="preserve">The nature-based solutions (NbS) framing promoted at COP 26 attracted parallel scientific scrutiny. Buma et al. </w:t>
      </w:r>
      <w:r>
        <w:fldChar w:fldCharType="begin"/>
      </w:r>
      <w:r>
        <w:instrText xml:space="preserve"> ADDIN ZOTERO_ITEM CSL_CITATION {"citationID":"wQX93VQo","properties":{"unsorted":false,"formattedCitation":"(2024)","plainCitation":"(2024)","noteIndex":0},"citationItems":[{"id":152,"uris":["http://zotero.org/users/11719957/items/VJWF5ILZ"],"itemData":{"id":152,"type":"article-journal","abstract":"Abstract\n            Viable nature-based climate solutions (NbCS) are needed to achieve climate goals expressed in international agreements like the Paris Accord. Many NbCS pathways have strong scientific foundations and can deliver meaningful climate benefits but effective mitigation is undermined by pathways with less scientific certainty. Here we couple an extensive literature review with an expert elicitation on 43 pathways and find that at present the most used pathways, such as tropical forest conservation, have a solid scientific basis for mitigation. However, the experts suggested that some pathways, many with carbon credit eligibility and market activity, remain uncertain in terms of their climate mitigation efficacy. Sources of uncertainty include incomplete GHG measurement and accounting. We recommend focusing on resolving those uncertainties before broadly scaling implementation of those pathways in quantitative emission or sequestration mitigation plans. If appropriate, those pathways should be supported for their cobenefits, such as biodiversity and food security.","container-title":"Nature Climate Change","DOI":"10.1038/s41558-024-01960-0","ISSN":"1758-678X, 1758-6798","issue":"4","journalAbbreviation":"Nat. Clim. Chang.","language":"en","page":"402-406","source":"DOI.org (Crossref)","title":"Expert review of the science underlying nature-based climate solutions","volume":"14","author":[{"family":"Buma","given":"B."},{"family":"Gordon","given":"D. R."},{"family":"Kleisner","given":"K. M."},{"family":"Bartuska","given":"A."},{"family":"Bidlack","given":"A."},{"family":"DeFries","given":"R."},{"family":"Ellis","given":"P."},{"family":"Friedlingstein","given":"P."},{"family":"Metzger","given":"S."},{"family":"Morgan","given":"G."},{"family":"Novick","given":"K."},{"family":"Sanchirico","given":"J. N."},{"family":"Collins","given":"J. R."},{"family":"Eagle","given":"A. J."},{"family":"Fujita","given":"R."},{"family":"Holst","given":"E."},{"family":"Lavallee","given":"J. M."},{"family":"Lubowski","given":"R. N."},{"family":"Melikov","given":"C."},{"family":"Moore","given":"L. A."},{"family":"Oldfield","given":"E. E."},{"family":"Paltseva","given":"J."},{"family":"Raffeld","given":"A. M."},{"family":"Randazzo","given":"N. A."},{"family":"Schneider","given":"C."},{"family":"Uludere Aragon","given":"N."},{"family":"Hamburg","given":"S. P."}],"issued":{"date-parts":[["2024",4]]}},"suppress-author":true}],"schema":"https://github.com/citation-style-language/schema/raw/master/csl-citation.json"} </w:instrText>
      </w:r>
      <w:r>
        <w:fldChar w:fldCharType="separate"/>
      </w:r>
      <w:r w:rsidRPr="00757058">
        <w:t>(2024)</w:t>
      </w:r>
      <w:r>
        <w:fldChar w:fldCharType="end"/>
      </w:r>
      <w:r>
        <w:t xml:space="preserve"> reviewed 43 NbS pathways and found that while tropical forest conservation had a solid scientific basis, many pathways with carbon credit eligibility remained uncertain due to incomplete greenhouse gas accounting. Vian et al. </w:t>
      </w:r>
      <w:r>
        <w:fldChar w:fldCharType="begin"/>
      </w:r>
      <w:r>
        <w:instrText xml:space="preserve"> ADDIN ZOTERO_ITEM CSL_CITATION {"citationID":"LRugBQOh","properties":{"unsorted":false,"formattedCitation":"(2023)","plainCitation":"(2023)","noteIndex":0},"citationItems":[{"id":154,"uris":["http://zotero.org/users/11719957/items/K9DWV9J4"],"itemData":{"id":154,"type":"article-journal","abstract":"Abstract\n            This article synthesizes critiques of ‘carbon‐fix’ strategies in the forestry sector to clarify key concerns about reductionist treatments of forests and carbon and to facilitate further debate. It begins by asserting that since climate change mitigation has been placed at the centre of forest governance, forests have been deemed to serve as ‘carbon‐fixing’ devices in ways that can be discerned across three distinct but inter‐related categories: (i) carbon storage devices, (ii) carbon removal devices and (iii) net‐zero bioenergy devices. A transdisciplinary literature review is used to shed light on key concerns relating to the instrumentalisation of forests within each of these categories. By doing so, this article contributes to a deeper understanding of why relegating forests to a ‘carbon‐fix’ function is insufficient to tackle climate change and, rather, poses threats to forest ecosystems and forest‐dependent communities. This review ultimately calls into question the use of forests to delay crucial systemic changes, without diminishing the importance of forest conservation, restoration, governance, as well as technological innovation, in mitigating the ongoing harmful effects of climate change.","container-title":"Climate Resilience and Sustainability","DOI":"10.1002/cli2.48","ISSN":"2692-4587, 2692-4587","issue":"1","journalAbbreviation":"Climate Resilience","language":"en","license":"http://creativecommons.org/licenses/by/4.0/","page":"e248","source":"DOI.org (Crossref)","title":"Towards a synthesized critique of forest‐based ‘carbon‐fix’ strategies","volume":"2","author":[{"family":"Vian","given":"Jessica Enara"},{"family":"Garvey","given":"Brian"},{"family":"Tuohy","given":"Paul Gerard"}],"issued":{"date-parts":[["2023",2]]}},"suppress-author":true}],"schema":"https://github.com/citation-style-language/schema/raw/master/csl-citation.json"} </w:instrText>
      </w:r>
      <w:r>
        <w:fldChar w:fldCharType="separate"/>
      </w:r>
      <w:r w:rsidRPr="00757058">
        <w:t>(2023)</w:t>
      </w:r>
      <w:r>
        <w:fldChar w:fldCharType="end"/>
      </w:r>
      <w:r w:rsidR="007E65E3">
        <w:t xml:space="preserve"> </w:t>
      </w:r>
      <w:r>
        <w:t>synthesised critiques from social and natural sciences, arguing that carbon-centric forest strategies risk marginalising biodiversity outcomes and the rights of forest-dependent communities in favour of monetisable carbon metrics.</w:t>
      </w:r>
    </w:p>
    <w:p w14:paraId="5A1C3B47" w14:textId="77777777" w:rsidR="00106979" w:rsidRDefault="00106979" w:rsidP="00106979">
      <w:pPr>
        <w:keepNext/>
        <w:spacing w:before="200" w:after="80" w:line="360" w:lineRule="auto"/>
        <w:jc w:val="center"/>
      </w:pPr>
      <w:r>
        <w:rPr>
          <w:noProof/>
          <w:lang w:bidi="ar-SA"/>
        </w:rPr>
        <w:lastRenderedPageBreak/>
        <w:drawing>
          <wp:inline distT="0" distB="0" distL="0" distR="0" wp14:anchorId="0A94C435" wp14:editId="0837DA28">
            <wp:extent cx="5731510" cy="2823845"/>
            <wp:effectExtent l="0" t="0" r="2540" b="0"/>
            <wp:docPr id="449684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84114" name="Picture 4496841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inline>
        </w:drawing>
      </w:r>
    </w:p>
    <w:p w14:paraId="081AEB70" w14:textId="77777777" w:rsidR="00106979" w:rsidRPr="00026340" w:rsidRDefault="00106979" w:rsidP="00106979">
      <w:pPr>
        <w:pStyle w:val="Caption"/>
        <w:jc w:val="center"/>
        <w:rPr>
          <w:i w:val="0"/>
          <w:iCs w:val="0"/>
          <w:color w:val="auto"/>
          <w:sz w:val="22"/>
        </w:rPr>
      </w:pPr>
      <w:bookmarkStart w:id="16" w:name="_Toc228278435"/>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4</w:t>
      </w:r>
      <w:r w:rsidRPr="00026340">
        <w:rPr>
          <w:i w:val="0"/>
          <w:iCs w:val="0"/>
          <w:color w:val="auto"/>
          <w:sz w:val="22"/>
        </w:rPr>
        <w:fldChar w:fldCharType="end"/>
      </w:r>
      <w:r w:rsidRPr="00026340">
        <w:rPr>
          <w:i w:val="0"/>
          <w:iCs w:val="0"/>
          <w:color w:val="auto"/>
          <w:sz w:val="22"/>
        </w:rPr>
        <w:t>: Annual tropical primary forest loss (million hectares), 2001-2022, with key COP milestones annotated; loss increased 10 per cent in 2022, the year following the Glasgow Declaration (Weisse, Goldman and Carter, 2023)</w:t>
      </w:r>
      <w:bookmarkEnd w:id="16"/>
    </w:p>
    <w:p w14:paraId="0BC6D699" w14:textId="77777777" w:rsidR="00106979" w:rsidRDefault="00106979" w:rsidP="00106979">
      <w:pPr>
        <w:pStyle w:val="Heading2"/>
      </w:pPr>
      <w:bookmarkStart w:id="17" w:name="_Toc228278411"/>
      <w:r>
        <w:t>3.4 COP 27 and COP 28 (2022-2023)</w:t>
      </w:r>
      <w:bookmarkEnd w:id="17"/>
    </w:p>
    <w:p w14:paraId="662353D1" w14:textId="77777777" w:rsidR="00106979" w:rsidRDefault="00106979" w:rsidP="00106979">
      <w:pPr>
        <w:spacing w:after="200" w:line="360" w:lineRule="auto"/>
        <w:jc w:val="both"/>
      </w:pPr>
      <w:r>
        <w:t>COP 27 (Sharm el-Sheikh, 2022) established the Loss and Damage Fund, recognising that climate-vulnerable developing nations, which are disproportionately also biodiversity-rich forest countries, required dedicated finance for irreversible climate impacts. No direct forest or biodiversity allocation was attached to the fund. COP 28 (Dubai, 2023) produced the first Global Stocktake under the Paris Agreement, confirming that current NDC commitments were insufficient for 1.5 degrees Celsius and explicitly acknowledging that halting and reversing deforestation by 2030 was critical to meeting climate goals. However, as with preceding COPs, no new binding enforcement mechanism for forest protection was adopted. The systemic political, economic, and legal drivers shaping this governance gap are analysed in the PESTEL framework provided in Appendix A.</w:t>
      </w:r>
    </w:p>
    <w:p w14:paraId="74536784" w14:textId="77777777" w:rsidR="00106979" w:rsidRDefault="00106979" w:rsidP="00106979">
      <w:pPr>
        <w:pStyle w:val="Heading2"/>
      </w:pPr>
      <w:bookmarkStart w:id="18" w:name="_Toc228278412"/>
      <w:r>
        <w:t>3.5 Overall Assessment of Historical COP Delivery</w:t>
      </w:r>
      <w:bookmarkEnd w:id="18"/>
    </w:p>
    <w:p w14:paraId="3EB7370D" w14:textId="77777777" w:rsidR="00106979" w:rsidRDefault="00106979" w:rsidP="00106979">
      <w:pPr>
        <w:spacing w:after="200" w:line="360" w:lineRule="auto"/>
        <w:jc w:val="both"/>
      </w:pPr>
      <w:r>
        <w:t xml:space="preserve">The record from COP 3 to COP 28 supports a clear finding: the COP process produced progressively more sophisticated institutional architecture for forests and biodiversity, while delivery consistently fell short of commitment. Three structural failures recur. First, enforcement deficits: from REDD+ through to the Glasgow Declaration, governance mechanisms relied on voluntary compliance with no binding verification or financial consequences for non-delivery. Second, financing gaps: pledged finance consistently exceeded disbursements, and available resources were structurally insufficient to shift the economic </w:t>
      </w:r>
      <w:r>
        <w:lastRenderedPageBreak/>
        <w:t>calculus away from commodity-driven deforestation. Third, biodiversity marginalisation: throughout this period, forest governance within the UNFCCC remained defined by carbon metrics, treating biodiversity co-benefits as secondary considerations. Table 2 below summarises the delivery record across key COP milestones.</w:t>
      </w:r>
    </w:p>
    <w:p w14:paraId="15C7D08E" w14:textId="77777777" w:rsidR="00106979" w:rsidRPr="00501265" w:rsidRDefault="00106979" w:rsidP="00106979">
      <w:pPr>
        <w:pStyle w:val="Caption"/>
        <w:keepNext/>
        <w:jc w:val="center"/>
        <w:rPr>
          <w:i w:val="0"/>
          <w:iCs w:val="0"/>
          <w:color w:val="auto"/>
          <w:sz w:val="22"/>
        </w:rPr>
      </w:pPr>
      <w:bookmarkStart w:id="19" w:name="_Toc228278425"/>
      <w:r w:rsidRPr="00501265">
        <w:rPr>
          <w:i w:val="0"/>
          <w:iCs w:val="0"/>
          <w:color w:val="auto"/>
          <w:sz w:val="22"/>
        </w:rPr>
        <w:t xml:space="preserve">Table </w:t>
      </w:r>
      <w:r w:rsidRPr="00501265">
        <w:rPr>
          <w:i w:val="0"/>
          <w:iCs w:val="0"/>
          <w:color w:val="auto"/>
          <w:sz w:val="22"/>
        </w:rPr>
        <w:fldChar w:fldCharType="begin"/>
      </w:r>
      <w:r w:rsidRPr="00501265">
        <w:rPr>
          <w:i w:val="0"/>
          <w:iCs w:val="0"/>
          <w:color w:val="auto"/>
          <w:sz w:val="22"/>
        </w:rPr>
        <w:instrText xml:space="preserve"> SEQ Table \* ARABIC </w:instrText>
      </w:r>
      <w:r w:rsidRPr="00501265">
        <w:rPr>
          <w:i w:val="0"/>
          <w:iCs w:val="0"/>
          <w:color w:val="auto"/>
          <w:sz w:val="22"/>
        </w:rPr>
        <w:fldChar w:fldCharType="separate"/>
      </w:r>
      <w:r w:rsidRPr="00501265">
        <w:rPr>
          <w:i w:val="0"/>
          <w:iCs w:val="0"/>
          <w:noProof/>
          <w:color w:val="auto"/>
          <w:sz w:val="22"/>
        </w:rPr>
        <w:t>2</w:t>
      </w:r>
      <w:r w:rsidRPr="00501265">
        <w:rPr>
          <w:i w:val="0"/>
          <w:iCs w:val="0"/>
          <w:color w:val="auto"/>
          <w:sz w:val="22"/>
        </w:rPr>
        <w:fldChar w:fldCharType="end"/>
      </w:r>
      <w:r w:rsidRPr="00501265">
        <w:rPr>
          <w:i w:val="0"/>
          <w:iCs w:val="0"/>
          <w:color w:val="auto"/>
          <w:sz w:val="22"/>
        </w:rPr>
        <w:t>: Key COP milestones on forests and biodiversity, 1997-2023: commitment and delivery assessment</w:t>
      </w:r>
      <w:bookmarkEnd w:id="1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80"/>
        <w:gridCol w:w="3120"/>
        <w:gridCol w:w="2906"/>
        <w:gridCol w:w="1620"/>
      </w:tblGrid>
      <w:tr w:rsidR="00106979" w14:paraId="61ACD217"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D98A177" w14:textId="77777777" w:rsidR="00106979" w:rsidRDefault="00106979" w:rsidP="009309B4">
            <w:pPr>
              <w:spacing w:line="280" w:lineRule="auto"/>
            </w:pPr>
            <w:r>
              <w:rPr>
                <w:b/>
                <w:bCs/>
                <w:sz w:val="22"/>
                <w:szCs w:val="22"/>
              </w:rPr>
              <w:t>COP / year</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3772FD1" w14:textId="77777777" w:rsidR="00106979" w:rsidRDefault="00106979" w:rsidP="009309B4">
            <w:pPr>
              <w:spacing w:line="280" w:lineRule="auto"/>
            </w:pPr>
            <w:r>
              <w:rPr>
                <w:b/>
                <w:bCs/>
                <w:sz w:val="22"/>
                <w:szCs w:val="22"/>
              </w:rPr>
              <w:t>Forest and biodiversity commitment</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E7239BF" w14:textId="77777777" w:rsidR="00106979" w:rsidRDefault="00106979" w:rsidP="009309B4">
            <w:pPr>
              <w:spacing w:line="280" w:lineRule="auto"/>
            </w:pPr>
            <w:r>
              <w:rPr>
                <w:b/>
                <w:bCs/>
                <w:sz w:val="22"/>
                <w:szCs w:val="22"/>
              </w:rPr>
              <w:t>Delivery evidence</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F1E1F8B" w14:textId="77777777" w:rsidR="00106979" w:rsidRDefault="00106979" w:rsidP="009309B4">
            <w:pPr>
              <w:spacing w:line="280" w:lineRule="auto"/>
            </w:pPr>
            <w:r>
              <w:rPr>
                <w:b/>
                <w:bCs/>
                <w:sz w:val="22"/>
                <w:szCs w:val="22"/>
              </w:rPr>
              <w:t>Assessment</w:t>
            </w:r>
          </w:p>
        </w:tc>
      </w:tr>
      <w:tr w:rsidR="00106979" w14:paraId="3B938DC9"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E0497D8" w14:textId="77777777" w:rsidR="00106979" w:rsidRDefault="00106979" w:rsidP="009309B4">
            <w:pPr>
              <w:spacing w:line="280" w:lineRule="auto"/>
            </w:pPr>
            <w:r>
              <w:rPr>
                <w:sz w:val="20"/>
                <w:szCs w:val="20"/>
              </w:rPr>
              <w:t>COP 3, 1997 (Kyoto)</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1420AFD" w14:textId="77777777" w:rsidR="00106979" w:rsidRDefault="00106979" w:rsidP="009309B4">
            <w:pPr>
              <w:spacing w:line="280" w:lineRule="auto"/>
            </w:pPr>
            <w:r>
              <w:rPr>
                <w:sz w:val="20"/>
                <w:szCs w:val="20"/>
              </w:rPr>
              <w:t>Forests as carbon sinks under LULUCF, Articles 3.3 and 3.4; CDM excludes avoided deforestation</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DAC7DB9" w14:textId="77777777" w:rsidR="00106979" w:rsidRDefault="00106979" w:rsidP="009309B4">
            <w:pPr>
              <w:spacing w:line="280" w:lineRule="auto"/>
            </w:pPr>
            <w:r>
              <w:rPr>
                <w:sz w:val="20"/>
                <w:szCs w:val="20"/>
              </w:rPr>
              <w:t>LULUCF rules adopted at COP 7; CDM exclusion limited finance for forest protection in the Global South</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D601F0A" w14:textId="77777777" w:rsidR="00106979" w:rsidRDefault="00106979" w:rsidP="009309B4">
            <w:pPr>
              <w:spacing w:line="280" w:lineRule="auto"/>
            </w:pPr>
            <w:r>
              <w:rPr>
                <w:sz w:val="20"/>
                <w:szCs w:val="20"/>
              </w:rPr>
              <w:t>Partial</w:t>
            </w:r>
          </w:p>
        </w:tc>
      </w:tr>
      <w:tr w:rsidR="00106979" w14:paraId="10DF7371"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6B338FB" w14:textId="77777777" w:rsidR="00106979" w:rsidRDefault="00106979" w:rsidP="009309B4">
            <w:pPr>
              <w:spacing w:line="280" w:lineRule="auto"/>
            </w:pPr>
            <w:r>
              <w:rPr>
                <w:sz w:val="20"/>
                <w:szCs w:val="20"/>
              </w:rPr>
              <w:t>COP 7, 2001 (Marrakesh)</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49DAA4F" w14:textId="77777777" w:rsidR="00106979" w:rsidRDefault="00106979" w:rsidP="009309B4">
            <w:pPr>
              <w:spacing w:line="280" w:lineRule="auto"/>
            </w:pPr>
            <w:r>
              <w:rPr>
                <w:sz w:val="20"/>
                <w:szCs w:val="20"/>
              </w:rPr>
              <w:t>LULUCF accounting rules finalised; flexibility provisions for land use included</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F9B6A38" w14:textId="77777777" w:rsidR="00106979" w:rsidRDefault="00106979" w:rsidP="009309B4">
            <w:pPr>
              <w:spacing w:line="280" w:lineRule="auto"/>
            </w:pPr>
            <w:r>
              <w:rPr>
                <w:sz w:val="20"/>
                <w:szCs w:val="20"/>
              </w:rPr>
              <w:t>Loopholes allowing offsetting; biodiversity considerations absent from the framework</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846D829" w14:textId="77777777" w:rsidR="00106979" w:rsidRDefault="00106979" w:rsidP="009309B4">
            <w:pPr>
              <w:spacing w:line="280" w:lineRule="auto"/>
            </w:pPr>
            <w:r>
              <w:rPr>
                <w:sz w:val="20"/>
                <w:szCs w:val="20"/>
              </w:rPr>
              <w:t>Not met</w:t>
            </w:r>
          </w:p>
        </w:tc>
      </w:tr>
      <w:tr w:rsidR="00106979" w14:paraId="15A3712C"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75C61A8" w14:textId="77777777" w:rsidR="00106979" w:rsidRDefault="00106979" w:rsidP="009309B4">
            <w:pPr>
              <w:spacing w:line="280" w:lineRule="auto"/>
            </w:pPr>
            <w:r>
              <w:rPr>
                <w:sz w:val="20"/>
                <w:szCs w:val="20"/>
              </w:rPr>
              <w:t>COP 13, 2007 (Bali)</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E1B5F4B" w14:textId="77777777" w:rsidR="00106979" w:rsidRDefault="00106979" w:rsidP="009309B4">
            <w:pPr>
              <w:spacing w:line="280" w:lineRule="auto"/>
            </w:pPr>
            <w:r>
              <w:rPr>
                <w:sz w:val="20"/>
                <w:szCs w:val="20"/>
              </w:rPr>
              <w:t>REDD+ introduced in the Bali Action Plan to incentivise reduced deforestation</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B23A459" w14:textId="77777777" w:rsidR="00106979" w:rsidRDefault="00106979" w:rsidP="009309B4">
            <w:pPr>
              <w:spacing w:line="280" w:lineRule="auto"/>
            </w:pPr>
            <w:r>
              <w:rPr>
                <w:sz w:val="20"/>
                <w:szCs w:val="20"/>
              </w:rPr>
              <w:t>Framework established but no finance mechanism; implementation deferred to subsequent COPs</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164DDF3" w14:textId="77777777" w:rsidR="00106979" w:rsidRDefault="00106979" w:rsidP="009309B4">
            <w:pPr>
              <w:spacing w:line="280" w:lineRule="auto"/>
            </w:pPr>
            <w:r>
              <w:rPr>
                <w:sz w:val="20"/>
                <w:szCs w:val="20"/>
              </w:rPr>
              <w:t>Partial</w:t>
            </w:r>
          </w:p>
        </w:tc>
      </w:tr>
      <w:tr w:rsidR="00106979" w14:paraId="0FEB07EF"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A3959D0" w14:textId="77777777" w:rsidR="00106979" w:rsidRDefault="00106979" w:rsidP="009309B4">
            <w:pPr>
              <w:spacing w:line="280" w:lineRule="auto"/>
            </w:pPr>
            <w:r>
              <w:rPr>
                <w:sz w:val="20"/>
                <w:szCs w:val="20"/>
              </w:rPr>
              <w:t>COP 16, 2010 (Cancun)</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53741B6" w14:textId="77777777" w:rsidR="00106979" w:rsidRDefault="00106979" w:rsidP="009309B4">
            <w:pPr>
              <w:spacing w:line="280" w:lineRule="auto"/>
            </w:pPr>
            <w:r>
              <w:rPr>
                <w:sz w:val="20"/>
                <w:szCs w:val="20"/>
              </w:rPr>
              <w:t>REDD+ safeguards adopted, including indigenous rights and biodiversity co-benefits</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3E0CDAA" w14:textId="77777777" w:rsidR="00106979" w:rsidRDefault="00106979" w:rsidP="009309B4">
            <w:pPr>
              <w:spacing w:line="280" w:lineRule="auto"/>
            </w:pPr>
            <w:r>
              <w:rPr>
                <w:sz w:val="20"/>
                <w:szCs w:val="20"/>
              </w:rPr>
              <w:t>Safeguards adopted but monitoring of biodiversity indicators weak; finance inadequate in most countries</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23ED7D7" w14:textId="77777777" w:rsidR="00106979" w:rsidRDefault="00106979" w:rsidP="009309B4">
            <w:pPr>
              <w:spacing w:line="280" w:lineRule="auto"/>
            </w:pPr>
            <w:r>
              <w:rPr>
                <w:sz w:val="20"/>
                <w:szCs w:val="20"/>
              </w:rPr>
              <w:t>Partial</w:t>
            </w:r>
          </w:p>
        </w:tc>
      </w:tr>
      <w:tr w:rsidR="00106979" w14:paraId="1842ED02"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69C1179" w14:textId="77777777" w:rsidR="00106979" w:rsidRDefault="00106979" w:rsidP="009309B4">
            <w:pPr>
              <w:spacing w:line="280" w:lineRule="auto"/>
            </w:pPr>
            <w:r>
              <w:rPr>
                <w:sz w:val="20"/>
                <w:szCs w:val="20"/>
              </w:rPr>
              <w:t>COP 19, 2013 (Warsaw)</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C572AE4" w14:textId="77777777" w:rsidR="00106979" w:rsidRDefault="00106979" w:rsidP="009309B4">
            <w:pPr>
              <w:spacing w:line="280" w:lineRule="auto"/>
            </w:pPr>
            <w:r>
              <w:rPr>
                <w:sz w:val="20"/>
                <w:szCs w:val="20"/>
              </w:rPr>
              <w:t>Warsaw Framework for REDD+ established national reporting and results-based payment structure</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7156828" w14:textId="38A25B24" w:rsidR="00106979" w:rsidRDefault="00106979" w:rsidP="009309B4">
            <w:pPr>
              <w:spacing w:line="280" w:lineRule="auto"/>
            </w:pPr>
            <w:r>
              <w:rPr>
                <w:sz w:val="20"/>
                <w:szCs w:val="20"/>
              </w:rPr>
              <w:t xml:space="preserve">Institutional architecture created but chronically underfunded; additionality failures documented </w:t>
            </w:r>
            <w:r w:rsidR="00A41569" w:rsidRPr="004B74FC">
              <w:rPr>
                <w:sz w:val="20"/>
                <w:szCs w:val="20"/>
              </w:rPr>
              <w:fldChar w:fldCharType="begin"/>
            </w:r>
            <w:r w:rsidR="00A41569" w:rsidRPr="004B74FC">
              <w:rPr>
                <w:sz w:val="20"/>
                <w:szCs w:val="20"/>
              </w:rPr>
              <w:instrText xml:space="preserve"> ADDIN ZOTERO_ITEM CSL_CITATION {"citationID":"YhZjqek5","properties":{"unsorted":false,"formattedCitation":"(Guizar\\uc0\\u8208{}Couti\\uc0\\u241{}o {\\i{}et al.}, 2022)","plainCitation":"(Guizar‐Coutiño et al., 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00A41569" w:rsidRPr="004B74FC">
              <w:rPr>
                <w:rFonts w:ascii="MS Mincho" w:eastAsia="MS Mincho" w:hAnsi="MS Mincho" w:cs="MS Mincho" w:hint="eastAsia"/>
                <w:sz w:val="20"/>
                <w:szCs w:val="20"/>
              </w:rPr>
              <w:instrText>【摘要】</w:instrText>
            </w:r>
            <w:r w:rsidR="00A41569" w:rsidRPr="004B74FC">
              <w:rPr>
                <w:sz w:val="20"/>
                <w:szCs w:val="20"/>
              </w:rPr>
              <w:instrText xml:space="preserve">\n            \n              </w:instrText>
            </w:r>
            <w:r w:rsidR="00A41569" w:rsidRPr="004B74FC">
              <w:rPr>
                <w:rFonts w:ascii="MS Mincho" w:eastAsia="MS Mincho" w:hAnsi="MS Mincho" w:cs="MS Mincho" w:hint="eastAsia"/>
                <w:sz w:val="20"/>
                <w:szCs w:val="20"/>
              </w:rPr>
              <w:instrText>随着世界范</w:instrText>
            </w:r>
            <w:r w:rsidR="00A41569" w:rsidRPr="004B74FC">
              <w:rPr>
                <w:rFonts w:ascii="SimSun" w:eastAsia="SimSun" w:hAnsi="SimSun" w:cs="SimSun" w:hint="eastAsia"/>
                <w:sz w:val="20"/>
                <w:szCs w:val="20"/>
              </w:rPr>
              <w:instrText>围内人类与野生动物的冲突不断升级</w:instrText>
            </w:r>
            <w:r w:rsidR="00A41569" w:rsidRPr="004B74FC">
              <w:rPr>
                <w:sz w:val="20"/>
                <w:szCs w:val="20"/>
              </w:rPr>
              <w:instrText xml:space="preserve">, </w:instrText>
            </w:r>
            <w:r w:rsidR="00A41569" w:rsidRPr="004B74FC">
              <w:rPr>
                <w:rFonts w:ascii="SimSun" w:eastAsia="SimSun" w:hAnsi="SimSun" w:cs="SimSun" w:hint="eastAsia"/>
                <w:sz w:val="20"/>
                <w:szCs w:val="20"/>
              </w:rPr>
              <w:instrText>对野生动物的宽容和接纳等概念变得越来越重要。然而</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当代保</w:instrText>
            </w:r>
            <w:r w:rsidR="00A41569" w:rsidRPr="004B74FC">
              <w:rPr>
                <w:rFonts w:ascii="SimSun" w:eastAsia="SimSun" w:hAnsi="SimSun" w:cs="SimSun" w:hint="eastAsia"/>
                <w:sz w:val="20"/>
                <w:szCs w:val="20"/>
              </w:rPr>
              <w:instrText>护研究表明</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人</w:instrText>
            </w:r>
            <w:r w:rsidR="00A41569" w:rsidRPr="004B74FC">
              <w:rPr>
                <w:rFonts w:ascii="SimSun" w:eastAsia="SimSun" w:hAnsi="SimSun" w:cs="SimSun" w:hint="eastAsia"/>
                <w:sz w:val="20"/>
                <w:szCs w:val="20"/>
              </w:rPr>
              <w:instrText>们对人类与野生动物积极互作的认识有限</w:instrText>
            </w:r>
            <w:r w:rsidR="00A41569" w:rsidRPr="004B74FC">
              <w:rPr>
                <w:sz w:val="20"/>
                <w:szCs w:val="20"/>
              </w:rPr>
              <w:instrText xml:space="preserve">, </w:instrText>
            </w:r>
            <w:r w:rsidR="00A41569" w:rsidRPr="004B74FC">
              <w:rPr>
                <w:rFonts w:ascii="SimSun" w:eastAsia="SimSun" w:hAnsi="SimSun" w:cs="SimSun" w:hint="eastAsia"/>
                <w:sz w:val="20"/>
                <w:szCs w:val="20"/>
              </w:rPr>
              <w:instrText>导致可能难以准确描述人类与动物的相遇。如果不解决这些局限性</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就会</w:instrText>
            </w:r>
            <w:r w:rsidR="00A41569" w:rsidRPr="004B74FC">
              <w:rPr>
                <w:rFonts w:ascii="SimSun" w:eastAsia="SimSun" w:hAnsi="SimSun" w:cs="SimSun" w:hint="eastAsia"/>
                <w:sz w:val="20"/>
                <w:szCs w:val="20"/>
              </w:rPr>
              <w:instrText>导致野生动物和景观管理计划的设计和实施存</w:instrText>
            </w:r>
            <w:r w:rsidR="00A41569" w:rsidRPr="004B74FC">
              <w:rPr>
                <w:rFonts w:ascii="MS Mincho" w:eastAsia="MS Mincho" w:hAnsi="MS Mincho" w:cs="MS Mincho" w:hint="eastAsia"/>
                <w:sz w:val="20"/>
                <w:szCs w:val="20"/>
              </w:rPr>
              <w:instrText>在不足</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以及</w:instrText>
            </w:r>
            <w:r w:rsidR="00A41569" w:rsidRPr="004B74FC">
              <w:rPr>
                <w:rFonts w:ascii="SimSun" w:eastAsia="SimSun" w:hAnsi="SimSun" w:cs="SimSun" w:hint="eastAsia"/>
                <w:sz w:val="20"/>
                <w:szCs w:val="20"/>
              </w:rPr>
              <w:instrText>对本土生态知识的否定。我们利用印度喀拉拉邦瓦亚纳德野生动物保护区森林中的阿迪瓦西族</w:instrText>
            </w:r>
            <w:r w:rsidR="00A41569" w:rsidRPr="004B74FC">
              <w:rPr>
                <w:sz w:val="20"/>
                <w:szCs w:val="20"/>
              </w:rPr>
              <w:instrText>Kattunayakans</w:instrText>
            </w:r>
            <w:r w:rsidR="00A41569" w:rsidRPr="004B74FC">
              <w:rPr>
                <w:rFonts w:ascii="MS Mincho" w:eastAsia="MS Mincho" w:hAnsi="MS Mincho" w:cs="MS Mincho" w:hint="eastAsia"/>
                <w:sz w:val="20"/>
                <w:szCs w:val="20"/>
              </w:rPr>
              <w:instrText>部落的民族志</w:instrText>
            </w:r>
            <w:r w:rsidR="00A41569" w:rsidRPr="004B74FC">
              <w:rPr>
                <w:rFonts w:ascii="SimSun" w:eastAsia="SimSun" w:hAnsi="SimSun" w:cs="SimSun" w:hint="eastAsia"/>
                <w:sz w:val="20"/>
                <w:szCs w:val="20"/>
              </w:rPr>
              <w:instrText>证据</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来研究印度原住民</w:instrText>
            </w:r>
            <w:r w:rsidR="00A41569" w:rsidRPr="004B74FC">
              <w:rPr>
                <w:rFonts w:ascii="SimSun" w:eastAsia="SimSun" w:hAnsi="SimSun" w:cs="SimSun" w:hint="eastAsia"/>
                <w:sz w:val="20"/>
                <w:szCs w:val="20"/>
              </w:rPr>
              <w:instrText>对于人类与野生动物共存的观点。通过定性的实地研究</w:instrText>
            </w:r>
            <w:r w:rsidR="00A41569" w:rsidRPr="004B74FC">
              <w:rPr>
                <w:sz w:val="20"/>
                <w:szCs w:val="20"/>
              </w:rPr>
              <w:instrText>(</w:instrText>
            </w:r>
            <w:r w:rsidR="00A41569" w:rsidRPr="004B74FC">
              <w:rPr>
                <w:rFonts w:ascii="MS Mincho" w:eastAsia="MS Mincho" w:hAnsi="MS Mincho" w:cs="MS Mincho" w:hint="eastAsia"/>
                <w:sz w:val="20"/>
                <w:szCs w:val="20"/>
              </w:rPr>
              <w:instrText>包括</w:instrText>
            </w:r>
            <w:r w:rsidR="00A41569" w:rsidRPr="004B74FC">
              <w:rPr>
                <w:rFonts w:ascii="SimSun" w:eastAsia="SimSun" w:hAnsi="SimSun" w:cs="SimSun" w:hint="eastAsia"/>
                <w:sz w:val="20"/>
                <w:szCs w:val="20"/>
              </w:rPr>
              <w:instrText>访谈和在森林样带调查</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我</w:instrText>
            </w:r>
            <w:r w:rsidR="00A41569" w:rsidRPr="004B74FC">
              <w:rPr>
                <w:rFonts w:ascii="SimSun" w:eastAsia="SimSun" w:hAnsi="SimSun" w:cs="SimSun" w:hint="eastAsia"/>
                <w:sz w:val="20"/>
                <w:szCs w:val="20"/>
              </w:rPr>
              <w:instrText>们发现</w:instrText>
            </w:r>
            <w:r w:rsidR="00A41569" w:rsidRPr="004B74FC">
              <w:rPr>
                <w:sz w:val="20"/>
                <w:szCs w:val="20"/>
              </w:rPr>
              <w:instrText>Kattunayakans</w:instrText>
            </w:r>
            <w:r w:rsidR="00A41569" w:rsidRPr="004B74FC">
              <w:rPr>
                <w:rFonts w:ascii="MS Mincho" w:eastAsia="MS Mincho" w:hAnsi="MS Mincho" w:cs="MS Mincho" w:hint="eastAsia"/>
                <w:sz w:val="20"/>
                <w:szCs w:val="20"/>
              </w:rPr>
              <w:instrText>部落表</w:instrText>
            </w:r>
            <w:r w:rsidR="00A41569" w:rsidRPr="004B74FC">
              <w:rPr>
                <w:rFonts w:ascii="SimSun" w:eastAsia="SimSun" w:hAnsi="SimSun" w:cs="SimSun" w:hint="eastAsia"/>
                <w:sz w:val="20"/>
                <w:szCs w:val="20"/>
              </w:rPr>
              <w:instrText>现出对野生动物的宽容和接纳</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其特点是深入的共存</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包括三个中心思想</w:instrText>
            </w:r>
            <w:r w:rsidR="00A41569" w:rsidRPr="004B74FC">
              <w:rPr>
                <w:sz w:val="20"/>
                <w:szCs w:val="20"/>
              </w:rPr>
              <w:instrText>:</w:instrText>
            </w:r>
            <w:r w:rsidR="00A41569" w:rsidRPr="004B74FC">
              <w:rPr>
                <w:rFonts w:ascii="MS Mincho" w:eastAsia="MS Mincho" w:hAnsi="MS Mincho" w:cs="MS Mincho" w:hint="eastAsia"/>
                <w:sz w:val="20"/>
                <w:szCs w:val="20"/>
              </w:rPr>
              <w:instrText>野生</w:instrText>
            </w:r>
            <w:r w:rsidR="00A41569" w:rsidRPr="004B74FC">
              <w:rPr>
                <w:rFonts w:ascii="SimSun" w:eastAsia="SimSun" w:hAnsi="SimSun" w:cs="SimSun" w:hint="eastAsia"/>
                <w:sz w:val="20"/>
                <w:szCs w:val="20"/>
              </w:rPr>
              <w:instrText>动物是有理性的交流者</w:instrText>
            </w:r>
            <w:r w:rsidR="00A41569" w:rsidRPr="004B74FC">
              <w:rPr>
                <w:sz w:val="20"/>
                <w:szCs w:val="20"/>
              </w:rPr>
              <w:instrText>;</w:instrText>
            </w:r>
            <w:r w:rsidR="00A41569" w:rsidRPr="004B74FC">
              <w:rPr>
                <w:rFonts w:ascii="MS Mincho" w:eastAsia="MS Mincho" w:hAnsi="MS Mincho" w:cs="MS Mincho" w:hint="eastAsia"/>
                <w:sz w:val="20"/>
                <w:szCs w:val="20"/>
              </w:rPr>
              <w:instrText>野生</w:instrText>
            </w:r>
            <w:r w:rsidR="00A41569" w:rsidRPr="004B74FC">
              <w:rPr>
                <w:rFonts w:ascii="SimSun" w:eastAsia="SimSun" w:hAnsi="SimSun" w:cs="SimSun" w:hint="eastAsia"/>
                <w:sz w:val="20"/>
                <w:szCs w:val="20"/>
              </w:rPr>
              <w:instrText>动物是神、老师和平等的族群</w:instrText>
            </w:r>
            <w:r w:rsidR="00A41569" w:rsidRPr="004B74FC">
              <w:rPr>
                <w:sz w:val="20"/>
                <w:szCs w:val="20"/>
              </w:rPr>
              <w:instrText>;</w:instrText>
            </w:r>
            <w:r w:rsidR="00A41569" w:rsidRPr="004B74FC">
              <w:rPr>
                <w:rFonts w:ascii="MS Mincho" w:eastAsia="MS Mincho" w:hAnsi="MS Mincho" w:cs="MS Mincho" w:hint="eastAsia"/>
                <w:sz w:val="20"/>
                <w:szCs w:val="20"/>
              </w:rPr>
              <w:instrText>野生</w:instrText>
            </w:r>
            <w:r w:rsidR="00A41569" w:rsidRPr="004B74FC">
              <w:rPr>
                <w:rFonts w:ascii="SimSun" w:eastAsia="SimSun" w:hAnsi="SimSun" w:cs="SimSun" w:hint="eastAsia"/>
                <w:sz w:val="20"/>
                <w:szCs w:val="20"/>
              </w:rPr>
              <w:instrText>动物是实行</w:instrText>
            </w:r>
            <w:r w:rsidR="00A41569" w:rsidRPr="004B74FC">
              <w:rPr>
                <w:sz w:val="20"/>
                <w:szCs w:val="20"/>
              </w:rPr>
              <w:instrText xml:space="preserve"> “\n              dharmam\n              ”</w:instrText>
            </w:r>
            <w:r w:rsidR="00A41569" w:rsidRPr="004B74FC">
              <w:rPr>
                <w:rFonts w:ascii="MS Mincho" w:eastAsia="MS Mincho" w:hAnsi="MS Mincho" w:cs="MS Mincho" w:hint="eastAsia"/>
                <w:sz w:val="20"/>
                <w:szCs w:val="20"/>
              </w:rPr>
              <w:instrText>的具有共同起源的</w:instrText>
            </w:r>
            <w:r w:rsidR="00A41569" w:rsidRPr="004B74FC">
              <w:rPr>
                <w:rFonts w:ascii="SimSun" w:eastAsia="SimSun" w:hAnsi="SimSun" w:cs="SimSun" w:hint="eastAsia"/>
                <w:sz w:val="20"/>
                <w:szCs w:val="20"/>
              </w:rPr>
              <w:instrText>亲戚。我们认为</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充分理解以上几点有助于将</w:instrText>
            </w:r>
            <w:r w:rsidR="00A41569" w:rsidRPr="004B74FC">
              <w:rPr>
                <w:sz w:val="20"/>
                <w:szCs w:val="20"/>
              </w:rPr>
              <w:instrText>Kattunayakan</w:instrText>
            </w:r>
            <w:r w:rsidR="00A41569" w:rsidRPr="004B74FC">
              <w:rPr>
                <w:rFonts w:ascii="MS Mincho" w:eastAsia="MS Mincho" w:hAnsi="MS Mincho" w:cs="MS Mincho" w:hint="eastAsia"/>
                <w:sz w:val="20"/>
                <w:szCs w:val="20"/>
              </w:rPr>
              <w:instrText>部落的</w:instrText>
            </w:r>
            <w:r w:rsidR="00A41569" w:rsidRPr="004B74FC">
              <w:rPr>
                <w:rFonts w:ascii="SimSun" w:eastAsia="SimSun" w:hAnsi="SimSun" w:cs="SimSun" w:hint="eastAsia"/>
                <w:sz w:val="20"/>
                <w:szCs w:val="20"/>
              </w:rPr>
              <w:instrText>观点引入印度的森林管理</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并更广泛地解决人</w:instrText>
            </w:r>
            <w:r w:rsidR="00A41569" w:rsidRPr="004B74FC">
              <w:rPr>
                <w:rFonts w:ascii="Yu Gothic" w:eastAsia="Yu Gothic" w:hAnsi="Yu Gothic" w:cs="Yu Gothic" w:hint="eastAsia"/>
                <w:sz w:val="20"/>
                <w:szCs w:val="20"/>
              </w:rPr>
              <w:instrText>类与野生</w:instrText>
            </w:r>
            <w:r w:rsidR="00A41569" w:rsidRPr="004B74FC">
              <w:rPr>
                <w:rFonts w:ascii="SimSun" w:eastAsia="SimSun" w:hAnsi="SimSun" w:cs="SimSun" w:hint="eastAsia"/>
                <w:sz w:val="20"/>
                <w:szCs w:val="20"/>
              </w:rPr>
              <w:instrText>动物的冲突。</w:instrText>
            </w:r>
            <w:r w:rsidR="00A41569" w:rsidRPr="004B74FC">
              <w:rPr>
                <w:sz w:val="20"/>
                <w:szCs w:val="20"/>
              </w:rPr>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A."}],"issued":{"date-parts":[["2022",12]]}}}],"schema":"https://github.com/citation-style-language/schema/raw/master/csl-citation.json"} </w:instrText>
            </w:r>
            <w:r w:rsidR="00A41569" w:rsidRPr="004B74FC">
              <w:rPr>
                <w:sz w:val="20"/>
                <w:szCs w:val="20"/>
              </w:rPr>
              <w:fldChar w:fldCharType="separate"/>
            </w:r>
            <w:r w:rsidR="00A41569" w:rsidRPr="004B74FC">
              <w:rPr>
                <w:sz w:val="20"/>
              </w:rPr>
              <w:t>(Guizar‐Coutiño et al., 2022)</w:t>
            </w:r>
            <w:r w:rsidR="00A41569" w:rsidRPr="004B74FC">
              <w:rPr>
                <w:sz w:val="20"/>
                <w:szCs w:val="20"/>
              </w:rPr>
              <w:fldChar w:fldCharType="end"/>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B49C622" w14:textId="77777777" w:rsidR="00106979" w:rsidRDefault="00106979" w:rsidP="009309B4">
            <w:pPr>
              <w:spacing w:line="280" w:lineRule="auto"/>
            </w:pPr>
            <w:r>
              <w:rPr>
                <w:sz w:val="20"/>
                <w:szCs w:val="20"/>
              </w:rPr>
              <w:t>Partial</w:t>
            </w:r>
          </w:p>
        </w:tc>
      </w:tr>
      <w:tr w:rsidR="00106979" w14:paraId="1E862F5F"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A8B135B" w14:textId="77777777" w:rsidR="00106979" w:rsidRDefault="00106979" w:rsidP="009309B4">
            <w:pPr>
              <w:spacing w:line="280" w:lineRule="auto"/>
            </w:pPr>
            <w:r>
              <w:rPr>
                <w:sz w:val="20"/>
                <w:szCs w:val="20"/>
              </w:rPr>
              <w:t>COP 21, 2015 (Paris)</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727BA7" w14:textId="77777777" w:rsidR="00106979" w:rsidRDefault="00106979" w:rsidP="009309B4">
            <w:pPr>
              <w:spacing w:line="280" w:lineRule="auto"/>
            </w:pPr>
            <w:r>
              <w:rPr>
                <w:sz w:val="20"/>
                <w:szCs w:val="20"/>
              </w:rPr>
              <w:t>Article 5 recognises forests as carbon sinks; forests incorporated in NDC framework (voluntary)</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6FE773B" w14:textId="77777777" w:rsidR="00106979" w:rsidRDefault="00106979" w:rsidP="009309B4">
            <w:pPr>
              <w:spacing w:line="280" w:lineRule="auto"/>
            </w:pPr>
            <w:r>
              <w:rPr>
                <w:sz w:val="20"/>
                <w:szCs w:val="20"/>
              </w:rPr>
              <w:t>NDC forest commitments inconsistent in scope and ambition; no binding forest-specific targets</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B30E9CC" w14:textId="77777777" w:rsidR="00106979" w:rsidRDefault="00106979" w:rsidP="009309B4">
            <w:pPr>
              <w:spacing w:line="280" w:lineRule="auto"/>
            </w:pPr>
            <w:r>
              <w:rPr>
                <w:sz w:val="20"/>
                <w:szCs w:val="20"/>
              </w:rPr>
              <w:t>Partial</w:t>
            </w:r>
          </w:p>
        </w:tc>
      </w:tr>
      <w:tr w:rsidR="00106979" w14:paraId="24E50D5B"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CD41785" w14:textId="77777777" w:rsidR="00106979" w:rsidRDefault="00106979" w:rsidP="009309B4">
            <w:pPr>
              <w:spacing w:line="280" w:lineRule="auto"/>
            </w:pPr>
            <w:r>
              <w:rPr>
                <w:sz w:val="20"/>
                <w:szCs w:val="20"/>
              </w:rPr>
              <w:t>COP 26, 2021 (Glasgow)</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F971226" w14:textId="77777777" w:rsidR="00106979" w:rsidRDefault="00106979" w:rsidP="009309B4">
            <w:pPr>
              <w:spacing w:line="280" w:lineRule="auto"/>
            </w:pPr>
            <w:r>
              <w:rPr>
                <w:sz w:val="20"/>
                <w:szCs w:val="20"/>
              </w:rPr>
              <w:t>Glasgow Leaders' Declaration: 141 nations pledge to halt and reverse deforestation by 2030; USD 20 billion pledged</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1A00490" w14:textId="630BEACD" w:rsidR="00106979" w:rsidRDefault="00106979" w:rsidP="009309B4">
            <w:pPr>
              <w:spacing w:line="280" w:lineRule="auto"/>
            </w:pPr>
            <w:r>
              <w:rPr>
                <w:sz w:val="20"/>
                <w:szCs w:val="20"/>
              </w:rPr>
              <w:t xml:space="preserve">Tropical primary forest loss increased by 10 per cent in 2022, the first year after the Declaration </w:t>
            </w:r>
            <w:r w:rsidR="00A41569">
              <w:rPr>
                <w:sz w:val="20"/>
                <w:szCs w:val="20"/>
              </w:rPr>
              <w:fldChar w:fldCharType="begin"/>
            </w:r>
            <w:r w:rsidR="008263B8">
              <w:rPr>
                <w:sz w:val="20"/>
                <w:szCs w:val="20"/>
              </w:rPr>
              <w:instrText xml:space="preserve"> ADDIN ZOTERO_ITEM CSL_CITATION {"citationID":"2w6CsQbm","properties":{"unsorted":false,"formattedCitation":"(Weisse, Goldman and Carter, 2023)","plainCitation":"(Weisse, Goldman and Carter, 2023)","noteIndex":0},"citationItems":[{"id":151,"uris":["http://zotero.org/users/11719957/items/GRZSZ6E4"],"itemData":{"id":151,"type":"article-journal","container-title":"World Resources Institute","title":"Tropical primary forest loss worsened in 2022, despite international commitments to end deforestation","URL":"https://www.globalforestwatch.org/blog/forest-insights/global-tree-cover-loss-data-2022/","volume":"27","author":[{"family":"Weisse","given":"Mikaela"},{"family":"Goldman","given":"Elizabeth"},{"family":"Carter","given":"Sarah"}],"issued":{"date-parts":[["2023"]]}}}],"schema":"https://github.com/citation-style-language/schema/raw/master/csl-citation.json"} </w:instrText>
            </w:r>
            <w:r w:rsidR="00A41569">
              <w:rPr>
                <w:sz w:val="20"/>
                <w:szCs w:val="20"/>
              </w:rPr>
              <w:fldChar w:fldCharType="separate"/>
            </w:r>
            <w:r w:rsidR="00A41569" w:rsidRPr="00A41569">
              <w:rPr>
                <w:sz w:val="20"/>
              </w:rPr>
              <w:t>(Weisse, Goldman and Carter, 2023)</w:t>
            </w:r>
            <w:r w:rsidR="00A41569">
              <w:rPr>
                <w:sz w:val="20"/>
                <w:szCs w:val="20"/>
              </w:rPr>
              <w:fldChar w:fldCharType="end"/>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2DBCA19" w14:textId="77777777" w:rsidR="00106979" w:rsidRDefault="00106979" w:rsidP="009309B4">
            <w:pPr>
              <w:spacing w:line="280" w:lineRule="auto"/>
            </w:pPr>
            <w:r>
              <w:rPr>
                <w:sz w:val="20"/>
                <w:szCs w:val="20"/>
              </w:rPr>
              <w:t>Not met</w:t>
            </w:r>
          </w:p>
        </w:tc>
      </w:tr>
      <w:tr w:rsidR="00106979" w14:paraId="3BBC54C5"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23E2199" w14:textId="77777777" w:rsidR="00106979" w:rsidRDefault="00106979" w:rsidP="009309B4">
            <w:pPr>
              <w:spacing w:line="280" w:lineRule="auto"/>
            </w:pPr>
            <w:r>
              <w:rPr>
                <w:sz w:val="20"/>
                <w:szCs w:val="20"/>
              </w:rPr>
              <w:t>COP 27, 2022 (Sharm el-Sheikh)</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9B8D47" w14:textId="77777777" w:rsidR="00106979" w:rsidRDefault="00106979" w:rsidP="009309B4">
            <w:pPr>
              <w:spacing w:line="280" w:lineRule="auto"/>
            </w:pPr>
            <w:r>
              <w:rPr>
                <w:sz w:val="20"/>
                <w:szCs w:val="20"/>
              </w:rPr>
              <w:t>Loss and Damage Fund established for climate-vulnerable developing countries</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E879417" w14:textId="77777777" w:rsidR="00106979" w:rsidRDefault="00106979" w:rsidP="009309B4">
            <w:pPr>
              <w:spacing w:line="280" w:lineRule="auto"/>
            </w:pPr>
            <w:r>
              <w:rPr>
                <w:sz w:val="20"/>
                <w:szCs w:val="20"/>
              </w:rPr>
              <w:t>Fund created; no direct forest or biodiversity finance allocation</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2492926" w14:textId="77777777" w:rsidR="00106979" w:rsidRDefault="00106979" w:rsidP="009309B4">
            <w:pPr>
              <w:spacing w:line="280" w:lineRule="auto"/>
            </w:pPr>
            <w:r>
              <w:rPr>
                <w:sz w:val="20"/>
                <w:szCs w:val="20"/>
              </w:rPr>
              <w:t>Partial</w:t>
            </w:r>
          </w:p>
        </w:tc>
      </w:tr>
      <w:tr w:rsidR="00106979" w14:paraId="4E163090"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30CEBB9" w14:textId="77777777" w:rsidR="00106979" w:rsidRDefault="00106979" w:rsidP="009309B4">
            <w:pPr>
              <w:spacing w:line="280" w:lineRule="auto"/>
            </w:pPr>
            <w:r>
              <w:rPr>
                <w:sz w:val="20"/>
                <w:szCs w:val="20"/>
              </w:rPr>
              <w:lastRenderedPageBreak/>
              <w:t>COP 28, 2023 (Dubai)</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1BBF019" w14:textId="77777777" w:rsidR="00106979" w:rsidRDefault="00106979" w:rsidP="009309B4">
            <w:pPr>
              <w:spacing w:line="280" w:lineRule="auto"/>
            </w:pPr>
            <w:r>
              <w:rPr>
                <w:sz w:val="20"/>
                <w:szCs w:val="20"/>
              </w:rPr>
              <w:t>First Global Stocktake: NDCs confirmed insufficient for 1.5 degrees Celsius; forests cited as critical mitigation gap</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1F6CB66" w14:textId="77777777" w:rsidR="00106979" w:rsidRDefault="00106979" w:rsidP="009309B4">
            <w:pPr>
              <w:spacing w:line="280" w:lineRule="auto"/>
            </w:pPr>
            <w:r>
              <w:rPr>
                <w:sz w:val="20"/>
                <w:szCs w:val="20"/>
              </w:rPr>
              <w:t>No new binding forest commitments; NbS integrity concerns raised</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3E5B323" w14:textId="77777777" w:rsidR="00106979" w:rsidRDefault="00106979" w:rsidP="009309B4">
            <w:pPr>
              <w:spacing w:line="280" w:lineRule="auto"/>
            </w:pPr>
            <w:r>
              <w:rPr>
                <w:sz w:val="20"/>
                <w:szCs w:val="20"/>
              </w:rPr>
              <w:t>Not met</w:t>
            </w:r>
          </w:p>
        </w:tc>
      </w:tr>
    </w:tbl>
    <w:p w14:paraId="4451F5FB" w14:textId="77777777" w:rsidR="00106979" w:rsidRDefault="00106979" w:rsidP="00106979">
      <w:r>
        <w:br w:type="page"/>
      </w:r>
    </w:p>
    <w:p w14:paraId="175666B8" w14:textId="77777777" w:rsidR="00106979" w:rsidRDefault="00106979" w:rsidP="00106979">
      <w:pPr>
        <w:pStyle w:val="Heading1"/>
      </w:pPr>
      <w:bookmarkStart w:id="20" w:name="_Toc228278413"/>
      <w:r>
        <w:lastRenderedPageBreak/>
        <w:t>Chapter 4: Prospects for Forests and Biodiversity after COP 29</w:t>
      </w:r>
      <w:bookmarkEnd w:id="20"/>
    </w:p>
    <w:p w14:paraId="68AF4DB9" w14:textId="77777777" w:rsidR="00106979" w:rsidRDefault="00106979" w:rsidP="00106979">
      <w:pPr>
        <w:pStyle w:val="Heading2"/>
      </w:pPr>
      <w:bookmarkStart w:id="21" w:name="_Toc228278414"/>
      <w:r>
        <w:t>4.1 COP 29: The Baku Climate Unity Pact (November 2024)</w:t>
      </w:r>
      <w:bookmarkEnd w:id="21"/>
    </w:p>
    <w:p w14:paraId="2845AAD8" w14:textId="2D64224C" w:rsidR="00106979" w:rsidRDefault="00106979" w:rsidP="00106979">
      <w:pPr>
        <w:spacing w:after="200" w:line="360" w:lineRule="auto"/>
        <w:jc w:val="both"/>
      </w:pPr>
      <w:r>
        <w:t xml:space="preserve">COP 29 in Baku, Azerbaijan, was defined by climate finance. Its central outcome, the Baku Climate Unity Pact, established the New Collective Quantified Goal (NCQG): a commitment for developed countries to mobilise at least USD 300 billion per year by 2035, alongside a broader Baku-Belem Roadmap calling on all actors to reach USD 1.3 trillion annually </w:t>
      </w:r>
      <w:r>
        <w:fldChar w:fldCharType="begin"/>
      </w:r>
      <w:r w:rsidR="008263B8">
        <w:instrText xml:space="preserve"> ADDIN ZOTERO_ITEM CSL_CITATION {"citationID":"QxB2QDSK","properties":{"unsorted":false,"formattedCitation":"(IISD, 2024)","plainCitation":"(IISD, 2024)","noteIndex":0},"citationItems":[{"id":159,"uris":["http://zotero.org/users/11719957/items/66TARGHA"],"itemData":{"id":159,"type":"book","collection-title":"Earth Negotiations Bulletin","language":"en","number-of-volumes":"865","publisher":"International Institute for Sustainable Development","publisher-place":"Baku","title":"Summary of the 2024 Baku Climate Change Conference: 11-22 November 2024","URL":"https://enb.iisd.org/sites/default/files/2024-11/enb12865e_0.pdf","volume":"12","author":[{"literal":"IISD"}],"accessed":{"date-parts":[["2026",4,27]]},"issued":{"date-parts":[["2024"]]}}}],"schema":"https://github.com/citation-style-language/schema/raw/master/csl-citation.json"} </w:instrText>
      </w:r>
      <w:r>
        <w:fldChar w:fldCharType="separate"/>
      </w:r>
      <w:r w:rsidRPr="000113B0">
        <w:t>(IISD, 2024)</w:t>
      </w:r>
      <w:r>
        <w:fldChar w:fldCharType="end"/>
      </w:r>
      <w:r>
        <w:t xml:space="preserve">. For forests and biodiversity, direct progress was limited. Negotiations on Article 6.4 carbon markets, which include provisions for forestry and REDD+ activities, reached a technical resolution, but civil society observers criticised the absence of robust environmental integrity safeguards. No new binding commitments on deforestation were adopted. The Glasgow Leaders' Declaration on Forests and Land Use, signed by 141 nations at COP 26, remained the primary forest benchmark, yet post-Glasgow monitoring confirmed that global deforestation increased by 4 to 7 per cent between 2021 and 2022, with between 5.8 and 6.6 million hectares permanently lost in that year alone </w:t>
      </w:r>
      <w:r>
        <w:fldChar w:fldCharType="begin"/>
      </w:r>
      <w:r>
        <w:instrText xml:space="preserve"> ADDIN ZOTERO_ITEM CSL_CITATION {"citationID":"mr2rqsVj","properties":{"unsorted":false,"formattedCitation":"(FDA, 2025)","plainCitation":"(FDA, 2025)","noteIndex":0},"citationItems":[{"id":158,"uris":["http://zotero.org/users/11719957/items/PSJFEFDQ"],"itemData":{"id":158,"type":"report","language":"en","title":"Forest Declaration Assessment","URL":"https://forestdeclaration.org/wp-content/uploads/2025/10/Assessment2025.pdf","author":[{"literal":"FDA"}],"accessed":{"date-parts":[["2026",4,27]]},"issued":{"date-parts":[["2025"]]}}}],"schema":"https://github.com/citation-style-language/schema/raw/master/csl-citation.json"} </w:instrText>
      </w:r>
      <w:r>
        <w:fldChar w:fldCharType="separate"/>
      </w:r>
      <w:r w:rsidRPr="00584D9F">
        <w:t>(FDA, 2025)</w:t>
      </w:r>
      <w:r>
        <w:fldChar w:fldCharType="end"/>
      </w:r>
      <w:r>
        <w:t>. COP 29 therefore left the accountability gap between forest pledge and verified delivery unresolved, with the expectation that Belem would provide the substantive forest agenda.</w:t>
      </w:r>
    </w:p>
    <w:p w14:paraId="13B7E4E2" w14:textId="77777777" w:rsidR="00106979" w:rsidRDefault="00106979" w:rsidP="00106979">
      <w:pPr>
        <w:pStyle w:val="Heading2"/>
      </w:pPr>
      <w:bookmarkStart w:id="22" w:name="_Toc228278415"/>
      <w:r>
        <w:t>4.2 COP 30: The Belem Package and Forest Outcomes (November 2025)</w:t>
      </w:r>
      <w:bookmarkEnd w:id="22"/>
    </w:p>
    <w:p w14:paraId="10D45F5D" w14:textId="77777777" w:rsidR="00106979" w:rsidRDefault="00106979" w:rsidP="00106979">
      <w:pPr>
        <w:spacing w:after="200" w:line="360" w:lineRule="auto"/>
        <w:jc w:val="both"/>
      </w:pPr>
      <w:r>
        <w:t xml:space="preserve">COP 30 in Belem, located at the edge of the Amazon basin, was framed by Brazil as the implementation COP and, informally, the Forest COP. It produced the Belem Package: 29 decisions adopted by 195 Parties, covering adaptation finance, the Belem Mission to 1.5, and a Global Implementation Accelerator </w:t>
      </w:r>
      <w:r>
        <w:fldChar w:fldCharType="begin"/>
      </w:r>
      <w:r>
        <w:instrText xml:space="preserve"> ADDIN ZOTERO_ITEM CSL_CITATION {"citationID":"4QKzDK3G","properties":{"unsorted":false,"formattedCitation":"(Leal-Arcas, 2025)","plainCitation":"(Leal-Arcas, 2025)","noteIndex":0},"citationItems":[{"id":156,"uris":["http://zotero.org/users/11719957/items/7XDNJRD9"],"itemData":{"id":156,"type":"article","DOI":"10.2139/ssrn.5269063","publisher":"SSRN","source":"DOI.org (Crossref)","title":"COP30 in Brazil: A Critical Juncture for the Paris Agreement","title-short":"COP30 in Brazil","URL":"https://www.ssrn.com/abstract=5269063","author":[{"family":"Leal-Arcas","given":"Rafael"}],"accessed":{"date-parts":[["2026",4,28]]},"issued":{"date-parts":[["2025"]]}}}],"schema":"https://github.com/citation-style-language/schema/raw/master/csl-citation.json"} </w:instrText>
      </w:r>
      <w:r>
        <w:fldChar w:fldCharType="separate"/>
      </w:r>
      <w:r w:rsidRPr="00584D9F">
        <w:t>(Leal-Arcas, 2025)</w:t>
      </w:r>
      <w:r>
        <w:fldChar w:fldCharType="end"/>
      </w:r>
      <w:r>
        <w:t xml:space="preserve">. Over 122 countries submitted new or updated NDCs, though these collectively delivered less than 15 per cent of the emissions reductions needed to stay within 1.5 degrees Celsius, and 76 countries missed the submission deadline entirely </w:t>
      </w:r>
      <w:r>
        <w:fldChar w:fldCharType="begin"/>
      </w:r>
      <w:r>
        <w:instrText xml:space="preserve"> ADDIN ZOTERO_ITEM CSL_CITATION {"citationID":"dprBOwi7","properties":{"unsorted":false,"formattedCitation":"(WRI, 2025)","plainCitation":"(WRI, 2025)","noteIndex":0},"citationItems":[{"id":157,"uris":["http://zotero.org/users/11719957/items/33KFQZU9"],"itemData":{"id":157,"type":"webpage","publisher-place":"Belem","title":"STATEMENT: COP30 Delivers on Forests and Finance, Underdelivers on Fossil Fuels","URL":"https://www.wri.org/news/statement-cop30-delivers-forests-and-finance-underdelivers-fossil-fuels","author":[{"literal":"WRI"}],"accessed":{"date-parts":[["2026",4,27]]},"issued":{"date-parts":[["2025"]]}}}],"schema":"https://github.com/citation-style-language/schema/raw/master/csl-citation.json"} </w:instrText>
      </w:r>
      <w:r>
        <w:fldChar w:fldCharType="separate"/>
      </w:r>
      <w:r w:rsidRPr="00584D9F">
        <w:t>(WRI, 2025)</w:t>
      </w:r>
      <w:r>
        <w:fldChar w:fldCharType="end"/>
      </w:r>
      <w:r>
        <w:t>.</w:t>
      </w:r>
    </w:p>
    <w:p w14:paraId="3E5B1B2C" w14:textId="4420D62C" w:rsidR="00106979" w:rsidRDefault="00106979" w:rsidP="00106979">
      <w:pPr>
        <w:spacing w:after="200" w:line="360" w:lineRule="auto"/>
        <w:jc w:val="both"/>
      </w:pPr>
      <w:r>
        <w:t xml:space="preserve">On forests, the most significant outcome was the launch of the Tropical Forests Forever Facility (TFFF): a permanent long-term financing mechanism that raised USD 5.5 billion from 53 countries, directing at least 20 per cent of resources to Indigenous Peoples and local communities </w:t>
      </w:r>
      <w:r>
        <w:fldChar w:fldCharType="begin"/>
      </w:r>
      <w:r>
        <w:instrText xml:space="preserve"> ADDIN ZOTERO_ITEM CSL_CITATION {"citationID":"b5suTffL","properties":{"unsorted":false,"formattedCitation":"(Leal-Arcas, 2025)","plainCitation":"(Leal-Arcas, 2025)","noteIndex":0},"citationItems":[{"id":156,"uris":["http://zotero.org/users/11719957/items/7XDNJRD9"],"itemData":{"id":156,"type":"article","DOI":"10.2139/ssrn.5269063","publisher":"SSRN","source":"DOI.org (Crossref)","title":"COP30 in Brazil: A Critical Juncture for the Paris Agreement","title-short":"COP30 in Brazil","URL":"https://www.ssrn.com/abstract=5269063","author":[{"family":"Leal-Arcas","given":"Rafael"}],"accessed":{"date-parts":[["2026",4,28]]},"issued":{"date-parts":[["2025"]]}}}],"schema":"https://github.com/citation-style-language/schema/raw/master/csl-citation.json"} </w:instrText>
      </w:r>
      <w:r>
        <w:fldChar w:fldCharType="separate"/>
      </w:r>
      <w:r w:rsidRPr="000113B0">
        <w:t>(Leal-Arcas, 2025)</w:t>
      </w:r>
      <w:r>
        <w:fldChar w:fldCharType="end"/>
      </w:r>
      <w:r>
        <w:t xml:space="preserve">. Brazil announced deforestation rates in the Amazon had reached an 11-year low, and the COP 30 Presidency committed to a Forest and Climate Roadmap to halt and reverse deforestation. Critically, however, this roadmap was not formally adopted within the binding Belem Package; opposition from a minority of parties blocked its integration into the core decisions </w:t>
      </w:r>
      <w:r>
        <w:fldChar w:fldCharType="begin"/>
      </w:r>
      <w:r>
        <w:instrText xml:space="preserve"> ADDIN ZOTERO_ITEM CSL_CITATION {"citationID":"CM2mGutg","properties":{"unsorted":false,"formattedCitation":"(WRI, 2025)","plainCitation":"(WRI, 2025)","noteIndex":0},"citationItems":[{"id":157,"uris":["http://zotero.org/users/11719957/items/33KFQZU9"],"itemData":{"id":157,"type":"webpage","publisher-place":"Belem","title":"STATEMENT: COP30 Delivers on Forests and Finance, Underdelivers on Fossil Fuels","URL":"https://www.wri.org/news/statement-cop30-delivers-forests-and-finance-underdelivers-fossil-fuels","author":[{"literal":"WRI"}],"accessed":{"date-parts":[["2026",4,27]]},"issued":{"date-parts":[["2025"]]}}}],"schema":"https://github.com/citation-style-language/schema/raw/master/csl-citation.json"} </w:instrText>
      </w:r>
      <w:r>
        <w:fldChar w:fldCharType="separate"/>
      </w:r>
      <w:r w:rsidRPr="000113B0">
        <w:t>(WRI, 2025)</w:t>
      </w:r>
      <w:r>
        <w:fldChar w:fldCharType="end"/>
      </w:r>
      <w:r>
        <w:t xml:space="preserve">. Efforts to produce a joint synergies agreement </w:t>
      </w:r>
      <w:r>
        <w:lastRenderedPageBreak/>
        <w:t xml:space="preserve">between the UNFCCC, CBD, and </w:t>
      </w:r>
      <w:r w:rsidR="009B3D24" w:rsidRPr="009B3D24">
        <w:t>United Nations Convention to Combat Desertification</w:t>
      </w:r>
      <w:r w:rsidR="009B3D24">
        <w:t xml:space="preserve"> (</w:t>
      </w:r>
      <w:r>
        <w:t>UNCCD</w:t>
      </w:r>
      <w:r w:rsidR="009B3D24">
        <w:t>)</w:t>
      </w:r>
      <w:r>
        <w:t xml:space="preserve"> also failed, with some nations resisting what they framed as a blurring of treaty mandates </w:t>
      </w:r>
      <w:r>
        <w:fldChar w:fldCharType="begin"/>
      </w:r>
      <w:r w:rsidR="000741F8">
        <w:instrText xml:space="preserve"> ADDIN ZOTERO_ITEM CSL_CITATION {"citationID":"cRJ6MYsb","properties":{"unsorted":false,"formattedCitation":"(Carbon Brief, 2025)","plainCitation":"(Carbon Brief, 2025)","noteIndex":0},"citationItems":[{"id":160,"uris":["http://zotero.org/users/11719957/items/38DFIAQC"],"itemData":{"id":160,"type":"webpage","container-title":"Carbon Brief","title":"COP30: Key outcomes for food, forests, land and nature at the UN climate talks in Belem","URL":"https://www.carbonbrief.org/cop30-key-outcomes-for-food-forests-land-and-nature-at-the-un-climate-talks-in-belem/","author":[{"literal":"Carbon Brief"}],"accessed":{"date-parts":[["2026",4,27]]},"issued":{"date-parts":[["2025"]]}}}],"schema":"https://github.com/citation-style-language/schema/raw/master/csl-citation.json"} </w:instrText>
      </w:r>
      <w:r>
        <w:fldChar w:fldCharType="separate"/>
      </w:r>
      <w:r w:rsidRPr="00E81B5F">
        <w:t>(Carbon Brief, 2025)</w:t>
      </w:r>
      <w:r>
        <w:fldChar w:fldCharType="end"/>
      </w:r>
      <w:r>
        <w:t>.</w:t>
      </w:r>
    </w:p>
    <w:p w14:paraId="482E3D27" w14:textId="77777777" w:rsidR="00106979" w:rsidRDefault="00106979" w:rsidP="00106979">
      <w:pPr>
        <w:pStyle w:val="Heading2"/>
      </w:pPr>
      <w:bookmarkStart w:id="23" w:name="_Toc228278416"/>
      <w:r>
        <w:t>4.3 Critical Assessment of Post-COP 30 Prospects</w:t>
      </w:r>
      <w:bookmarkEnd w:id="23"/>
    </w:p>
    <w:p w14:paraId="30ECD6AA" w14:textId="77777777" w:rsidR="00106979" w:rsidRDefault="00106979" w:rsidP="00106979">
      <w:pPr>
        <w:spacing w:after="200" w:line="360" w:lineRule="auto"/>
        <w:jc w:val="both"/>
      </w:pPr>
      <w:r>
        <w:t>Table 3 summarises the key strengths, weaknesses, opportunities, and threats for forests and biodiversity governance in the post-Belem period.</w:t>
      </w:r>
    </w:p>
    <w:p w14:paraId="08F3F4E7" w14:textId="77777777" w:rsidR="00106979" w:rsidRPr="00501265" w:rsidRDefault="00106979" w:rsidP="00106979">
      <w:pPr>
        <w:pStyle w:val="Caption"/>
        <w:keepNext/>
        <w:jc w:val="center"/>
        <w:rPr>
          <w:i w:val="0"/>
          <w:iCs w:val="0"/>
          <w:color w:val="auto"/>
          <w:sz w:val="22"/>
        </w:rPr>
      </w:pPr>
      <w:bookmarkStart w:id="24" w:name="_Toc228278426"/>
      <w:r w:rsidRPr="00501265">
        <w:rPr>
          <w:i w:val="0"/>
          <w:iCs w:val="0"/>
          <w:color w:val="auto"/>
          <w:sz w:val="22"/>
        </w:rPr>
        <w:t xml:space="preserve">Table </w:t>
      </w:r>
      <w:r w:rsidRPr="00501265">
        <w:rPr>
          <w:i w:val="0"/>
          <w:iCs w:val="0"/>
          <w:color w:val="auto"/>
          <w:sz w:val="22"/>
        </w:rPr>
        <w:fldChar w:fldCharType="begin"/>
      </w:r>
      <w:r w:rsidRPr="00501265">
        <w:rPr>
          <w:i w:val="0"/>
          <w:iCs w:val="0"/>
          <w:color w:val="auto"/>
          <w:sz w:val="22"/>
        </w:rPr>
        <w:instrText xml:space="preserve"> SEQ Table \* ARABIC </w:instrText>
      </w:r>
      <w:r w:rsidRPr="00501265">
        <w:rPr>
          <w:i w:val="0"/>
          <w:iCs w:val="0"/>
          <w:color w:val="auto"/>
          <w:sz w:val="22"/>
        </w:rPr>
        <w:fldChar w:fldCharType="separate"/>
      </w:r>
      <w:r w:rsidRPr="00501265">
        <w:rPr>
          <w:i w:val="0"/>
          <w:iCs w:val="0"/>
          <w:color w:val="auto"/>
          <w:sz w:val="22"/>
        </w:rPr>
        <w:t>3</w:t>
      </w:r>
      <w:r w:rsidRPr="00501265">
        <w:rPr>
          <w:i w:val="0"/>
          <w:iCs w:val="0"/>
          <w:color w:val="auto"/>
          <w:sz w:val="22"/>
        </w:rPr>
        <w:fldChar w:fldCharType="end"/>
      </w:r>
      <w:r w:rsidRPr="00501265">
        <w:rPr>
          <w:i w:val="0"/>
          <w:iCs w:val="0"/>
          <w:color w:val="auto"/>
          <w:sz w:val="22"/>
        </w:rPr>
        <w:t>: SWOT analysis of prospects for forests and biodiversity in the post-COP 30 landscape</w:t>
      </w:r>
      <w:bookmarkEnd w:id="2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106979" w14:paraId="5739DA4D" w14:textId="77777777" w:rsidTr="009309B4">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1206FDCA" w14:textId="77777777" w:rsidR="00106979" w:rsidRDefault="00106979" w:rsidP="009309B4">
            <w:pPr>
              <w:spacing w:before="60" w:after="80" w:line="300" w:lineRule="auto"/>
            </w:pPr>
            <w:r>
              <w:rPr>
                <w:b/>
                <w:bCs/>
                <w:sz w:val="22"/>
                <w:szCs w:val="22"/>
              </w:rPr>
              <w:t>Strengths</w:t>
            </w:r>
          </w:p>
          <w:p w14:paraId="3142E6E1" w14:textId="77777777" w:rsidR="00106979" w:rsidRDefault="00106979" w:rsidP="009309B4">
            <w:pPr>
              <w:spacing w:after="50" w:line="300" w:lineRule="auto"/>
              <w:ind w:left="180" w:hanging="180"/>
            </w:pPr>
            <w:r>
              <w:rPr>
                <w:sz w:val="20"/>
                <w:szCs w:val="20"/>
              </w:rPr>
              <w:t>- Tropical Forests Forever Facility raised USD 5.5 billion at COP 30, with 20 per cent allocated to Indigenous Peoples</w:t>
            </w:r>
          </w:p>
          <w:p w14:paraId="6EA01DED" w14:textId="77777777" w:rsidR="00106979" w:rsidRDefault="00106979" w:rsidP="009309B4">
            <w:pPr>
              <w:spacing w:after="50" w:line="300" w:lineRule="auto"/>
              <w:ind w:left="180" w:hanging="180"/>
            </w:pPr>
            <w:r>
              <w:rPr>
                <w:sz w:val="20"/>
                <w:szCs w:val="20"/>
              </w:rPr>
              <w:t>- Amazon deforestation reached an 11-year low in Brazil ahead of COP 30, demonstrating domestic progress</w:t>
            </w:r>
          </w:p>
          <w:p w14:paraId="0FA90549" w14:textId="77777777" w:rsidR="00106979" w:rsidRDefault="00106979" w:rsidP="009309B4">
            <w:pPr>
              <w:spacing w:after="50" w:line="300" w:lineRule="auto"/>
              <w:ind w:left="180" w:hanging="180"/>
            </w:pPr>
            <w:r>
              <w:rPr>
                <w:sz w:val="20"/>
                <w:szCs w:val="20"/>
              </w:rPr>
              <w:t>- Record Indigenous Peoples participation at COP 30: 3,000 community representatives</w:t>
            </w:r>
          </w:p>
        </w:tc>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623C827B" w14:textId="77777777" w:rsidR="00106979" w:rsidRDefault="00106979" w:rsidP="009309B4">
            <w:pPr>
              <w:spacing w:before="60" w:after="80" w:line="300" w:lineRule="auto"/>
            </w:pPr>
            <w:r>
              <w:rPr>
                <w:b/>
                <w:bCs/>
                <w:sz w:val="22"/>
                <w:szCs w:val="22"/>
              </w:rPr>
              <w:t>Weaknesses</w:t>
            </w:r>
          </w:p>
          <w:p w14:paraId="46669508" w14:textId="77777777" w:rsidR="00106979" w:rsidRDefault="00106979" w:rsidP="009309B4">
            <w:pPr>
              <w:spacing w:after="50" w:line="300" w:lineRule="auto"/>
              <w:ind w:left="180" w:hanging="180"/>
            </w:pPr>
            <w:r>
              <w:rPr>
                <w:sz w:val="20"/>
                <w:szCs w:val="20"/>
              </w:rPr>
              <w:t>- TFFF is voluntary and lacks binding conditionality or independent verification requirements</w:t>
            </w:r>
          </w:p>
          <w:p w14:paraId="68702068" w14:textId="77777777" w:rsidR="00106979" w:rsidRDefault="00106979" w:rsidP="009309B4">
            <w:pPr>
              <w:spacing w:after="50" w:line="300" w:lineRule="auto"/>
              <w:ind w:left="180" w:hanging="180"/>
            </w:pPr>
            <w:r>
              <w:rPr>
                <w:sz w:val="20"/>
                <w:szCs w:val="20"/>
              </w:rPr>
              <w:t>- 76 countries representing over 26 per cent of global emissions failed to submit updated NDCs at COP 30</w:t>
            </w:r>
          </w:p>
          <w:p w14:paraId="30982114" w14:textId="77777777" w:rsidR="00106979" w:rsidRDefault="00106979" w:rsidP="009309B4">
            <w:pPr>
              <w:spacing w:after="50" w:line="300" w:lineRule="auto"/>
              <w:ind w:left="180" w:hanging="180"/>
            </w:pPr>
            <w:r>
              <w:rPr>
                <w:sz w:val="20"/>
                <w:szCs w:val="20"/>
              </w:rPr>
              <w:t>- Biodiversity targets under the Kunming-Montreal GBF remain structurally separate from UNFCCC NDC processes</w:t>
            </w:r>
          </w:p>
        </w:tc>
      </w:tr>
      <w:tr w:rsidR="00106979" w14:paraId="3EF9A27C" w14:textId="77777777" w:rsidTr="009309B4">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6178943D" w14:textId="77777777" w:rsidR="00106979" w:rsidRDefault="00106979" w:rsidP="009309B4">
            <w:pPr>
              <w:spacing w:before="60" w:after="80" w:line="300" w:lineRule="auto"/>
            </w:pPr>
            <w:r>
              <w:rPr>
                <w:b/>
                <w:bCs/>
                <w:sz w:val="22"/>
                <w:szCs w:val="22"/>
              </w:rPr>
              <w:t>Opportunities</w:t>
            </w:r>
          </w:p>
          <w:p w14:paraId="69DBC0F3" w14:textId="77777777" w:rsidR="00106979" w:rsidRPr="003B037B" w:rsidRDefault="00106979" w:rsidP="009309B4">
            <w:pPr>
              <w:spacing w:after="50" w:line="300" w:lineRule="auto"/>
              <w:ind w:left="180" w:hanging="180"/>
              <w:rPr>
                <w:color w:val="auto"/>
              </w:rPr>
            </w:pPr>
            <w:r w:rsidRPr="003B037B">
              <w:rPr>
                <w:color w:val="auto"/>
                <w:sz w:val="20"/>
                <w:szCs w:val="20"/>
              </w:rPr>
              <w:t>- TFFF designed as a permanent long-term facility, improving planning horizons for forest finance</w:t>
            </w:r>
          </w:p>
          <w:p w14:paraId="2E860D7C" w14:textId="77777777" w:rsidR="00106979" w:rsidRPr="003B037B" w:rsidRDefault="00106979" w:rsidP="009309B4">
            <w:pPr>
              <w:spacing w:after="50" w:line="300" w:lineRule="auto"/>
              <w:ind w:left="180" w:hanging="180"/>
              <w:rPr>
                <w:color w:val="auto"/>
              </w:rPr>
            </w:pPr>
            <w:r w:rsidRPr="003B037B">
              <w:rPr>
                <w:color w:val="auto"/>
                <w:sz w:val="20"/>
                <w:szCs w:val="20"/>
              </w:rPr>
              <w:t>- Belem Mission to 1.5 platform can accelerate forest ambition during inter-sessional period to COP 31</w:t>
            </w:r>
          </w:p>
          <w:p w14:paraId="67C01467" w14:textId="77777777" w:rsidR="00106979" w:rsidRDefault="00106979" w:rsidP="009309B4">
            <w:pPr>
              <w:spacing w:after="50" w:line="300" w:lineRule="auto"/>
              <w:ind w:left="180" w:hanging="180"/>
            </w:pPr>
            <w:r w:rsidRPr="003B037B">
              <w:rPr>
                <w:color w:val="auto"/>
                <w:sz w:val="20"/>
                <w:szCs w:val="20"/>
              </w:rPr>
              <w:t>- EU Deforestation Regulation creates supply-chain demand for verified deforestation-free sourcing</w:t>
            </w:r>
          </w:p>
        </w:tc>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4EDBA2C3" w14:textId="77777777" w:rsidR="00106979" w:rsidRDefault="00106979" w:rsidP="009309B4">
            <w:pPr>
              <w:spacing w:before="60" w:after="80" w:line="300" w:lineRule="auto"/>
            </w:pPr>
            <w:r>
              <w:rPr>
                <w:b/>
                <w:bCs/>
                <w:sz w:val="22"/>
                <w:szCs w:val="22"/>
              </w:rPr>
              <w:t>Threats</w:t>
            </w:r>
          </w:p>
          <w:p w14:paraId="5AFFE988" w14:textId="77777777" w:rsidR="00106979" w:rsidRDefault="00106979" w:rsidP="009309B4">
            <w:pPr>
              <w:spacing w:after="50" w:line="300" w:lineRule="auto"/>
              <w:ind w:left="180" w:hanging="180"/>
            </w:pPr>
            <w:r>
              <w:rPr>
                <w:sz w:val="20"/>
                <w:szCs w:val="20"/>
              </w:rPr>
              <w:t>- US withdrawal from the Paris Agreement in 2025 weakens multilateral climate finance commitments</w:t>
            </w:r>
          </w:p>
          <w:p w14:paraId="26AEE651" w14:textId="77777777" w:rsidR="00106979" w:rsidRDefault="00106979" w:rsidP="009309B4">
            <w:pPr>
              <w:spacing w:after="50" w:line="300" w:lineRule="auto"/>
              <w:ind w:left="180" w:hanging="180"/>
            </w:pPr>
            <w:r>
              <w:rPr>
                <w:sz w:val="20"/>
                <w:szCs w:val="20"/>
              </w:rPr>
              <w:t>- No binding deforestation roadmap was included in the formal Belem Package at COP 30</w:t>
            </w:r>
          </w:p>
          <w:p w14:paraId="1EC67816" w14:textId="77777777" w:rsidR="00106979" w:rsidRDefault="00106979" w:rsidP="009309B4">
            <w:pPr>
              <w:spacing w:after="50" w:line="300" w:lineRule="auto"/>
              <w:ind w:left="180" w:hanging="180"/>
            </w:pPr>
            <w:r>
              <w:rPr>
                <w:sz w:val="20"/>
                <w:szCs w:val="20"/>
              </w:rPr>
              <w:t>- Continued commodity-driven deforestation in soy, beef, and palm oil supply chains undermines NDC gains</w:t>
            </w:r>
          </w:p>
        </w:tc>
      </w:tr>
    </w:tbl>
    <w:p w14:paraId="09DB3542" w14:textId="77777777" w:rsidR="00106979" w:rsidRDefault="00106979" w:rsidP="00106979">
      <w:pPr>
        <w:spacing w:after="200" w:line="360" w:lineRule="auto"/>
        <w:jc w:val="both"/>
        <w:rPr>
          <w:sz w:val="20"/>
          <w:szCs w:val="20"/>
        </w:rPr>
      </w:pPr>
    </w:p>
    <w:p w14:paraId="3996E005" w14:textId="77777777" w:rsidR="00106979" w:rsidRDefault="00106979" w:rsidP="00106979">
      <w:pPr>
        <w:spacing w:after="200" w:line="360" w:lineRule="auto"/>
        <w:jc w:val="both"/>
      </w:pPr>
      <w:r>
        <w:t xml:space="preserve">The biodiversity protection gap illustrated in Figure 5 provides a concrete quantitative measure of the weakness identified in the SWOT analysis above. Despite two decades of international commitment, the proportion of global land under formal protection has risen from 13 per cent in 2010 to only 17.6 per cent in 2025, leaving a 12.4 percentage-point gap to the 30x30 target with just five years remaining. Hughes and Grumbine </w:t>
      </w:r>
      <w:r>
        <w:fldChar w:fldCharType="begin"/>
      </w:r>
      <w:r>
        <w:instrText xml:space="preserve"> ADDIN ZOTERO_ITEM CSL_CITATION {"citationID":"WXxc7a8n","properties":{"unsorted":false,"formattedCitation":"(2023)","plainCitation":"(2023)","noteIndex":0},"citationItems":[{"id":133,"uris":["http://zotero.org/users/11719957/items/S2RK733Q"],"itemData":{"id":133,"type":"article-journal","abstract":"The Kunming-Montreal Global Biodiversity Framework (GBF) marks one of the most ambitious environmental agreements of the 21st century. Yet despite the ambition, and the considerable change in approach since negotiating its predecessor (the 2025 Vision and Aichi targets), the many pressures, including working through a global pandemic mean that the final agreement, despite several years of delay, is weaker than might have been hoped for. The GBF provides a set of four goals, composed of 23 targets (and a series of supporting annexes) which explore the options for conservation, restoration and sustainable use of biodiversity, and the mobilisation of necessary resources to maintain life on Earth. In this perspective we systematically examine the composition of the GBF, exploring what the targets lack and what weaknesses exist in text. We also detail the link between the targets and the key indicators which can be used to track success toward fulfilling the targets. We offer key recommendations which could help strengthen the application of various targets, and show where the indicators could be improved to provide more detailed information to monitor progress. Furthermore, we discuss the association between targets and their indicators, and detail where indicators may lack the necessary temporal resolution or other elements. Finally, we discuss how various actors might better prepare for the successor to the GBF in 2030 and what has been learnt about the negotiating process, including lessons to help ensure that future agreements can circumnavigate issues which may have weakened the agreement.","container-title":"Frontiers in Environmental Science","DOI":"10.3389/fenvs.2023.1281536","ISSN":"2296-665X","journalAbbreviation":"Front. Environ. Sci.","page":"1281536","source":"DOI.org (Crossref)","title":"The Kunming-Montreal Global Biodiversity Framework: what it does and does not do, and how to improve it","title-short":"The Kunming-Montreal Global Biodiversity Framework","volume":"11","author":[{"family":"Hughes","given":"Alice C."},{"family":"Grumbine","given":"R. Edward"}],"issued":{"date-parts":[["2023",11,6]]}},"suppress-author":true}],"schema":"https://github.com/citation-style-language/schema/raw/master/csl-citation.json"} </w:instrText>
      </w:r>
      <w:r>
        <w:fldChar w:fldCharType="separate"/>
      </w:r>
      <w:r w:rsidRPr="00E81B5F">
        <w:t>(2023)</w:t>
      </w:r>
      <w:r>
        <w:fldChar w:fldCharType="end"/>
      </w:r>
      <w:r>
        <w:t xml:space="preserve"> note that even the current protected area statistics overstate effective conservation, as the quality and enforcement of protection varies enormously between designations.</w:t>
      </w:r>
    </w:p>
    <w:p w14:paraId="6C1CFEC0" w14:textId="77777777" w:rsidR="00106979" w:rsidRDefault="00106979" w:rsidP="00106979">
      <w:pPr>
        <w:keepNext/>
        <w:spacing w:before="200" w:after="80" w:line="360" w:lineRule="auto"/>
        <w:jc w:val="center"/>
      </w:pPr>
      <w:r>
        <w:rPr>
          <w:noProof/>
          <w:lang w:bidi="ar-SA"/>
        </w:rPr>
        <w:lastRenderedPageBreak/>
        <w:drawing>
          <wp:inline distT="0" distB="0" distL="0" distR="0" wp14:anchorId="61B8ED26" wp14:editId="0E6EA2A0">
            <wp:extent cx="5731510" cy="3872230"/>
            <wp:effectExtent l="0" t="0" r="2540" b="0"/>
            <wp:docPr id="3642327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232720" name="Picture 36423272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72230"/>
                    </a:xfrm>
                    <a:prstGeom prst="rect">
                      <a:avLst/>
                    </a:prstGeom>
                  </pic:spPr>
                </pic:pic>
              </a:graphicData>
            </a:graphic>
          </wp:inline>
        </w:drawing>
      </w:r>
    </w:p>
    <w:p w14:paraId="2F65EAE9" w14:textId="77777777" w:rsidR="00106979" w:rsidRPr="00026340" w:rsidRDefault="00106979" w:rsidP="00106979">
      <w:pPr>
        <w:pStyle w:val="Caption"/>
        <w:jc w:val="center"/>
        <w:rPr>
          <w:i w:val="0"/>
          <w:iCs w:val="0"/>
          <w:color w:val="auto"/>
          <w:sz w:val="22"/>
        </w:rPr>
      </w:pPr>
      <w:bookmarkStart w:id="25" w:name="_Toc228278436"/>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5</w:t>
      </w:r>
      <w:r w:rsidRPr="00026340">
        <w:rPr>
          <w:i w:val="0"/>
          <w:iCs w:val="0"/>
          <w:color w:val="auto"/>
          <w:sz w:val="22"/>
        </w:rPr>
        <w:fldChar w:fldCharType="end"/>
      </w:r>
      <w:r w:rsidRPr="00026340">
        <w:rPr>
          <w:i w:val="0"/>
          <w:iCs w:val="0"/>
          <w:color w:val="auto"/>
          <w:sz w:val="22"/>
        </w:rPr>
        <w:t>: Global protected land area increased from 13.0 per cent (2010) to only 17.6 per cent (2025), leaving a 12.4 percentage-point gap to the 30x30 GBF target by 2030 (Hughes and Grumbine, 2023)</w:t>
      </w:r>
      <w:bookmarkEnd w:id="25"/>
    </w:p>
    <w:p w14:paraId="73F1BA7E" w14:textId="1936273F" w:rsidR="00106979" w:rsidRDefault="00106979" w:rsidP="00106979">
      <w:pPr>
        <w:spacing w:after="200" w:line="360" w:lineRule="auto"/>
        <w:jc w:val="both"/>
      </w:pPr>
      <w:r>
        <w:t xml:space="preserve">Three conclusions follow from this analysis. First, the TFFF marks a qualitative shift from pledge-based to facility-based forest finance, but its voluntary architecture and modest scale </w:t>
      </w:r>
      <w:r w:rsidRPr="00A41569">
        <w:t xml:space="preserve">relative to the financing gap mean it cannot substitute for the binding REDD+ reform that Guizar‐Coutiño et al. </w:t>
      </w:r>
      <w:r w:rsidRPr="00A41569">
        <w:fldChar w:fldCharType="begin"/>
      </w:r>
      <w:r w:rsidRPr="00A41569">
        <w:instrText xml:space="preserve"> ADDIN ZOTERO_ITEM CSL_CITATION {"citationID":"pIkzseWV","properties":{"unsorted":false,"formattedCitation":"(2022)","plainCitation":"(2022)","noteIndex":0},"citationItems":[{"id":146,"uris":["http://zotero.org/users/11719957/items/SQUR5BIK"],"itemData":{"id":146,"type":"article-journal","abstract":"Abstract\n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Pr="00A41569">
        <w:rPr>
          <w:rFonts w:ascii="MS Mincho" w:eastAsia="MS Mincho" w:hAnsi="MS Mincho" w:cs="MS Mincho" w:hint="eastAsia"/>
        </w:rPr>
        <w:instrText>【摘要】</w:instrText>
      </w:r>
      <w:r w:rsidRPr="00A41569">
        <w:instrText xml:space="preserve">\n            \n              </w:instrText>
      </w:r>
      <w:r w:rsidRPr="00A41569">
        <w:rPr>
          <w:rFonts w:ascii="MS Mincho" w:eastAsia="MS Mincho" w:hAnsi="MS Mincho" w:cs="MS Mincho" w:hint="eastAsia"/>
        </w:rPr>
        <w:instrText>随着世界范</w:instrText>
      </w:r>
      <w:r w:rsidRPr="00A41569">
        <w:rPr>
          <w:rFonts w:ascii="SimSun" w:eastAsia="SimSun" w:hAnsi="SimSun" w:cs="SimSun" w:hint="eastAsia"/>
        </w:rPr>
        <w:instrText>围内人类与野生动物的冲突不断升级</w:instrText>
      </w:r>
      <w:r w:rsidRPr="00A41569">
        <w:instrText xml:space="preserve">, </w:instrText>
      </w:r>
      <w:r w:rsidRPr="00A41569">
        <w:rPr>
          <w:rFonts w:ascii="SimSun" w:eastAsia="SimSun" w:hAnsi="SimSun" w:cs="SimSun" w:hint="eastAsia"/>
        </w:rPr>
        <w:instrText>对野生动物的宽容和接纳等概念变得越来越重要。然而</w:instrText>
      </w:r>
      <w:r w:rsidRPr="00A41569">
        <w:instrText xml:space="preserve">, </w:instrText>
      </w:r>
      <w:r w:rsidRPr="00A41569">
        <w:rPr>
          <w:rFonts w:ascii="MS Mincho" w:eastAsia="MS Mincho" w:hAnsi="MS Mincho" w:cs="MS Mincho" w:hint="eastAsia"/>
        </w:rPr>
        <w:instrText>当代保</w:instrText>
      </w:r>
      <w:r w:rsidRPr="00A41569">
        <w:rPr>
          <w:rFonts w:ascii="SimSun" w:eastAsia="SimSun" w:hAnsi="SimSun" w:cs="SimSun" w:hint="eastAsia"/>
        </w:rPr>
        <w:instrText>护研究表明</w:instrText>
      </w:r>
      <w:r w:rsidRPr="00A41569">
        <w:instrText xml:space="preserve">, </w:instrText>
      </w:r>
      <w:r w:rsidRPr="00A41569">
        <w:rPr>
          <w:rFonts w:ascii="MS Mincho" w:eastAsia="MS Mincho" w:hAnsi="MS Mincho" w:cs="MS Mincho" w:hint="eastAsia"/>
        </w:rPr>
        <w:instrText>人</w:instrText>
      </w:r>
      <w:r w:rsidRPr="00A41569">
        <w:rPr>
          <w:rFonts w:ascii="SimSun" w:eastAsia="SimSun" w:hAnsi="SimSun" w:cs="SimSun" w:hint="eastAsia"/>
        </w:rPr>
        <w:instrText>们对人类与野生动物积极互作的认识有限</w:instrText>
      </w:r>
      <w:r w:rsidRPr="00A41569">
        <w:instrText xml:space="preserve">, </w:instrText>
      </w:r>
      <w:r w:rsidRPr="00A41569">
        <w:rPr>
          <w:rFonts w:ascii="SimSun" w:eastAsia="SimSun" w:hAnsi="SimSun" w:cs="SimSun" w:hint="eastAsia"/>
        </w:rPr>
        <w:instrText>导</w:instrText>
      </w:r>
      <w:r w:rsidRPr="00A41569">
        <w:rPr>
          <w:rFonts w:ascii="MS Mincho" w:eastAsia="MS Mincho" w:hAnsi="MS Mincho" w:cs="MS Mincho" w:hint="eastAsia"/>
        </w:rPr>
        <w:instrText>致可能</w:instrText>
      </w:r>
      <w:r w:rsidRPr="00A41569">
        <w:rPr>
          <w:rFonts w:ascii="SimSun" w:eastAsia="SimSun" w:hAnsi="SimSun" w:cs="SimSun" w:hint="eastAsia"/>
        </w:rPr>
        <w:instrText>难以准确描述人类与动物的相遇。如果不解决这些局限性</w:instrText>
      </w:r>
      <w:r w:rsidRPr="00A41569">
        <w:instrText xml:space="preserve">, </w:instrText>
      </w:r>
      <w:r w:rsidRPr="00A41569">
        <w:rPr>
          <w:rFonts w:ascii="MS Mincho" w:eastAsia="MS Mincho" w:hAnsi="MS Mincho" w:cs="MS Mincho" w:hint="eastAsia"/>
        </w:rPr>
        <w:instrText>就会</w:instrText>
      </w:r>
      <w:r w:rsidRPr="00A41569">
        <w:rPr>
          <w:rFonts w:ascii="SimSun" w:eastAsia="SimSun" w:hAnsi="SimSun" w:cs="SimSun" w:hint="eastAsia"/>
        </w:rPr>
        <w:instrText>导致野生动物和景观管理计划的设计和实施存在不足</w:instrText>
      </w:r>
      <w:r w:rsidRPr="00A41569">
        <w:instrText xml:space="preserve">, </w:instrText>
      </w:r>
      <w:r w:rsidRPr="00A41569">
        <w:rPr>
          <w:rFonts w:ascii="MS Mincho" w:eastAsia="MS Mincho" w:hAnsi="MS Mincho" w:cs="MS Mincho" w:hint="eastAsia"/>
        </w:rPr>
        <w:instrText>以及</w:instrText>
      </w:r>
      <w:r w:rsidRPr="00A41569">
        <w:rPr>
          <w:rFonts w:ascii="SimSun" w:eastAsia="SimSun" w:hAnsi="SimSun" w:cs="SimSun" w:hint="eastAsia"/>
        </w:rPr>
        <w:instrText>对本土生态知识的否定。我们利用印度喀拉拉邦瓦亚纳德野生动物保护区森林中的阿迪瓦西族</w:instrText>
      </w:r>
      <w:r w:rsidRPr="00A41569">
        <w:instrText>Kattunayakans</w:instrText>
      </w:r>
      <w:r w:rsidRPr="00A41569">
        <w:rPr>
          <w:rFonts w:ascii="MS Mincho" w:eastAsia="MS Mincho" w:hAnsi="MS Mincho" w:cs="MS Mincho" w:hint="eastAsia"/>
        </w:rPr>
        <w:instrText>部落的民族志</w:instrText>
      </w:r>
      <w:r w:rsidRPr="00A41569">
        <w:rPr>
          <w:rFonts w:ascii="SimSun" w:eastAsia="SimSun" w:hAnsi="SimSun" w:cs="SimSun" w:hint="eastAsia"/>
        </w:rPr>
        <w:instrText>证据</w:instrText>
      </w:r>
      <w:r w:rsidRPr="00A41569">
        <w:instrText xml:space="preserve">, </w:instrText>
      </w:r>
      <w:r w:rsidRPr="00A41569">
        <w:rPr>
          <w:rFonts w:ascii="MS Mincho" w:eastAsia="MS Mincho" w:hAnsi="MS Mincho" w:cs="MS Mincho" w:hint="eastAsia"/>
        </w:rPr>
        <w:instrText>来研究印度原住民</w:instrText>
      </w:r>
      <w:r w:rsidRPr="00A41569">
        <w:rPr>
          <w:rFonts w:ascii="SimSun" w:eastAsia="SimSun" w:hAnsi="SimSun" w:cs="SimSun" w:hint="eastAsia"/>
        </w:rPr>
        <w:instrText>对于人类与野生动物共存的观点。通过定性的实地研究</w:instrText>
      </w:r>
      <w:r w:rsidRPr="00A41569">
        <w:instrText>(</w:instrText>
      </w:r>
      <w:r w:rsidRPr="00A41569">
        <w:rPr>
          <w:rFonts w:ascii="MS Mincho" w:eastAsia="MS Mincho" w:hAnsi="MS Mincho" w:cs="MS Mincho" w:hint="eastAsia"/>
        </w:rPr>
        <w:instrText>包括</w:instrText>
      </w:r>
      <w:r w:rsidRPr="00A41569">
        <w:rPr>
          <w:rFonts w:ascii="SimSun" w:eastAsia="SimSun" w:hAnsi="SimSun" w:cs="SimSun" w:hint="eastAsia"/>
        </w:rPr>
        <w:instrText>访谈和在森林样带调查</w:instrText>
      </w:r>
      <w:r w:rsidRPr="00A41569">
        <w:instrText xml:space="preserve">), </w:instrText>
      </w:r>
      <w:r w:rsidRPr="00A41569">
        <w:rPr>
          <w:rFonts w:ascii="MS Mincho" w:eastAsia="MS Mincho" w:hAnsi="MS Mincho" w:cs="MS Mincho" w:hint="eastAsia"/>
        </w:rPr>
        <w:instrText>我</w:instrText>
      </w:r>
      <w:r w:rsidRPr="00A41569">
        <w:rPr>
          <w:rFonts w:ascii="SimSun" w:eastAsia="SimSun" w:hAnsi="SimSun" w:cs="SimSun" w:hint="eastAsia"/>
        </w:rPr>
        <w:instrText>们发现</w:instrText>
      </w:r>
      <w:r w:rsidRPr="00A41569">
        <w:instrText>Kattunayakans</w:instrText>
      </w:r>
      <w:r w:rsidRPr="00A41569">
        <w:rPr>
          <w:rFonts w:ascii="MS Mincho" w:eastAsia="MS Mincho" w:hAnsi="MS Mincho" w:cs="MS Mincho" w:hint="eastAsia"/>
        </w:rPr>
        <w:instrText>部落表</w:instrText>
      </w:r>
      <w:r w:rsidRPr="00A41569">
        <w:rPr>
          <w:rFonts w:ascii="SimSun" w:eastAsia="SimSun" w:hAnsi="SimSun" w:cs="SimSun" w:hint="eastAsia"/>
        </w:rPr>
        <w:instrText>现出对野生动物的宽容和接纳</w:instrText>
      </w:r>
      <w:r w:rsidRPr="00A41569">
        <w:instrText xml:space="preserve">, </w:instrText>
      </w:r>
      <w:r w:rsidRPr="00A41569">
        <w:rPr>
          <w:rFonts w:ascii="MS Mincho" w:eastAsia="MS Mincho" w:hAnsi="MS Mincho" w:cs="MS Mincho" w:hint="eastAsia"/>
        </w:rPr>
        <w:instrText>其特点是深入的共存</w:instrText>
      </w:r>
      <w:r w:rsidRPr="00A41569">
        <w:instrText xml:space="preserve">, </w:instrText>
      </w:r>
      <w:r w:rsidRPr="00A41569">
        <w:rPr>
          <w:rFonts w:ascii="MS Mincho" w:eastAsia="MS Mincho" w:hAnsi="MS Mincho" w:cs="MS Mincho" w:hint="eastAsia"/>
        </w:rPr>
        <w:instrText>包括三个中心思想</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动物是有理性的交流者</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动物是神、老师和平等的族群</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动物是实行</w:instrText>
      </w:r>
      <w:r w:rsidRPr="00A41569">
        <w:instrText xml:space="preserve"> “\n              dharmam\n              ”</w:instrText>
      </w:r>
      <w:r w:rsidRPr="00A41569">
        <w:rPr>
          <w:rFonts w:ascii="MS Mincho" w:eastAsia="MS Mincho" w:hAnsi="MS Mincho" w:cs="MS Mincho" w:hint="eastAsia"/>
        </w:rPr>
        <w:instrText>的具有共同起源的</w:instrText>
      </w:r>
      <w:r w:rsidRPr="00A41569">
        <w:rPr>
          <w:rFonts w:ascii="SimSun" w:eastAsia="SimSun" w:hAnsi="SimSun" w:cs="SimSun" w:hint="eastAsia"/>
        </w:rPr>
        <w:instrText>亲戚。我们认为</w:instrText>
      </w:r>
      <w:r w:rsidRPr="00A41569">
        <w:instrText xml:space="preserve">, </w:instrText>
      </w:r>
      <w:r w:rsidRPr="00A41569">
        <w:rPr>
          <w:rFonts w:ascii="MS Mincho" w:eastAsia="MS Mincho" w:hAnsi="MS Mincho" w:cs="MS Mincho" w:hint="eastAsia"/>
        </w:rPr>
        <w:instrText>充分理解以上几点有助于将</w:instrText>
      </w:r>
      <w:r w:rsidRPr="00A41569">
        <w:instrText>Kattunayakan</w:instrText>
      </w:r>
      <w:r w:rsidRPr="00A41569">
        <w:rPr>
          <w:rFonts w:ascii="MS Mincho" w:eastAsia="MS Mincho" w:hAnsi="MS Mincho" w:cs="MS Mincho" w:hint="eastAsia"/>
        </w:rPr>
        <w:instrText>部落的</w:instrText>
      </w:r>
      <w:r w:rsidRPr="00A41569">
        <w:rPr>
          <w:rFonts w:ascii="SimSun" w:eastAsia="SimSun" w:hAnsi="SimSun" w:cs="SimSun" w:hint="eastAsia"/>
        </w:rPr>
        <w:instrText>观点引入印度的森林管理</w:instrText>
      </w:r>
      <w:r w:rsidRPr="00A41569">
        <w:instrText xml:space="preserve">, </w:instrText>
      </w:r>
      <w:r w:rsidRPr="00A41569">
        <w:rPr>
          <w:rFonts w:ascii="MS Mincho" w:eastAsia="MS Mincho" w:hAnsi="MS Mincho" w:cs="MS Mincho" w:hint="eastAsia"/>
        </w:rPr>
        <w:instrText>并更广泛地解决人</w:instrText>
      </w:r>
      <w:r w:rsidRPr="00A41569">
        <w:rPr>
          <w:rFonts w:ascii="Yu Gothic" w:eastAsia="Yu Gothic" w:hAnsi="Yu Gothic" w:cs="Yu Gothic" w:hint="eastAsia"/>
        </w:rPr>
        <w:instrText>类与野生</w:instrText>
      </w:r>
      <w:r w:rsidRPr="00A41569">
        <w:rPr>
          <w:rFonts w:ascii="SimSun" w:eastAsia="SimSun" w:hAnsi="SimSun" w:cs="SimSun" w:hint="eastAsia"/>
        </w:rPr>
        <w:instrText>动物的冲突。</w:instrText>
      </w:r>
      <w:r w:rsidRPr="00A41569">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A."}],"issued":{"date-parts":[["2022",12]]}},"suppress-author":true}],"schema":"https://github.com/citation-style-language/schema/raw/master/csl-citation.json"} </w:instrText>
      </w:r>
      <w:r w:rsidRPr="00A41569">
        <w:fldChar w:fldCharType="separate"/>
      </w:r>
      <w:r w:rsidRPr="00A41569">
        <w:t>(2022)</w:t>
      </w:r>
      <w:r w:rsidRPr="00A41569">
        <w:fldChar w:fldCharType="end"/>
      </w:r>
      <w:r w:rsidRPr="00A41569">
        <w:t xml:space="preserve"> identify</w:t>
      </w:r>
      <w:r>
        <w:t xml:space="preserve"> as necessary for credible emissions reduction. Second, the NDC shortfall at COP 30 confirms that current national ambition remains structurally inadequate: the Belem Mission to 1.5 and Global Implementation Accelerator are inter-sessional mechanisms that may improve delivery, but their voluntary nature mirrors the weaknesses of every comparable initiative since the Glasgow Declaration. Third, the failure to adopt a joint UNFCCC-CBD synergies agreement at COP 30 leaves the institutional gap identified by </w:t>
      </w:r>
      <w:r w:rsidR="00DE6693" w:rsidRPr="00DE6693">
        <w:t>Boran and Pettorelli</w:t>
      </w:r>
      <w:r w:rsidR="00DE6693">
        <w:t xml:space="preserve"> </w:t>
      </w:r>
      <w:r>
        <w:fldChar w:fldCharType="begin"/>
      </w:r>
      <w:r>
        <w:instrText xml:space="preserve"> ADDIN ZOTERO_ITEM CSL_CITATION {"citationID":"nlPgOA49","properties":{"unsorted":false,"formattedCitation":"(2024)","plainCitation":"(2024)","noteIndex":0},"citationItems":[{"id":128,"uris":["http://zotero.org/users/11719957/items/E5B5W6T3"],"itemData":{"id":128,"type":"article-journal","abstract":"Abstract\n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people","volume":"61","author":[{"family":"Boran","given":"Idil"},{"family":"Pettorelli","given":"Nathalie"}],"issued":{"date-parts":[["2024",9]]}},"suppress-author":true}],"schema":"https://github.com/citation-style-language/schema/raw/master/csl-citation.json"} </w:instrText>
      </w:r>
      <w:r>
        <w:fldChar w:fldCharType="separate"/>
      </w:r>
      <w:r w:rsidRPr="00E81B5F">
        <w:t>(2024)</w:t>
      </w:r>
      <w:r>
        <w:fldChar w:fldCharType="end"/>
      </w:r>
      <w:r>
        <w:t xml:space="preserve"> intact, meaning that forests and biodiversity targets continue to be pursued through parallel tracks rather than an integrated governance architecture. The prospects for meaningful progress therefore depend on whether the political momentum generated in Belem translates into verified, financed, and enforceable commitments at COP 31 and beyond.</w:t>
      </w:r>
    </w:p>
    <w:p w14:paraId="1B8C696A" w14:textId="77777777" w:rsidR="00106979" w:rsidRDefault="00106979" w:rsidP="00106979">
      <w:r>
        <w:br w:type="page"/>
      </w:r>
    </w:p>
    <w:p w14:paraId="74B4C1E0" w14:textId="77777777" w:rsidR="00106979" w:rsidRDefault="00106979" w:rsidP="00106979">
      <w:pPr>
        <w:pStyle w:val="Heading1"/>
      </w:pPr>
      <w:bookmarkStart w:id="26" w:name="_Toc228278417"/>
      <w:r>
        <w:lastRenderedPageBreak/>
        <w:t>Chapter 5: Conclusions and Recommendations</w:t>
      </w:r>
      <w:bookmarkEnd w:id="26"/>
    </w:p>
    <w:p w14:paraId="557E9B52" w14:textId="77777777" w:rsidR="00106979" w:rsidRDefault="00106979" w:rsidP="00106979">
      <w:pPr>
        <w:pStyle w:val="Heading2"/>
      </w:pPr>
      <w:bookmarkStart w:id="27" w:name="_Toc228278418"/>
      <w:r>
        <w:t>5.1 Summary of Findings</w:t>
      </w:r>
      <w:bookmarkEnd w:id="27"/>
    </w:p>
    <w:p w14:paraId="751976D2" w14:textId="77777777" w:rsidR="00106979" w:rsidRDefault="00106979" w:rsidP="00106979">
      <w:pPr>
        <w:spacing w:after="200" w:line="360" w:lineRule="auto"/>
        <w:jc w:val="both"/>
      </w:pPr>
      <w:r>
        <w:t>This report set out to assess two questions: to what extent has the COP process delivered on preserving forests and biodiversity, and what are the prospects following COP 29 and COP 30? The evidence presented in Chapters 3 and 4 permits clear answers to both.</w:t>
      </w:r>
    </w:p>
    <w:p w14:paraId="6CF054EA" w14:textId="3DDF45E4" w:rsidR="00106979" w:rsidRDefault="00106979" w:rsidP="00106979">
      <w:pPr>
        <w:spacing w:after="200" w:line="360" w:lineRule="auto"/>
        <w:jc w:val="both"/>
      </w:pPr>
      <w:r>
        <w:t>On the historical record (</w:t>
      </w:r>
      <w:r w:rsidR="007E65E3">
        <w:t>C</w:t>
      </w:r>
      <w:r>
        <w:t xml:space="preserve">hapter 3), the COP process has produced a progressively more ambitious institutional architecture, advancing from the carbon-centric LULUCF framework of Kyoto, through the REDD+ mechanism, to the Glasgow Leaders' Declaration. Yet each milestone has been accompanied by an accountability deficit. Enforcement mechanisms have been voluntary throughout; financing pledges have consistently exceeded disbursements; and biodiversity has remained subordinate to carbon within UNFCCC negotiations. The empirical evidence is unambiguous: tropical primary forest loss increased 10 per cent in 2022, the first year following the most ambitious forest pledge in COP history </w:t>
      </w:r>
      <w:r>
        <w:fldChar w:fldCharType="begin"/>
      </w:r>
      <w:r w:rsidR="008263B8">
        <w:instrText xml:space="preserve"> ADDIN ZOTERO_ITEM CSL_CITATION {"citationID":"tRYkbJTo","properties":{"unsorted":false,"formattedCitation":"(Weisse, Goldman and Carter, 2023)","plainCitation":"(Weisse, Goldman and Carter, 2023)","noteIndex":0},"citationItems":[{"id":151,"uris":["http://zotero.org/users/11719957/items/GRZSZ6E4"],"itemData":{"id":151,"type":"article-journal","container-title":"World Resources Institute","title":"Tropical primary forest loss worsened in 2022, despite international commitments to end deforestation","URL":"https://www.globalforestwatch.org/blog/forest-insights/global-tree-cover-loss-data-2022/","volume":"27","author":[{"family":"Weisse","given":"Mikaela"},{"family":"Goldman","given":"Elizabeth"},{"family":"Carter","given":"Sarah"}],"issued":{"date-parts":[["2023"]]}}}],"schema":"https://github.com/citation-style-language/schema/raw/master/csl-citation.json"} </w:instrText>
      </w:r>
      <w:r>
        <w:fldChar w:fldCharType="separate"/>
      </w:r>
      <w:r w:rsidRPr="00E81B5F">
        <w:t>(Weisse, Goldman and Carter, 2023)</w:t>
      </w:r>
      <w:r>
        <w:fldChar w:fldCharType="end"/>
      </w:r>
      <w:r>
        <w:t>.</w:t>
      </w:r>
      <w:r w:rsidR="007E65E3">
        <w:t xml:space="preserve"> </w:t>
      </w:r>
      <w:r>
        <w:t>The three structural failures identified in Section 3.5, namely enforcement deficits, financing gaps, and biodiversity marginalisation, persist across all eras of COP governance.</w:t>
      </w:r>
    </w:p>
    <w:p w14:paraId="5AF6944F" w14:textId="66DFA839" w:rsidR="00106979" w:rsidRDefault="00106979" w:rsidP="00106979">
      <w:pPr>
        <w:spacing w:after="200" w:line="360" w:lineRule="auto"/>
        <w:jc w:val="both"/>
      </w:pPr>
      <w:r>
        <w:t>On prospects after COP 29 (</w:t>
      </w:r>
      <w:r w:rsidR="007E65E3">
        <w:t>C</w:t>
      </w:r>
      <w:r>
        <w:t>hapter 4), the Baku Climate Unity Pact established a significant climate finance architecture but produced no new binding forest commitments. COP 30 in Belem introduced the TFFF as a meaningful institutional innovation, and Brazil's Amazon deforestation reached an 11-year low, demonstrating that domestic political will can produce measurable outcomes. However, the Forest and Climate Roadmap was not formally adopted, the joint UNFCCC-CBD synergies agreement failed, and 76 countries missed the NDC deadline. The prospects for meaningful post-Belem progress are therefore cautiously conditional: they depend on whether the voluntary institutional momentum generated in Belem is consolidated into binding, verifiable, and financed commitments at COP 31.</w:t>
      </w:r>
    </w:p>
    <w:p w14:paraId="40A48BEB" w14:textId="77777777" w:rsidR="00106979" w:rsidRDefault="00106979" w:rsidP="00106979">
      <w:pPr>
        <w:pStyle w:val="Heading2"/>
      </w:pPr>
      <w:bookmarkStart w:id="28" w:name="_Toc228278419"/>
      <w:r>
        <w:t>5.2 Policy Recommendations</w:t>
      </w:r>
      <w:bookmarkEnd w:id="28"/>
    </w:p>
    <w:p w14:paraId="03987B76" w14:textId="528D2D08" w:rsidR="00106979" w:rsidRDefault="00106979" w:rsidP="00106979">
      <w:pPr>
        <w:spacing w:after="200" w:line="360" w:lineRule="auto"/>
        <w:jc w:val="both"/>
      </w:pPr>
      <w:r>
        <w:t xml:space="preserve">Three evidence-based recommendations follow from this analysis. First, REDD+ should be reformed from a voluntary to a results-based mechanism, with binding independent third-party measurement, reporting, and verification (MRV), automatic finance triggers upon verified performance, and explicit biodiversity co-benefit indicators as disbursement conditions. The current voluntary architecture, as documented by </w:t>
      </w:r>
      <w:r w:rsidRPr="004B74FC">
        <w:t xml:space="preserve">Guizar‐Coutiño et al. </w:t>
      </w:r>
      <w:r w:rsidRPr="004B74FC">
        <w:fldChar w:fldCharType="begin"/>
      </w:r>
      <w:r w:rsidRPr="004B74FC">
        <w:instrText xml:space="preserve"> ADDIN ZOTERO_ITEM CSL_CITATION {"citationID":"pyl4m0qB","properties":{"unsorted":false,"formattedCitation":"(2022)","plainCitation":"(2022)","noteIndex":0},"citationItems":[{"id":146,"uris":["http://zotero.org/users/11719957/items/SQUR5BIK"],"itemData":{"id":146,"type":"article-journal","abstract":"Abstract\n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Pr="004B74FC">
        <w:rPr>
          <w:rFonts w:ascii="MS Mincho" w:eastAsia="MS Mincho" w:hAnsi="MS Mincho" w:cs="MS Mincho" w:hint="eastAsia"/>
        </w:rPr>
        <w:instrText>【摘要】</w:instrText>
      </w:r>
      <w:r w:rsidRPr="004B74FC">
        <w:instrText xml:space="preserve">\n            \n              </w:instrText>
      </w:r>
      <w:r w:rsidRPr="004B74FC">
        <w:rPr>
          <w:rFonts w:ascii="MS Mincho" w:eastAsia="MS Mincho" w:hAnsi="MS Mincho" w:cs="MS Mincho" w:hint="eastAsia"/>
        </w:rPr>
        <w:instrText>随着世界范</w:instrText>
      </w:r>
      <w:r w:rsidRPr="004B74FC">
        <w:rPr>
          <w:rFonts w:ascii="SimSun" w:eastAsia="SimSun" w:hAnsi="SimSun" w:cs="SimSun" w:hint="eastAsia"/>
        </w:rPr>
        <w:instrText>围内人类与野生动物的冲突不断升级</w:instrText>
      </w:r>
      <w:r w:rsidRPr="004B74FC">
        <w:instrText xml:space="preserve">, </w:instrText>
      </w:r>
      <w:r w:rsidRPr="004B74FC">
        <w:rPr>
          <w:rFonts w:ascii="SimSun" w:eastAsia="SimSun" w:hAnsi="SimSun" w:cs="SimSun" w:hint="eastAsia"/>
        </w:rPr>
        <w:instrText>对野生动物的宽容和接纳等概念变得越来越重要。然而</w:instrText>
      </w:r>
      <w:r w:rsidRPr="004B74FC">
        <w:instrText xml:space="preserve">, </w:instrText>
      </w:r>
      <w:r w:rsidRPr="004B74FC">
        <w:rPr>
          <w:rFonts w:ascii="MS Mincho" w:eastAsia="MS Mincho" w:hAnsi="MS Mincho" w:cs="MS Mincho" w:hint="eastAsia"/>
        </w:rPr>
        <w:instrText>当代保</w:instrText>
      </w:r>
      <w:r w:rsidRPr="004B74FC">
        <w:rPr>
          <w:rFonts w:ascii="SimSun" w:eastAsia="SimSun" w:hAnsi="SimSun" w:cs="SimSun" w:hint="eastAsia"/>
        </w:rPr>
        <w:instrText>护研究表明</w:instrText>
      </w:r>
      <w:r w:rsidRPr="004B74FC">
        <w:instrText xml:space="preserve">, </w:instrText>
      </w:r>
      <w:r w:rsidRPr="004B74FC">
        <w:rPr>
          <w:rFonts w:ascii="MS Mincho" w:eastAsia="MS Mincho" w:hAnsi="MS Mincho" w:cs="MS Mincho" w:hint="eastAsia"/>
        </w:rPr>
        <w:instrText>人</w:instrText>
      </w:r>
      <w:r w:rsidRPr="004B74FC">
        <w:rPr>
          <w:rFonts w:ascii="SimSun" w:eastAsia="SimSun" w:hAnsi="SimSun" w:cs="SimSun" w:hint="eastAsia"/>
        </w:rPr>
        <w:instrText>们对人类与野生动物积极互作的认识有限</w:instrText>
      </w:r>
      <w:r w:rsidRPr="004B74FC">
        <w:instrText xml:space="preserve">, </w:instrText>
      </w:r>
      <w:r w:rsidRPr="004B74FC">
        <w:rPr>
          <w:rFonts w:ascii="SimSun" w:eastAsia="SimSun" w:hAnsi="SimSun" w:cs="SimSun" w:hint="eastAsia"/>
        </w:rPr>
        <w:instrText>导致可能难以准确描述人类与动物的相遇。如果不解决这些局限性</w:instrText>
      </w:r>
      <w:r w:rsidRPr="004B74FC">
        <w:instrText xml:space="preserve">, </w:instrText>
      </w:r>
      <w:r w:rsidRPr="004B74FC">
        <w:rPr>
          <w:rFonts w:ascii="MS Mincho" w:eastAsia="MS Mincho" w:hAnsi="MS Mincho" w:cs="MS Mincho" w:hint="eastAsia"/>
        </w:rPr>
        <w:instrText>就会</w:instrText>
      </w:r>
      <w:r w:rsidRPr="004B74FC">
        <w:rPr>
          <w:rFonts w:ascii="SimSun" w:eastAsia="SimSun" w:hAnsi="SimSun" w:cs="SimSun" w:hint="eastAsia"/>
        </w:rPr>
        <w:instrText>导致野生动物和景观管理计划</w:instrText>
      </w:r>
      <w:r w:rsidRPr="004B74FC">
        <w:rPr>
          <w:rFonts w:ascii="MS Mincho" w:eastAsia="MS Mincho" w:hAnsi="MS Mincho" w:cs="MS Mincho" w:hint="eastAsia"/>
        </w:rPr>
        <w:instrText>的</w:instrText>
      </w:r>
      <w:r w:rsidRPr="004B74FC">
        <w:rPr>
          <w:rFonts w:ascii="SimSun" w:eastAsia="SimSun" w:hAnsi="SimSun" w:cs="SimSun" w:hint="eastAsia"/>
        </w:rPr>
        <w:instrText>设计和实施存在不足</w:instrText>
      </w:r>
      <w:r w:rsidRPr="004B74FC">
        <w:instrText xml:space="preserve">, </w:instrText>
      </w:r>
      <w:r w:rsidRPr="004B74FC">
        <w:rPr>
          <w:rFonts w:ascii="MS Mincho" w:eastAsia="MS Mincho" w:hAnsi="MS Mincho" w:cs="MS Mincho" w:hint="eastAsia"/>
        </w:rPr>
        <w:instrText>以及</w:instrText>
      </w:r>
      <w:r w:rsidRPr="004B74FC">
        <w:rPr>
          <w:rFonts w:ascii="SimSun" w:eastAsia="SimSun" w:hAnsi="SimSun" w:cs="SimSun" w:hint="eastAsia"/>
        </w:rPr>
        <w:instrText>对本土生态知识的否定。我们利用印度喀拉拉邦瓦亚纳德野生动物保护区森林中的阿迪瓦西族</w:instrText>
      </w:r>
      <w:r w:rsidRPr="004B74FC">
        <w:instrText>Kattunayakans</w:instrText>
      </w:r>
      <w:r w:rsidRPr="004B74FC">
        <w:rPr>
          <w:rFonts w:ascii="MS Mincho" w:eastAsia="MS Mincho" w:hAnsi="MS Mincho" w:cs="MS Mincho" w:hint="eastAsia"/>
        </w:rPr>
        <w:instrText>部落的民族志</w:instrText>
      </w:r>
      <w:r w:rsidRPr="004B74FC">
        <w:rPr>
          <w:rFonts w:ascii="SimSun" w:eastAsia="SimSun" w:hAnsi="SimSun" w:cs="SimSun" w:hint="eastAsia"/>
        </w:rPr>
        <w:instrText>证据</w:instrText>
      </w:r>
      <w:r w:rsidRPr="004B74FC">
        <w:instrText xml:space="preserve">, </w:instrText>
      </w:r>
      <w:r w:rsidRPr="004B74FC">
        <w:rPr>
          <w:rFonts w:ascii="MS Mincho" w:eastAsia="MS Mincho" w:hAnsi="MS Mincho" w:cs="MS Mincho" w:hint="eastAsia"/>
        </w:rPr>
        <w:instrText>来研究印度原住民</w:instrText>
      </w:r>
      <w:r w:rsidRPr="004B74FC">
        <w:rPr>
          <w:rFonts w:ascii="SimSun" w:eastAsia="SimSun" w:hAnsi="SimSun" w:cs="SimSun" w:hint="eastAsia"/>
        </w:rPr>
        <w:instrText>对于人类与野生动物共存的观点。通过定性的实地研究</w:instrText>
      </w:r>
      <w:r w:rsidRPr="004B74FC">
        <w:instrText>(</w:instrText>
      </w:r>
      <w:r w:rsidRPr="004B74FC">
        <w:rPr>
          <w:rFonts w:ascii="MS Mincho" w:eastAsia="MS Mincho" w:hAnsi="MS Mincho" w:cs="MS Mincho" w:hint="eastAsia"/>
        </w:rPr>
        <w:instrText>包括</w:instrText>
      </w:r>
      <w:r w:rsidRPr="004B74FC">
        <w:rPr>
          <w:rFonts w:ascii="SimSun" w:eastAsia="SimSun" w:hAnsi="SimSun" w:cs="SimSun" w:hint="eastAsia"/>
        </w:rPr>
        <w:instrText>访谈和在森林样带调查</w:instrText>
      </w:r>
      <w:r w:rsidRPr="004B74FC">
        <w:instrText xml:space="preserve">), </w:instrText>
      </w:r>
      <w:r w:rsidRPr="004B74FC">
        <w:rPr>
          <w:rFonts w:ascii="MS Mincho" w:eastAsia="MS Mincho" w:hAnsi="MS Mincho" w:cs="MS Mincho" w:hint="eastAsia"/>
        </w:rPr>
        <w:instrText>我</w:instrText>
      </w:r>
      <w:r w:rsidRPr="004B74FC">
        <w:rPr>
          <w:rFonts w:ascii="SimSun" w:eastAsia="SimSun" w:hAnsi="SimSun" w:cs="SimSun" w:hint="eastAsia"/>
        </w:rPr>
        <w:instrText>们发现</w:instrText>
      </w:r>
      <w:r w:rsidRPr="004B74FC">
        <w:instrText>Kattunayakans</w:instrText>
      </w:r>
      <w:r w:rsidRPr="004B74FC">
        <w:rPr>
          <w:rFonts w:ascii="MS Mincho" w:eastAsia="MS Mincho" w:hAnsi="MS Mincho" w:cs="MS Mincho" w:hint="eastAsia"/>
        </w:rPr>
        <w:instrText>部落表</w:instrText>
      </w:r>
      <w:r w:rsidRPr="004B74FC">
        <w:rPr>
          <w:rFonts w:ascii="SimSun" w:eastAsia="SimSun" w:hAnsi="SimSun" w:cs="SimSun" w:hint="eastAsia"/>
        </w:rPr>
        <w:instrText>现出对野生动物的宽容和接纳</w:instrText>
      </w:r>
      <w:r w:rsidRPr="004B74FC">
        <w:instrText xml:space="preserve">, </w:instrText>
      </w:r>
      <w:r w:rsidRPr="004B74FC">
        <w:rPr>
          <w:rFonts w:ascii="MS Mincho" w:eastAsia="MS Mincho" w:hAnsi="MS Mincho" w:cs="MS Mincho" w:hint="eastAsia"/>
        </w:rPr>
        <w:instrText>其特点是深入的共存</w:instrText>
      </w:r>
      <w:r w:rsidRPr="004B74FC">
        <w:instrText xml:space="preserve">, </w:instrText>
      </w:r>
      <w:r w:rsidRPr="004B74FC">
        <w:rPr>
          <w:rFonts w:ascii="MS Mincho" w:eastAsia="MS Mincho" w:hAnsi="MS Mincho" w:cs="MS Mincho" w:hint="eastAsia"/>
        </w:rPr>
        <w:instrText>包括三个中心思想</w:instrText>
      </w:r>
      <w:r w:rsidRPr="004B74FC">
        <w:instrText>:</w:instrText>
      </w:r>
      <w:r w:rsidRPr="004B74FC">
        <w:rPr>
          <w:rFonts w:ascii="MS Mincho" w:eastAsia="MS Mincho" w:hAnsi="MS Mincho" w:cs="MS Mincho" w:hint="eastAsia"/>
        </w:rPr>
        <w:instrText>野生</w:instrText>
      </w:r>
      <w:r w:rsidRPr="004B74FC">
        <w:rPr>
          <w:rFonts w:ascii="SimSun" w:eastAsia="SimSun" w:hAnsi="SimSun" w:cs="SimSun" w:hint="eastAsia"/>
        </w:rPr>
        <w:instrText>动物是有理性的交流者</w:instrText>
      </w:r>
      <w:r w:rsidRPr="004B74FC">
        <w:instrText>;</w:instrText>
      </w:r>
      <w:r w:rsidRPr="004B74FC">
        <w:rPr>
          <w:rFonts w:ascii="MS Mincho" w:eastAsia="MS Mincho" w:hAnsi="MS Mincho" w:cs="MS Mincho" w:hint="eastAsia"/>
        </w:rPr>
        <w:instrText>野生</w:instrText>
      </w:r>
      <w:r w:rsidRPr="004B74FC">
        <w:rPr>
          <w:rFonts w:ascii="SimSun" w:eastAsia="SimSun" w:hAnsi="SimSun" w:cs="SimSun" w:hint="eastAsia"/>
        </w:rPr>
        <w:instrText>动物是神、老师和平等的族群</w:instrText>
      </w:r>
      <w:r w:rsidRPr="004B74FC">
        <w:instrText>;</w:instrText>
      </w:r>
      <w:r w:rsidRPr="004B74FC">
        <w:rPr>
          <w:rFonts w:ascii="MS Mincho" w:eastAsia="MS Mincho" w:hAnsi="MS Mincho" w:cs="MS Mincho" w:hint="eastAsia"/>
        </w:rPr>
        <w:instrText>野生</w:instrText>
      </w:r>
      <w:r w:rsidRPr="004B74FC">
        <w:rPr>
          <w:rFonts w:ascii="SimSun" w:eastAsia="SimSun" w:hAnsi="SimSun" w:cs="SimSun" w:hint="eastAsia"/>
        </w:rPr>
        <w:instrText>动物是实行</w:instrText>
      </w:r>
      <w:r w:rsidRPr="004B74FC">
        <w:instrText xml:space="preserve"> “\n              dharmam\n              ”</w:instrText>
      </w:r>
      <w:r w:rsidRPr="004B74FC">
        <w:rPr>
          <w:rFonts w:ascii="MS Mincho" w:eastAsia="MS Mincho" w:hAnsi="MS Mincho" w:cs="MS Mincho" w:hint="eastAsia"/>
        </w:rPr>
        <w:instrText>的具有共同起源的</w:instrText>
      </w:r>
      <w:r w:rsidRPr="004B74FC">
        <w:rPr>
          <w:rFonts w:ascii="SimSun" w:eastAsia="SimSun" w:hAnsi="SimSun" w:cs="SimSun" w:hint="eastAsia"/>
        </w:rPr>
        <w:instrText>亲戚。我们认为</w:instrText>
      </w:r>
      <w:r w:rsidRPr="004B74FC">
        <w:instrText xml:space="preserve">, </w:instrText>
      </w:r>
      <w:r w:rsidRPr="004B74FC">
        <w:rPr>
          <w:rFonts w:ascii="MS Mincho" w:eastAsia="MS Mincho" w:hAnsi="MS Mincho" w:cs="MS Mincho" w:hint="eastAsia"/>
        </w:rPr>
        <w:instrText>充分理解以上几点有助于将</w:instrText>
      </w:r>
      <w:r w:rsidRPr="004B74FC">
        <w:instrText>Kattunayakan</w:instrText>
      </w:r>
      <w:r w:rsidRPr="004B74FC">
        <w:rPr>
          <w:rFonts w:ascii="MS Mincho" w:eastAsia="MS Mincho" w:hAnsi="MS Mincho" w:cs="MS Mincho" w:hint="eastAsia"/>
        </w:rPr>
        <w:instrText>部落的</w:instrText>
      </w:r>
      <w:r w:rsidRPr="004B74FC">
        <w:rPr>
          <w:rFonts w:ascii="SimSun" w:eastAsia="SimSun" w:hAnsi="SimSun" w:cs="SimSun" w:hint="eastAsia"/>
        </w:rPr>
        <w:instrText>观点引入印度的森林管理</w:instrText>
      </w:r>
      <w:r w:rsidRPr="004B74FC">
        <w:instrText xml:space="preserve">, </w:instrText>
      </w:r>
      <w:r w:rsidRPr="004B74FC">
        <w:rPr>
          <w:rFonts w:ascii="MS Mincho" w:eastAsia="MS Mincho" w:hAnsi="MS Mincho" w:cs="MS Mincho" w:hint="eastAsia"/>
        </w:rPr>
        <w:instrText>并更广泛地解决人</w:instrText>
      </w:r>
      <w:r w:rsidRPr="004B74FC">
        <w:rPr>
          <w:rFonts w:ascii="Yu Gothic" w:eastAsia="Yu Gothic" w:hAnsi="Yu Gothic" w:cs="Yu Gothic" w:hint="eastAsia"/>
        </w:rPr>
        <w:instrText>类与野生</w:instrText>
      </w:r>
      <w:r w:rsidRPr="004B74FC">
        <w:rPr>
          <w:rFonts w:ascii="SimSun" w:eastAsia="SimSun" w:hAnsi="SimSun" w:cs="SimSun" w:hint="eastAsia"/>
        </w:rPr>
        <w:instrText>动物的冲突。</w:instrText>
      </w:r>
      <w:r w:rsidRPr="004B74FC">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A."}],"issued":{"date-parts":[["2022",12]]}},"suppress-author":true}],"schema":"https://github.com/citation-style-language/schema/raw/master/csl-citation.json"} </w:instrText>
      </w:r>
      <w:r w:rsidRPr="004B74FC">
        <w:fldChar w:fldCharType="separate"/>
      </w:r>
      <w:r w:rsidRPr="004B74FC">
        <w:t>(2022)</w:t>
      </w:r>
      <w:r w:rsidRPr="004B74FC">
        <w:fldChar w:fldCharType="end"/>
      </w:r>
      <w:r>
        <w:t>, is insufficient to close the deforestation-finance gap. Second, biodiversity targets under the Kunming-</w:t>
      </w:r>
      <w:r>
        <w:lastRenderedPageBreak/>
        <w:t xml:space="preserve">Montreal GBF should be formally integrated into the UNFCCC NDC framework, removing the structural separation between climate and biodiversity governance that </w:t>
      </w:r>
      <w:r w:rsidR="00DE6693" w:rsidRPr="00DE6693">
        <w:t>Boran and Pettorelli</w:t>
      </w:r>
      <w:r w:rsidR="00DE6693">
        <w:t xml:space="preserve"> </w:t>
      </w:r>
      <w:r>
        <w:fldChar w:fldCharType="begin"/>
      </w:r>
      <w:r>
        <w:instrText xml:space="preserve"> ADDIN ZOTERO_ITEM CSL_CITATION {"citationID":"vGHiuwhw","properties":{"unsorted":false,"formattedCitation":"(2024)","plainCitation":"(2024)","noteIndex":0},"citationItems":[{"id":128,"uris":["http://zotero.org/users/11719957/items/E5B5W6T3"],"itemData":{"id":128,"type":"article-journal","abstract":"Abstract\n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people","volume":"61","author":[{"family":"Boran","given":"Idil"},{"family":"Pettorelli","given":"Nathalie"}],"issued":{"date-parts":[["2024",9]]}},"suppress-author":true}],"schema":"https://github.com/citation-style-language/schema/raw/master/csl-citation.json"} </w:instrText>
      </w:r>
      <w:r>
        <w:fldChar w:fldCharType="separate"/>
      </w:r>
      <w:r w:rsidRPr="00E81B5F">
        <w:t>(2024)</w:t>
      </w:r>
      <w:r>
        <w:fldChar w:fldCharType="end"/>
      </w:r>
      <w:r>
        <w:t xml:space="preserve"> identify as the central institutional barrier to coherent forest protection. Third, a defined and ring-fenced share of the NCQG should be directed specifically to community-managed forest protection in high-biodiversity tropical nations, recognising that, as demonstrated at COP 30, Indigenous Peoples and local communities are among the most effective forest stewards when adequately resourced and legally recognised.</w:t>
      </w:r>
    </w:p>
    <w:p w14:paraId="0BC4FD1E" w14:textId="77777777" w:rsidR="00106979" w:rsidRDefault="00106979" w:rsidP="00106979">
      <w:pPr>
        <w:pStyle w:val="Heading2"/>
      </w:pPr>
      <w:bookmarkStart w:id="29" w:name="_Toc228278420"/>
      <w:r>
        <w:t>5.3 Limitations of the Analysis</w:t>
      </w:r>
      <w:bookmarkEnd w:id="29"/>
    </w:p>
    <w:p w14:paraId="1F2F1190" w14:textId="77777777" w:rsidR="00106979" w:rsidRDefault="00106979" w:rsidP="00106979">
      <w:pPr>
        <w:spacing w:after="200" w:line="360" w:lineRule="auto"/>
        <w:jc w:val="both"/>
      </w:pPr>
      <w:r>
        <w:t>This report is subject to two principal limitations. First, the post-COP 30 policy landscape is rapidly evolving; developments since November 2025 may alter the assessment of prospects presented in Chapter 4, particularly regarding the operationalisation of the TFFF and the COP 31 agenda. Second, the report focuses primarily on the UNFCCC governance track; CBD processes and the Kunming-Montreal GBF are covered only insofar as they intersect directly with COP decisions, and a fuller treatment of biodiversity governance would require dedicated analysis of the CBD COP process.</w:t>
      </w:r>
    </w:p>
    <w:p w14:paraId="6BC1747C" w14:textId="77777777" w:rsidR="00106979" w:rsidRDefault="00106979" w:rsidP="00106979">
      <w:r>
        <w:br w:type="page"/>
      </w:r>
    </w:p>
    <w:p w14:paraId="779EBB92" w14:textId="77777777" w:rsidR="00106979" w:rsidRDefault="00106979" w:rsidP="00106979">
      <w:pPr>
        <w:pStyle w:val="Heading1"/>
      </w:pPr>
      <w:bookmarkStart w:id="30" w:name="_Toc228278421"/>
      <w:r>
        <w:lastRenderedPageBreak/>
        <w:t>References</w:t>
      </w:r>
      <w:bookmarkEnd w:id="30"/>
    </w:p>
    <w:p w14:paraId="0894A031" w14:textId="77777777" w:rsidR="009B3D24" w:rsidRPr="009B3D24" w:rsidRDefault="00106979" w:rsidP="009B3D24">
      <w:pPr>
        <w:pStyle w:val="Bibliography"/>
      </w:pPr>
      <w:r>
        <w:fldChar w:fldCharType="begin"/>
      </w:r>
      <w:r w:rsidR="009B3D24">
        <w:instrText xml:space="preserve"> ADDIN ZOTERO_BIBL {"uncited":[],"omitted":[],"custom":[]} CSL_BIBLIOGRAPHY </w:instrText>
      </w:r>
      <w:r>
        <w:fldChar w:fldCharType="separate"/>
      </w:r>
      <w:r w:rsidR="009B3D24" w:rsidRPr="009B3D24">
        <w:t xml:space="preserve">Angelsen, A. </w:t>
      </w:r>
      <w:r w:rsidR="009B3D24" w:rsidRPr="009B3D24">
        <w:rPr>
          <w:i/>
          <w:iCs/>
        </w:rPr>
        <w:t>et al.</w:t>
      </w:r>
      <w:r w:rsidR="009B3D24" w:rsidRPr="009B3D24">
        <w:t xml:space="preserve"> (2018) </w:t>
      </w:r>
      <w:r w:rsidR="009B3D24" w:rsidRPr="009B3D24">
        <w:rPr>
          <w:i/>
          <w:iCs/>
        </w:rPr>
        <w:t>Transforming REDD+: Lessons and new directions</w:t>
      </w:r>
      <w:r w:rsidR="009B3D24" w:rsidRPr="009B3D24">
        <w:t>. CIFOR. Available at: https://www.cifor-icraf.org/publications/pdf_files/Books/BAngelsen1801.pdf.</w:t>
      </w:r>
    </w:p>
    <w:p w14:paraId="48D22129" w14:textId="77777777" w:rsidR="009B3D24" w:rsidRPr="009B3D24" w:rsidRDefault="009B3D24" w:rsidP="009B3D24">
      <w:pPr>
        <w:pStyle w:val="Bibliography"/>
      </w:pPr>
      <w:r w:rsidRPr="009B3D24">
        <w:t xml:space="preserve">Boran, I. and Pettorelli, N. (2024) ‘The Kunming–Montreal Global Biodiversity Framework and the Paris Agreement need a joint work programme for climate, nature and people’, </w:t>
      </w:r>
      <w:r w:rsidRPr="009B3D24">
        <w:rPr>
          <w:i/>
          <w:iCs/>
        </w:rPr>
        <w:t>Journal of Applied Ecology</w:t>
      </w:r>
      <w:r w:rsidRPr="009B3D24">
        <w:t>, 61(9), pp. 1991–1999. Available at: https://doi.org/10.1111/1365-2664.14721.</w:t>
      </w:r>
    </w:p>
    <w:p w14:paraId="404F05ED" w14:textId="77777777" w:rsidR="009B3D24" w:rsidRPr="009B3D24" w:rsidRDefault="009B3D24" w:rsidP="009B3D24">
      <w:pPr>
        <w:pStyle w:val="Bibliography"/>
      </w:pPr>
      <w:r w:rsidRPr="009B3D24">
        <w:t xml:space="preserve">Buma, B. </w:t>
      </w:r>
      <w:r w:rsidRPr="009B3D24">
        <w:rPr>
          <w:i/>
          <w:iCs/>
        </w:rPr>
        <w:t>et al.</w:t>
      </w:r>
      <w:r w:rsidRPr="009B3D24">
        <w:t xml:space="preserve"> (2024) ‘Expert review of the science underlying nature-based climate solutions’, </w:t>
      </w:r>
      <w:r w:rsidRPr="009B3D24">
        <w:rPr>
          <w:i/>
          <w:iCs/>
        </w:rPr>
        <w:t>Nature Climate Change</w:t>
      </w:r>
      <w:r w:rsidRPr="009B3D24">
        <w:t>, 14(4), pp. 402–406. Available at: https://doi.org/10.1038/s41558-024-01960-0.</w:t>
      </w:r>
    </w:p>
    <w:p w14:paraId="32A31B62" w14:textId="77777777" w:rsidR="009B3D24" w:rsidRPr="009B3D24" w:rsidRDefault="009B3D24" w:rsidP="009B3D24">
      <w:pPr>
        <w:pStyle w:val="Bibliography"/>
      </w:pPr>
      <w:r w:rsidRPr="009B3D24">
        <w:t xml:space="preserve">Carbon Brief (2025) </w:t>
      </w:r>
      <w:r w:rsidRPr="009B3D24">
        <w:rPr>
          <w:i/>
          <w:iCs/>
        </w:rPr>
        <w:t>COP30: Key outcomes for food, forests, land and nature at the UN climate talks in Belem</w:t>
      </w:r>
      <w:r w:rsidRPr="009B3D24">
        <w:t xml:space="preserve">, </w:t>
      </w:r>
      <w:r w:rsidRPr="009B3D24">
        <w:rPr>
          <w:i/>
          <w:iCs/>
        </w:rPr>
        <w:t>Carbon Brief</w:t>
      </w:r>
      <w:r w:rsidRPr="009B3D24">
        <w:t>. Available at: https://www.carbonbrief.org/cop30-key-outcomes-for-food-forests-land-and-nature-at-the-un-climate-talks-in-belem/ (Accessed: 27 April 2026).</w:t>
      </w:r>
    </w:p>
    <w:p w14:paraId="365E409D" w14:textId="77777777" w:rsidR="009B3D24" w:rsidRPr="009B3D24" w:rsidRDefault="009B3D24" w:rsidP="009B3D24">
      <w:pPr>
        <w:pStyle w:val="Bibliography"/>
      </w:pPr>
      <w:r w:rsidRPr="009B3D24">
        <w:t xml:space="preserve">CBD (1992) </w:t>
      </w:r>
      <w:r w:rsidRPr="009B3D24">
        <w:rPr>
          <w:i/>
          <w:iCs/>
        </w:rPr>
        <w:t>Convention on Biological Diversity</w:t>
      </w:r>
      <w:r w:rsidRPr="009B3D24">
        <w:t>. United Nations. Available at: https://treaties.un.org/doc/Treaties/1992/06/19920605%2008-44%20PM/Ch_XXVII_08p.pdf (Accessed: 27 April 2026).</w:t>
      </w:r>
    </w:p>
    <w:p w14:paraId="58E1A1D9" w14:textId="77777777" w:rsidR="009B3D24" w:rsidRPr="009B3D24" w:rsidRDefault="009B3D24" w:rsidP="009B3D24">
      <w:pPr>
        <w:pStyle w:val="Bibliography"/>
      </w:pPr>
      <w:r w:rsidRPr="009B3D24">
        <w:t xml:space="preserve">CBD (2022) </w:t>
      </w:r>
      <w:r w:rsidRPr="009B3D24">
        <w:rPr>
          <w:i/>
          <w:iCs/>
        </w:rPr>
        <w:t>Kunming-Montreal Global Biodiversity Framework</w:t>
      </w:r>
      <w:r w:rsidRPr="009B3D24">
        <w:t>. Montreal. Available at: https://www.cbd.int/doc/c/e6d3/cd1d/daf663719a03902a9b116c34/cop-15-l-25-en.pdf (Accessed: 27 April 2026).</w:t>
      </w:r>
    </w:p>
    <w:p w14:paraId="630AE15D" w14:textId="77777777" w:rsidR="009B3D24" w:rsidRPr="009B3D24" w:rsidRDefault="009B3D24" w:rsidP="009B3D24">
      <w:pPr>
        <w:pStyle w:val="Bibliography"/>
      </w:pPr>
      <w:r w:rsidRPr="009B3D24">
        <w:t xml:space="preserve">FAO (2020) </w:t>
      </w:r>
      <w:r w:rsidRPr="009B3D24">
        <w:rPr>
          <w:i/>
          <w:iCs/>
        </w:rPr>
        <w:t>Global Forest Resources Assessment</w:t>
      </w:r>
      <w:r w:rsidRPr="009B3D24">
        <w:t>. FAO. Available at: https://doi.org/10.4060/ca9825en.</w:t>
      </w:r>
    </w:p>
    <w:p w14:paraId="33749D54" w14:textId="77777777" w:rsidR="009B3D24" w:rsidRPr="009B3D24" w:rsidRDefault="009B3D24" w:rsidP="009B3D24">
      <w:pPr>
        <w:pStyle w:val="Bibliography"/>
      </w:pPr>
      <w:r w:rsidRPr="009B3D24">
        <w:t xml:space="preserve">FDA (2025) </w:t>
      </w:r>
      <w:r w:rsidRPr="009B3D24">
        <w:rPr>
          <w:i/>
          <w:iCs/>
        </w:rPr>
        <w:t>Forest Declaration Assessment</w:t>
      </w:r>
      <w:r w:rsidRPr="009B3D24">
        <w:t>. Available at: https://forestdeclaration.org/wp-content/uploads/2025/10/Assessment2025.pdf (Accessed: 27 April 2026).</w:t>
      </w:r>
    </w:p>
    <w:p w14:paraId="1BC4729D" w14:textId="77777777" w:rsidR="009B3D24" w:rsidRPr="009B3D24" w:rsidRDefault="009B3D24" w:rsidP="009B3D24">
      <w:pPr>
        <w:pStyle w:val="Bibliography"/>
      </w:pPr>
      <w:r w:rsidRPr="009B3D24">
        <w:rPr>
          <w:lang w:val="pt-PT"/>
        </w:rPr>
        <w:t xml:space="preserve">Guizar‐Coutiño, A. </w:t>
      </w:r>
      <w:r w:rsidRPr="009B3D24">
        <w:rPr>
          <w:i/>
          <w:iCs/>
          <w:lang w:val="pt-PT"/>
        </w:rPr>
        <w:t>et al.</w:t>
      </w:r>
      <w:r w:rsidRPr="009B3D24">
        <w:rPr>
          <w:lang w:val="pt-PT"/>
        </w:rPr>
        <w:t xml:space="preserve"> </w:t>
      </w:r>
      <w:r w:rsidRPr="009B3D24">
        <w:t xml:space="preserve">(2022) ‘A global evaluation of the effectiveness of voluntary REDD+ projects at reducing deforestation and degradation in the moist tropics’, </w:t>
      </w:r>
      <w:r w:rsidRPr="009B3D24">
        <w:rPr>
          <w:i/>
          <w:iCs/>
        </w:rPr>
        <w:t>Conservation Biology</w:t>
      </w:r>
      <w:r w:rsidRPr="009B3D24">
        <w:t>, 36(6), p. e13970. Available at: https://doi.org/10.1111/cobi.13970.</w:t>
      </w:r>
    </w:p>
    <w:p w14:paraId="5A6DB55E" w14:textId="77777777" w:rsidR="009B3D24" w:rsidRPr="009B3D24" w:rsidRDefault="009B3D24" w:rsidP="009B3D24">
      <w:pPr>
        <w:pStyle w:val="Bibliography"/>
      </w:pPr>
      <w:r w:rsidRPr="009B3D24">
        <w:t xml:space="preserve">Hughes, A.C. and Grumbine, R.E. (2023) ‘The Kunming-Montreal Global Biodiversity Framework: what it does and does not do, and how to improve it’, </w:t>
      </w:r>
      <w:r w:rsidRPr="009B3D24">
        <w:rPr>
          <w:i/>
          <w:iCs/>
        </w:rPr>
        <w:t>Frontiers in Environmental Science</w:t>
      </w:r>
      <w:r w:rsidRPr="009B3D24">
        <w:t>, 11, p. 1281536. Available at: https://doi.org/10.3389/fenvs.2023.1281536.</w:t>
      </w:r>
    </w:p>
    <w:p w14:paraId="3DD3CA2A" w14:textId="77777777" w:rsidR="009B3D24" w:rsidRPr="009B3D24" w:rsidRDefault="009B3D24" w:rsidP="009B3D24">
      <w:pPr>
        <w:pStyle w:val="Bibliography"/>
      </w:pPr>
      <w:r w:rsidRPr="009B3D24">
        <w:t xml:space="preserve">IISD (2024) </w:t>
      </w:r>
      <w:r w:rsidRPr="009B3D24">
        <w:rPr>
          <w:i/>
          <w:iCs/>
        </w:rPr>
        <w:t>Summary of the 2024 Baku Climate Change Conference: 11-22 November 2024</w:t>
      </w:r>
      <w:r w:rsidRPr="009B3D24">
        <w:t>. Baku: International Institute for Sustainable Development (Earth Negotiations Bulletin). Available at: https://enb.iisd.org/sites/default/files/2024-11/enb12865e_0.pdf (Accessed: 27 April 2026).</w:t>
      </w:r>
    </w:p>
    <w:p w14:paraId="00FF8022" w14:textId="77777777" w:rsidR="009B3D24" w:rsidRPr="009B3D24" w:rsidRDefault="009B3D24" w:rsidP="009B3D24">
      <w:pPr>
        <w:pStyle w:val="Bibliography"/>
      </w:pPr>
      <w:r w:rsidRPr="009B3D24">
        <w:t xml:space="preserve">IPBES (2019) </w:t>
      </w:r>
      <w:r w:rsidRPr="009B3D24">
        <w:rPr>
          <w:i/>
          <w:iCs/>
        </w:rPr>
        <w:t>Global assessment report on biodiversity and ecosystem services of the Intergovernmental Science-Policy Platform on Biodiversity and Ecosystem Services</w:t>
      </w:r>
      <w:r w:rsidRPr="009B3D24">
        <w:t>. Edited by E. Brondizio et al. Zenodo. Available at: https://doi.org/10.5281/ZENODO.3831673.</w:t>
      </w:r>
    </w:p>
    <w:p w14:paraId="64E347C7" w14:textId="77777777" w:rsidR="009B3D24" w:rsidRPr="009B3D24" w:rsidRDefault="009B3D24" w:rsidP="009B3D24">
      <w:pPr>
        <w:pStyle w:val="Bibliography"/>
      </w:pPr>
      <w:r w:rsidRPr="009B3D24">
        <w:lastRenderedPageBreak/>
        <w:t xml:space="preserve">IUCN (2025) </w:t>
      </w:r>
      <w:r w:rsidRPr="009B3D24">
        <w:rPr>
          <w:i/>
          <w:iCs/>
        </w:rPr>
        <w:t>The IUCN Red List of Threatened Species</w:t>
      </w:r>
      <w:r w:rsidRPr="009B3D24">
        <w:t>. Available at: https://www.iucnredlist.org/resources/summary-statistics#Summary%20Tables (Accessed: 27 April 2026).</w:t>
      </w:r>
    </w:p>
    <w:p w14:paraId="7E459CAB" w14:textId="77777777" w:rsidR="009B3D24" w:rsidRPr="009B3D24" w:rsidRDefault="009B3D24" w:rsidP="009B3D24">
      <w:pPr>
        <w:pStyle w:val="Bibliography"/>
      </w:pPr>
      <w:r w:rsidRPr="009B3D24">
        <w:t>Leal-Arcas, R. (2025) ‘COP30 in Brazil: A Critical Juncture for the Paris Agreement’. SSRN. Available at: https://doi.org/10.2139/ssrn.5269063.</w:t>
      </w:r>
    </w:p>
    <w:p w14:paraId="4F984FB2" w14:textId="77777777" w:rsidR="009B3D24" w:rsidRPr="009B3D24" w:rsidRDefault="009B3D24" w:rsidP="009B3D24">
      <w:pPr>
        <w:pStyle w:val="Bibliography"/>
      </w:pPr>
      <w:r w:rsidRPr="009B3D24">
        <w:t xml:space="preserve">Lehmann, I. </w:t>
      </w:r>
      <w:r w:rsidRPr="009B3D24">
        <w:rPr>
          <w:i/>
          <w:iCs/>
        </w:rPr>
        <w:t>et al.</w:t>
      </w:r>
      <w:r w:rsidRPr="009B3D24">
        <w:t xml:space="preserve"> (2025) ‘Implications of global distributive justice principles for implementation of the Kunming‐Montreal Global Biodiversity Framework’, </w:t>
      </w:r>
      <w:r w:rsidRPr="009B3D24">
        <w:rPr>
          <w:i/>
          <w:iCs/>
        </w:rPr>
        <w:t>Conservation Biology</w:t>
      </w:r>
      <w:r w:rsidRPr="009B3D24">
        <w:t>, 40(1), p. e70167. Available at: https://doi.org/10.1111/cobi.70167.</w:t>
      </w:r>
    </w:p>
    <w:p w14:paraId="21363802" w14:textId="77777777" w:rsidR="009B3D24" w:rsidRPr="009B3D24" w:rsidRDefault="009B3D24" w:rsidP="009B3D24">
      <w:pPr>
        <w:pStyle w:val="Bibliography"/>
      </w:pPr>
      <w:r w:rsidRPr="009B3D24">
        <w:t xml:space="preserve">Nasi, R. (2022) ‘The Glasgow leaders’ declaration on forests and land use: Significance toward “Net Zero”’, </w:t>
      </w:r>
      <w:r w:rsidRPr="009B3D24">
        <w:rPr>
          <w:i/>
          <w:iCs/>
        </w:rPr>
        <w:t>Global Change Biology</w:t>
      </w:r>
      <w:r w:rsidRPr="009B3D24">
        <w:t>, 28(6), pp. 1951–1952. Available at: https://doi.org/10.1111/gcb.16039.</w:t>
      </w:r>
    </w:p>
    <w:p w14:paraId="380F5E1F" w14:textId="77777777" w:rsidR="009B3D24" w:rsidRPr="009B3D24" w:rsidRDefault="009B3D24" w:rsidP="009B3D24">
      <w:pPr>
        <w:pStyle w:val="Bibliography"/>
      </w:pPr>
      <w:r w:rsidRPr="009B3D24">
        <w:t xml:space="preserve">Sanz, M.J. and Perea Blazquez, A.K. (2025) ‘Analysis of international climate change governance for the agriculture, forest and land use sector: Gaps and recommendations for future improvement’, </w:t>
      </w:r>
      <w:r w:rsidRPr="009B3D24">
        <w:rPr>
          <w:i/>
          <w:iCs/>
        </w:rPr>
        <w:t>Earth System Governance</w:t>
      </w:r>
      <w:r w:rsidRPr="009B3D24">
        <w:t>, 25, p. 100278. Available at: https://doi.org/10.1016/j.esg.2025.100278.</w:t>
      </w:r>
    </w:p>
    <w:p w14:paraId="409AAA59" w14:textId="77777777" w:rsidR="009B3D24" w:rsidRPr="009B3D24" w:rsidRDefault="009B3D24" w:rsidP="009B3D24">
      <w:pPr>
        <w:pStyle w:val="Bibliography"/>
      </w:pPr>
      <w:r w:rsidRPr="009B3D24">
        <w:t xml:space="preserve">UN (2015) </w:t>
      </w:r>
      <w:r w:rsidRPr="009B3D24">
        <w:rPr>
          <w:i/>
          <w:iCs/>
        </w:rPr>
        <w:t>Transforming our World: The 2030 Agenda for Sustainable Development</w:t>
      </w:r>
      <w:r w:rsidRPr="009B3D24">
        <w:t>. Available at: https://sdgs.un.org/2030agenda (Accessed: 27 April 2026).</w:t>
      </w:r>
    </w:p>
    <w:p w14:paraId="0885DF11" w14:textId="77777777" w:rsidR="009B3D24" w:rsidRPr="009B3D24" w:rsidRDefault="009B3D24" w:rsidP="009B3D24">
      <w:pPr>
        <w:pStyle w:val="Bibliography"/>
      </w:pPr>
      <w:r w:rsidRPr="009B3D24">
        <w:t xml:space="preserve">UN (2024) </w:t>
      </w:r>
      <w:r w:rsidRPr="009B3D24">
        <w:rPr>
          <w:i/>
          <w:iCs/>
        </w:rPr>
        <w:t>Biodiversity: Our Strongest Natural Defense against Climate Change</w:t>
      </w:r>
      <w:r w:rsidRPr="009B3D24">
        <w:t>. Available at: https://www.un.org/en/climatechange/science/climate-issues/biodiversity (Accessed: 27 April 2026).</w:t>
      </w:r>
    </w:p>
    <w:p w14:paraId="12CB54A3" w14:textId="77777777" w:rsidR="009B3D24" w:rsidRPr="009B3D24" w:rsidRDefault="009B3D24" w:rsidP="009B3D24">
      <w:pPr>
        <w:pStyle w:val="Bibliography"/>
      </w:pPr>
      <w:r w:rsidRPr="009B3D24">
        <w:t xml:space="preserve">UNFCCC (1992) </w:t>
      </w:r>
      <w:r w:rsidRPr="009B3D24">
        <w:rPr>
          <w:i/>
          <w:iCs/>
        </w:rPr>
        <w:t>United Nations Framework Convention on Climate Change</w:t>
      </w:r>
      <w:r w:rsidRPr="009B3D24">
        <w:t>. Available at: https://unfccc.int/resource/docs/convkp/conveng.pdf (Accessed: 27 April 2026).</w:t>
      </w:r>
    </w:p>
    <w:p w14:paraId="1D7AB34E" w14:textId="77777777" w:rsidR="009B3D24" w:rsidRPr="009B3D24" w:rsidRDefault="009B3D24" w:rsidP="009B3D24">
      <w:pPr>
        <w:pStyle w:val="Bibliography"/>
      </w:pPr>
      <w:r w:rsidRPr="009B3D24">
        <w:t xml:space="preserve">UNFCCC (1998) </w:t>
      </w:r>
      <w:r w:rsidRPr="009B3D24">
        <w:rPr>
          <w:i/>
          <w:iCs/>
        </w:rPr>
        <w:t>Kyoto Protocol to the United Nations Framework Convention on Climate Change</w:t>
      </w:r>
      <w:r w:rsidRPr="009B3D24">
        <w:t>. Available at: https://unfccc.int/resource/docs/convkp/kpeng.pdf (Accessed: 27 April 2026).</w:t>
      </w:r>
    </w:p>
    <w:p w14:paraId="073D72C2" w14:textId="77777777" w:rsidR="009B3D24" w:rsidRPr="009B3D24" w:rsidRDefault="009B3D24" w:rsidP="009B3D24">
      <w:pPr>
        <w:pStyle w:val="Bibliography"/>
      </w:pPr>
      <w:r w:rsidRPr="009B3D24">
        <w:t xml:space="preserve">UNFCCC (2008) </w:t>
      </w:r>
      <w:r w:rsidRPr="009B3D24">
        <w:rPr>
          <w:i/>
          <w:iCs/>
        </w:rPr>
        <w:t>Report of the Conference of the Parties on its Thirteenth Session</w:t>
      </w:r>
      <w:r w:rsidRPr="009B3D24">
        <w:t>. Bali. Available at: https://unfccc.int/resource/docs/2007/cop13/eng/06a01.pdf (Accessed: 27 April 2026).</w:t>
      </w:r>
    </w:p>
    <w:p w14:paraId="5B683186" w14:textId="77777777" w:rsidR="009B3D24" w:rsidRPr="009B3D24" w:rsidRDefault="009B3D24" w:rsidP="009B3D24">
      <w:pPr>
        <w:pStyle w:val="Bibliography"/>
      </w:pPr>
      <w:r w:rsidRPr="009B3D24">
        <w:t xml:space="preserve">UNFCCC (2011) </w:t>
      </w:r>
      <w:r w:rsidRPr="009B3D24">
        <w:rPr>
          <w:i/>
          <w:iCs/>
        </w:rPr>
        <w:t>Report of the Conference of the Parties on its Sixteenth Session</w:t>
      </w:r>
      <w:r w:rsidRPr="009B3D24">
        <w:t>. Cancun. Available at: https://unfccc.int/sites/default/files/resource/docs/2010/cop16/eng/07.pdf (Accessed: 27 April 2026).</w:t>
      </w:r>
    </w:p>
    <w:p w14:paraId="4740D299" w14:textId="77777777" w:rsidR="009B3D24" w:rsidRPr="009B3D24" w:rsidRDefault="009B3D24" w:rsidP="009B3D24">
      <w:pPr>
        <w:pStyle w:val="Bibliography"/>
      </w:pPr>
      <w:r w:rsidRPr="009B3D24">
        <w:t xml:space="preserve">UNFCCC (2014) </w:t>
      </w:r>
      <w:r w:rsidRPr="009B3D24">
        <w:rPr>
          <w:i/>
          <w:iCs/>
        </w:rPr>
        <w:t>Report of the Conference of the Parties on its 19th session</w:t>
      </w:r>
      <w:r w:rsidRPr="009B3D24">
        <w:t>. Warsaw. Available at: https://unfccc.int/resource/docs/2013/cop19/eng/10a01.pdf (Accessed: 27 April 2026).</w:t>
      </w:r>
    </w:p>
    <w:p w14:paraId="1CDC0729" w14:textId="77777777" w:rsidR="009B3D24" w:rsidRPr="009B3D24" w:rsidRDefault="009B3D24" w:rsidP="009B3D24">
      <w:pPr>
        <w:pStyle w:val="Bibliography"/>
      </w:pPr>
      <w:r w:rsidRPr="009B3D24">
        <w:t xml:space="preserve">UNFCCC (2015) </w:t>
      </w:r>
      <w:r w:rsidRPr="009B3D24">
        <w:rPr>
          <w:i/>
          <w:iCs/>
        </w:rPr>
        <w:t>Paris Agreement</w:t>
      </w:r>
      <w:r w:rsidRPr="009B3D24">
        <w:t>. Available at: https://unfccc.int/sites/default/files/english_paris_agreement.pdf#page=1.00&amp;gsr=0 (Accessed: 27 April 2026).</w:t>
      </w:r>
    </w:p>
    <w:p w14:paraId="400B5FA0" w14:textId="77777777" w:rsidR="009B3D24" w:rsidRPr="009B3D24" w:rsidRDefault="009B3D24" w:rsidP="009B3D24">
      <w:pPr>
        <w:pStyle w:val="Bibliography"/>
      </w:pPr>
      <w:r w:rsidRPr="009B3D24">
        <w:lastRenderedPageBreak/>
        <w:t xml:space="preserve">Vian, J.E., Garvey, B. and Tuohy, P.G. (2023) ‘Towards a synthesized critique of forest‐based “carbon‐fix” strategies’, </w:t>
      </w:r>
      <w:r w:rsidRPr="009B3D24">
        <w:rPr>
          <w:i/>
          <w:iCs/>
        </w:rPr>
        <w:t>Climate Resilience and Sustainability</w:t>
      </w:r>
      <w:r w:rsidRPr="009B3D24">
        <w:t>, 2(1), p. e248. Available at: https://doi.org/10.1002/cli2.48.</w:t>
      </w:r>
    </w:p>
    <w:p w14:paraId="0F604BA7" w14:textId="77777777" w:rsidR="009B3D24" w:rsidRPr="009B3D24" w:rsidRDefault="009B3D24" w:rsidP="009B3D24">
      <w:pPr>
        <w:pStyle w:val="Bibliography"/>
      </w:pPr>
      <w:r w:rsidRPr="009B3D24">
        <w:t xml:space="preserve">Weisse, M., Goldman, E. and Carter, S. (2023) ‘Tropical primary forest loss worsened in 2022, despite international commitments to end deforestation’, </w:t>
      </w:r>
      <w:r w:rsidRPr="009B3D24">
        <w:rPr>
          <w:i/>
          <w:iCs/>
        </w:rPr>
        <w:t>World Resources Institute</w:t>
      </w:r>
      <w:r w:rsidRPr="009B3D24">
        <w:t>, 27. Available at: https://www.globalforestwatch.org/blog/forest-insights/global-tree-cover-loss-data-2022/.</w:t>
      </w:r>
    </w:p>
    <w:p w14:paraId="7C4306ED" w14:textId="77777777" w:rsidR="009B3D24" w:rsidRPr="009B3D24" w:rsidRDefault="009B3D24" w:rsidP="009B3D24">
      <w:pPr>
        <w:pStyle w:val="Bibliography"/>
      </w:pPr>
      <w:r w:rsidRPr="009B3D24">
        <w:t xml:space="preserve">WRI (2025) </w:t>
      </w:r>
      <w:r w:rsidRPr="009B3D24">
        <w:rPr>
          <w:i/>
          <w:iCs/>
        </w:rPr>
        <w:t>STATEMENT: COP30 Delivers on Forests and Finance, Underdelivers on Fossil Fuels</w:t>
      </w:r>
      <w:r w:rsidRPr="009B3D24">
        <w:t>. Belem. Available at: https://www.wri.org/news/statement-cop30-delivers-forests-and-finance-underdelivers-fossil-fuels (Accessed: 27 April 2026).</w:t>
      </w:r>
    </w:p>
    <w:p w14:paraId="5F145AD2" w14:textId="369197F5" w:rsidR="00106979" w:rsidRDefault="00106979" w:rsidP="00106979">
      <w:pPr>
        <w:spacing w:before="480" w:after="240" w:line="360" w:lineRule="auto"/>
      </w:pPr>
      <w:r>
        <w:fldChar w:fldCharType="end"/>
      </w:r>
    </w:p>
    <w:p w14:paraId="2AED148A" w14:textId="77777777" w:rsidR="00106979" w:rsidRDefault="00106979" w:rsidP="00106979">
      <w:pPr>
        <w:rPr>
          <w:b/>
          <w:bCs/>
          <w:sz w:val="28"/>
          <w:szCs w:val="28"/>
        </w:rPr>
      </w:pPr>
      <w:r>
        <w:rPr>
          <w:b/>
          <w:bCs/>
          <w:sz w:val="28"/>
          <w:szCs w:val="28"/>
        </w:rPr>
        <w:br w:type="page"/>
      </w:r>
    </w:p>
    <w:p w14:paraId="6439BB56" w14:textId="77777777" w:rsidR="00106979" w:rsidRDefault="00106979" w:rsidP="00106979">
      <w:pPr>
        <w:pStyle w:val="Heading1"/>
      </w:pPr>
      <w:bookmarkStart w:id="31" w:name="_Toc228278422"/>
      <w:r>
        <w:lastRenderedPageBreak/>
        <w:t>Appendix A: PESTEL Analysis</w:t>
      </w:r>
      <w:bookmarkEnd w:id="31"/>
    </w:p>
    <w:p w14:paraId="15D4BDD8" w14:textId="77777777" w:rsidR="00106979" w:rsidRDefault="00106979" w:rsidP="00106979">
      <w:pPr>
        <w:spacing w:after="200" w:line="360" w:lineRule="auto"/>
        <w:jc w:val="both"/>
      </w:pPr>
      <w:r>
        <w:t>The following PESTEL analysis identifies the structural Political, Economic, Social, Technological, Environmental, and Legal factors that have shaped the forest and biodiversity governance gap documented in Chapter 3, and that continue to condition prospects in the post-COP 30 period analysed in Chapter 4.</w:t>
      </w:r>
    </w:p>
    <w:p w14:paraId="1D83B4A7" w14:textId="77777777" w:rsidR="00106979" w:rsidRDefault="00106979" w:rsidP="00106979">
      <w:pPr>
        <w:spacing w:before="280" w:after="120" w:line="360" w:lineRule="auto"/>
        <w:jc w:val="center"/>
      </w:pPr>
      <w:r>
        <w:rPr>
          <w:b/>
          <w:bCs/>
          <w:sz w:val="22"/>
          <w:szCs w:val="22"/>
        </w:rPr>
        <w:t>PESTEL Analysis: Forests and Biodiversity Governance under the COP Process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69"/>
        <w:gridCol w:w="7557"/>
      </w:tblGrid>
      <w:tr w:rsidR="00106979" w14:paraId="2C38A14C"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60B63273" w14:textId="77777777" w:rsidR="00106979" w:rsidRDefault="00106979" w:rsidP="009309B4">
            <w:pPr>
              <w:spacing w:line="300" w:lineRule="auto"/>
            </w:pPr>
            <w:r>
              <w:rPr>
                <w:b/>
                <w:bCs/>
                <w:sz w:val="22"/>
                <w:szCs w:val="22"/>
              </w:rPr>
              <w:t>Factor</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48BA4011" w14:textId="77777777" w:rsidR="00106979" w:rsidRDefault="00106979" w:rsidP="009309B4">
            <w:pPr>
              <w:spacing w:line="300" w:lineRule="auto"/>
            </w:pPr>
            <w:r>
              <w:rPr>
                <w:sz w:val="20"/>
                <w:szCs w:val="20"/>
              </w:rPr>
              <w:t>Key drivers and barriers for forest and biodiversity governance</w:t>
            </w:r>
          </w:p>
        </w:tc>
      </w:tr>
      <w:tr w:rsidR="00106979" w14:paraId="2A7FDCE8"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1390A147" w14:textId="77777777" w:rsidR="00106979" w:rsidRDefault="00106979" w:rsidP="009309B4">
            <w:pPr>
              <w:spacing w:line="300" w:lineRule="auto"/>
            </w:pPr>
            <w:r>
              <w:rPr>
                <w:sz w:val="20"/>
                <w:szCs w:val="20"/>
              </w:rPr>
              <w:t>Political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2E87CAE7" w14:textId="77777777" w:rsidR="00106979" w:rsidRDefault="00106979" w:rsidP="009309B4">
            <w:pPr>
              <w:spacing w:line="300" w:lineRule="auto"/>
            </w:pPr>
            <w:r>
              <w:rPr>
                <w:sz w:val="20"/>
                <w:szCs w:val="20"/>
              </w:rPr>
              <w:t>Domestic political volatility in major forest nations undermines international pledges: the Bolsonaro administration (2019-2022) dismantled enforcement agencies and drove a 15 per cent increase in Brazilian Amazon loss in 2022, the year after the Glasgow Declaration. The US withdrawal from the Paris Agreement in 2025 removes the world's second largest emitter from the multilateral finance architecture, weakening the NCQG commitment base. Geopolitical tensions between the Global North and Global South over historical emissions responsibility have repeatedly stalled binding forest finance negotiations, from Warsaw to COP 29.</w:t>
            </w:r>
          </w:p>
        </w:tc>
      </w:tr>
      <w:tr w:rsidR="00106979" w14:paraId="2A3734E8"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064A73B8" w14:textId="77777777" w:rsidR="00106979" w:rsidRDefault="00106979" w:rsidP="009309B4">
            <w:pPr>
              <w:spacing w:line="300" w:lineRule="auto"/>
            </w:pPr>
            <w:r>
              <w:rPr>
                <w:sz w:val="20"/>
                <w:szCs w:val="20"/>
              </w:rPr>
              <w:t>Economic</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71461F99" w14:textId="77777777" w:rsidR="00106979" w:rsidRDefault="00106979" w:rsidP="009309B4">
            <w:pPr>
              <w:spacing w:line="300" w:lineRule="auto"/>
            </w:pPr>
            <w:r>
              <w:rPr>
                <w:sz w:val="20"/>
                <w:szCs w:val="20"/>
              </w:rPr>
              <w:t>Commodity agriculture, including soy, beef, and palm oil, generates returns that structurally outcompete REDD+ incentive payments in deforestation-frontier economies. The NCQG agreed at COP 29 commits USD 300 billion per year by 2035, but independent estimates including the Dasgupta Review place the true cost of biodiversity-positive land management at multiples of this figure. Results-based REDD+ payments have been chronically underfunded across all implementation periods. The TFFF (USD 5.5 billion, COP 30) represents an improvement but remains modest relative to the scale of economic drivers.</w:t>
            </w:r>
          </w:p>
        </w:tc>
      </w:tr>
      <w:tr w:rsidR="00106979" w14:paraId="7AFB4675"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22F579BB" w14:textId="77777777" w:rsidR="00106979" w:rsidRDefault="00106979" w:rsidP="009309B4">
            <w:pPr>
              <w:spacing w:line="300" w:lineRule="auto"/>
            </w:pPr>
            <w:r>
              <w:rPr>
                <w:sz w:val="20"/>
                <w:szCs w:val="20"/>
              </w:rPr>
              <w:t>Social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3E4BBF6B" w14:textId="77777777" w:rsidR="00106979" w:rsidRDefault="00106979" w:rsidP="009309B4">
            <w:pPr>
              <w:spacing w:line="300" w:lineRule="auto"/>
            </w:pPr>
            <w:r>
              <w:rPr>
                <w:sz w:val="20"/>
                <w:szCs w:val="20"/>
              </w:rPr>
              <w:t>Indigenous Peoples and local communities are among the most effective stewards of tropical forests, yet land tenure insecurity, marginalisation from carbon market revenues, and documented human rights abuses associated with REDD+ projects have undermined community-based governance. COP 30 registered the largest Indigenous Peoples participation in COP history (3,000 representatives), reflecting growing recognition of this constituency, though formal rights protections within the UNFCCC framework remain inadequate. Forest-dependent communities in the Global South are disproportionately vulnerable to biodiversity loss and climate impacts yet receive the least finance.</w:t>
            </w:r>
          </w:p>
        </w:tc>
      </w:tr>
      <w:tr w:rsidR="00106979" w14:paraId="2988EA2F"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14CAE780" w14:textId="77777777" w:rsidR="00106979" w:rsidRDefault="00106979" w:rsidP="009309B4">
            <w:pPr>
              <w:spacing w:line="300" w:lineRule="auto"/>
            </w:pPr>
            <w:r>
              <w:rPr>
                <w:sz w:val="20"/>
                <w:szCs w:val="20"/>
              </w:rPr>
              <w:t>Technological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471FC9AE" w14:textId="77777777" w:rsidR="00106979" w:rsidRDefault="00106979" w:rsidP="009309B4">
            <w:pPr>
              <w:spacing w:line="300" w:lineRule="auto"/>
            </w:pPr>
            <w:r>
              <w:rPr>
                <w:sz w:val="20"/>
                <w:szCs w:val="20"/>
              </w:rPr>
              <w:t>Advances in remote sensing, satellite monitoring, and near-real-time deforestation alert systems (including the GLAD platform of the University of Maryland) have substantially improved MRV capacity since 2013, reducing the technical barriers to results-based forest finance. However, the translation of improved data into verified, disbursed payments has been slow. Carbon market integrity tools under Article 6 of the Paris Agreement remain contested: COP 29 resolved technical rules for Article 6.4 but left environmental integrity safeguards for forestry activities weak. Precision biodiversity monitoring tools, including eDNA sampling and acoustic monitoring, are expanding the evidence base for biodiversity co-benefits assessment.</w:t>
            </w:r>
          </w:p>
        </w:tc>
      </w:tr>
      <w:tr w:rsidR="00106979" w14:paraId="655E3890"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048CDBFA" w14:textId="77777777" w:rsidR="00106979" w:rsidRDefault="00106979" w:rsidP="009309B4">
            <w:pPr>
              <w:spacing w:line="300" w:lineRule="auto"/>
            </w:pPr>
            <w:r>
              <w:rPr>
                <w:sz w:val="20"/>
                <w:szCs w:val="20"/>
              </w:rPr>
              <w:lastRenderedPageBreak/>
              <w:t>Environmental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2ADFC390" w14:textId="77777777" w:rsidR="00106979" w:rsidRDefault="00106979" w:rsidP="009309B4">
            <w:pPr>
              <w:spacing w:line="300" w:lineRule="auto"/>
            </w:pPr>
            <w:r>
              <w:rPr>
                <w:sz w:val="20"/>
                <w:szCs w:val="20"/>
              </w:rPr>
              <w:t>The Amazon rainforest is approaching a tipping point beyond which large portions may transition from rainforest to savanna, a shift that would release billions of tonnes of stored carbon and eliminate irreplaceable biodiversity (UN, 2024). The IPBES Global Assessment (2019) identified climate change as one of the five direct drivers of biodiversity loss, alongside land-use change, overexploitation, pollution, and invasive species. The self-reinforcing feedback loop between deforestation, biodiversity loss, and climate change (Figure 1) means that delayed action compounds both crises simultaneously. Record tropical primary forest loss of 6.7 million hectares was recorded in 2024, driven largely by fires.</w:t>
            </w:r>
          </w:p>
        </w:tc>
      </w:tr>
      <w:tr w:rsidR="00106979" w14:paraId="201B6B4D"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6AACD090" w14:textId="77777777" w:rsidR="00106979" w:rsidRDefault="00106979" w:rsidP="009309B4">
            <w:pPr>
              <w:spacing w:line="300" w:lineRule="auto"/>
            </w:pPr>
            <w:r>
              <w:rPr>
                <w:sz w:val="20"/>
                <w:szCs w:val="20"/>
              </w:rPr>
              <w:t>Legal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02CA25DE" w14:textId="77777777" w:rsidR="00106979" w:rsidRDefault="00106979" w:rsidP="009309B4">
            <w:pPr>
              <w:spacing w:line="300" w:lineRule="auto"/>
            </w:pPr>
            <w:r>
              <w:rPr>
                <w:sz w:val="20"/>
                <w:szCs w:val="20"/>
              </w:rPr>
              <w:t>The structural separation between the UNFCCC and CBD creates a legal governance gap: forest protection commitments under one convention carry no binding force under the other. NDCs under the Paris Agreement are legally binding in their submission requirement but not in their content, meaning forest pledges are effectively voluntary. REDD+ safeguards adopted at Cancun (2010) require biodiversity protection in principle but lack independent enforcement mechanisms. The EU Deforestation Regulation (EUDR), which prohibits imports linked to deforestation, represents the most significant binding regulatory intervention in forest governance to emerge outside the UNFCCC process, with implications for commodity supply chains in Brazil, Indonesia, and the DRC.</w:t>
            </w:r>
          </w:p>
        </w:tc>
      </w:tr>
    </w:tbl>
    <w:p w14:paraId="54D0CCD5" w14:textId="77777777" w:rsidR="00106979" w:rsidRDefault="00106979" w:rsidP="00106979">
      <w:r>
        <w:br w:type="page"/>
      </w:r>
    </w:p>
    <w:p w14:paraId="694ED766" w14:textId="77777777" w:rsidR="00106979" w:rsidRDefault="00106979" w:rsidP="00106979">
      <w:pPr>
        <w:pStyle w:val="Heading1"/>
      </w:pPr>
      <w:bookmarkStart w:id="32" w:name="_Toc228278423"/>
      <w:r>
        <w:lastRenderedPageBreak/>
        <w:t>Appendix B: Glossary of Key Acronyms and Terms</w:t>
      </w:r>
      <w:bookmarkEnd w:id="32"/>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226"/>
      </w:tblGrid>
      <w:tr w:rsidR="00106979" w14:paraId="15C65722"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0AA63F6" w14:textId="77777777" w:rsidR="00106979" w:rsidRDefault="00106979" w:rsidP="009309B4">
            <w:pPr>
              <w:spacing w:line="300" w:lineRule="auto"/>
            </w:pPr>
            <w:r>
              <w:rPr>
                <w:b/>
                <w:bCs/>
                <w:sz w:val="20"/>
                <w:szCs w:val="20"/>
              </w:rPr>
              <w:t>Term / Acronym</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73C98A2A" w14:textId="77777777" w:rsidR="00106979" w:rsidRDefault="00106979" w:rsidP="009309B4">
            <w:pPr>
              <w:spacing w:line="300" w:lineRule="auto"/>
            </w:pPr>
            <w:r>
              <w:rPr>
                <w:sz w:val="20"/>
                <w:szCs w:val="20"/>
              </w:rPr>
              <w:t>Definition</w:t>
            </w:r>
          </w:p>
        </w:tc>
      </w:tr>
      <w:tr w:rsidR="00106979" w14:paraId="20449C60"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75098026" w14:textId="77777777" w:rsidR="00106979" w:rsidRDefault="00106979" w:rsidP="009309B4">
            <w:pPr>
              <w:spacing w:line="300" w:lineRule="auto"/>
            </w:pPr>
            <w:r>
              <w:rPr>
                <w:b/>
                <w:bCs/>
                <w:sz w:val="20"/>
                <w:szCs w:val="20"/>
              </w:rPr>
              <w:t>CBD</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88638FB" w14:textId="77777777" w:rsidR="00106979" w:rsidRDefault="00106979" w:rsidP="009309B4">
            <w:pPr>
              <w:spacing w:line="300" w:lineRule="auto"/>
            </w:pPr>
            <w:r>
              <w:rPr>
                <w:sz w:val="20"/>
                <w:szCs w:val="20"/>
              </w:rPr>
              <w:t>Convention on Biological Diversity. Multilateral treaty adopted in 1992 at the Rio Earth Summit governing the conservation and sustainable use of biodiversity and the fair sharing of genetic resource benefits.</w:t>
            </w:r>
          </w:p>
        </w:tc>
      </w:tr>
      <w:tr w:rsidR="00106979" w14:paraId="6DB02DA6"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32FC248" w14:textId="77777777" w:rsidR="00106979" w:rsidRDefault="00106979" w:rsidP="009309B4">
            <w:pPr>
              <w:spacing w:line="300" w:lineRule="auto"/>
            </w:pPr>
            <w:r>
              <w:rPr>
                <w:b/>
                <w:bCs/>
                <w:sz w:val="20"/>
                <w:szCs w:val="20"/>
              </w:rPr>
              <w:t>COP</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A3CE87F" w14:textId="77777777" w:rsidR="00106979" w:rsidRDefault="00106979" w:rsidP="009309B4">
            <w:pPr>
              <w:spacing w:line="300" w:lineRule="auto"/>
            </w:pPr>
            <w:r>
              <w:rPr>
                <w:sz w:val="20"/>
                <w:szCs w:val="20"/>
              </w:rPr>
              <w:t>Conference of the Parties. The supreme governing body of a multilateral treaty, meeting annually. In this report, COP refers to both the UNFCCC COP (climate) and, where specified, the CBD COP (biodiversity).</w:t>
            </w:r>
          </w:p>
        </w:tc>
      </w:tr>
      <w:tr w:rsidR="00106979" w14:paraId="4C897398"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AD41E29" w14:textId="77777777" w:rsidR="00106979" w:rsidRDefault="00106979" w:rsidP="009309B4">
            <w:pPr>
              <w:spacing w:line="300" w:lineRule="auto"/>
            </w:pPr>
            <w:r>
              <w:rPr>
                <w:b/>
                <w:bCs/>
                <w:sz w:val="20"/>
                <w:szCs w:val="20"/>
              </w:rPr>
              <w:t>GBF</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695D140" w14:textId="77777777" w:rsidR="00106979" w:rsidRDefault="00106979" w:rsidP="009309B4">
            <w:pPr>
              <w:spacing w:line="300" w:lineRule="auto"/>
            </w:pPr>
            <w:r>
              <w:rPr>
                <w:sz w:val="20"/>
                <w:szCs w:val="20"/>
              </w:rPr>
              <w:t>Global Biodiversity Framework. The Kunming-Montreal Global Biodiversity Framework, adopted at CBD COP 15 in December 2022. Contains 23 targets including the 30x30 goal to protect 30 per cent of land and ocean by 2030.</w:t>
            </w:r>
          </w:p>
        </w:tc>
      </w:tr>
      <w:tr w:rsidR="00106979" w14:paraId="79E0F43D"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02464E9" w14:textId="77777777" w:rsidR="00106979" w:rsidRDefault="00106979" w:rsidP="009309B4">
            <w:pPr>
              <w:spacing w:line="300" w:lineRule="auto"/>
            </w:pPr>
            <w:r>
              <w:rPr>
                <w:b/>
                <w:bCs/>
                <w:sz w:val="20"/>
                <w:szCs w:val="20"/>
              </w:rPr>
              <w:t>IPBES</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F401E8E" w14:textId="77777777" w:rsidR="00106979" w:rsidRDefault="00106979" w:rsidP="009309B4">
            <w:pPr>
              <w:spacing w:line="300" w:lineRule="auto"/>
            </w:pPr>
            <w:r>
              <w:rPr>
                <w:sz w:val="20"/>
                <w:szCs w:val="20"/>
              </w:rPr>
              <w:t>Intergovernmental Science-Policy Platform on Biodiversity and Ecosystem Services. An independent intergovernmental body that assesses the state of biodiversity and ecosystem services to inform policymakers, analogous to the IPCC for climate.</w:t>
            </w:r>
          </w:p>
        </w:tc>
      </w:tr>
      <w:tr w:rsidR="00106979" w14:paraId="73EC148F"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4606D360" w14:textId="77777777" w:rsidR="00106979" w:rsidRDefault="00106979" w:rsidP="009309B4">
            <w:pPr>
              <w:spacing w:line="300" w:lineRule="auto"/>
            </w:pPr>
            <w:r>
              <w:rPr>
                <w:b/>
                <w:bCs/>
                <w:sz w:val="20"/>
                <w:szCs w:val="20"/>
              </w:rPr>
              <w:t>IPCC</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EE7F699" w14:textId="77777777" w:rsidR="00106979" w:rsidRDefault="00106979" w:rsidP="009309B4">
            <w:pPr>
              <w:spacing w:line="300" w:lineRule="auto"/>
            </w:pPr>
            <w:r>
              <w:rPr>
                <w:sz w:val="20"/>
                <w:szCs w:val="20"/>
              </w:rPr>
              <w:t>Intergovernmental Panel on Climate Change. The United Nations body that assesses scientific evidence on climate change to inform the UNFCCC negotiations.</w:t>
            </w:r>
          </w:p>
        </w:tc>
      </w:tr>
      <w:tr w:rsidR="00106979" w14:paraId="18FAB8F6"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42DDAF01" w14:textId="77777777" w:rsidR="00106979" w:rsidRDefault="00106979" w:rsidP="009309B4">
            <w:pPr>
              <w:spacing w:line="300" w:lineRule="auto"/>
            </w:pPr>
            <w:r>
              <w:rPr>
                <w:b/>
                <w:bCs/>
                <w:sz w:val="20"/>
                <w:szCs w:val="20"/>
              </w:rPr>
              <w:t>LULUCF</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4D8F9959" w14:textId="77777777" w:rsidR="00106979" w:rsidRDefault="00106979" w:rsidP="009309B4">
            <w:pPr>
              <w:spacing w:line="300" w:lineRule="auto"/>
            </w:pPr>
            <w:r>
              <w:rPr>
                <w:sz w:val="20"/>
                <w:szCs w:val="20"/>
              </w:rPr>
              <w:t>Land Use, Land-Use Change and Forestry. A sector within the UNFCCC greenhouse gas accounting framework that covers emissions and removals from forests, croplands, grasslands, and wetlands.</w:t>
            </w:r>
          </w:p>
        </w:tc>
      </w:tr>
      <w:tr w:rsidR="00106979" w14:paraId="36CA6469"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65966FBC" w14:textId="77777777" w:rsidR="00106979" w:rsidRDefault="00106979" w:rsidP="009309B4">
            <w:pPr>
              <w:spacing w:line="300" w:lineRule="auto"/>
            </w:pPr>
            <w:r>
              <w:rPr>
                <w:b/>
                <w:bCs/>
                <w:sz w:val="20"/>
                <w:szCs w:val="20"/>
              </w:rPr>
              <w:t>MRV</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7496C3E" w14:textId="77777777" w:rsidR="00106979" w:rsidRDefault="00106979" w:rsidP="009309B4">
            <w:pPr>
              <w:spacing w:line="300" w:lineRule="auto"/>
            </w:pPr>
            <w:r>
              <w:rPr>
                <w:sz w:val="20"/>
                <w:szCs w:val="20"/>
              </w:rPr>
              <w:t>Measurement, Reporting and Verification. The system of rules and tools used to quantify, report, and independently verify emissions reductions, particularly within carbon markets and REDD+.</w:t>
            </w:r>
          </w:p>
        </w:tc>
      </w:tr>
      <w:tr w:rsidR="00106979" w14:paraId="7E29B05D"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D7ADA7A" w14:textId="77777777" w:rsidR="00106979" w:rsidRDefault="00106979" w:rsidP="009309B4">
            <w:pPr>
              <w:spacing w:line="300" w:lineRule="auto"/>
            </w:pPr>
            <w:r>
              <w:rPr>
                <w:b/>
                <w:bCs/>
                <w:sz w:val="20"/>
                <w:szCs w:val="20"/>
              </w:rPr>
              <w:t>NCQG</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D1C34FD" w14:textId="77777777" w:rsidR="00106979" w:rsidRDefault="00106979" w:rsidP="009309B4">
            <w:pPr>
              <w:spacing w:line="300" w:lineRule="auto"/>
            </w:pPr>
            <w:r>
              <w:rPr>
                <w:sz w:val="20"/>
                <w:szCs w:val="20"/>
              </w:rPr>
              <w:t>New Collective Quantified Goal. The climate finance goal agreed at COP 29 in Baku (2024) committing developed countries to mobilise at least USD 300 billion per year for developing countries by 2035, as part of a broader USD 1.3 trillion pathway.</w:t>
            </w:r>
          </w:p>
        </w:tc>
      </w:tr>
      <w:tr w:rsidR="00106979" w14:paraId="1696698B"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05FD38D" w14:textId="77777777" w:rsidR="00106979" w:rsidRDefault="00106979" w:rsidP="009309B4">
            <w:pPr>
              <w:spacing w:line="300" w:lineRule="auto"/>
            </w:pPr>
            <w:r>
              <w:rPr>
                <w:b/>
                <w:bCs/>
                <w:sz w:val="20"/>
                <w:szCs w:val="20"/>
              </w:rPr>
              <w:t>NDC</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7439421" w14:textId="77777777" w:rsidR="00106979" w:rsidRDefault="00106979" w:rsidP="009309B4">
            <w:pPr>
              <w:spacing w:line="300" w:lineRule="auto"/>
            </w:pPr>
            <w:r>
              <w:rPr>
                <w:sz w:val="20"/>
                <w:szCs w:val="20"/>
              </w:rPr>
              <w:t>Nationally Determined Contribution. A country's climate action plan submitted under the Paris Agreement, setting out its mitigation and adaptation commitments. NDC content is voluntary; submission is legally required.</w:t>
            </w:r>
          </w:p>
        </w:tc>
      </w:tr>
      <w:tr w:rsidR="00106979" w14:paraId="4DE39320"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35BABC6" w14:textId="77777777" w:rsidR="00106979" w:rsidRDefault="00106979" w:rsidP="009309B4">
            <w:pPr>
              <w:spacing w:line="300" w:lineRule="auto"/>
            </w:pPr>
            <w:r>
              <w:rPr>
                <w:b/>
                <w:bCs/>
                <w:sz w:val="20"/>
                <w:szCs w:val="20"/>
              </w:rPr>
              <w:t>NbS</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ED9A034" w14:textId="77777777" w:rsidR="00106979" w:rsidRDefault="00106979" w:rsidP="009309B4">
            <w:pPr>
              <w:spacing w:line="300" w:lineRule="auto"/>
            </w:pPr>
            <w:r>
              <w:rPr>
                <w:sz w:val="20"/>
                <w:szCs w:val="20"/>
              </w:rPr>
              <w:t>Nature-based Solutions. Actions to protect, restore, or sustainably manage natural ecosystems in ways that address societal challenges including climate change and biodiversity loss, while delivering co-benefits for human wellbeing.</w:t>
            </w:r>
          </w:p>
        </w:tc>
      </w:tr>
      <w:tr w:rsidR="00106979" w14:paraId="301BC506"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E902138" w14:textId="77777777" w:rsidR="00106979" w:rsidRDefault="00106979" w:rsidP="009309B4">
            <w:pPr>
              <w:spacing w:line="300" w:lineRule="auto"/>
            </w:pPr>
            <w:r>
              <w:rPr>
                <w:b/>
                <w:bCs/>
                <w:sz w:val="20"/>
                <w:szCs w:val="20"/>
              </w:rPr>
              <w:t>REDD+</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6A573F14" w14:textId="77777777" w:rsidR="00106979" w:rsidRDefault="00106979" w:rsidP="009309B4">
            <w:pPr>
              <w:spacing w:line="300" w:lineRule="auto"/>
            </w:pPr>
            <w:r>
              <w:rPr>
                <w:sz w:val="20"/>
                <w:szCs w:val="20"/>
              </w:rPr>
              <w:t>Reducing Emissions from Deforestation and Forest Degradation. A UNFCCC mechanism providing financial incentives to developing countries for verified reductions in forest loss, conservation of forest carbon stocks, sustainable forest management, and enhancement of carbon stocks.</w:t>
            </w:r>
          </w:p>
        </w:tc>
      </w:tr>
      <w:tr w:rsidR="00106979" w14:paraId="48674842"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4623A17" w14:textId="77777777" w:rsidR="00106979" w:rsidRDefault="00106979" w:rsidP="009309B4">
            <w:pPr>
              <w:spacing w:line="300" w:lineRule="auto"/>
            </w:pPr>
            <w:r>
              <w:rPr>
                <w:b/>
                <w:bCs/>
                <w:sz w:val="20"/>
                <w:szCs w:val="20"/>
              </w:rPr>
              <w:t>TFFF</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75B6610" w14:textId="77777777" w:rsidR="00106979" w:rsidRDefault="00106979" w:rsidP="009309B4">
            <w:pPr>
              <w:spacing w:line="300" w:lineRule="auto"/>
            </w:pPr>
            <w:r>
              <w:rPr>
                <w:sz w:val="20"/>
                <w:szCs w:val="20"/>
              </w:rPr>
              <w:t>Tropical Forests Forever Facility. A permanent long-term financing mechanism launched at COP 30 in Belem (2025), raising USD 5.5 billion from 53 countries to support tropical forest protection, with at least 20 per cent directed to Indigenous Peoples and local communities.</w:t>
            </w:r>
          </w:p>
        </w:tc>
      </w:tr>
      <w:tr w:rsidR="00106979" w14:paraId="5C0AA943"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D4BDAA7" w14:textId="77777777" w:rsidR="00106979" w:rsidRDefault="00106979" w:rsidP="009309B4">
            <w:pPr>
              <w:spacing w:line="300" w:lineRule="auto"/>
            </w:pPr>
            <w:r>
              <w:rPr>
                <w:b/>
                <w:bCs/>
                <w:sz w:val="20"/>
                <w:szCs w:val="20"/>
              </w:rPr>
              <w:lastRenderedPageBreak/>
              <w:t>UNFCCC</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21007DF" w14:textId="77777777" w:rsidR="00106979" w:rsidRDefault="00106979" w:rsidP="009309B4">
            <w:pPr>
              <w:spacing w:line="300" w:lineRule="auto"/>
            </w:pPr>
            <w:r>
              <w:rPr>
                <w:sz w:val="20"/>
                <w:szCs w:val="20"/>
              </w:rPr>
              <w:t>United Nations Framework Convention on Climate Change. The 1992 treaty establishing the international framework for addressing climate change. The UNFCCC COP is the supreme decision-making body under this treaty.</w:t>
            </w:r>
          </w:p>
        </w:tc>
      </w:tr>
      <w:tr w:rsidR="00106979" w14:paraId="7AEE426E"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00C5279" w14:textId="77777777" w:rsidR="00106979" w:rsidRDefault="00106979" w:rsidP="009309B4">
            <w:pPr>
              <w:spacing w:line="300" w:lineRule="auto"/>
            </w:pPr>
            <w:r>
              <w:rPr>
                <w:b/>
                <w:bCs/>
                <w:sz w:val="20"/>
                <w:szCs w:val="20"/>
              </w:rPr>
              <w:t>30x30</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3C4AB59" w14:textId="77777777" w:rsidR="00106979" w:rsidRDefault="00106979" w:rsidP="009309B4">
            <w:pPr>
              <w:spacing w:line="300" w:lineRule="auto"/>
            </w:pPr>
            <w:r>
              <w:rPr>
                <w:sz w:val="20"/>
                <w:szCs w:val="20"/>
              </w:rPr>
              <w:t>The target within the Kunming-Montreal GBF to effectively conserve and protect at least 30 per cent of the world's terrestrial, inland water, coastal, and marine areas by 2030.</w:t>
            </w:r>
          </w:p>
        </w:tc>
      </w:tr>
    </w:tbl>
    <w:p w14:paraId="217772A5" w14:textId="77777777" w:rsidR="00106979" w:rsidRDefault="00106979" w:rsidP="00106979"/>
    <w:p w14:paraId="419EA14A" w14:textId="77777777" w:rsidR="007B6BDC" w:rsidRPr="00106979" w:rsidRDefault="007B6BDC" w:rsidP="00106979"/>
    <w:sectPr w:rsidR="007B6BDC" w:rsidRPr="00106979">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B468F1" w14:textId="77777777" w:rsidR="00723FED" w:rsidRDefault="00723FED" w:rsidP="00B46CDC">
      <w:r>
        <w:separator/>
      </w:r>
    </w:p>
  </w:endnote>
  <w:endnote w:type="continuationSeparator" w:id="0">
    <w:p w14:paraId="47F7C847" w14:textId="77777777" w:rsidR="00723FED" w:rsidRDefault="00723FED" w:rsidP="00B46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SimSun">
    <w:altName w:val="宋体"/>
    <w:panose1 w:val="02010600030101010101"/>
    <w:charset w:val="86"/>
    <w:family w:val="auto"/>
    <w:pitch w:val="variable"/>
    <w:sig w:usb0="00000203" w:usb1="288F0000" w:usb2="00000016" w:usb3="00000000" w:csb0="00040001" w:csb1="00000000"/>
  </w:font>
  <w:font w:name="Yu Gothic">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2639110"/>
      <w:docPartObj>
        <w:docPartGallery w:val="Page Numbers (Bottom of Page)"/>
        <w:docPartUnique/>
      </w:docPartObj>
    </w:sdtPr>
    <w:sdtEndPr>
      <w:rPr>
        <w:noProof/>
      </w:rPr>
    </w:sdtEndPr>
    <w:sdtContent>
      <w:p w14:paraId="1B949B96" w14:textId="3F54D54E" w:rsidR="00C148A2" w:rsidRDefault="00C148A2">
        <w:pPr>
          <w:pStyle w:val="Footer"/>
          <w:jc w:val="center"/>
        </w:pPr>
        <w:r>
          <w:fldChar w:fldCharType="begin"/>
        </w:r>
        <w:r>
          <w:instrText xml:space="preserve"> PAGE   \* MERGEFORMAT </w:instrText>
        </w:r>
        <w:r>
          <w:fldChar w:fldCharType="separate"/>
        </w:r>
        <w:r w:rsidR="00A94EC0">
          <w:rPr>
            <w:noProof/>
          </w:rPr>
          <w:t>5</w:t>
        </w:r>
        <w:r>
          <w:rPr>
            <w:noProof/>
          </w:rPr>
          <w:fldChar w:fldCharType="end"/>
        </w:r>
      </w:p>
    </w:sdtContent>
  </w:sdt>
  <w:p w14:paraId="146D7A7E" w14:textId="77777777" w:rsidR="00C148A2" w:rsidRDefault="00C148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EF2C29" w14:textId="77777777" w:rsidR="00723FED" w:rsidRDefault="00723FED" w:rsidP="00B46CDC">
      <w:r>
        <w:separator/>
      </w:r>
    </w:p>
  </w:footnote>
  <w:footnote w:type="continuationSeparator" w:id="0">
    <w:p w14:paraId="14AFDF7E" w14:textId="77777777" w:rsidR="00723FED" w:rsidRDefault="00723FED" w:rsidP="00B46CD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30042D"/>
    <w:multiLevelType w:val="hybridMultilevel"/>
    <w:tmpl w:val="3C0631FE"/>
    <w:lvl w:ilvl="0" w:tplc="2E2CA068">
      <w:start w:val="1"/>
      <w:numFmt w:val="bullet"/>
      <w:lvlText w:val="●"/>
      <w:lvlJc w:val="left"/>
      <w:pPr>
        <w:ind w:left="720" w:hanging="360"/>
      </w:pPr>
    </w:lvl>
    <w:lvl w:ilvl="1" w:tplc="3D56891C">
      <w:start w:val="1"/>
      <w:numFmt w:val="bullet"/>
      <w:lvlText w:val="○"/>
      <w:lvlJc w:val="left"/>
      <w:pPr>
        <w:ind w:left="1440" w:hanging="360"/>
      </w:pPr>
    </w:lvl>
    <w:lvl w:ilvl="2" w:tplc="6A2A40EC">
      <w:start w:val="1"/>
      <w:numFmt w:val="bullet"/>
      <w:lvlText w:val="■"/>
      <w:lvlJc w:val="left"/>
      <w:pPr>
        <w:ind w:left="2160" w:hanging="360"/>
      </w:pPr>
    </w:lvl>
    <w:lvl w:ilvl="3" w:tplc="FF98F954">
      <w:start w:val="1"/>
      <w:numFmt w:val="bullet"/>
      <w:lvlText w:val="●"/>
      <w:lvlJc w:val="left"/>
      <w:pPr>
        <w:ind w:left="2880" w:hanging="360"/>
      </w:pPr>
    </w:lvl>
    <w:lvl w:ilvl="4" w:tplc="CC86CE44">
      <w:start w:val="1"/>
      <w:numFmt w:val="bullet"/>
      <w:lvlText w:val="○"/>
      <w:lvlJc w:val="left"/>
      <w:pPr>
        <w:ind w:left="3600" w:hanging="360"/>
      </w:pPr>
    </w:lvl>
    <w:lvl w:ilvl="5" w:tplc="904E6C2C">
      <w:start w:val="1"/>
      <w:numFmt w:val="bullet"/>
      <w:lvlText w:val="■"/>
      <w:lvlJc w:val="left"/>
      <w:pPr>
        <w:ind w:left="4320" w:hanging="360"/>
      </w:pPr>
    </w:lvl>
    <w:lvl w:ilvl="6" w:tplc="5DCA714A">
      <w:start w:val="1"/>
      <w:numFmt w:val="bullet"/>
      <w:lvlText w:val="●"/>
      <w:lvlJc w:val="left"/>
      <w:pPr>
        <w:ind w:left="5040" w:hanging="360"/>
      </w:pPr>
    </w:lvl>
    <w:lvl w:ilvl="7" w:tplc="B37053D6">
      <w:start w:val="1"/>
      <w:numFmt w:val="bullet"/>
      <w:lvlText w:val="●"/>
      <w:lvlJc w:val="left"/>
      <w:pPr>
        <w:ind w:left="5760" w:hanging="360"/>
      </w:pPr>
    </w:lvl>
    <w:lvl w:ilvl="8" w:tplc="AEF45AE6">
      <w:start w:val="1"/>
      <w:numFmt w:val="bullet"/>
      <w:lvlText w:val="●"/>
      <w:lvlJc w:val="left"/>
      <w:pPr>
        <w:ind w:left="6480" w:hanging="360"/>
      </w:pPr>
    </w:lvl>
  </w:abstractNum>
  <w:abstractNum w:abstractNumId="1">
    <w:nsid w:val="598C1421"/>
    <w:multiLevelType w:val="hybridMultilevel"/>
    <w:tmpl w:val="BA52543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lvlOverride w:ilvl="0">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055"/>
    <w:rsid w:val="000113B0"/>
    <w:rsid w:val="00026340"/>
    <w:rsid w:val="00036D8F"/>
    <w:rsid w:val="00066A0D"/>
    <w:rsid w:val="000741F8"/>
    <w:rsid w:val="00106979"/>
    <w:rsid w:val="001161DE"/>
    <w:rsid w:val="001478E8"/>
    <w:rsid w:val="001A560C"/>
    <w:rsid w:val="001A5FB8"/>
    <w:rsid w:val="001B1F1E"/>
    <w:rsid w:val="001F4354"/>
    <w:rsid w:val="00227252"/>
    <w:rsid w:val="00245EE8"/>
    <w:rsid w:val="002842D1"/>
    <w:rsid w:val="002A60B2"/>
    <w:rsid w:val="00315732"/>
    <w:rsid w:val="003B037B"/>
    <w:rsid w:val="003C66A4"/>
    <w:rsid w:val="00456344"/>
    <w:rsid w:val="004B74FC"/>
    <w:rsid w:val="004D22D8"/>
    <w:rsid w:val="00501265"/>
    <w:rsid w:val="0051667D"/>
    <w:rsid w:val="00520681"/>
    <w:rsid w:val="00565176"/>
    <w:rsid w:val="00584D9F"/>
    <w:rsid w:val="005B1A6E"/>
    <w:rsid w:val="005E3C90"/>
    <w:rsid w:val="00601D41"/>
    <w:rsid w:val="00612015"/>
    <w:rsid w:val="006C6055"/>
    <w:rsid w:val="006E5431"/>
    <w:rsid w:val="00723FED"/>
    <w:rsid w:val="00734935"/>
    <w:rsid w:val="00747640"/>
    <w:rsid w:val="00757058"/>
    <w:rsid w:val="007B6BDC"/>
    <w:rsid w:val="007C0985"/>
    <w:rsid w:val="007C1558"/>
    <w:rsid w:val="007E65E3"/>
    <w:rsid w:val="007F5BF0"/>
    <w:rsid w:val="00824AB3"/>
    <w:rsid w:val="008263B8"/>
    <w:rsid w:val="0088762F"/>
    <w:rsid w:val="00890E3E"/>
    <w:rsid w:val="009309B4"/>
    <w:rsid w:val="009B3D24"/>
    <w:rsid w:val="00A41569"/>
    <w:rsid w:val="00A94EC0"/>
    <w:rsid w:val="00AB0D8E"/>
    <w:rsid w:val="00B431F1"/>
    <w:rsid w:val="00B46CDC"/>
    <w:rsid w:val="00BA2F87"/>
    <w:rsid w:val="00BD4FC8"/>
    <w:rsid w:val="00C148A2"/>
    <w:rsid w:val="00D31A0E"/>
    <w:rsid w:val="00D447A3"/>
    <w:rsid w:val="00D676AF"/>
    <w:rsid w:val="00DA5483"/>
    <w:rsid w:val="00DE6693"/>
    <w:rsid w:val="00DF2069"/>
    <w:rsid w:val="00E81B5F"/>
    <w:rsid w:val="00EC5AEA"/>
    <w:rsid w:val="00F8084B"/>
    <w:rsid w:val="00FA106A"/>
    <w:rsid w:val="00FB64F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D4685"/>
  <w15:docId w15:val="{63DEA070-9125-46D2-9DE1-84A4D3DA8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color w:val="000000"/>
        <w:sz w:val="24"/>
        <w:szCs w:val="24"/>
        <w:lang w:val="en-US" w:eastAsia="en-US" w:bidi="bn-BD"/>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link w:val="Heading1Char"/>
    <w:uiPriority w:val="9"/>
    <w:qFormat/>
    <w:rsid w:val="00026340"/>
    <w:pPr>
      <w:spacing w:before="120" w:after="120"/>
      <w:outlineLvl w:val="0"/>
    </w:pPr>
    <w:rPr>
      <w:b/>
      <w:color w:val="auto"/>
      <w:sz w:val="32"/>
      <w:szCs w:val="32"/>
    </w:rPr>
  </w:style>
  <w:style w:type="paragraph" w:styleId="Heading2">
    <w:name w:val="heading 2"/>
    <w:link w:val="Heading2Char"/>
    <w:uiPriority w:val="9"/>
    <w:unhideWhenUsed/>
    <w:qFormat/>
    <w:rsid w:val="00FA106A"/>
    <w:pPr>
      <w:spacing w:before="240" w:after="240"/>
      <w:outlineLvl w:val="1"/>
    </w:pPr>
    <w:rPr>
      <w:b/>
      <w:color w:val="auto"/>
      <w:szCs w:val="26"/>
    </w:rPr>
  </w:style>
  <w:style w:type="paragraph" w:styleId="Heading3">
    <w:name w:val="heading 3"/>
    <w:link w:val="Heading3Char"/>
    <w:uiPriority w:val="9"/>
    <w:semiHidden/>
    <w:unhideWhenUsed/>
    <w:qFormat/>
    <w:pPr>
      <w:outlineLvl w:val="2"/>
    </w:pPr>
    <w:rPr>
      <w:color w:val="1F4D78"/>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ibliography">
    <w:name w:val="Bibliography"/>
    <w:basedOn w:val="Normal"/>
    <w:next w:val="Normal"/>
    <w:uiPriority w:val="37"/>
    <w:unhideWhenUsed/>
    <w:rsid w:val="00E81B5F"/>
    <w:pPr>
      <w:spacing w:after="240"/>
    </w:pPr>
    <w:rPr>
      <w:szCs w:val="30"/>
    </w:rPr>
  </w:style>
  <w:style w:type="paragraph" w:styleId="TOCHeading">
    <w:name w:val="TOC Heading"/>
    <w:basedOn w:val="Heading1"/>
    <w:next w:val="Normal"/>
    <w:uiPriority w:val="39"/>
    <w:unhideWhenUsed/>
    <w:qFormat/>
    <w:rsid w:val="00FA106A"/>
    <w:pPr>
      <w:keepNext/>
      <w:keepLines/>
      <w:spacing w:before="240" w:line="259" w:lineRule="auto"/>
      <w:outlineLvl w:val="9"/>
    </w:pPr>
    <w:rPr>
      <w:rFonts w:asciiTheme="majorHAnsi" w:eastAsiaTheme="majorEastAsia" w:hAnsiTheme="majorHAnsi" w:cstheme="majorBidi"/>
      <w:color w:val="2F5496" w:themeColor="accent1" w:themeShade="BF"/>
      <w:lang w:bidi="ar-SA"/>
    </w:rPr>
  </w:style>
  <w:style w:type="paragraph" w:styleId="TOC1">
    <w:name w:val="toc 1"/>
    <w:basedOn w:val="Normal"/>
    <w:next w:val="Normal"/>
    <w:autoRedefine/>
    <w:uiPriority w:val="39"/>
    <w:unhideWhenUsed/>
    <w:rsid w:val="00026340"/>
    <w:pPr>
      <w:spacing w:after="100"/>
    </w:pPr>
    <w:rPr>
      <w:szCs w:val="30"/>
    </w:rPr>
  </w:style>
  <w:style w:type="paragraph" w:styleId="TOC2">
    <w:name w:val="toc 2"/>
    <w:basedOn w:val="Normal"/>
    <w:next w:val="Normal"/>
    <w:autoRedefine/>
    <w:uiPriority w:val="39"/>
    <w:unhideWhenUsed/>
    <w:rsid w:val="00026340"/>
    <w:pPr>
      <w:spacing w:after="100"/>
      <w:ind w:left="240"/>
    </w:pPr>
    <w:rPr>
      <w:szCs w:val="30"/>
    </w:rPr>
  </w:style>
  <w:style w:type="paragraph" w:styleId="Caption">
    <w:name w:val="caption"/>
    <w:basedOn w:val="Normal"/>
    <w:next w:val="Normal"/>
    <w:uiPriority w:val="35"/>
    <w:unhideWhenUsed/>
    <w:qFormat/>
    <w:rsid w:val="00026340"/>
    <w:pPr>
      <w:spacing w:after="200"/>
    </w:pPr>
    <w:rPr>
      <w:i/>
      <w:iCs/>
      <w:color w:val="44546A" w:themeColor="text2"/>
      <w:sz w:val="18"/>
      <w:szCs w:val="22"/>
    </w:rPr>
  </w:style>
  <w:style w:type="paragraph" w:styleId="TableofFigures">
    <w:name w:val="table of figures"/>
    <w:basedOn w:val="Normal"/>
    <w:next w:val="Normal"/>
    <w:uiPriority w:val="99"/>
    <w:unhideWhenUsed/>
    <w:rsid w:val="00026340"/>
    <w:rPr>
      <w:szCs w:val="30"/>
    </w:rPr>
  </w:style>
  <w:style w:type="character" w:customStyle="1" w:styleId="Heading1Char">
    <w:name w:val="Heading 1 Char"/>
    <w:basedOn w:val="DefaultParagraphFont"/>
    <w:link w:val="Heading1"/>
    <w:uiPriority w:val="9"/>
    <w:rsid w:val="00106979"/>
    <w:rPr>
      <w:b/>
      <w:color w:val="auto"/>
      <w:sz w:val="32"/>
      <w:szCs w:val="32"/>
    </w:rPr>
  </w:style>
  <w:style w:type="character" w:customStyle="1" w:styleId="Heading2Char">
    <w:name w:val="Heading 2 Char"/>
    <w:basedOn w:val="DefaultParagraphFont"/>
    <w:link w:val="Heading2"/>
    <w:uiPriority w:val="9"/>
    <w:rsid w:val="00106979"/>
    <w:rPr>
      <w:b/>
      <w:color w:val="auto"/>
      <w:szCs w:val="26"/>
    </w:rPr>
  </w:style>
  <w:style w:type="character" w:customStyle="1" w:styleId="Heading3Char">
    <w:name w:val="Heading 3 Char"/>
    <w:basedOn w:val="DefaultParagraphFont"/>
    <w:link w:val="Heading3"/>
    <w:uiPriority w:val="9"/>
    <w:semiHidden/>
    <w:rsid w:val="00106979"/>
    <w:rPr>
      <w:color w:val="1F4D78"/>
    </w:rPr>
  </w:style>
  <w:style w:type="character" w:customStyle="1" w:styleId="Heading4Char">
    <w:name w:val="Heading 4 Char"/>
    <w:basedOn w:val="DefaultParagraphFont"/>
    <w:link w:val="Heading4"/>
    <w:uiPriority w:val="9"/>
    <w:semiHidden/>
    <w:rsid w:val="00106979"/>
    <w:rPr>
      <w:i/>
      <w:iCs/>
      <w:color w:val="2E74B5"/>
    </w:rPr>
  </w:style>
  <w:style w:type="character" w:customStyle="1" w:styleId="Heading5Char">
    <w:name w:val="Heading 5 Char"/>
    <w:basedOn w:val="DefaultParagraphFont"/>
    <w:link w:val="Heading5"/>
    <w:uiPriority w:val="9"/>
    <w:semiHidden/>
    <w:rsid w:val="00106979"/>
    <w:rPr>
      <w:color w:val="2E74B5"/>
    </w:rPr>
  </w:style>
  <w:style w:type="character" w:customStyle="1" w:styleId="Heading6Char">
    <w:name w:val="Heading 6 Char"/>
    <w:basedOn w:val="DefaultParagraphFont"/>
    <w:link w:val="Heading6"/>
    <w:uiPriority w:val="9"/>
    <w:semiHidden/>
    <w:rsid w:val="00106979"/>
    <w:rPr>
      <w:color w:val="1F4D78"/>
    </w:rPr>
  </w:style>
  <w:style w:type="character" w:customStyle="1" w:styleId="TitleChar">
    <w:name w:val="Title Char"/>
    <w:basedOn w:val="DefaultParagraphFont"/>
    <w:link w:val="Title"/>
    <w:uiPriority w:val="10"/>
    <w:rsid w:val="00106979"/>
    <w:rPr>
      <w:sz w:val="56"/>
      <w:szCs w:val="56"/>
    </w:rPr>
  </w:style>
  <w:style w:type="paragraph" w:styleId="Header">
    <w:name w:val="header"/>
    <w:basedOn w:val="Normal"/>
    <w:link w:val="HeaderChar"/>
    <w:uiPriority w:val="99"/>
    <w:unhideWhenUsed/>
    <w:rsid w:val="00B46CDC"/>
    <w:pPr>
      <w:tabs>
        <w:tab w:val="center" w:pos="4680"/>
        <w:tab w:val="right" w:pos="9360"/>
      </w:tabs>
    </w:pPr>
    <w:rPr>
      <w:szCs w:val="30"/>
    </w:rPr>
  </w:style>
  <w:style w:type="character" w:customStyle="1" w:styleId="HeaderChar">
    <w:name w:val="Header Char"/>
    <w:basedOn w:val="DefaultParagraphFont"/>
    <w:link w:val="Header"/>
    <w:uiPriority w:val="99"/>
    <w:rsid w:val="00B46CDC"/>
    <w:rPr>
      <w:szCs w:val="30"/>
    </w:rPr>
  </w:style>
  <w:style w:type="paragraph" w:styleId="Footer">
    <w:name w:val="footer"/>
    <w:basedOn w:val="Normal"/>
    <w:link w:val="FooterChar"/>
    <w:uiPriority w:val="99"/>
    <w:unhideWhenUsed/>
    <w:rsid w:val="00B46CDC"/>
    <w:pPr>
      <w:tabs>
        <w:tab w:val="center" w:pos="4680"/>
        <w:tab w:val="right" w:pos="9360"/>
      </w:tabs>
    </w:pPr>
    <w:rPr>
      <w:szCs w:val="30"/>
    </w:rPr>
  </w:style>
  <w:style w:type="character" w:customStyle="1" w:styleId="FooterChar">
    <w:name w:val="Footer Char"/>
    <w:basedOn w:val="DefaultParagraphFont"/>
    <w:link w:val="Footer"/>
    <w:uiPriority w:val="99"/>
    <w:rsid w:val="00B46CDC"/>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20953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18E3D-A6C7-4EAA-8511-304B581D1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28</Pages>
  <Words>18935</Words>
  <Characters>107932</Characters>
  <Application>Microsoft Office Word</Application>
  <DocSecurity>0</DocSecurity>
  <Lines>899</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Foyajul Karim Rimon</dc:creator>
  <cp:lastModifiedBy>Microsoft account</cp:lastModifiedBy>
  <cp:revision>8</cp:revision>
  <dcterms:created xsi:type="dcterms:W3CDTF">2026-04-28T10:19:00Z</dcterms:created>
  <dcterms:modified xsi:type="dcterms:W3CDTF">2026-04-28T13:20:00Z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id="0u0ID7Pl"/&gt;&lt;style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 name="dontAskDelayCitationUpdates" value="true"/&gt;&lt;/prefs&gt;&lt;/data&gt;</vt:lpwstr>
  </property>
  <property fmtid="{D5CDD505-2E9C-101B-9397-08002B2CF9AE}" pid="4" name="GrammarlyDocumentId">
    <vt:lpwstr>9699be00-f532-47dd-9ede-adabb03ef60a</vt:lpwstr>
  </property>
</Properties>
</file>