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36"/>
          <w:szCs w:val="36"/>
        </w:rPr>
      </w:pPr>
      <w:r w:rsidDel="00000000" w:rsidR="00000000" w:rsidRPr="00000000">
        <w:rPr>
          <w:sz w:val="36"/>
          <w:szCs w:val="36"/>
          <w:u w:val="single"/>
          <w:rtl w:val="0"/>
        </w:rPr>
        <w:t xml:space="preserve">Student Number:</w:t>
      </w:r>
      <w:r w:rsidDel="00000000" w:rsidR="00000000" w:rsidRPr="00000000">
        <w:rPr>
          <w:sz w:val="36"/>
          <w:szCs w:val="36"/>
          <w:rtl w:val="0"/>
        </w:rPr>
        <w:t xml:space="preserve"> 1802619</w:t>
      </w:r>
    </w:p>
    <w:p w:rsidR="00000000" w:rsidDel="00000000" w:rsidP="00000000" w:rsidRDefault="00000000" w:rsidRPr="00000000" w14:paraId="00000002">
      <w:pPr>
        <w:rPr>
          <w:sz w:val="36"/>
          <w:szCs w:val="36"/>
        </w:rPr>
      </w:pPr>
      <w:r w:rsidDel="00000000" w:rsidR="00000000" w:rsidRPr="00000000">
        <w:rPr>
          <w:rtl w:val="0"/>
        </w:rPr>
      </w:r>
    </w:p>
    <w:p w:rsidR="00000000" w:rsidDel="00000000" w:rsidP="00000000" w:rsidRDefault="00000000" w:rsidRPr="00000000" w14:paraId="00000003">
      <w:pPr>
        <w:rPr>
          <w:sz w:val="36"/>
          <w:szCs w:val="36"/>
        </w:rPr>
      </w:pPr>
      <w:r w:rsidDel="00000000" w:rsidR="00000000" w:rsidRPr="00000000">
        <w:rPr>
          <w:rtl w:val="0"/>
        </w:rPr>
      </w:r>
    </w:p>
    <w:p w:rsidR="00000000" w:rsidDel="00000000" w:rsidP="00000000" w:rsidRDefault="00000000" w:rsidRPr="00000000" w14:paraId="00000004">
      <w:pPr>
        <w:rPr>
          <w:sz w:val="36"/>
          <w:szCs w:val="36"/>
        </w:rPr>
      </w:pPr>
      <w:r w:rsidDel="00000000" w:rsidR="00000000" w:rsidRPr="00000000">
        <w:rPr>
          <w:rtl w:val="0"/>
        </w:rPr>
      </w:r>
    </w:p>
    <w:p w:rsidR="00000000" w:rsidDel="00000000" w:rsidP="00000000" w:rsidRDefault="00000000" w:rsidRPr="00000000" w14:paraId="00000005">
      <w:pPr>
        <w:rPr>
          <w:sz w:val="36"/>
          <w:szCs w:val="36"/>
        </w:rPr>
      </w:pPr>
      <w:r w:rsidDel="00000000" w:rsidR="00000000" w:rsidRPr="00000000">
        <w:rPr>
          <w:rtl w:val="0"/>
        </w:rPr>
      </w:r>
    </w:p>
    <w:p w:rsidR="00000000" w:rsidDel="00000000" w:rsidP="00000000" w:rsidRDefault="00000000" w:rsidRPr="00000000" w14:paraId="00000006">
      <w:pPr>
        <w:rPr>
          <w:sz w:val="36"/>
          <w:szCs w:val="36"/>
        </w:rPr>
      </w:pPr>
      <w:r w:rsidDel="00000000" w:rsidR="00000000" w:rsidRPr="00000000">
        <w:rPr>
          <w:rtl w:val="0"/>
        </w:rPr>
      </w:r>
    </w:p>
    <w:p w:rsidR="00000000" w:rsidDel="00000000" w:rsidP="00000000" w:rsidRDefault="00000000" w:rsidRPr="00000000" w14:paraId="00000007">
      <w:pPr>
        <w:rPr>
          <w:sz w:val="36"/>
          <w:szCs w:val="36"/>
        </w:rPr>
      </w:pPr>
      <w:r w:rsidDel="00000000" w:rsidR="00000000" w:rsidRPr="00000000">
        <w:rPr>
          <w:rtl w:val="0"/>
        </w:rPr>
      </w:r>
    </w:p>
    <w:p w:rsidR="00000000" w:rsidDel="00000000" w:rsidP="00000000" w:rsidRDefault="00000000" w:rsidRPr="00000000" w14:paraId="00000008">
      <w:pPr>
        <w:rPr>
          <w:sz w:val="36"/>
          <w:szCs w:val="36"/>
        </w:rPr>
      </w:pPr>
      <w:r w:rsidDel="00000000" w:rsidR="00000000" w:rsidRPr="00000000">
        <w:rPr>
          <w:rtl w:val="0"/>
        </w:rPr>
      </w:r>
    </w:p>
    <w:p w:rsidR="00000000" w:rsidDel="00000000" w:rsidP="00000000" w:rsidRDefault="00000000" w:rsidRPr="00000000" w14:paraId="00000009">
      <w:pPr>
        <w:rPr>
          <w:sz w:val="36"/>
          <w:szCs w:val="36"/>
        </w:rPr>
      </w:pPr>
      <w:r w:rsidDel="00000000" w:rsidR="00000000" w:rsidRPr="00000000">
        <w:rPr>
          <w:sz w:val="36"/>
          <w:szCs w:val="36"/>
          <w:u w:val="single"/>
          <w:rtl w:val="0"/>
        </w:rPr>
        <w:t xml:space="preserve">Module Title:</w:t>
      </w:r>
      <w:r w:rsidDel="00000000" w:rsidR="00000000" w:rsidRPr="00000000">
        <w:rPr>
          <w:sz w:val="36"/>
          <w:szCs w:val="36"/>
          <w:rtl w:val="0"/>
        </w:rPr>
        <w:t xml:space="preserve"> The Enquiring Teacher</w:t>
      </w:r>
    </w:p>
    <w:p w:rsidR="00000000" w:rsidDel="00000000" w:rsidP="00000000" w:rsidRDefault="00000000" w:rsidRPr="00000000" w14:paraId="0000000A">
      <w:pPr>
        <w:rPr>
          <w:sz w:val="36"/>
          <w:szCs w:val="36"/>
        </w:rPr>
      </w:pPr>
      <w:r w:rsidDel="00000000" w:rsidR="00000000" w:rsidRPr="00000000">
        <w:rPr>
          <w:rtl w:val="0"/>
        </w:rPr>
      </w:r>
    </w:p>
    <w:p w:rsidR="00000000" w:rsidDel="00000000" w:rsidP="00000000" w:rsidRDefault="00000000" w:rsidRPr="00000000" w14:paraId="0000000B">
      <w:pPr>
        <w:rPr>
          <w:sz w:val="36"/>
          <w:szCs w:val="36"/>
        </w:rPr>
      </w:pPr>
      <w:r w:rsidDel="00000000" w:rsidR="00000000" w:rsidRPr="00000000">
        <w:rPr>
          <w:rtl w:val="0"/>
        </w:rPr>
      </w:r>
    </w:p>
    <w:p w:rsidR="00000000" w:rsidDel="00000000" w:rsidP="00000000" w:rsidRDefault="00000000" w:rsidRPr="00000000" w14:paraId="0000000C">
      <w:pPr>
        <w:rPr>
          <w:sz w:val="36"/>
          <w:szCs w:val="36"/>
        </w:rPr>
      </w:pPr>
      <w:r w:rsidDel="00000000" w:rsidR="00000000" w:rsidRPr="00000000">
        <w:rPr>
          <w:rtl w:val="0"/>
        </w:rPr>
      </w:r>
    </w:p>
    <w:p w:rsidR="00000000" w:rsidDel="00000000" w:rsidP="00000000" w:rsidRDefault="00000000" w:rsidRPr="00000000" w14:paraId="0000000D">
      <w:pPr>
        <w:rPr>
          <w:sz w:val="36"/>
          <w:szCs w:val="36"/>
        </w:rPr>
      </w:pPr>
      <w:r w:rsidDel="00000000" w:rsidR="00000000" w:rsidRPr="00000000">
        <w:rPr>
          <w:rtl w:val="0"/>
        </w:rPr>
      </w:r>
    </w:p>
    <w:p w:rsidR="00000000" w:rsidDel="00000000" w:rsidP="00000000" w:rsidRDefault="00000000" w:rsidRPr="00000000" w14:paraId="0000000E">
      <w:pPr>
        <w:rPr>
          <w:sz w:val="36"/>
          <w:szCs w:val="36"/>
        </w:rPr>
      </w:pPr>
      <w:r w:rsidDel="00000000" w:rsidR="00000000" w:rsidRPr="00000000">
        <w:rPr>
          <w:rtl w:val="0"/>
        </w:rPr>
      </w:r>
    </w:p>
    <w:p w:rsidR="00000000" w:rsidDel="00000000" w:rsidP="00000000" w:rsidRDefault="00000000" w:rsidRPr="00000000" w14:paraId="0000000F">
      <w:pPr>
        <w:rPr>
          <w:sz w:val="36"/>
          <w:szCs w:val="36"/>
        </w:rPr>
      </w:pPr>
      <w:r w:rsidDel="00000000" w:rsidR="00000000" w:rsidRPr="00000000">
        <w:rPr>
          <w:rtl w:val="0"/>
        </w:rPr>
      </w:r>
    </w:p>
    <w:p w:rsidR="00000000" w:rsidDel="00000000" w:rsidP="00000000" w:rsidRDefault="00000000" w:rsidRPr="00000000" w14:paraId="00000010">
      <w:pPr>
        <w:rPr>
          <w:sz w:val="36"/>
          <w:szCs w:val="36"/>
        </w:rPr>
      </w:pPr>
      <w:r w:rsidDel="00000000" w:rsidR="00000000" w:rsidRPr="00000000">
        <w:rPr>
          <w:rtl w:val="0"/>
        </w:rPr>
      </w:r>
    </w:p>
    <w:p w:rsidR="00000000" w:rsidDel="00000000" w:rsidP="00000000" w:rsidRDefault="00000000" w:rsidRPr="00000000" w14:paraId="00000011">
      <w:pPr>
        <w:rPr>
          <w:sz w:val="36"/>
          <w:szCs w:val="36"/>
        </w:rPr>
      </w:pPr>
      <w:r w:rsidDel="00000000" w:rsidR="00000000" w:rsidRPr="00000000">
        <w:rPr>
          <w:sz w:val="36"/>
          <w:szCs w:val="36"/>
          <w:u w:val="single"/>
          <w:rtl w:val="0"/>
        </w:rPr>
        <w:t xml:space="preserve">Essay Title:</w:t>
      </w:r>
      <w:r w:rsidDel="00000000" w:rsidR="00000000" w:rsidRPr="00000000">
        <w:rPr>
          <w:sz w:val="36"/>
          <w:szCs w:val="36"/>
          <w:rtl w:val="0"/>
        </w:rPr>
        <w:t xml:space="preserve"> How can we improve engagement through self-directed activities in KS2?</w:t>
      </w:r>
    </w:p>
    <w:p w:rsidR="00000000" w:rsidDel="00000000" w:rsidP="00000000" w:rsidRDefault="00000000" w:rsidRPr="00000000" w14:paraId="00000012">
      <w:pPr>
        <w:jc w:val="center"/>
        <w:rPr>
          <w:b w:val="1"/>
          <w:sz w:val="36"/>
          <w:szCs w:val="36"/>
          <w:u w:val="single"/>
        </w:rPr>
      </w:pPr>
      <w:r w:rsidDel="00000000" w:rsidR="00000000" w:rsidRPr="00000000">
        <w:rPr>
          <w:rtl w:val="0"/>
        </w:rPr>
      </w:r>
    </w:p>
    <w:p w:rsidR="00000000" w:rsidDel="00000000" w:rsidP="00000000" w:rsidRDefault="00000000" w:rsidRPr="00000000" w14:paraId="00000013">
      <w:pPr>
        <w:jc w:val="center"/>
        <w:rPr>
          <w:b w:val="1"/>
          <w:sz w:val="36"/>
          <w:szCs w:val="36"/>
          <w:u w:val="single"/>
        </w:rPr>
      </w:pPr>
      <w:r w:rsidDel="00000000" w:rsidR="00000000" w:rsidRPr="00000000">
        <w:rPr>
          <w:rtl w:val="0"/>
        </w:rPr>
      </w:r>
    </w:p>
    <w:p w:rsidR="00000000" w:rsidDel="00000000" w:rsidP="00000000" w:rsidRDefault="00000000" w:rsidRPr="00000000" w14:paraId="00000014">
      <w:pPr>
        <w:jc w:val="center"/>
        <w:rPr>
          <w:b w:val="1"/>
          <w:sz w:val="36"/>
          <w:szCs w:val="36"/>
          <w:u w:val="single"/>
        </w:rPr>
      </w:pPr>
      <w:r w:rsidDel="00000000" w:rsidR="00000000" w:rsidRPr="00000000">
        <w:rPr>
          <w:rtl w:val="0"/>
        </w:rPr>
      </w:r>
    </w:p>
    <w:p w:rsidR="00000000" w:rsidDel="00000000" w:rsidP="00000000" w:rsidRDefault="00000000" w:rsidRPr="00000000" w14:paraId="00000015">
      <w:pPr>
        <w:jc w:val="center"/>
        <w:rPr>
          <w:b w:val="1"/>
          <w:sz w:val="36"/>
          <w:szCs w:val="36"/>
          <w:u w:val="single"/>
        </w:rPr>
      </w:pPr>
      <w:r w:rsidDel="00000000" w:rsidR="00000000" w:rsidRPr="00000000">
        <w:rPr>
          <w:rtl w:val="0"/>
        </w:rPr>
      </w:r>
    </w:p>
    <w:p w:rsidR="00000000" w:rsidDel="00000000" w:rsidP="00000000" w:rsidRDefault="00000000" w:rsidRPr="00000000" w14:paraId="00000016">
      <w:pPr>
        <w:jc w:val="left"/>
        <w:rPr>
          <w:b w:val="1"/>
          <w:sz w:val="36"/>
          <w:szCs w:val="36"/>
          <w:u w:val="single"/>
        </w:rPr>
      </w:pPr>
      <w:r w:rsidDel="00000000" w:rsidR="00000000" w:rsidRPr="00000000">
        <w:rPr>
          <w:rtl w:val="0"/>
        </w:rPr>
      </w:r>
    </w:p>
    <w:p w:rsidR="00000000" w:rsidDel="00000000" w:rsidP="00000000" w:rsidRDefault="00000000" w:rsidRPr="00000000" w14:paraId="00000017">
      <w:pPr>
        <w:jc w:val="left"/>
        <w:rPr>
          <w:b w:val="1"/>
          <w:sz w:val="36"/>
          <w:szCs w:val="36"/>
          <w:u w:val="single"/>
        </w:rPr>
      </w:pPr>
      <w:r w:rsidDel="00000000" w:rsidR="00000000" w:rsidRPr="00000000">
        <w:rPr>
          <w:rtl w:val="0"/>
        </w:rPr>
      </w:r>
    </w:p>
    <w:p w:rsidR="00000000" w:rsidDel="00000000" w:rsidP="00000000" w:rsidRDefault="00000000" w:rsidRPr="00000000" w14:paraId="00000018">
      <w:pPr>
        <w:jc w:val="center"/>
        <w:rPr>
          <w:b w:val="1"/>
          <w:u w:val="single"/>
        </w:rPr>
      </w:pPr>
      <w:r w:rsidDel="00000000" w:rsidR="00000000" w:rsidRPr="00000000">
        <w:rPr>
          <w:rtl w:val="0"/>
        </w:rPr>
      </w:r>
    </w:p>
    <w:p w:rsidR="00000000" w:rsidDel="00000000" w:rsidP="00000000" w:rsidRDefault="00000000" w:rsidRPr="00000000" w14:paraId="00000019">
      <w:pPr>
        <w:jc w:val="left"/>
        <w:rPr>
          <w:b w:val="1"/>
          <w:u w:val="single"/>
        </w:rPr>
      </w:pPr>
      <w:r w:rsidDel="00000000" w:rsidR="00000000" w:rsidRPr="00000000">
        <w:rPr>
          <w:rtl w:val="0"/>
        </w:rPr>
      </w:r>
    </w:p>
    <w:p w:rsidR="00000000" w:rsidDel="00000000" w:rsidP="00000000" w:rsidRDefault="00000000" w:rsidRPr="00000000" w14:paraId="0000001A">
      <w:pPr>
        <w:jc w:val="left"/>
        <w:rPr>
          <w:b w:val="1"/>
          <w:u w:val="single"/>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b w:val="1"/>
          <w:sz w:val="24"/>
          <w:szCs w:val="24"/>
          <w:u w:val="single"/>
          <w:rtl w:val="0"/>
        </w:rPr>
        <w:t xml:space="preserve">Introduction</w:t>
      </w: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The Welsh Government (2011) defines pupil participation as “</w:t>
      </w:r>
      <w:r w:rsidDel="00000000" w:rsidR="00000000" w:rsidRPr="00000000">
        <w:rPr>
          <w:sz w:val="24"/>
          <w:szCs w:val="24"/>
          <w:rtl w:val="0"/>
        </w:rPr>
        <w:t xml:space="preserve">a right to be involved in making decisions, planning and reviewing any action that might affect me. Having a voice, having a choice</w:t>
      </w:r>
      <w:r w:rsidDel="00000000" w:rsidR="00000000" w:rsidRPr="00000000">
        <w:rPr>
          <w:sz w:val="24"/>
          <w:szCs w:val="24"/>
          <w:rtl w:val="0"/>
        </w:rPr>
        <w:t xml:space="preserve">”. This definition covers a range of contexts in children’s education, from wider school policies and decisions to specific teaching and learning. This research study will focus on the latter, exploring the question ‘how can we improve engagement through self-directed activities in KS2?’ through an analysis of two lesson studies in different Year 4 classrooms. When choosing a research topic, my partner and I agreed that this element of pupil participation in the classroom is pivotal to productive, dynamic learning. </w:t>
      </w:r>
      <w:r w:rsidDel="00000000" w:rsidR="00000000" w:rsidRPr="00000000">
        <w:rPr>
          <w:sz w:val="24"/>
          <w:szCs w:val="24"/>
          <w:rtl w:val="0"/>
        </w:rPr>
        <w:t xml:space="preserve">As participation plays a central role in engagement</w:t>
      </w:r>
      <w:r w:rsidDel="00000000" w:rsidR="00000000" w:rsidRPr="00000000">
        <w:rPr>
          <w:sz w:val="24"/>
          <w:szCs w:val="24"/>
          <w:rtl w:val="0"/>
        </w:rPr>
        <w:t xml:space="preserve"> (Mulford et al, 2006), we decided to measure pupil  engagement according to </w:t>
      </w:r>
      <w:r w:rsidDel="00000000" w:rsidR="00000000" w:rsidRPr="00000000">
        <w:rPr>
          <w:sz w:val="24"/>
          <w:szCs w:val="24"/>
          <w:rtl w:val="0"/>
        </w:rPr>
        <w:t xml:space="preserve">Laevers’</w:t>
      </w:r>
      <w:r w:rsidDel="00000000" w:rsidR="00000000" w:rsidRPr="00000000">
        <w:rPr>
          <w:sz w:val="24"/>
          <w:szCs w:val="24"/>
          <w:rtl w:val="0"/>
        </w:rPr>
        <w:t xml:space="preserve"> (2005) scale of involvement to analyse how engagement can be improved through self-directed activities. It is important to note that ‘participation’ and ‘involvement’ will naturally be exchanged as synonymous terms throughout this research study, to measure levels of engagement. </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In both lesson studies, we will provide the children with self-directed activities. </w:t>
      </w:r>
      <w:r w:rsidDel="00000000" w:rsidR="00000000" w:rsidRPr="00000000">
        <w:rPr>
          <w:sz w:val="24"/>
          <w:szCs w:val="24"/>
          <w:rtl w:val="0"/>
        </w:rPr>
        <w:t xml:space="preserve">Larson and Miller (2011)</w:t>
      </w:r>
      <w:r w:rsidDel="00000000" w:rsidR="00000000" w:rsidRPr="00000000">
        <w:rPr>
          <w:sz w:val="24"/>
          <w:szCs w:val="24"/>
          <w:rtl w:val="0"/>
        </w:rPr>
        <w:t xml:space="preserve"> emphasise the active role that a self-directed learner naturally adopts, assisting the development of key skills such as communication and problem solving. With this in mind, my research partner and I have discussed how active participation (and subsequently, engagement) may be maximised in Key Stage 2 lessons through self-directed learning. We have therefore designed lesson studies which will allow the children to make choices about who they work with, what they learn, how they learn, and how they present their work. I will describe these variables in greater depth within the body of this essay. </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Our research activity will use a lesson study approach, a form of classroom inquiry in which two or more teachers collaboratively plan, teach, observe, revise and share the results of a single class lesson.  Our lesson studies will take place in two different Year 4 classes in different schools. School A (my placement school) is situated in an urban location in South Wales, and School B (my research partner’s school) is situated in a rural area in South Wales. Each class has a total number of 28 and 29 pupils respectively. Within each class, we will focus on three pupils from different tiers of ability group - the intention of this is that the three pupils are representative samples of their class. The three focus pupils will then be asked to take part in a semi-structured interview following the lesson.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b w:val="1"/>
          <w:sz w:val="24"/>
          <w:szCs w:val="24"/>
          <w:u w:val="single"/>
        </w:rPr>
      </w:pPr>
      <w:r w:rsidDel="00000000" w:rsidR="00000000" w:rsidRPr="00000000">
        <w:rPr>
          <w:b w:val="1"/>
          <w:sz w:val="24"/>
          <w:szCs w:val="24"/>
          <w:u w:val="single"/>
          <w:rtl w:val="0"/>
        </w:rPr>
        <w:t xml:space="preserve">Overview of Relevant Literature</w:t>
      </w:r>
    </w:p>
    <w:p w:rsidR="00000000" w:rsidDel="00000000" w:rsidP="00000000" w:rsidRDefault="00000000" w:rsidRPr="00000000" w14:paraId="00000027">
      <w:pPr>
        <w:spacing w:line="360" w:lineRule="auto"/>
        <w:rPr>
          <w:sz w:val="24"/>
          <w:szCs w:val="24"/>
          <w:u w:val="single"/>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Essentially, our research topic was selected based on the positive impact of child-led learning we discovered within our foundation phase placements. As a way forward, we want to evaluate how we can translate child-led learning in KS2 to maximise pupil engagement and discover how it can be improved. Our interest in this research topic was also inspired by</w:t>
      </w:r>
      <w:r w:rsidDel="00000000" w:rsidR="00000000" w:rsidRPr="00000000">
        <w:rPr>
          <w:sz w:val="24"/>
          <w:szCs w:val="24"/>
          <w:rtl w:val="0"/>
        </w:rPr>
        <w:t xml:space="preserve"> Mitra’s (2012) publication</w:t>
      </w:r>
      <w:r w:rsidDel="00000000" w:rsidR="00000000" w:rsidRPr="00000000">
        <w:rPr>
          <w:sz w:val="24"/>
          <w:szCs w:val="24"/>
          <w:rtl w:val="0"/>
        </w:rPr>
        <w:t xml:space="preserve"> ‘Beyond the Hole in the Wall: Discover the Power of Self-Organised Learning’.  </w:t>
      </w:r>
      <w:r w:rsidDel="00000000" w:rsidR="00000000" w:rsidRPr="00000000">
        <w:rPr>
          <w:sz w:val="24"/>
          <w:szCs w:val="24"/>
          <w:rtl w:val="0"/>
        </w:rPr>
        <w:t xml:space="preserve">Notably, Washbourne (2013)</w:t>
      </w:r>
      <w:r w:rsidDel="00000000" w:rsidR="00000000" w:rsidRPr="00000000">
        <w:rPr>
          <w:sz w:val="24"/>
          <w:szCs w:val="24"/>
          <w:rtl w:val="0"/>
        </w:rPr>
        <w:t xml:space="preserve"> highlights how lower teacher dependency and greater self-sufficiency correlates with higher levels of engagement. My research partner and I identified a clear demonstration of pupil self-sufficiency in Mitra’s project, which enabled us to refine our research question as we explored it in more depth.</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The publication is an evaluation of a series of experimental projects conducted by Mitra, originating in Kalkaji, New Delhi. Known collectively as the ‘hole in the wall’ project, Mitra provided economically deprived areas with a communal computer. The computer had internet access and had a variety of programmes installed, but no instructions were provided for its use. The children using the computers had no prior knowledge of how to work them, or any experience doing so. </w:t>
      </w:r>
      <w:r w:rsidDel="00000000" w:rsidR="00000000" w:rsidRPr="00000000">
        <w:rPr>
          <w:sz w:val="24"/>
          <w:szCs w:val="24"/>
          <w:rtl w:val="0"/>
        </w:rPr>
        <w:t xml:space="preserve">Mitra (2012)</w:t>
      </w:r>
      <w:r w:rsidDel="00000000" w:rsidR="00000000" w:rsidRPr="00000000">
        <w:rPr>
          <w:sz w:val="24"/>
          <w:szCs w:val="24"/>
          <w:rtl w:val="0"/>
        </w:rPr>
        <w:t xml:space="preserve"> concludes that an estimated 40,000 children participated, demonstrating self-regulating learning that can be achieved by any child in any climate. Notably, </w:t>
      </w:r>
      <w:r w:rsidDel="00000000" w:rsidR="00000000" w:rsidRPr="00000000">
        <w:rPr>
          <w:sz w:val="24"/>
          <w:szCs w:val="24"/>
          <w:rtl w:val="0"/>
        </w:rPr>
        <w:t xml:space="preserve">Mitra (2012)</w:t>
      </w:r>
      <w:r w:rsidDel="00000000" w:rsidR="00000000" w:rsidRPr="00000000">
        <w:rPr>
          <w:sz w:val="24"/>
          <w:szCs w:val="24"/>
          <w:rtl w:val="0"/>
        </w:rPr>
        <w:t xml:space="preserve"> evaluates the benefits of what he calls a ‘Self Organised Learning Environment’ (SOLE), in which the children’s self-directed learning exhibited a variety of developments with frequent use, as shown below: </w:t>
      </w:r>
    </w:p>
    <w:p w:rsidR="00000000" w:rsidDel="00000000" w:rsidP="00000000" w:rsidRDefault="00000000" w:rsidRPr="00000000" w14:paraId="0000002B">
      <w:pPr>
        <w:spacing w:line="360"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866775</wp:posOffset>
            </wp:positionH>
            <wp:positionV relativeFrom="paragraph">
              <wp:posOffset>114300</wp:posOffset>
            </wp:positionV>
            <wp:extent cx="3800475" cy="3371850"/>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800475" cy="3371850"/>
                    </a:xfrm>
                    <a:prstGeom prst="rect"/>
                    <a:ln/>
                  </pic:spPr>
                </pic:pic>
              </a:graphicData>
            </a:graphic>
          </wp:anchor>
        </w:drawing>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ab/>
      </w:r>
      <w:r w:rsidDel="00000000" w:rsidR="00000000" w:rsidRPr="00000000">
        <w:rPr>
          <w:sz w:val="24"/>
          <w:szCs w:val="24"/>
          <w:rtl w:val="0"/>
        </w:rPr>
        <w:t xml:space="preserve">(Mitra, 2012, p.84)</w:t>
      </w:r>
    </w:p>
    <w:p w:rsidR="00000000" w:rsidDel="00000000" w:rsidP="00000000" w:rsidRDefault="00000000" w:rsidRPr="00000000" w14:paraId="0000003E">
      <w:pPr>
        <w:spacing w:line="360" w:lineRule="auto"/>
        <w:rPr>
          <w:sz w:val="24"/>
          <w:szCs w:val="24"/>
          <w:u w:val="single"/>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These developments relate to pupil engagement in a number of ways. We have decided an emphasis on group work would be a beneficial element of improving engagement in our lesson studies. As listed above, children may question attitudes and perceptions of themselves as well as others which may also translate to asking questions of their work.  In relation to this, we predict that if we allow the children in our lesson study to work in groups (and choose who they are working with), improved levels of engagement may follow as communication inevitably takes place. Subsequently, the process of interthinking may then be applied through exploratory talk (Grugeon et al, 2001) thus providing the children with higher levels of engagement in the activity. </w:t>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Additionally, my research partner and I hope the children participating in our lesson studies will also engage in their activity based on interests, to become increasingly curious just as Mitra observed with his participants. In essence, Mitra’s experiment was underpinned with a Montessori (2014) ethos, which emphasises active, independent learning and considers the child to be significantly curious and self-educating by nature. Both me and my research partner share an interest in the humanistic school of thought in education, and have therefore considered how we can create lesson studies that nurture this philosophy. Lillard (2011) discusses a crucial element of a Montessori learning environment, emphasising the need for activities that encourage independence and pupil choice to allow them to coordinate their own learning. Thus, my partner and I hope that by allowing the children to choose a subtopic (within the main topic, being their mid-term theme) the children can lead their learning based on their interests. Boyack (2016) states that children’s choices and interests ‘stimulate thinking and engage minds’ (p.146), which is the fundamental intention of our research. Kerry (2015) supports this view, highlighting that teachers who support the choices of children can help them develop into more knowledgeable and autonomous learners. Essentially, we hope that by encouraging the children to choose a topic of interest to learn about would help nurture curiosity, thus maximising levels of engagement in each individual.</w:t>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Despite evidence of how beneficial allowing decision making can be, there is also a need to take caution in this approach. Bucknall (2012) proposes that freedom of choice can become a barrier in children’s learning, as children may find making choices difficult to negotiate. Based on this perspective, my partner and I have decided to provide the children with a selection of subtopics to choose from, such as ‘Tudor children’ within the class theme of ‘The Tudors’. From this, we hope to support the learning more effectively by providing a selection of choices to sustain a greater focus.</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Another sceptic of self-directed learning is Brown (1978), who argues that children do not possess the productive behaviour necessary for self-directed learning until mid to late adolescence.</w:t>
      </w:r>
      <w:r w:rsidDel="00000000" w:rsidR="00000000" w:rsidRPr="00000000">
        <w:rPr>
          <w:sz w:val="24"/>
          <w:szCs w:val="24"/>
          <w:rtl w:val="0"/>
        </w:rPr>
        <w:t xml:space="preserve"> Not only does </w:t>
      </w:r>
      <w:r w:rsidDel="00000000" w:rsidR="00000000" w:rsidRPr="00000000">
        <w:rPr>
          <w:sz w:val="24"/>
          <w:szCs w:val="24"/>
          <w:rtl w:val="0"/>
        </w:rPr>
        <w:t xml:space="preserve">Mitra’s (2012)</w:t>
      </w:r>
      <w:r w:rsidDel="00000000" w:rsidR="00000000" w:rsidRPr="00000000">
        <w:rPr>
          <w:sz w:val="24"/>
          <w:szCs w:val="24"/>
          <w:rtl w:val="0"/>
        </w:rPr>
        <w:t xml:space="preserve"> study statistically and practically testify against this statement, but </w:t>
      </w:r>
      <w:r w:rsidDel="00000000" w:rsidR="00000000" w:rsidRPr="00000000">
        <w:rPr>
          <w:sz w:val="24"/>
          <w:szCs w:val="24"/>
          <w:rtl w:val="0"/>
        </w:rPr>
        <w:t xml:space="preserve">Thomas et al (1988)</w:t>
      </w:r>
      <w:r w:rsidDel="00000000" w:rsidR="00000000" w:rsidRPr="00000000">
        <w:rPr>
          <w:sz w:val="24"/>
          <w:szCs w:val="24"/>
          <w:rtl w:val="0"/>
        </w:rPr>
        <w:t xml:space="preserve"> argue that self-directed learning can in fact develop these ‘productive behaviours’, such as enhancing children’s memory. My research partner and I will remain attentive throughout our observations, identifying and recording productive behaviours in our learners if they are demonstrated.</w:t>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Furthermore, it is essential to acknowledge the influence the upcoming curriculum had on our research topic. We wanted our research topic to be experimental yet forward thinking, so we consulted </w:t>
      </w:r>
      <w:r w:rsidDel="00000000" w:rsidR="00000000" w:rsidRPr="00000000">
        <w:rPr>
          <w:sz w:val="24"/>
          <w:szCs w:val="24"/>
          <w:rtl w:val="0"/>
        </w:rPr>
        <w:t xml:space="preserve">Donaldson’s (2015)</w:t>
      </w:r>
      <w:r w:rsidDel="00000000" w:rsidR="00000000" w:rsidRPr="00000000">
        <w:rPr>
          <w:sz w:val="24"/>
          <w:szCs w:val="24"/>
          <w:rtl w:val="0"/>
        </w:rPr>
        <w:t xml:space="preserve"> </w:t>
      </w:r>
      <w:r w:rsidDel="00000000" w:rsidR="00000000" w:rsidRPr="00000000">
        <w:rPr>
          <w:i w:val="1"/>
          <w:sz w:val="24"/>
          <w:szCs w:val="24"/>
          <w:rtl w:val="0"/>
        </w:rPr>
        <w:t xml:space="preserve">Successful Futures </w:t>
      </w:r>
      <w:r w:rsidDel="00000000" w:rsidR="00000000" w:rsidRPr="00000000">
        <w:rPr>
          <w:sz w:val="24"/>
          <w:szCs w:val="24"/>
          <w:rtl w:val="0"/>
        </w:rPr>
        <w:t xml:space="preserve">to understand how this could be achieved. </w:t>
      </w:r>
      <w:r w:rsidDel="00000000" w:rsidR="00000000" w:rsidRPr="00000000">
        <w:rPr>
          <w:sz w:val="24"/>
          <w:szCs w:val="24"/>
          <w:rtl w:val="0"/>
        </w:rPr>
        <w:t xml:space="preserve"> One of its proposals states ‘Good teaching and learning encourages children and young people to take increasing responsibility for their own learning’ (p.69). Donaldson (2015) stresses that children’s confidence and ongoing capacity to learn are strongly influenced by how they are taught. At first hand, my research partner and I have decided that providing the children with self-directed activities would be an effective way of encouraging  confidence and a sense of responsibility within the learners. </w:t>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In addition, Donaldson (2015) states:</w:t>
      </w:r>
    </w:p>
    <w:p w:rsidR="00000000" w:rsidDel="00000000" w:rsidP="00000000" w:rsidRDefault="00000000" w:rsidRPr="00000000" w14:paraId="0000004B">
      <w:pPr>
        <w:spacing w:line="360" w:lineRule="auto"/>
        <w:ind w:left="1440" w:firstLine="0"/>
        <w:rPr>
          <w:sz w:val="24"/>
          <w:szCs w:val="24"/>
        </w:rPr>
      </w:pPr>
      <w:r w:rsidDel="00000000" w:rsidR="00000000" w:rsidRPr="00000000">
        <w:rPr>
          <w:sz w:val="24"/>
          <w:szCs w:val="24"/>
          <w:rtl w:val="0"/>
        </w:rPr>
        <w:t xml:space="preserve">‘In order to fully engage with learning, children and young people require rich, stimulating environments where they can explore and experiment with ideas and resources [...] and collaborate actively with their peers.’ (p.7)</w:t>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sz w:val="24"/>
          <w:szCs w:val="24"/>
          <w:rtl w:val="0"/>
        </w:rPr>
        <w:t xml:space="preserve">To effectively create an environment envisaged by Donaldson and to empower the element of pupil choice and experimentation, my partner and I will supply a variety of resources. These will include a variety of fact files, leaflets, iPads, computers, story books, fact books, and pictures. A combination of Mitra’s project and Donaldson’s emphasis of the crucial DCF has inspired my partner and I to create a learning environment rich with technology, to maximise engagement and the acquisition of knowledge. </w:t>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To conclude, Mitra’s (2012) publication provides guidance on what to expect when practising what he calls ‘Minimally Invasive Education’ (p.83):</w:t>
      </w:r>
      <w:r w:rsidDel="00000000" w:rsidR="00000000" w:rsidRPr="00000000">
        <w:drawing>
          <wp:anchor allowOverlap="1" behindDoc="0" distB="114300" distT="114300" distL="114300" distR="114300" hidden="0" layoutInCell="1" locked="0" relativeHeight="0" simplePos="0">
            <wp:simplePos x="0" y="0"/>
            <wp:positionH relativeFrom="column">
              <wp:posOffset>-466724</wp:posOffset>
            </wp:positionH>
            <wp:positionV relativeFrom="paragraph">
              <wp:posOffset>600075</wp:posOffset>
            </wp:positionV>
            <wp:extent cx="6221684" cy="3767138"/>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23646" l="27724" r="31410" t="32478"/>
                    <a:stretch>
                      <a:fillRect/>
                    </a:stretch>
                  </pic:blipFill>
                  <pic:spPr>
                    <a:xfrm>
                      <a:off x="0" y="0"/>
                      <a:ext cx="6221684" cy="3767138"/>
                    </a:xfrm>
                    <a:prstGeom prst="rect"/>
                    <a:ln/>
                  </pic:spPr>
                </pic:pic>
              </a:graphicData>
            </a:graphic>
          </wp:anchor>
        </w:drawing>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ind w:left="7200" w:firstLine="720"/>
        <w:rPr>
          <w:sz w:val="24"/>
          <w:szCs w:val="24"/>
        </w:rPr>
      </w:pPr>
      <w:r w:rsidDel="00000000" w:rsidR="00000000" w:rsidRPr="00000000">
        <w:rPr>
          <w:sz w:val="24"/>
          <w:szCs w:val="24"/>
          <w:rtl w:val="0"/>
        </w:rPr>
        <w:tab/>
        <w:tab/>
        <w:tab/>
        <w:tab/>
        <w:t xml:space="preserve">(pp.85-86)</w:t>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My research partner and I will use this commentary to guide our teaching practice, and to help mediate a minimally invasive environment for our learners. Upon analysing existing literature, we concluded that our lesson studies must lend themselves to a self-organised learning environment in order to reap the benefits of pupil engagement as recorded by Mitra. I will discuss exactly how we intended to achieve this when evaluating our lesson study designs. </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rtl w:val="0"/>
        </w:rPr>
      </w:r>
    </w:p>
    <w:p w:rsidR="00000000" w:rsidDel="00000000" w:rsidP="00000000" w:rsidRDefault="00000000" w:rsidRPr="00000000" w14:paraId="00000055">
      <w:pPr>
        <w:spacing w:line="360" w:lineRule="auto"/>
        <w:rPr>
          <w:sz w:val="24"/>
          <w:szCs w:val="24"/>
        </w:rPr>
      </w:pPr>
      <w:r w:rsidDel="00000000" w:rsidR="00000000" w:rsidRPr="00000000">
        <w:rPr>
          <w:b w:val="1"/>
          <w:sz w:val="24"/>
          <w:szCs w:val="24"/>
          <w:u w:val="single"/>
          <w:rtl w:val="0"/>
        </w:rPr>
        <w:t xml:space="preserve">Lesson Study Design</w:t>
      </w: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rtl w:val="0"/>
        </w:rPr>
      </w:r>
    </w:p>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Having discussed the literature that influenced our chosen topic of research, it is essential to then analyse our methodology. Our chosen approach was the ‘Lesson Study’. This is a form of classroom inquiry in which groups of teachers collaboratively plan, teach, observe and evaluate learning over a cycle of research lessons </w:t>
      </w:r>
      <w:r w:rsidDel="00000000" w:rsidR="00000000" w:rsidRPr="00000000">
        <w:rPr>
          <w:sz w:val="24"/>
          <w:szCs w:val="24"/>
          <w:rtl w:val="0"/>
        </w:rPr>
        <w:t xml:space="preserve">(Dudley, 2014)</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The Department of Education (2009) highlight the potential to improve pedagogical practice</w:t>
      </w:r>
      <w:r w:rsidDel="00000000" w:rsidR="00000000" w:rsidRPr="00000000">
        <w:rPr>
          <w:sz w:val="24"/>
          <w:szCs w:val="24"/>
          <w:rtl w:val="0"/>
        </w:rPr>
        <w:t xml:space="preserve"> in the Lesson Study approach - they believe that pupil’s learning and progress improves following this approach due to pedagogy becoming better designed and delivered. Although the approach also exhibits many other benefits such as improving lesson plans </w:t>
      </w:r>
      <w:r w:rsidDel="00000000" w:rsidR="00000000" w:rsidRPr="00000000">
        <w:rPr>
          <w:sz w:val="24"/>
          <w:szCs w:val="24"/>
          <w:rtl w:val="0"/>
        </w:rPr>
        <w:t xml:space="preserve">(Cheng, 2018)</w:t>
      </w:r>
      <w:r w:rsidDel="00000000" w:rsidR="00000000" w:rsidRPr="00000000">
        <w:rPr>
          <w:sz w:val="24"/>
          <w:szCs w:val="24"/>
          <w:rtl w:val="0"/>
        </w:rPr>
        <w:t xml:space="preserve"> and practicality </w:t>
      </w:r>
      <w:r w:rsidDel="00000000" w:rsidR="00000000" w:rsidRPr="00000000">
        <w:rPr>
          <w:sz w:val="24"/>
          <w:szCs w:val="24"/>
          <w:rtl w:val="0"/>
        </w:rPr>
        <w:t xml:space="preserve">(Dudley and Gowing, 2012)</w:t>
      </w:r>
      <w:r w:rsidDel="00000000" w:rsidR="00000000" w:rsidRPr="00000000">
        <w:rPr>
          <w:sz w:val="24"/>
          <w:szCs w:val="24"/>
          <w:rtl w:val="0"/>
        </w:rPr>
        <w:t xml:space="preserve">, it is the pedagogical focus which most attracted my interest to the methodology.  </w:t>
      </w:r>
      <w:r w:rsidDel="00000000" w:rsidR="00000000" w:rsidRPr="00000000">
        <w:rPr>
          <w:sz w:val="24"/>
          <w:szCs w:val="24"/>
          <w:rtl w:val="0"/>
        </w:rPr>
        <w:t xml:space="preserve">Hendeyana (2014)</w:t>
      </w:r>
      <w:r w:rsidDel="00000000" w:rsidR="00000000" w:rsidRPr="00000000">
        <w:rPr>
          <w:sz w:val="24"/>
          <w:szCs w:val="24"/>
          <w:rtl w:val="0"/>
        </w:rPr>
        <w:t xml:space="preserve"> also states how Lesson Study designs are often based on ‘hands on’ activities with real-life objectives, using available materials and resources. The approach therefore seemed suitable for the nature of the lessons we intended on carrying out. Ultimately, we believed that the combination of our individual thought processes could initiate improvement from the first lesson to the second, as we may be able to offer each other ideas and advice. My partner and I then concluded that a collaboration could only be beneficial to our research, as our unique experiences and perspectives could offer a wider scope of analysis and evaluation during our reflective process. Therefore, we settled on the Lesson Study approach for our joint methodology to collect the data we needed to inform our research.</w:t>
      </w:r>
    </w:p>
    <w:p w:rsidR="00000000" w:rsidDel="00000000" w:rsidP="00000000" w:rsidRDefault="00000000" w:rsidRPr="00000000" w14:paraId="0000005A">
      <w:pPr>
        <w:spacing w:line="360" w:lineRule="auto"/>
        <w:rPr>
          <w:sz w:val="24"/>
          <w:szCs w:val="24"/>
        </w:rPr>
      </w:pPr>
      <w:r w:rsidDel="00000000" w:rsidR="00000000" w:rsidRPr="00000000">
        <w:rPr>
          <w:rtl w:val="0"/>
        </w:rPr>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The data we hoped to collect throughout our two lesson studies was the levels of engagement during the lesson’s introduction, main activity and plenary. We wanted to gain a thorough and holistic understanding engagement levels during all parts of the lesson to ensure our findings were as accurate as possible. We therefore also split our methods of data collection into three parts: non-participant observation, a semi-structured focus group interview, and reflection.</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My research partner and I opted for an overt participation approach, in which the participants consent to, and are aware of themselves being observed, without the researchers hiding their intentions </w:t>
      </w:r>
      <w:r w:rsidDel="00000000" w:rsidR="00000000" w:rsidRPr="00000000">
        <w:rPr>
          <w:sz w:val="24"/>
          <w:szCs w:val="24"/>
          <w:rtl w:val="0"/>
        </w:rPr>
        <w:t xml:space="preserve">(Kawulich, 2012)</w:t>
      </w:r>
      <w:r w:rsidDel="00000000" w:rsidR="00000000" w:rsidRPr="00000000">
        <w:rPr>
          <w:sz w:val="24"/>
          <w:szCs w:val="24"/>
          <w:rtl w:val="0"/>
        </w:rPr>
        <w:t xml:space="preserve">. However, we also acknowledged that this may have affected the way in which the children engaged with the lesson, potentially threatening the accuracy of our findings. We therefore maintained the children’s regular routine and integrate in a friendly manner through overt participation. As </w:t>
      </w:r>
      <w:r w:rsidDel="00000000" w:rsidR="00000000" w:rsidRPr="00000000">
        <w:rPr>
          <w:sz w:val="24"/>
          <w:szCs w:val="24"/>
          <w:rtl w:val="0"/>
        </w:rPr>
        <w:t xml:space="preserve">Check and Shutt (2011)</w:t>
      </w:r>
      <w:r w:rsidDel="00000000" w:rsidR="00000000" w:rsidRPr="00000000">
        <w:rPr>
          <w:sz w:val="24"/>
          <w:szCs w:val="24"/>
          <w:rtl w:val="0"/>
        </w:rPr>
        <w:t xml:space="preserve"> articulate, overt participation is not only ethical, but it allows the researcher to participate enough to develop a rapport with the children. Prior to commencing our lessons, my research partner and I ensured to introduce one another to our classes and inform the children of why we were there. In both lessons, the observer interacted with the children and made an effort to mitigate any discomfort caused by an unfamiliar presence. We found this involvement and interaction reduced a sense of the ‘observing presence’ and allowed children to behave more naturally.</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Whilst one of us taught and facilitated the lesson, the other was responsible for measuring pupil engagement using </w:t>
      </w:r>
      <w:r w:rsidDel="00000000" w:rsidR="00000000" w:rsidRPr="00000000">
        <w:rPr>
          <w:sz w:val="24"/>
          <w:szCs w:val="24"/>
          <w:rtl w:val="0"/>
        </w:rPr>
        <w:t xml:space="preserve">the Leuven </w:t>
      </w:r>
      <w:r w:rsidDel="00000000" w:rsidR="00000000" w:rsidRPr="00000000">
        <w:rPr>
          <w:sz w:val="24"/>
          <w:szCs w:val="24"/>
          <w:rtl w:val="0"/>
        </w:rPr>
        <w:t xml:space="preserve">scale of involvement </w:t>
      </w:r>
      <w:r w:rsidDel="00000000" w:rsidR="00000000" w:rsidRPr="00000000">
        <w:rPr>
          <w:sz w:val="24"/>
          <w:szCs w:val="24"/>
          <w:rtl w:val="0"/>
        </w:rPr>
        <w:t xml:space="preserve">(Laevers, 2005)</w:t>
      </w:r>
      <w:r w:rsidDel="00000000" w:rsidR="00000000" w:rsidRPr="00000000">
        <w:rPr>
          <w:sz w:val="24"/>
          <w:szCs w:val="24"/>
          <w:rtl w:val="0"/>
        </w:rPr>
        <w:t xml:space="preserve">.  This is a 5-point scale (1 being the lowest level of involvement and 5 being the highest) assesses engagement in a variety of aspects: concentration, energy, complexity and creativity, expression and posture, persistence, accuracy, reaction time, language, satisfaction </w:t>
      </w:r>
      <w:r w:rsidDel="00000000" w:rsidR="00000000" w:rsidRPr="00000000">
        <w:rPr>
          <w:sz w:val="24"/>
          <w:szCs w:val="24"/>
          <w:rtl w:val="0"/>
        </w:rPr>
        <w:t xml:space="preserve">(Laevers, 1994)</w:t>
      </w:r>
      <w:r w:rsidDel="00000000" w:rsidR="00000000" w:rsidRPr="00000000">
        <w:rPr>
          <w:sz w:val="24"/>
          <w:szCs w:val="24"/>
          <w:rtl w:val="0"/>
        </w:rPr>
        <w:t xml:space="preserve">. My research partner and I selected this qualitative form of data collection for a number of reasons. Firstly, we had decided our findings would be more reliable if we observed three children in each lesson as representative samples of their class. This allowed us to identify any signals of engagement to a more thorough degree, rather than trying to note the behaviours of every individual child. </w:t>
      </w:r>
      <w:r w:rsidDel="00000000" w:rsidR="00000000" w:rsidRPr="00000000">
        <w:rPr>
          <w:sz w:val="24"/>
          <w:szCs w:val="24"/>
          <w:rtl w:val="0"/>
        </w:rPr>
        <w:t xml:space="preserve">Litchman (2013) </w:t>
      </w:r>
      <w:r w:rsidDel="00000000" w:rsidR="00000000" w:rsidRPr="00000000">
        <w:rPr>
          <w:sz w:val="24"/>
          <w:szCs w:val="24"/>
          <w:rtl w:val="0"/>
        </w:rPr>
        <w:t xml:space="preserve">emphasises how qualitative data can provide insights that numbers or statistics may not yield, and is more likely to accommodate the different needs of children. I feel the Leuven scale of involvement lends itself to this, as we were able to add to the signals already noted in the Leuven table, as well as note down specific responses that weren’t already listed. Essentially, the Leuven scale as a qualitative method of research meant our observation felt less restricted but also provided a guidance of what we needed to look out for.</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sz w:val="24"/>
          <w:szCs w:val="24"/>
          <w:rtl w:val="0"/>
        </w:rPr>
        <w:t xml:space="preserve">The scale was equally useful in allowing my research partner and I to observe attentively for longer periods of time, without the need to write in depth notes about the engagement behaviours that were displayed. Consulting the Leuven scale at three points (per focus child) over the lesson also proved to be an extremely valuable aspect of our data collection. Notably, the levels of engagement altered at certain parts of our lessons, which I will discuss in more depth when analysing the results of our studies. </w:t>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As previously mentioned, my partner and I selected three children to closely observe in each lesson. We selected focus children that represented three tiers of ability within their class. Differentiation is, of course, an immensely important aspect of any lesson. Accordingly, my partner and I wanted to be able to analyse whether our research lesson activities were appropriate and engaging for all scopes of ability. </w:t>
      </w:r>
      <w:r w:rsidDel="00000000" w:rsidR="00000000" w:rsidRPr="00000000">
        <w:rPr>
          <w:sz w:val="24"/>
          <w:szCs w:val="24"/>
          <w:rtl w:val="0"/>
        </w:rPr>
        <w:t xml:space="preserve">Johnson and Christensen (2017)</w:t>
      </w:r>
      <w:r w:rsidDel="00000000" w:rsidR="00000000" w:rsidRPr="00000000">
        <w:rPr>
          <w:sz w:val="24"/>
          <w:szCs w:val="24"/>
          <w:rtl w:val="0"/>
        </w:rPr>
        <w:t xml:space="preserve"> argue that nonrandom samples of data collection may be biased, however my research partner and I favoured </w:t>
      </w:r>
      <w:r w:rsidDel="00000000" w:rsidR="00000000" w:rsidRPr="00000000">
        <w:rPr>
          <w:sz w:val="24"/>
          <w:szCs w:val="24"/>
          <w:rtl w:val="0"/>
        </w:rPr>
        <w:t xml:space="preserve">Mosley’s (2013) </w:t>
      </w:r>
      <w:r w:rsidDel="00000000" w:rsidR="00000000" w:rsidRPr="00000000">
        <w:rPr>
          <w:sz w:val="24"/>
          <w:szCs w:val="24"/>
          <w:rtl w:val="0"/>
        </w:rPr>
        <w:t xml:space="preserve">assertion that nonrandom samples can particularly facilitate theory development in contexts with wider factors to consider, such as differentiation in a school. </w:t>
      </w:r>
    </w:p>
    <w:p w:rsidR="00000000" w:rsidDel="00000000" w:rsidP="00000000" w:rsidRDefault="00000000" w:rsidRPr="00000000" w14:paraId="00000066">
      <w:pPr>
        <w:spacing w:line="360" w:lineRule="auto"/>
        <w:rPr>
          <w:sz w:val="24"/>
          <w:szCs w:val="24"/>
          <w:u w:val="single"/>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The semi-structured interview consisted of 6 open-ended questions (see appendix 1) and took place immediately after the research lesson. These questions formed the basis of the data we wished to find out. It is often recommended  that semi-structured interviews are voice recorded due to the potential of digression in responding to open-ended questions (</w:t>
      </w:r>
      <w:r w:rsidDel="00000000" w:rsidR="00000000" w:rsidRPr="00000000">
        <w:rPr>
          <w:sz w:val="24"/>
          <w:szCs w:val="24"/>
          <w:rtl w:val="0"/>
        </w:rPr>
        <w:t xml:space="preserve">Cohen and Crabtree, 2006</w:t>
      </w:r>
      <w:r w:rsidDel="00000000" w:rsidR="00000000" w:rsidRPr="00000000">
        <w:rPr>
          <w:sz w:val="24"/>
          <w:szCs w:val="24"/>
          <w:rtl w:val="0"/>
        </w:rPr>
        <w:t xml:space="preserve">). We found this to be extremely helpful, particularly when we needed the children to elaborate. The transcripts of the interviews (see appendix 2 and 3) were arguably the most valuable aspects of our data collection, as the constructive feedback from the children allowed us to make positive changes between lessons and further evaluate our research question.</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The final research tool we utilised included reflective notes (see Appendix 6 and 7). For this, we followed </w:t>
      </w:r>
      <w:r w:rsidDel="00000000" w:rsidR="00000000" w:rsidRPr="00000000">
        <w:rPr>
          <w:sz w:val="24"/>
          <w:szCs w:val="24"/>
          <w:rtl w:val="0"/>
        </w:rPr>
        <w:t xml:space="preserve">Brookfield’s (2017) </w:t>
      </w:r>
      <w:r w:rsidDel="00000000" w:rsidR="00000000" w:rsidRPr="00000000">
        <w:rPr>
          <w:sz w:val="24"/>
          <w:szCs w:val="24"/>
          <w:rtl w:val="0"/>
        </w:rPr>
        <w:t xml:space="preserve">model for critically reflective teaching. He believed reflection was most effective when analysed through four lenses:</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numPr>
          <w:ilvl w:val="0"/>
          <w:numId w:val="3"/>
        </w:numPr>
        <w:spacing w:line="360" w:lineRule="auto"/>
        <w:ind w:left="720" w:hanging="360"/>
        <w:rPr>
          <w:sz w:val="24"/>
          <w:szCs w:val="24"/>
        </w:rPr>
      </w:pPr>
      <w:r w:rsidDel="00000000" w:rsidR="00000000" w:rsidRPr="00000000">
        <w:rPr>
          <w:sz w:val="24"/>
          <w:szCs w:val="24"/>
          <w:rtl w:val="0"/>
        </w:rPr>
        <w:t xml:space="preserve">Our autobiographies as learners and teachers </w:t>
      </w:r>
    </w:p>
    <w:p w:rsidR="00000000" w:rsidDel="00000000" w:rsidP="00000000" w:rsidRDefault="00000000" w:rsidRPr="00000000" w14:paraId="0000006C">
      <w:pPr>
        <w:numPr>
          <w:ilvl w:val="0"/>
          <w:numId w:val="3"/>
        </w:numPr>
        <w:spacing w:line="360" w:lineRule="auto"/>
        <w:ind w:left="720" w:hanging="360"/>
        <w:rPr>
          <w:sz w:val="24"/>
          <w:szCs w:val="24"/>
        </w:rPr>
      </w:pPr>
      <w:r w:rsidDel="00000000" w:rsidR="00000000" w:rsidRPr="00000000">
        <w:rPr>
          <w:sz w:val="24"/>
          <w:szCs w:val="24"/>
          <w:rtl w:val="0"/>
        </w:rPr>
        <w:t xml:space="preserve">Our student’s eyes</w:t>
      </w:r>
    </w:p>
    <w:p w:rsidR="00000000" w:rsidDel="00000000" w:rsidP="00000000" w:rsidRDefault="00000000" w:rsidRPr="00000000" w14:paraId="0000006D">
      <w:pPr>
        <w:numPr>
          <w:ilvl w:val="0"/>
          <w:numId w:val="3"/>
        </w:numPr>
        <w:spacing w:line="360" w:lineRule="auto"/>
        <w:ind w:left="720" w:hanging="360"/>
        <w:rPr>
          <w:sz w:val="24"/>
          <w:szCs w:val="24"/>
        </w:rPr>
      </w:pPr>
      <w:r w:rsidDel="00000000" w:rsidR="00000000" w:rsidRPr="00000000">
        <w:rPr>
          <w:sz w:val="24"/>
          <w:szCs w:val="24"/>
          <w:rtl w:val="0"/>
        </w:rPr>
        <w:t xml:space="preserve">Our colleague’s experiences</w:t>
      </w:r>
    </w:p>
    <w:p w:rsidR="00000000" w:rsidDel="00000000" w:rsidP="00000000" w:rsidRDefault="00000000" w:rsidRPr="00000000" w14:paraId="0000006E">
      <w:pPr>
        <w:numPr>
          <w:ilvl w:val="0"/>
          <w:numId w:val="3"/>
        </w:numPr>
        <w:spacing w:line="360" w:lineRule="auto"/>
        <w:ind w:left="720" w:hanging="360"/>
        <w:rPr>
          <w:sz w:val="24"/>
          <w:szCs w:val="24"/>
        </w:rPr>
      </w:pPr>
      <w:r w:rsidDel="00000000" w:rsidR="00000000" w:rsidRPr="00000000">
        <w:rPr>
          <w:sz w:val="24"/>
          <w:szCs w:val="24"/>
          <w:rtl w:val="0"/>
        </w:rPr>
        <w:t xml:space="preserve">Theoretical literature </w:t>
      </w:r>
    </w:p>
    <w:p w:rsidR="00000000" w:rsidDel="00000000" w:rsidP="00000000" w:rsidRDefault="00000000" w:rsidRPr="00000000" w14:paraId="0000006F">
      <w:pPr>
        <w:spacing w:line="360" w:lineRule="auto"/>
        <w:ind w:left="720" w:firstLine="0"/>
        <w:rPr>
          <w:sz w:val="24"/>
          <w:szCs w:val="24"/>
        </w:rPr>
      </w:pPr>
      <w:r w:rsidDel="00000000" w:rsidR="00000000" w:rsidRPr="00000000">
        <w:rPr>
          <w:sz w:val="24"/>
          <w:szCs w:val="24"/>
          <w:rtl w:val="0"/>
        </w:rPr>
        <w:tab/>
        <w:tab/>
        <w:tab/>
        <w:tab/>
        <w:tab/>
        <w:tab/>
        <w:tab/>
        <w:tab/>
      </w:r>
      <w:r w:rsidDel="00000000" w:rsidR="00000000" w:rsidRPr="00000000">
        <w:rPr>
          <w:sz w:val="24"/>
          <w:szCs w:val="24"/>
          <w:rtl w:val="0"/>
        </w:rPr>
        <w:t xml:space="preserve">(pp.62-75)</w:t>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My research partner and I therefore used these four lenses to improve the validity of our judgements and understanding through various conversations (Machin et al, 2015). These conversations were crucial in informing our study’s analysis and evaluation. </w:t>
      </w:r>
      <w:r w:rsidDel="00000000" w:rsidR="00000000" w:rsidRPr="00000000">
        <w:rPr>
          <w:sz w:val="24"/>
          <w:szCs w:val="24"/>
          <w:rtl w:val="0"/>
        </w:rPr>
        <w:t xml:space="preserve">I will therefore discuss the reflective process of our research in greater depth in the evaluation of my research.</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b w:val="1"/>
          <w:sz w:val="24"/>
          <w:szCs w:val="24"/>
          <w:u w:val="single"/>
        </w:rPr>
      </w:pPr>
      <w:r w:rsidDel="00000000" w:rsidR="00000000" w:rsidRPr="00000000">
        <w:rPr>
          <w:b w:val="1"/>
          <w:sz w:val="24"/>
          <w:szCs w:val="24"/>
          <w:u w:val="single"/>
          <w:rtl w:val="0"/>
        </w:rPr>
        <w:t xml:space="preserve">Ethical Considerations</w:t>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Furthermore, there are ethical considerations to be made when carrying out research in a classroom environment. A detailed evaluation of our ethical considerations was submitted and moderated several weeks ahead of our research. Prior to carrying out the research study, my research partner and I thoroughly examined the ethical considerations and planned our study accordingly. We looked to the </w:t>
      </w:r>
      <w:r w:rsidDel="00000000" w:rsidR="00000000" w:rsidRPr="00000000">
        <w:rPr>
          <w:sz w:val="24"/>
          <w:szCs w:val="24"/>
          <w:rtl w:val="0"/>
        </w:rPr>
        <w:t xml:space="preserve">BERA (2018)</w:t>
      </w:r>
      <w:r w:rsidDel="00000000" w:rsidR="00000000" w:rsidRPr="00000000">
        <w:rPr>
          <w:sz w:val="24"/>
          <w:szCs w:val="24"/>
          <w:rtl w:val="0"/>
        </w:rPr>
        <w:t xml:space="preserve"> Ethical Guidelines for Educational Research, the </w:t>
      </w:r>
      <w:r w:rsidDel="00000000" w:rsidR="00000000" w:rsidRPr="00000000">
        <w:rPr>
          <w:sz w:val="24"/>
          <w:szCs w:val="24"/>
          <w:rtl w:val="0"/>
        </w:rPr>
        <w:t xml:space="preserve">UWTSD Research Ethics and Integrity Code of Practice (2018)</w:t>
      </w:r>
      <w:r w:rsidDel="00000000" w:rsidR="00000000" w:rsidRPr="00000000">
        <w:rPr>
          <w:sz w:val="24"/>
          <w:szCs w:val="24"/>
          <w:rtl w:val="0"/>
        </w:rPr>
        <w:t xml:space="preserve">, and the </w:t>
      </w:r>
      <w:r w:rsidDel="00000000" w:rsidR="00000000" w:rsidRPr="00000000">
        <w:rPr>
          <w:sz w:val="24"/>
          <w:szCs w:val="24"/>
          <w:rtl w:val="0"/>
        </w:rPr>
        <w:t xml:space="preserve">EWC Ethical Practice Guidelines (2019)</w:t>
      </w:r>
      <w:r w:rsidDel="00000000" w:rsidR="00000000" w:rsidRPr="00000000">
        <w:rPr>
          <w:sz w:val="24"/>
          <w:szCs w:val="24"/>
          <w:rtl w:val="0"/>
        </w:rPr>
        <w:t xml:space="preserve"> to inform our planning and methodology. </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Risks to both participants and investigators needed to be acknowledged and action plans needed to be made to try and reduce these risks. However, we felt our main risks could be managed through three significant ethical considerations - feedback, consent, and confidentiality.</w:t>
      </w:r>
    </w:p>
    <w:p w:rsidR="00000000" w:rsidDel="00000000" w:rsidP="00000000" w:rsidRDefault="00000000" w:rsidRPr="00000000" w14:paraId="00000077">
      <w:pPr>
        <w:spacing w:line="360" w:lineRule="auto"/>
        <w:rPr>
          <w:sz w:val="24"/>
          <w:szCs w:val="24"/>
          <w:u w:val="single"/>
        </w:rPr>
      </w:pP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Firstly, we agreed that feedback in both verbal and written forms will be given to the participants and the school headteacher if requested, and upon request. In addition, my partner and I seeked informed consent from our participants beforehand but also remained vigilant throughout the process, seeking continuous assent through verbal and non-verbal communication. We also received physical consent in the form of letters with a signature provided by a parent or guardian. By doing this, we felt secure in our ethical practice, knowing that the children and parents were aware of our research and what it was for.</w:t>
      </w:r>
      <w:r w:rsidDel="00000000" w:rsidR="00000000" w:rsidRPr="00000000">
        <w:rPr>
          <w:sz w:val="24"/>
          <w:szCs w:val="24"/>
          <w:u w:val="single"/>
          <w:rtl w:val="0"/>
        </w:rPr>
        <w:t xml:space="preserve"> </w:t>
      </w:r>
      <w:r w:rsidDel="00000000" w:rsidR="00000000" w:rsidRPr="00000000">
        <w:rPr>
          <w:sz w:val="24"/>
          <w:szCs w:val="24"/>
          <w:rtl w:val="0"/>
        </w:rPr>
        <w:t xml:space="preserve">Finally, we ensured that no individual will be identifiable. The data we collected was kept securely on password secured equipment, to maintain strict confidentiality. Our research participants are referred to as Child A, Child B, Child C and so on to ensure anonymity.</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b w:val="1"/>
          <w:sz w:val="24"/>
          <w:szCs w:val="24"/>
          <w:u w:val="single"/>
          <w:rtl w:val="0"/>
        </w:rPr>
        <w:t xml:space="preserve">Lesson Study Analyses</w:t>
      </w: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Once our research topic was settled, my partner and I discussed the ways in which we could facilitate self-directed learning activities in our classrooms. Fundamentally, we wanted to see how engagement could be improved in a lesson where the children make individual decisions about their learning. We decided to allow the children to choose:</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numPr>
          <w:ilvl w:val="0"/>
          <w:numId w:val="1"/>
        </w:numPr>
        <w:spacing w:line="360" w:lineRule="auto"/>
        <w:ind w:left="720" w:hanging="360"/>
        <w:rPr>
          <w:sz w:val="24"/>
          <w:szCs w:val="24"/>
        </w:rPr>
      </w:pPr>
      <w:r w:rsidDel="00000000" w:rsidR="00000000" w:rsidRPr="00000000">
        <w:rPr>
          <w:sz w:val="24"/>
          <w:szCs w:val="24"/>
          <w:rtl w:val="0"/>
        </w:rPr>
        <w:t xml:space="preserve">Who they work in a group with.</w:t>
      </w:r>
    </w:p>
    <w:p w:rsidR="00000000" w:rsidDel="00000000" w:rsidP="00000000" w:rsidRDefault="00000000" w:rsidRPr="00000000" w14:paraId="0000007F">
      <w:pPr>
        <w:numPr>
          <w:ilvl w:val="0"/>
          <w:numId w:val="1"/>
        </w:numPr>
        <w:spacing w:line="360" w:lineRule="auto"/>
        <w:ind w:left="720" w:hanging="360"/>
        <w:rPr>
          <w:sz w:val="24"/>
          <w:szCs w:val="24"/>
        </w:rPr>
      </w:pPr>
      <w:r w:rsidDel="00000000" w:rsidR="00000000" w:rsidRPr="00000000">
        <w:rPr>
          <w:sz w:val="24"/>
          <w:szCs w:val="24"/>
          <w:rtl w:val="0"/>
        </w:rPr>
        <w:t xml:space="preserve">What sub-topic they want to research.</w:t>
      </w:r>
    </w:p>
    <w:p w:rsidR="00000000" w:rsidDel="00000000" w:rsidP="00000000" w:rsidRDefault="00000000" w:rsidRPr="00000000" w14:paraId="00000080">
      <w:pPr>
        <w:numPr>
          <w:ilvl w:val="0"/>
          <w:numId w:val="1"/>
        </w:numPr>
        <w:spacing w:line="360" w:lineRule="auto"/>
        <w:ind w:left="720" w:hanging="360"/>
        <w:rPr>
          <w:sz w:val="24"/>
          <w:szCs w:val="24"/>
        </w:rPr>
      </w:pPr>
      <w:r w:rsidDel="00000000" w:rsidR="00000000" w:rsidRPr="00000000">
        <w:rPr>
          <w:sz w:val="24"/>
          <w:szCs w:val="24"/>
          <w:rtl w:val="0"/>
        </w:rPr>
        <w:t xml:space="preserve">How they find out information.</w:t>
      </w:r>
    </w:p>
    <w:p w:rsidR="00000000" w:rsidDel="00000000" w:rsidP="00000000" w:rsidRDefault="00000000" w:rsidRPr="00000000" w14:paraId="00000081">
      <w:pPr>
        <w:numPr>
          <w:ilvl w:val="0"/>
          <w:numId w:val="1"/>
        </w:numPr>
        <w:spacing w:line="360" w:lineRule="auto"/>
        <w:ind w:left="720" w:hanging="360"/>
        <w:rPr>
          <w:sz w:val="24"/>
          <w:szCs w:val="24"/>
        </w:rPr>
      </w:pPr>
      <w:r w:rsidDel="00000000" w:rsidR="00000000" w:rsidRPr="00000000">
        <w:rPr>
          <w:sz w:val="24"/>
          <w:szCs w:val="24"/>
          <w:rtl w:val="0"/>
        </w:rPr>
        <w:t xml:space="preserve">How they present their information.</w:t>
      </w:r>
    </w:p>
    <w:p w:rsidR="00000000" w:rsidDel="00000000" w:rsidP="00000000" w:rsidRDefault="00000000" w:rsidRPr="00000000" w14:paraId="00000082">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sz w:val="24"/>
          <w:szCs w:val="24"/>
          <w:rtl w:val="0"/>
        </w:rPr>
        <w:t xml:space="preserve">Before commencing our research, we designed identical lessons (see appendix 4). Each lesson would provide the same resources and instructions for the children. Initially, the only difference we had planned was the overall theme of the learning content. The first lesson study took place in School A, in my Year 4 class. After introducing my research partner to the class and telling them about our research intentions, I led the class to the I.T suite. The purpose of this was so the computers could be used if the children decided to do so. Whilst I completed the introduction, my research partner observed the class (and more specifically, the focus children) to assess their levels of engagement. </w:t>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As shown in Appendix 5, the levels of engagement during the introduction were between 1 and 3 on the Leuven scale of involvement. Child A and Child C exhibited behaviour of a level ‘3’ rating, meaning they demonstrated very few signs of concentration and energy. Child B was rated a level ‘1’, as they displayed little to no energy and was distracted by others. At this point of the lesson, we were looking for signs of engagement through verbal and nonverbal signals. These may include a neutral or upright posture and eye contact </w:t>
      </w:r>
      <w:r w:rsidDel="00000000" w:rsidR="00000000" w:rsidRPr="00000000">
        <w:rPr>
          <w:sz w:val="24"/>
          <w:szCs w:val="24"/>
          <w:rtl w:val="0"/>
        </w:rPr>
        <w:t xml:space="preserve">(Neill, 2017</w:t>
      </w:r>
      <w:r w:rsidDel="00000000" w:rsidR="00000000" w:rsidRPr="00000000">
        <w:rPr>
          <w:sz w:val="24"/>
          <w:szCs w:val="24"/>
          <w:rtl w:val="0"/>
        </w:rPr>
        <w:t xml:space="preserve">) as well as a vocalisation of interest, such as asking questions or answering them. However, the children displayed signs of detachment - for example, Child A and Child C would occasionally slip into a vacant expression. </w:t>
      </w:r>
      <w:r w:rsidDel="00000000" w:rsidR="00000000" w:rsidRPr="00000000">
        <w:rPr>
          <w:sz w:val="24"/>
          <w:szCs w:val="24"/>
          <w:rtl w:val="0"/>
        </w:rPr>
        <w:t xml:space="preserve">Hyson (2008) </w:t>
      </w:r>
      <w:r w:rsidDel="00000000" w:rsidR="00000000" w:rsidRPr="00000000">
        <w:rPr>
          <w:sz w:val="24"/>
          <w:szCs w:val="24"/>
          <w:rtl w:val="0"/>
        </w:rPr>
        <w:t xml:space="preserve">highlights how attention is a central component of engagement. Child A and C therefore scored average ratings at this point of the lesson due to their intermittent attention signs of attention. Child B scored lower as they were distracted by the computers throughout, and displayed a minimal level of attention to the lesson’s input. </w:t>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In contrast, the children exhibited high levels of engagement once they began the main activity. All three of the focus children scored a level ‘5’ rating. The children immediately were on task, establishing their working groups and initiating discussion of what sub-topic they wanted to research. My research partner noted how all three focus children worked productively throughout this section of the lesson, and managed to produce work of good quality. Child A sustained focus throughout, using a variety of the resources we provided, including a computer, various fact files and a fact book. Child A and their partner collaborated very well, taking it in turns of who would read the information and who would transfer it onto their poster. Child B displayed significant signs critical and constructive engagement through exploratory talk (</w:t>
      </w:r>
      <w:r w:rsidDel="00000000" w:rsidR="00000000" w:rsidRPr="00000000">
        <w:rPr>
          <w:sz w:val="24"/>
          <w:szCs w:val="24"/>
          <w:rtl w:val="0"/>
        </w:rPr>
        <w:t xml:space="preserve">Sullivan, 2017</w:t>
      </w:r>
      <w:r w:rsidDel="00000000" w:rsidR="00000000" w:rsidRPr="00000000">
        <w:rPr>
          <w:sz w:val="24"/>
          <w:szCs w:val="24"/>
          <w:rtl w:val="0"/>
        </w:rPr>
        <w:t xml:space="preserve">) with their partner, as they shared ideas and knowledge with one another. Child C worked alone for the majority of the main activity, writing a story on the topic of Tudor children. Whilst doing this, Child C incorporated previous learning and knowledge of story writing into their work. Child C utilised the fact files and a computer to guide their learning, and worked persistently on their story for the duration of the activity. </w:t>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Furthermore, the lesson’s plenary indicates a significant change in engagement levels. Child A scored a level of ‘3’ on the Leuven scale, whilst Child B and Child C each scored a ‘2’. During the plenary, my research partner and I planned for the children to share their work with the class. In terms of engagement, we were looking for children to offer to participate or, failing that, to engage through listening and learning from others. Child A volunteered to share their work first, thus scoring a higher level on the Leuven scale than the other children. Their attention did decline, however, whilst other children were sharing their work. The participant was fairly distracted and unresponsive for the remainder of the plenary. Child B and Child C showed intermittent signs of engagement through eye contact, but occasionally slipped into state of apathy. </w:t>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Following our own observations, the next part of our research process was the semi-structured group interview with Child A, B and C. Their feedback was extremely valuable and, combined with our Leuven scale observations, provided us with constructive suggestions of how we could improve the lesson in School B. It is essential to acknowledge what the children perceived to be the strengths of the lesson (in both schools), however I will return to this during my evaluation. As a way forward, my partner and I decided it would be necessary to make the following changes to improve the next lesson in School B. </w:t>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sz w:val="24"/>
          <w:szCs w:val="24"/>
          <w:rtl w:val="0"/>
        </w:rPr>
        <w:t xml:space="preserve">The first thing to adapt was the physical setting of the lesson. Initially, we thought the I.T suite would provide a technology rich environment which would benefit the children’s learning as it contained a plentiful supply of the computers as a choice of resource. This, however, proved to hinder levels of engagement as many of the children were distracted by the computers during the introduction and plenary. The seating arrangement also made it more difficult to for children to be seen and heard by others when sharing work. Accordingly, my partner and I agreed that the lesson in School B must take place in the Year 4 classroom in order to maximise levels of engagement. Logistically, we decided it would be beneficial as it is more fitting for the children’s routine but it would also serve as a more suitable environment for sharing work and listening to others.</w:t>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Secondly, we strongly agreed that changes needed to be made in the lesson’s introduction and plenary. As these proved to be the lowest points of pupil engagement, we aimed to make them more interactive and pupil-led. This was primarily based on the high levels of engagement exhibited during the main activity, which we believe were elevated due to the activity being significantly pupil-led. In addition to our own judgements, the children expressed their satisfaction with self-led learning during the interview. We then concluded that engagement could therefore be maximised during the introduction and plenary if the children were offered more opportunity to guide their own learning or think more critically. As a way forward, my partner and I agreed that the children may be more engaged during the introduction if they created their own success criteria. </w:t>
      </w:r>
      <w:r w:rsidDel="00000000" w:rsidR="00000000" w:rsidRPr="00000000">
        <w:rPr>
          <w:sz w:val="24"/>
          <w:szCs w:val="24"/>
          <w:rtl w:val="0"/>
        </w:rPr>
        <w:t xml:space="preserve">Vickery (2013)</w:t>
      </w:r>
      <w:r w:rsidDel="00000000" w:rsidR="00000000" w:rsidRPr="00000000">
        <w:rPr>
          <w:sz w:val="24"/>
          <w:szCs w:val="24"/>
          <w:rtl w:val="0"/>
        </w:rPr>
        <w:t xml:space="preserve"> argues that allowing children to do this empowers active learning, which is precisely what we aimed to achieve. We also agreed that engagement could be improved during the plenary through showcasing their work. This element also related to the issue of the physical environment, but we concluded that having the lesson take place inside a classroom would enhance the visual aspect of sharing work. Thus, engagement levels would hopefully be improved in a closer proximity and visually accessible space.</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Finally, in response to Child C’s decisions and feedback given, we decided it would be beneficial to make links to previous learning as an option for presenting their work. As Child C had opted to write a story, we realised this gave the child a sense of confidence as well as building on and improving existing knowledge. </w:t>
      </w:r>
      <w:r w:rsidDel="00000000" w:rsidR="00000000" w:rsidRPr="00000000">
        <w:rPr>
          <w:sz w:val="24"/>
          <w:szCs w:val="24"/>
          <w:rtl w:val="0"/>
        </w:rPr>
        <w:t xml:space="preserve">Donaldson (2015) </w:t>
      </w:r>
      <w:r w:rsidDel="00000000" w:rsidR="00000000" w:rsidRPr="00000000">
        <w:rPr>
          <w:sz w:val="24"/>
          <w:szCs w:val="24"/>
          <w:rtl w:val="0"/>
        </w:rPr>
        <w:t xml:space="preserve">emphasises the importance of ‘building on previous knowledge and experience to engage interest’ (p.67), therefore informing our decision to incorporate this in our next lesson.</w:t>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sz w:val="24"/>
          <w:szCs w:val="24"/>
          <w:rtl w:val="0"/>
        </w:rPr>
        <w:t xml:space="preserve">The second lesson then took place in my research partner’s Year 4 class in School B. As with the first lesson, I was introduced to the children and my research partner conducted the lesson whilst I observed. During the introduction, my research partner encouraged active participation by asking the children to come up with their own suggestions of what topics they could research, how they could research and how they could present their work. In this class, Child A scored a rating of ‘3’ on the Leuven scale, Child B scored a ‘2’ and Child C scored a ‘4’. This demonstrated a wider range of engagement levels than the lesson in School A, but an overall higher average. Child A was quiet throughout the introduction, showing occasional expressions of interest but also appeared to daydream at times. Child B scored a lower level of engagement as they were easily distracted, whispering to their peers on frequent occasions. Alternatively, Child C offered answers and suggestions and appeared engaged throughout the introduction. </w:t>
      </w:r>
    </w:p>
    <w:p w:rsidR="00000000" w:rsidDel="00000000" w:rsidP="00000000" w:rsidRDefault="00000000" w:rsidRPr="00000000" w14:paraId="00000096">
      <w:pPr>
        <w:spacing w:line="360" w:lineRule="auto"/>
        <w:rPr>
          <w:sz w:val="24"/>
          <w:szCs w:val="24"/>
        </w:rPr>
      </w:pP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sz w:val="24"/>
          <w:szCs w:val="24"/>
          <w:rtl w:val="0"/>
        </w:rPr>
        <w:t xml:space="preserve">Similarly, the focus children demonstrated higher levels of engagement during the main task. I recorded a rating of ‘5’ for Child A, as they were immediately engaged with the activity. This child also chose to work alone, and from the offset was highly motivated and knew exactly what they wanted to do. They worked consistently throughout the lesson and produced a hand-drawn poster containing lots of facts. Child B also exhibited high levels of engagement throughout, working well in a group of four. The children in this group shared existing knowledge and contributed with their individual strengths and skills; for example, Child B was particularly computer literate so took a leading role in the internet research whilst a different member of the group had creative strengths so took charge of their poster design.</w:t>
      </w:r>
      <w:r w:rsidDel="00000000" w:rsidR="00000000" w:rsidRPr="00000000">
        <w:rPr>
          <w:sz w:val="24"/>
          <w:szCs w:val="24"/>
          <w:rtl w:val="0"/>
        </w:rPr>
        <w:t xml:space="preserve"> Ashman and Gillies (2003) </w:t>
      </w:r>
      <w:r w:rsidDel="00000000" w:rsidR="00000000" w:rsidRPr="00000000">
        <w:rPr>
          <w:sz w:val="24"/>
          <w:szCs w:val="24"/>
          <w:rtl w:val="0"/>
        </w:rPr>
        <w:t xml:space="preserve">state that assuming a role or responsibility is a convention of collaborative learning, and key quality of the self-regulated learner. Child B and the other children in the group portrayed a successful example of collaborative learning, thus scoring a rating of ‘4’ on the Leuven scale. Alternately, Child C scored a lower rating of ‘3’ the Leuven scale. Initially, this child was very distracted and used the iPad to search the internet for pictures that were not relevant to the lesson. Their engagement levels did improve slightly once the child was on task, and they managed to make  some progress with their work but at a routine level. </w:t>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sz w:val="24"/>
          <w:szCs w:val="24"/>
          <w:rtl w:val="0"/>
        </w:rPr>
        <w:t xml:space="preserve">With regard to the plenary, Child A demonstrated high levels of engagement, scoring another ‘5’ on the Leuven scale. They were happy to display and explain their poster to the class, but also indicated involvement through their careful listening to others. Child B scored a ‘3’, as their focus was moderate but low energy. Child C scored a ‘4’, as they seemed alert and interested in everybody’s work that was shared, and was only distracted by a friend on two occasions. As previously mentioned, the improvements we made to the plenary involved having the children physically display their work to the class. Accordingly, the levels of engagement did improve from the first lesson, and we noticed that having a physical space for work to be displayed naturally drew attention and improved focus. </w:t>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sz w:val="24"/>
          <w:szCs w:val="24"/>
          <w:rtl w:val="0"/>
        </w:rPr>
        <w:t xml:space="preserve">The focus group interview that followed was, again, an extremely useful aspect of our research which will help us improve our future teaching practice. Some of the feedback was similar to the interview in School A; for example, the children believed that the lesson could be improved by having less time allocated to the introduction and plenary, and more time to complete the activity. Additionally, they thought that there should be more restrictions on computer usage. Child B and Child C highlighted that some children were off task by being on websites that were not relevant to the lesson. They suggested that the teacher could provide a list of websites that the children could use, rather than allowing complete freedom of internet use. My research partner and I agree that this may also have improved engagement through a  better use of scaffolding, as the children would have a more focused access to information. </w:t>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u w:val="single"/>
        </w:rPr>
      </w:pPr>
      <w:r w:rsidDel="00000000" w:rsidR="00000000" w:rsidRPr="00000000">
        <w:rPr>
          <w:sz w:val="24"/>
          <w:szCs w:val="24"/>
          <w:rtl w:val="0"/>
        </w:rPr>
        <w:t xml:space="preserve">Furthermore, the children responded with some excellent suggestions on how we could improve the introduction and plenary. Child A stated that we could have shown the class examples of work from the lesson in School A. My research partner and I agree that this was a very sensible and positive suggestion. Child B also shared the idea of a free flow in the plenary, where the children can look at each other’s work that they have completed. </w:t>
      </w: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Before evaluating our findings from the lesson study analyses, it is first important to discuss our observations in relation to Mitra’s </w:t>
      </w:r>
      <w:r w:rsidDel="00000000" w:rsidR="00000000" w:rsidRPr="00000000">
        <w:rPr>
          <w:sz w:val="24"/>
          <w:szCs w:val="24"/>
          <w:rtl w:val="0"/>
        </w:rPr>
        <w:t xml:space="preserve">(2012) </w:t>
      </w:r>
      <w:r w:rsidDel="00000000" w:rsidR="00000000" w:rsidRPr="00000000">
        <w:rPr>
          <w:sz w:val="24"/>
          <w:szCs w:val="24"/>
          <w:rtl w:val="0"/>
        </w:rPr>
        <w:t xml:space="preserve">publication. Although only carried out over two lessons, several of the developments of self-directed learning that Mitra highlighted were evident in our research. Firstly, group performance was developed throughout the lesson as the children questioned each other through the discussion of their sub-topic. As </w:t>
      </w:r>
      <w:r w:rsidDel="00000000" w:rsidR="00000000" w:rsidRPr="00000000">
        <w:rPr>
          <w:sz w:val="24"/>
          <w:szCs w:val="24"/>
          <w:rtl w:val="0"/>
        </w:rPr>
        <w:t xml:space="preserve">Grugeon et al (2001) </w:t>
      </w:r>
      <w:r w:rsidDel="00000000" w:rsidR="00000000" w:rsidRPr="00000000">
        <w:rPr>
          <w:sz w:val="24"/>
          <w:szCs w:val="24"/>
          <w:rtl w:val="0"/>
        </w:rPr>
        <w:t xml:space="preserve">articulated, interthinking was in fact exchanged in the lesson through exploratory talk in several groups. The self-directed nature of the lesson encouraged this, as the children stated that the information and knowledge that was shared between their groups was a beneficial part of the lesson (Child B, School A).  In this respect, </w:t>
      </w:r>
      <w:r w:rsidDel="00000000" w:rsidR="00000000" w:rsidRPr="00000000">
        <w:rPr>
          <w:sz w:val="24"/>
          <w:szCs w:val="24"/>
          <w:rtl w:val="0"/>
        </w:rPr>
        <w:t xml:space="preserve">Brown’s (1978)</w:t>
      </w:r>
      <w:r w:rsidDel="00000000" w:rsidR="00000000" w:rsidRPr="00000000">
        <w:rPr>
          <w:sz w:val="24"/>
          <w:szCs w:val="24"/>
          <w:rtl w:val="0"/>
        </w:rPr>
        <w:t xml:space="preserve"> scepticism that younger children do not possess the productive behaviours necessary for self directed learning was proven wrong in our research.  My research partner and I observed the expression of many growing competencies such as skills in thinking, communication and technology. In addition, the ability to allocate roles, adopt responsibility for learning, and presentation skills were all present within the self-directed research activities.</w:t>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Systematically, the children used their resources effectively to support their own learning. Mitra </w:t>
      </w:r>
      <w:r w:rsidDel="00000000" w:rsidR="00000000" w:rsidRPr="00000000">
        <w:rPr>
          <w:sz w:val="24"/>
          <w:szCs w:val="24"/>
          <w:rtl w:val="0"/>
        </w:rPr>
        <w:t xml:space="preserve">(2012)</w:t>
      </w:r>
      <w:r w:rsidDel="00000000" w:rsidR="00000000" w:rsidRPr="00000000">
        <w:rPr>
          <w:sz w:val="24"/>
          <w:szCs w:val="24"/>
          <w:rtl w:val="0"/>
        </w:rPr>
        <w:t xml:space="preserve"> suggested that children will start to identify key words in their learning and will share notes with each other. The application of I.T encouraged this through the use of search engines, as well as the books provided as the children searched specific information in the contents or index. Key words were also displayed in the various work that was produced, highlighting the children’s success in refining their knowledge and understanding. Additionally, the benefits of nurturing pupil interests highlighted by </w:t>
      </w:r>
      <w:r w:rsidDel="00000000" w:rsidR="00000000" w:rsidRPr="00000000">
        <w:rPr>
          <w:sz w:val="24"/>
          <w:szCs w:val="24"/>
          <w:rtl w:val="0"/>
        </w:rPr>
        <w:t xml:space="preserve">Boyack (2016) were displayed in both research lessons. This element supported Mitra’s (2012) suggestion that allowing learners to explore personal interests meant they became increasingly curious to discover more. I believe this occured in both research lessons, as the children wanted more time to complete their work and discover more information. A sense of motivation was conveyed in both studies, and all six children expressed the influence that their interests had when choosing their activity in their group interview. </w:t>
      </w: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Mitra’s (2012)</w:t>
      </w:r>
      <w:r w:rsidDel="00000000" w:rsidR="00000000" w:rsidRPr="00000000">
        <w:rPr>
          <w:sz w:val="24"/>
          <w:szCs w:val="24"/>
          <w:rtl w:val="0"/>
        </w:rPr>
        <w:t xml:space="preserve"> penultimate point about sharing work and knowledge at the end of the session was a significant aspect of our research. We discovered a way in which this could be improved (through physical space) and observed increased levels of engagement accordingly. In addition, Mitra’s final point about children freely offering their ideas was also an aspect of the self-directed learning environment which had a positive effect on my research partner and I as well as the children. From their valued feedback, we managed to make improvements between lesson studies which increased engagement levels. We also came away from the second lesson study with a more refined concept of how we may improve a self-directed learning environment in our future practice as teachers.</w:t>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Ultimately, what we discovered from our research in relation to </w:t>
      </w:r>
      <w:r w:rsidDel="00000000" w:rsidR="00000000" w:rsidRPr="00000000">
        <w:rPr>
          <w:sz w:val="24"/>
          <w:szCs w:val="24"/>
          <w:rtl w:val="0"/>
        </w:rPr>
        <w:t xml:space="preserve">Mitra’s (2012)</w:t>
      </w:r>
      <w:r w:rsidDel="00000000" w:rsidR="00000000" w:rsidRPr="00000000">
        <w:rPr>
          <w:sz w:val="24"/>
          <w:szCs w:val="24"/>
          <w:rtl w:val="0"/>
        </w:rPr>
        <w:t xml:space="preserve"> study amongst other critical literature is that a self-directed learning environment can be extremely beneficial in  a number of ways. Autonomous learning nurtures the development of some of the important competencies highlighted in </w:t>
      </w:r>
      <w:r w:rsidDel="00000000" w:rsidR="00000000" w:rsidRPr="00000000">
        <w:rPr>
          <w:sz w:val="24"/>
          <w:szCs w:val="24"/>
          <w:rtl w:val="0"/>
        </w:rPr>
        <w:t xml:space="preserve">Donaldson’s (2015)</w:t>
      </w:r>
      <w:r w:rsidDel="00000000" w:rsidR="00000000" w:rsidRPr="00000000">
        <w:rPr>
          <w:sz w:val="24"/>
          <w:szCs w:val="24"/>
          <w:rtl w:val="0"/>
        </w:rPr>
        <w:t xml:space="preserve"> </w:t>
      </w:r>
      <w:r w:rsidDel="00000000" w:rsidR="00000000" w:rsidRPr="00000000">
        <w:rPr>
          <w:i w:val="1"/>
          <w:sz w:val="24"/>
          <w:szCs w:val="24"/>
          <w:rtl w:val="0"/>
        </w:rPr>
        <w:t xml:space="preserve">Successful Futures</w:t>
      </w:r>
      <w:r w:rsidDel="00000000" w:rsidR="00000000" w:rsidRPr="00000000">
        <w:rPr>
          <w:sz w:val="24"/>
          <w:szCs w:val="24"/>
          <w:rtl w:val="0"/>
        </w:rPr>
        <w:t xml:space="preserve">, but also engages and motivates the learner. The learner can therefore identify the way in which they learn best and develop a sense of responsibility in their own learning. </w:t>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A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sz w:val="24"/>
          <w:szCs w:val="24"/>
          <w:rtl w:val="0"/>
        </w:rPr>
        <w:t xml:space="preserve">In addition to evaluating our research findings, it is vital to first evaluate the success of our methodology. On the whole, I believe the lesson study approach was the most beneficial and informative method to the nature of our research. This approach lent itself to more holistic judgements and a more accurate analysis in each lesson, as our opinions and findings were shared cooperatively. My research partner and I believe that our collaborative planning and reflection helped us gain a more conclusive understanding of how we can maximise the benefits of self-directed activities in the classroom. Our observations of each other’s lessons also allowed us to perceive the engagement in our classes at its most natural level whilst remaining ethical. At first hand, the research lessons were significantly informative, but they have also acted as a ‘window on the larger vision of education’ that my research partner and I share (</w:t>
      </w:r>
      <w:r w:rsidDel="00000000" w:rsidR="00000000" w:rsidRPr="00000000">
        <w:rPr>
          <w:sz w:val="24"/>
          <w:szCs w:val="24"/>
          <w:rtl w:val="0"/>
        </w:rPr>
        <w:t xml:space="preserve">Lewis et al, 2006, p.3).</w:t>
      </w:r>
      <w:r w:rsidDel="00000000" w:rsidR="00000000" w:rsidRPr="00000000">
        <w:rPr>
          <w:sz w:val="24"/>
          <w:szCs w:val="24"/>
          <w:rtl w:val="0"/>
        </w:rPr>
        <w:t xml:space="preserve"> </w:t>
      </w:r>
    </w:p>
    <w:p w:rsidR="00000000" w:rsidDel="00000000" w:rsidP="00000000" w:rsidRDefault="00000000" w:rsidRPr="00000000" w14:paraId="000000AB">
      <w:pPr>
        <w:spacing w:line="360" w:lineRule="auto"/>
        <w:rPr>
          <w:sz w:val="24"/>
          <w:szCs w:val="24"/>
        </w:rPr>
      </w:pPr>
      <w:r w:rsidDel="00000000" w:rsidR="00000000" w:rsidRPr="00000000">
        <w:rPr>
          <w:rtl w:val="0"/>
        </w:rPr>
      </w:r>
    </w:p>
    <w:p w:rsidR="00000000" w:rsidDel="00000000" w:rsidP="00000000" w:rsidRDefault="00000000" w:rsidRPr="00000000" w14:paraId="000000AC">
      <w:pPr>
        <w:spacing w:line="360" w:lineRule="auto"/>
        <w:rPr>
          <w:sz w:val="24"/>
          <w:szCs w:val="24"/>
        </w:rPr>
      </w:pPr>
      <w:r w:rsidDel="00000000" w:rsidR="00000000" w:rsidRPr="00000000">
        <w:rPr>
          <w:sz w:val="24"/>
          <w:szCs w:val="24"/>
          <w:rtl w:val="0"/>
        </w:rPr>
        <w:t xml:space="preserve">Our decision to use </w:t>
      </w:r>
      <w:r w:rsidDel="00000000" w:rsidR="00000000" w:rsidRPr="00000000">
        <w:rPr>
          <w:sz w:val="24"/>
          <w:szCs w:val="24"/>
          <w:rtl w:val="0"/>
        </w:rPr>
        <w:t xml:space="preserve">Laever’s (2005)</w:t>
      </w:r>
      <w:r w:rsidDel="00000000" w:rsidR="00000000" w:rsidRPr="00000000">
        <w:rPr>
          <w:sz w:val="24"/>
          <w:szCs w:val="24"/>
          <w:rtl w:val="0"/>
        </w:rPr>
        <w:t xml:space="preserve"> Leuven scale of involvement also proved to be sensible. It allowed us to spend more time observing all three of the focus children, and less time taking notes which made it less likely for us to miss signals of engagement or distraction. In practice, however, my research partner and I noticed that there were limitations in using this scale to assess engagement. Firstly, some children’s levels appeared to fluctuate within each section of the lesson. This meant we had to make an overall judgement for the engagement levels in some parts of the lesson for each child. Additionally, we came to realise that assessing engagement in general is subjective as children may have differing or unique ways of expressing engagement. Whilst we acknowledge this limitation, we believe that our findings may be regarded as a necessary starting point in assessing engagement levels but are not indisputable. As a way forward, we discussed how we could have mitigated this subjectivity by assessing the children from our own class as we know their idiosyncrasies, although the issue of bias may have surfaced from this. To conclude my evaluation of the observation method, I feel the involvement scale was generally an appropriate approach in assessing levels of engagement as our findings predominantly paralleled the feedback from the children and their productivity. Despite this, the limitations must be taken into account, thus it would be false to claim it was wholly accurate as a method of observation.</w:t>
      </w:r>
    </w:p>
    <w:p w:rsidR="00000000" w:rsidDel="00000000" w:rsidP="00000000" w:rsidRDefault="00000000" w:rsidRPr="00000000" w14:paraId="000000AD">
      <w:pPr>
        <w:spacing w:line="360" w:lineRule="auto"/>
        <w:rPr>
          <w:sz w:val="24"/>
          <w:szCs w:val="24"/>
        </w:rPr>
      </w:pPr>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Moreover, I believe </w:t>
      </w:r>
      <w:r w:rsidDel="00000000" w:rsidR="00000000" w:rsidRPr="00000000">
        <w:rPr>
          <w:sz w:val="24"/>
          <w:szCs w:val="24"/>
          <w:rtl w:val="0"/>
        </w:rPr>
        <w:t xml:space="preserve">Brookfield’s (2017)</w:t>
      </w:r>
      <w:r w:rsidDel="00000000" w:rsidR="00000000" w:rsidRPr="00000000">
        <w:rPr>
          <w:sz w:val="24"/>
          <w:szCs w:val="24"/>
          <w:rtl w:val="0"/>
        </w:rPr>
        <w:t xml:space="preserve"> lenses notably benefited our reflections in each lesson. Throughout my study, my findings have been informed by all four lenses - the experience had by myself, my research partner, the children and the literature we acknowledged beforehand. I feel that this all-inclusive analysis of thoughts has informed my research to a more comprehensive degree. The group interview itself was what I believe to be the most helpful reflective device, as the experience of the children is what is most relevant in education. Whilst I acknowledge the potential of limiting risks, such as children feeling pressured to provide a certain answer, I believe my partner and I mitigated them as much as we could, and I felt the focus children were honest and constructive in their feedback.</w:t>
      </w:r>
    </w:p>
    <w:p w:rsidR="00000000" w:rsidDel="00000000" w:rsidP="00000000" w:rsidRDefault="00000000" w:rsidRPr="00000000" w14:paraId="000000AF">
      <w:pPr>
        <w:spacing w:line="360" w:lineRule="auto"/>
        <w:rPr>
          <w:sz w:val="24"/>
          <w:szCs w:val="24"/>
        </w:rPr>
      </w:pPr>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sz w:val="24"/>
          <w:szCs w:val="24"/>
          <w:rtl w:val="0"/>
        </w:rPr>
        <w:t xml:space="preserve">Fundamentally, our findings have allowed us to make the following hypotheses: </w:t>
      </w:r>
    </w:p>
    <w:p w:rsidR="00000000" w:rsidDel="00000000" w:rsidP="00000000" w:rsidRDefault="00000000" w:rsidRPr="00000000" w14:paraId="000000B1">
      <w:pPr>
        <w:spacing w:line="360" w:lineRule="auto"/>
        <w:rPr>
          <w:sz w:val="24"/>
          <w:szCs w:val="24"/>
        </w:rPr>
      </w:pPr>
      <w:r w:rsidDel="00000000" w:rsidR="00000000" w:rsidRPr="00000000">
        <w:rPr>
          <w:rtl w:val="0"/>
        </w:rPr>
      </w:r>
    </w:p>
    <w:p w:rsidR="00000000" w:rsidDel="00000000" w:rsidP="00000000" w:rsidRDefault="00000000" w:rsidRPr="00000000" w14:paraId="000000B2">
      <w:pPr>
        <w:numPr>
          <w:ilvl w:val="0"/>
          <w:numId w:val="2"/>
        </w:numPr>
        <w:spacing w:line="360" w:lineRule="auto"/>
        <w:ind w:left="720" w:hanging="360"/>
        <w:rPr>
          <w:sz w:val="24"/>
          <w:szCs w:val="24"/>
        </w:rPr>
      </w:pPr>
      <w:r w:rsidDel="00000000" w:rsidR="00000000" w:rsidRPr="00000000">
        <w:rPr>
          <w:sz w:val="24"/>
          <w:szCs w:val="24"/>
          <w:rtl w:val="0"/>
        </w:rPr>
        <w:t xml:space="preserve">Engagement levels were at their highest during the self-directed activities.</w:t>
      </w:r>
    </w:p>
    <w:p w:rsidR="00000000" w:rsidDel="00000000" w:rsidP="00000000" w:rsidRDefault="00000000" w:rsidRPr="00000000" w14:paraId="000000B3">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B4">
      <w:pPr>
        <w:numPr>
          <w:ilvl w:val="0"/>
          <w:numId w:val="2"/>
        </w:numPr>
        <w:spacing w:line="360" w:lineRule="auto"/>
        <w:ind w:left="720" w:hanging="360"/>
        <w:rPr>
          <w:sz w:val="24"/>
          <w:szCs w:val="24"/>
        </w:rPr>
      </w:pPr>
      <w:r w:rsidDel="00000000" w:rsidR="00000000" w:rsidRPr="00000000">
        <w:rPr>
          <w:sz w:val="24"/>
          <w:szCs w:val="24"/>
          <w:rtl w:val="0"/>
        </w:rPr>
        <w:t xml:space="preserve">Engagement levels were at their lowest during the introduction and plenary.</w:t>
      </w:r>
    </w:p>
    <w:p w:rsidR="00000000" w:rsidDel="00000000" w:rsidP="00000000" w:rsidRDefault="00000000" w:rsidRPr="00000000" w14:paraId="000000B5">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B6">
      <w:pPr>
        <w:numPr>
          <w:ilvl w:val="0"/>
          <w:numId w:val="2"/>
        </w:numPr>
        <w:spacing w:line="360" w:lineRule="auto"/>
        <w:ind w:left="720" w:hanging="360"/>
        <w:rPr>
          <w:sz w:val="24"/>
          <w:szCs w:val="24"/>
        </w:rPr>
      </w:pPr>
      <w:r w:rsidDel="00000000" w:rsidR="00000000" w:rsidRPr="00000000">
        <w:rPr>
          <w:sz w:val="24"/>
          <w:szCs w:val="24"/>
          <w:rtl w:val="0"/>
        </w:rPr>
        <w:t xml:space="preserve">Engagement levels were somewhat improved by including more opportunity for pupil participation in the introduction and plenary, although they still remained generally low.</w:t>
      </w:r>
    </w:p>
    <w:p w:rsidR="00000000" w:rsidDel="00000000" w:rsidP="00000000" w:rsidRDefault="00000000" w:rsidRPr="00000000" w14:paraId="000000B7">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B8">
      <w:pPr>
        <w:numPr>
          <w:ilvl w:val="0"/>
          <w:numId w:val="2"/>
        </w:numPr>
        <w:spacing w:line="360" w:lineRule="auto"/>
        <w:ind w:left="720" w:hanging="360"/>
        <w:rPr>
          <w:sz w:val="24"/>
          <w:szCs w:val="24"/>
        </w:rPr>
      </w:pPr>
      <w:r w:rsidDel="00000000" w:rsidR="00000000" w:rsidRPr="00000000">
        <w:rPr>
          <w:sz w:val="24"/>
          <w:szCs w:val="24"/>
          <w:rtl w:val="0"/>
        </w:rPr>
        <w:t xml:space="preserve">The main factors that determined who the children wanted to work with included friendship, sharing knowledge to learn from each other, and wanting to work alone to concentrate. The factors that influenced how the children selected the way in which they completed an activity included personal interests, how quick and easy the task was, and the physical space of the classroom.</w:t>
      </w:r>
    </w:p>
    <w:p w:rsidR="00000000" w:rsidDel="00000000" w:rsidP="00000000" w:rsidRDefault="00000000" w:rsidRPr="00000000" w14:paraId="000000B9">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BA">
      <w:pPr>
        <w:numPr>
          <w:ilvl w:val="0"/>
          <w:numId w:val="2"/>
        </w:numPr>
        <w:spacing w:line="360" w:lineRule="auto"/>
        <w:ind w:left="720" w:hanging="360"/>
        <w:rPr>
          <w:sz w:val="24"/>
          <w:szCs w:val="24"/>
        </w:rPr>
      </w:pPr>
      <w:r w:rsidDel="00000000" w:rsidR="00000000" w:rsidRPr="00000000">
        <w:rPr>
          <w:sz w:val="24"/>
          <w:szCs w:val="24"/>
          <w:rtl w:val="0"/>
        </w:rPr>
        <w:t xml:space="preserve">The children enjoyed choosing who to work with and what activities to complete but generally believed that this sort of self-directed learning would not work for all types of lessons. This is because they think that working with friends can sometimes be distracting, and more teacher guidance is needed for harder subjects. </w:t>
      </w:r>
    </w:p>
    <w:p w:rsidR="00000000" w:rsidDel="00000000" w:rsidP="00000000" w:rsidRDefault="00000000" w:rsidRPr="00000000" w14:paraId="000000B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BC">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sz w:val="24"/>
          <w:szCs w:val="24"/>
          <w:rtl w:val="0"/>
        </w:rPr>
        <w:t xml:space="preserve">The overall feedback from the children informed us that the self-directed activities were an enjoyable way of learning. As articulated by the children, one of the advantages of self-directed learning for engagement was the group work. The general consensus was that the children liked choosing their groups as they could pick peers who they work well with and who they can share their knowledge and skills with. Additionally, they expressed other advantages to self-directed learning such as feeling motivated through choosing an activity that they liked to do, such as story writing or poster making. The children agreed, however, that self-directed learning (in terms of having the choice of groups and activities) would not work for every lesson. Child A in School A even expressed a preference for ‘something that you </w:t>
      </w:r>
      <w:r w:rsidDel="00000000" w:rsidR="00000000" w:rsidRPr="00000000">
        <w:rPr>
          <w:i w:val="1"/>
          <w:sz w:val="24"/>
          <w:szCs w:val="24"/>
          <w:rtl w:val="0"/>
        </w:rPr>
        <w:t xml:space="preserve">have </w:t>
      </w:r>
      <w:r w:rsidDel="00000000" w:rsidR="00000000" w:rsidRPr="00000000">
        <w:rPr>
          <w:sz w:val="24"/>
          <w:szCs w:val="24"/>
          <w:rtl w:val="0"/>
        </w:rPr>
        <w:t xml:space="preserve">to do’ in a lesson, favouring precise instruction and a given activity structure. Although we recognise that self-directed learning activities are not necessarily suitable for every lesson or will not be to every pupil’s taste, our research question was this: </w:t>
      </w:r>
      <w:r w:rsidDel="00000000" w:rsidR="00000000" w:rsidRPr="00000000">
        <w:rPr>
          <w:sz w:val="24"/>
          <w:szCs w:val="24"/>
          <w:rtl w:val="0"/>
        </w:rPr>
        <w:t xml:space="preserve">How can we improve engagement through self-directed activities?  The process of improving the lesson in School B after School A’s lesson was therefore a crucial part of our research. As explored earlier, our main improvements included making the introduction and plenary of the lesson more proactive for the pupils, as we observed that these parts of the lesson was where engagement levels were the lowest. Our attempts to involve the children more in their learning included asking the children to contribute towards a success criteria and to physically display their work in the lesson’s plenary. This encouraged active participation to a degree. Although our improvements did somewhat increase levels of engagement in School B, they still remained lower than the self-directed main activity of the lesson. My research partner and I have therefore concluded that high engagement levels may be sustained across the entire lesson if we incorporate self-directed activities or learning in the introduction and plenary as well as the main activity. </w:t>
      </w:r>
    </w:p>
    <w:p w:rsidR="00000000" w:rsidDel="00000000" w:rsidP="00000000" w:rsidRDefault="00000000" w:rsidRPr="00000000" w14:paraId="000000BE">
      <w:pPr>
        <w:spacing w:line="360" w:lineRule="auto"/>
        <w:rPr>
          <w:sz w:val="24"/>
          <w:szCs w:val="24"/>
        </w:rPr>
      </w:pPr>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sz w:val="24"/>
          <w:szCs w:val="24"/>
          <w:rtl w:val="0"/>
        </w:rPr>
        <w:t xml:space="preserve">If I completed this lesson again, I would thus aim to incorporate more self-directed learning throughout. Therefore, the findings of my own research study may be taken forward to inform a new research question: How can I make a lesson’s introduction and plenary more self-directed for pupils? I intend to continue exploring this thesis in my ongoing practice and career as a teacher. In my next professional teaching experience, I would like to lead projects inspired by the Reggio Emilia approach </w:t>
      </w:r>
      <w:r w:rsidDel="00000000" w:rsidR="00000000" w:rsidRPr="00000000">
        <w:rPr>
          <w:sz w:val="24"/>
          <w:szCs w:val="24"/>
          <w:rtl w:val="0"/>
        </w:rPr>
        <w:t xml:space="preserve">(Edwards et al., 1998)</w:t>
      </w:r>
      <w:r w:rsidDel="00000000" w:rsidR="00000000" w:rsidRPr="00000000">
        <w:rPr>
          <w:sz w:val="24"/>
          <w:szCs w:val="24"/>
          <w:rtl w:val="0"/>
        </w:rPr>
        <w:t xml:space="preserve"> as well as Mitra’s </w:t>
      </w:r>
      <w:r w:rsidDel="00000000" w:rsidR="00000000" w:rsidRPr="00000000">
        <w:rPr>
          <w:sz w:val="24"/>
          <w:szCs w:val="24"/>
          <w:rtl w:val="0"/>
        </w:rPr>
        <w:t xml:space="preserve">(2012)</w:t>
      </w:r>
      <w:r w:rsidDel="00000000" w:rsidR="00000000" w:rsidRPr="00000000">
        <w:rPr>
          <w:sz w:val="24"/>
          <w:szCs w:val="24"/>
          <w:rtl w:val="0"/>
        </w:rPr>
        <w:t xml:space="preserve"> ‘hole in the wall’ study. Additionally, </w:t>
      </w:r>
      <w:r w:rsidDel="00000000" w:rsidR="00000000" w:rsidRPr="00000000">
        <w:rPr>
          <w:sz w:val="24"/>
          <w:szCs w:val="24"/>
          <w:rtl w:val="0"/>
        </w:rPr>
        <w:t xml:space="preserve">Donaldson (2015)</w:t>
      </w:r>
      <w:r w:rsidDel="00000000" w:rsidR="00000000" w:rsidRPr="00000000">
        <w:rPr>
          <w:sz w:val="24"/>
          <w:szCs w:val="24"/>
          <w:rtl w:val="0"/>
        </w:rPr>
        <w:t xml:space="preserve"> states that children can be in better control of their learning through metacognition. I intend to explore this more, primarily by enhancing metacognitive assessment for learning opportunities in future practice.</w:t>
      </w:r>
    </w:p>
    <w:p w:rsidR="00000000" w:rsidDel="00000000" w:rsidP="00000000" w:rsidRDefault="00000000" w:rsidRPr="00000000" w14:paraId="000000C0">
      <w:pPr>
        <w:spacing w:line="360" w:lineRule="auto"/>
        <w:rPr>
          <w:sz w:val="24"/>
          <w:szCs w:val="24"/>
        </w:rPr>
      </w:pPr>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After completing this research, my belief that children benefit from constructing their own learning is stronger than ever. It has provided me with first hand evidence that children who are empowered to make decisions in their learning are developing vital personal, social and organisational skills in collaborative learning (</w:t>
      </w:r>
      <w:r w:rsidDel="00000000" w:rsidR="00000000" w:rsidRPr="00000000">
        <w:rPr>
          <w:sz w:val="24"/>
          <w:szCs w:val="24"/>
          <w:rtl w:val="0"/>
        </w:rPr>
        <w:t xml:space="preserve">Welsh Government, 2011</w:t>
      </w:r>
      <w:r w:rsidDel="00000000" w:rsidR="00000000" w:rsidRPr="00000000">
        <w:rPr>
          <w:sz w:val="24"/>
          <w:szCs w:val="24"/>
          <w:rtl w:val="0"/>
        </w:rPr>
        <w:t xml:space="preserve">). Therefore, I hope to further develop my knowledge and understanding in this field in order to successfully nurture my future pupils into self confident, autonomous learners.</w:t>
      </w:r>
    </w:p>
    <w:p w:rsidR="00000000" w:rsidDel="00000000" w:rsidP="00000000" w:rsidRDefault="00000000" w:rsidRPr="00000000" w14:paraId="000000C2">
      <w:pPr>
        <w:spacing w:line="360" w:lineRule="auto"/>
        <w:rPr>
          <w:sz w:val="24"/>
          <w:szCs w:val="24"/>
        </w:rPr>
      </w:pPr>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ind w:left="0" w:firstLine="0"/>
        <w:rPr/>
      </w:pPr>
      <w:r w:rsidDel="00000000" w:rsidR="00000000" w:rsidRPr="00000000">
        <w:rPr>
          <w:rtl w:val="0"/>
        </w:rPr>
      </w:r>
    </w:p>
    <w:p w:rsidR="00000000" w:rsidDel="00000000" w:rsidP="00000000" w:rsidRDefault="00000000" w:rsidRPr="00000000" w14:paraId="000000C5">
      <w:pPr>
        <w:ind w:left="0" w:firstLine="0"/>
        <w:rPr/>
      </w:pPr>
      <w:r w:rsidDel="00000000" w:rsidR="00000000" w:rsidRPr="00000000">
        <w:rPr>
          <w:rtl w:val="0"/>
        </w:rPr>
      </w:r>
    </w:p>
    <w:p w:rsidR="00000000" w:rsidDel="00000000" w:rsidP="00000000" w:rsidRDefault="00000000" w:rsidRPr="00000000" w14:paraId="000000C6">
      <w:pPr>
        <w:ind w:left="0" w:firstLine="0"/>
        <w:rPr/>
      </w:pPr>
      <w:r w:rsidDel="00000000" w:rsidR="00000000" w:rsidRPr="00000000">
        <w:rPr>
          <w:rtl w:val="0"/>
        </w:rPr>
      </w:r>
    </w:p>
    <w:p w:rsidR="00000000" w:rsidDel="00000000" w:rsidP="00000000" w:rsidRDefault="00000000" w:rsidRPr="00000000" w14:paraId="000000C7">
      <w:pPr>
        <w:ind w:left="0" w:firstLine="0"/>
        <w:rPr/>
      </w:pPr>
      <w:r w:rsidDel="00000000" w:rsidR="00000000" w:rsidRPr="00000000">
        <w:rPr>
          <w:rtl w:val="0"/>
        </w:rPr>
      </w:r>
    </w:p>
    <w:p w:rsidR="00000000" w:rsidDel="00000000" w:rsidP="00000000" w:rsidRDefault="00000000" w:rsidRPr="00000000" w14:paraId="000000C8">
      <w:pPr>
        <w:ind w:left="0" w:firstLine="0"/>
        <w:rPr/>
      </w:pPr>
      <w:r w:rsidDel="00000000" w:rsidR="00000000" w:rsidRPr="00000000">
        <w:rPr>
          <w:rtl w:val="0"/>
        </w:rPr>
      </w:r>
    </w:p>
    <w:p w:rsidR="00000000" w:rsidDel="00000000" w:rsidP="00000000" w:rsidRDefault="00000000" w:rsidRPr="00000000" w14:paraId="000000C9">
      <w:pPr>
        <w:ind w:left="0" w:firstLine="0"/>
        <w:rPr/>
      </w:pPr>
      <w:r w:rsidDel="00000000" w:rsidR="00000000" w:rsidRPr="00000000">
        <w:rPr>
          <w:rtl w:val="0"/>
        </w:rPr>
      </w:r>
    </w:p>
    <w:p w:rsidR="00000000" w:rsidDel="00000000" w:rsidP="00000000" w:rsidRDefault="00000000" w:rsidRPr="00000000" w14:paraId="000000CA">
      <w:pPr>
        <w:ind w:left="0" w:firstLine="0"/>
        <w:rPr/>
      </w:pPr>
      <w:r w:rsidDel="00000000" w:rsidR="00000000" w:rsidRPr="00000000">
        <w:rPr>
          <w:rtl w:val="0"/>
        </w:rPr>
      </w:r>
    </w:p>
    <w:p w:rsidR="00000000" w:rsidDel="00000000" w:rsidP="00000000" w:rsidRDefault="00000000" w:rsidRPr="00000000" w14:paraId="000000CB">
      <w:pPr>
        <w:ind w:left="0" w:firstLine="0"/>
        <w:rPr/>
      </w:pPr>
      <w:r w:rsidDel="00000000" w:rsidR="00000000" w:rsidRPr="00000000">
        <w:rPr>
          <w:rtl w:val="0"/>
        </w:rPr>
      </w:r>
    </w:p>
    <w:p w:rsidR="00000000" w:rsidDel="00000000" w:rsidP="00000000" w:rsidRDefault="00000000" w:rsidRPr="00000000" w14:paraId="000000CC">
      <w:pPr>
        <w:spacing w:after="260" w:lineRule="auto"/>
        <w:rPr>
          <w:sz w:val="36"/>
          <w:szCs w:val="36"/>
          <w:u w:val="single"/>
        </w:rPr>
      </w:pPr>
      <w:r w:rsidDel="00000000" w:rsidR="00000000" w:rsidRPr="00000000">
        <w:rPr>
          <w:sz w:val="36"/>
          <w:szCs w:val="36"/>
          <w:u w:val="single"/>
          <w:rtl w:val="0"/>
        </w:rPr>
        <w:t xml:space="preserve">References</w:t>
      </w:r>
    </w:p>
    <w:p w:rsidR="00000000" w:rsidDel="00000000" w:rsidP="00000000" w:rsidRDefault="00000000" w:rsidRPr="00000000" w14:paraId="000000CD">
      <w:pPr>
        <w:spacing w:after="340" w:line="360" w:lineRule="auto"/>
        <w:rPr>
          <w:sz w:val="24"/>
          <w:szCs w:val="24"/>
        </w:rPr>
      </w:pPr>
      <w:r w:rsidDel="00000000" w:rsidR="00000000" w:rsidRPr="00000000">
        <w:rPr>
          <w:sz w:val="24"/>
          <w:szCs w:val="24"/>
          <w:rtl w:val="0"/>
        </w:rPr>
        <w:t xml:space="preserve">Boyack, C. (2016). </w:t>
      </w:r>
      <w:r w:rsidDel="00000000" w:rsidR="00000000" w:rsidRPr="00000000">
        <w:rPr>
          <w:i w:val="1"/>
          <w:sz w:val="24"/>
          <w:szCs w:val="24"/>
          <w:rtl w:val="0"/>
        </w:rPr>
        <w:t xml:space="preserve">Passion-driven Education: How to Use Your Child's Interests to Ignite a Lifelong Love of Learning</w:t>
      </w:r>
      <w:r w:rsidDel="00000000" w:rsidR="00000000" w:rsidRPr="00000000">
        <w:rPr>
          <w:sz w:val="24"/>
          <w:szCs w:val="24"/>
          <w:rtl w:val="0"/>
        </w:rPr>
        <w:t xml:space="preserve">. Utah: Libertas Press, p.146.</w:t>
      </w:r>
    </w:p>
    <w:p w:rsidR="00000000" w:rsidDel="00000000" w:rsidP="00000000" w:rsidRDefault="00000000" w:rsidRPr="00000000" w14:paraId="000000CE">
      <w:pPr>
        <w:spacing w:after="340" w:line="360" w:lineRule="auto"/>
        <w:rPr>
          <w:sz w:val="24"/>
          <w:szCs w:val="24"/>
        </w:rPr>
      </w:pPr>
      <w:r w:rsidDel="00000000" w:rsidR="00000000" w:rsidRPr="00000000">
        <w:rPr>
          <w:sz w:val="24"/>
          <w:szCs w:val="24"/>
          <w:rtl w:val="0"/>
        </w:rPr>
        <w:t xml:space="preserve">British Educational Research Association (2018). </w:t>
      </w:r>
      <w:r w:rsidDel="00000000" w:rsidR="00000000" w:rsidRPr="00000000">
        <w:rPr>
          <w:i w:val="1"/>
          <w:sz w:val="24"/>
          <w:szCs w:val="24"/>
          <w:rtl w:val="0"/>
        </w:rPr>
        <w:t xml:space="preserve">Ethical Guidelines for Educational Research, Fourth ed.</w:t>
      </w:r>
      <w:r w:rsidDel="00000000" w:rsidR="00000000" w:rsidRPr="00000000">
        <w:rPr>
          <w:sz w:val="24"/>
          <w:szCs w:val="24"/>
          <w:rtl w:val="0"/>
        </w:rPr>
        <w:t xml:space="preserve">. London: BERA.</w:t>
      </w:r>
    </w:p>
    <w:p w:rsidR="00000000" w:rsidDel="00000000" w:rsidP="00000000" w:rsidRDefault="00000000" w:rsidRPr="00000000" w14:paraId="000000CF">
      <w:pPr>
        <w:spacing w:after="340" w:line="360" w:lineRule="auto"/>
        <w:rPr>
          <w:sz w:val="24"/>
          <w:szCs w:val="24"/>
        </w:rPr>
      </w:pPr>
      <w:r w:rsidDel="00000000" w:rsidR="00000000" w:rsidRPr="00000000">
        <w:rPr>
          <w:sz w:val="24"/>
          <w:szCs w:val="24"/>
          <w:rtl w:val="0"/>
        </w:rPr>
        <w:t xml:space="preserve">Brookfield, S. (2017). </w:t>
      </w:r>
      <w:r w:rsidDel="00000000" w:rsidR="00000000" w:rsidRPr="00000000">
        <w:rPr>
          <w:i w:val="1"/>
          <w:sz w:val="24"/>
          <w:szCs w:val="24"/>
          <w:rtl w:val="0"/>
        </w:rPr>
        <w:t xml:space="preserve">Becoming a Critically Reflective Teacher</w:t>
      </w:r>
      <w:r w:rsidDel="00000000" w:rsidR="00000000" w:rsidRPr="00000000">
        <w:rPr>
          <w:sz w:val="24"/>
          <w:szCs w:val="24"/>
          <w:rtl w:val="0"/>
        </w:rPr>
        <w:t xml:space="preserve">. 2nd ed. San Francisco: John Wiley &amp; Sons, p.61.</w:t>
      </w:r>
    </w:p>
    <w:p w:rsidR="00000000" w:rsidDel="00000000" w:rsidP="00000000" w:rsidRDefault="00000000" w:rsidRPr="00000000" w14:paraId="000000D0">
      <w:pPr>
        <w:spacing w:after="340" w:line="360" w:lineRule="auto"/>
        <w:rPr>
          <w:sz w:val="24"/>
          <w:szCs w:val="24"/>
        </w:rPr>
      </w:pPr>
      <w:r w:rsidDel="00000000" w:rsidR="00000000" w:rsidRPr="00000000">
        <w:rPr>
          <w:sz w:val="24"/>
          <w:szCs w:val="24"/>
          <w:rtl w:val="0"/>
        </w:rPr>
        <w:t xml:space="preserve">Brown, A. (1978). Knowing When, Where, and Now to Remember: A Problem of Metacogaition. </w:t>
      </w:r>
      <w:r w:rsidDel="00000000" w:rsidR="00000000" w:rsidRPr="00000000">
        <w:rPr>
          <w:i w:val="1"/>
          <w:sz w:val="24"/>
          <w:szCs w:val="24"/>
          <w:rtl w:val="0"/>
        </w:rPr>
        <w:t xml:space="preserve">Advances in Instructional Psychology</w:t>
      </w:r>
      <w:r w:rsidDel="00000000" w:rsidR="00000000" w:rsidRPr="00000000">
        <w:rPr>
          <w:sz w:val="24"/>
          <w:szCs w:val="24"/>
          <w:rtl w:val="0"/>
        </w:rPr>
        <w:t xml:space="preserve">, 1, pp.77-165.</w:t>
      </w:r>
    </w:p>
    <w:p w:rsidR="00000000" w:rsidDel="00000000" w:rsidP="00000000" w:rsidRDefault="00000000" w:rsidRPr="00000000" w14:paraId="000000D1">
      <w:pPr>
        <w:spacing w:after="340" w:line="360" w:lineRule="auto"/>
        <w:rPr>
          <w:sz w:val="24"/>
          <w:szCs w:val="24"/>
        </w:rPr>
      </w:pPr>
      <w:r w:rsidDel="00000000" w:rsidR="00000000" w:rsidRPr="00000000">
        <w:rPr>
          <w:sz w:val="24"/>
          <w:szCs w:val="24"/>
          <w:rtl w:val="0"/>
        </w:rPr>
        <w:t xml:space="preserve">Bucknall, S. (2012). </w:t>
      </w:r>
      <w:r w:rsidDel="00000000" w:rsidR="00000000" w:rsidRPr="00000000">
        <w:rPr>
          <w:i w:val="1"/>
          <w:sz w:val="24"/>
          <w:szCs w:val="24"/>
          <w:rtl w:val="0"/>
        </w:rPr>
        <w:t xml:space="preserve">Children as Researchers in Primary Schools: Choice, Voice and Participation</w:t>
      </w:r>
      <w:r w:rsidDel="00000000" w:rsidR="00000000" w:rsidRPr="00000000">
        <w:rPr>
          <w:sz w:val="24"/>
          <w:szCs w:val="24"/>
          <w:rtl w:val="0"/>
        </w:rPr>
        <w:t xml:space="preserve">. London: Routledge, pp.14-15.</w:t>
      </w:r>
    </w:p>
    <w:p w:rsidR="00000000" w:rsidDel="00000000" w:rsidP="00000000" w:rsidRDefault="00000000" w:rsidRPr="00000000" w14:paraId="000000D2">
      <w:pPr>
        <w:spacing w:after="340" w:line="360" w:lineRule="auto"/>
        <w:rPr>
          <w:sz w:val="24"/>
          <w:szCs w:val="24"/>
        </w:rPr>
      </w:pPr>
      <w:r w:rsidDel="00000000" w:rsidR="00000000" w:rsidRPr="00000000">
        <w:rPr>
          <w:sz w:val="24"/>
          <w:szCs w:val="24"/>
          <w:rtl w:val="0"/>
        </w:rPr>
        <w:t xml:space="preserve">Check, J. and Schutt, R. (2011). </w:t>
      </w:r>
      <w:r w:rsidDel="00000000" w:rsidR="00000000" w:rsidRPr="00000000">
        <w:rPr>
          <w:i w:val="1"/>
          <w:sz w:val="24"/>
          <w:szCs w:val="24"/>
          <w:rtl w:val="0"/>
        </w:rPr>
        <w:t xml:space="preserve">Research Methods in Education</w:t>
      </w:r>
      <w:r w:rsidDel="00000000" w:rsidR="00000000" w:rsidRPr="00000000">
        <w:rPr>
          <w:sz w:val="24"/>
          <w:szCs w:val="24"/>
          <w:rtl w:val="0"/>
        </w:rPr>
        <w:t xml:space="preserve">. London: SAGE, p.194.</w:t>
      </w:r>
    </w:p>
    <w:p w:rsidR="00000000" w:rsidDel="00000000" w:rsidP="00000000" w:rsidRDefault="00000000" w:rsidRPr="00000000" w14:paraId="000000D3">
      <w:pPr>
        <w:spacing w:after="340" w:line="360" w:lineRule="auto"/>
        <w:rPr>
          <w:sz w:val="24"/>
          <w:szCs w:val="24"/>
        </w:rPr>
      </w:pPr>
      <w:r w:rsidDel="00000000" w:rsidR="00000000" w:rsidRPr="00000000">
        <w:rPr>
          <w:sz w:val="24"/>
          <w:szCs w:val="24"/>
          <w:rtl w:val="0"/>
        </w:rPr>
        <w:t xml:space="preserve">Cheng, E. (2018). </w:t>
      </w:r>
      <w:r w:rsidDel="00000000" w:rsidR="00000000" w:rsidRPr="00000000">
        <w:rPr>
          <w:i w:val="1"/>
          <w:sz w:val="24"/>
          <w:szCs w:val="24"/>
          <w:rtl w:val="0"/>
        </w:rPr>
        <w:t xml:space="preserve">Successful Transposition of Lesson Study: A Knowledge Management Perspective</w:t>
      </w:r>
      <w:r w:rsidDel="00000000" w:rsidR="00000000" w:rsidRPr="00000000">
        <w:rPr>
          <w:sz w:val="24"/>
          <w:szCs w:val="24"/>
          <w:rtl w:val="0"/>
        </w:rPr>
        <w:t xml:space="preserve">. Hong Kong: Springer, p.18.</w:t>
      </w:r>
    </w:p>
    <w:p w:rsidR="00000000" w:rsidDel="00000000" w:rsidP="00000000" w:rsidRDefault="00000000" w:rsidRPr="00000000" w14:paraId="000000D4">
      <w:pPr>
        <w:spacing w:after="340" w:line="360" w:lineRule="auto"/>
        <w:rPr>
          <w:sz w:val="24"/>
          <w:szCs w:val="24"/>
        </w:rPr>
      </w:pPr>
      <w:r w:rsidDel="00000000" w:rsidR="00000000" w:rsidRPr="00000000">
        <w:rPr>
          <w:sz w:val="24"/>
          <w:szCs w:val="24"/>
          <w:rtl w:val="0"/>
        </w:rPr>
        <w:t xml:space="preserve">Cohen, D. and Crabtree, B. (2006). </w:t>
      </w:r>
      <w:r w:rsidDel="00000000" w:rsidR="00000000" w:rsidRPr="00000000">
        <w:rPr>
          <w:i w:val="1"/>
          <w:sz w:val="24"/>
          <w:szCs w:val="24"/>
          <w:rtl w:val="0"/>
        </w:rPr>
        <w:t xml:space="preserve">Semi-structured Interviews</w:t>
      </w:r>
      <w:r w:rsidDel="00000000" w:rsidR="00000000" w:rsidRPr="00000000">
        <w:rPr>
          <w:sz w:val="24"/>
          <w:szCs w:val="24"/>
          <w:rtl w:val="0"/>
        </w:rPr>
        <w:t xml:space="preserve">. [online] Qualitative Research Guidelines Project. Available at: http://www.qualres.org/HomeSemi-3629.html [Accessed 28 Feb. 2019].</w:t>
      </w:r>
    </w:p>
    <w:p w:rsidR="00000000" w:rsidDel="00000000" w:rsidP="00000000" w:rsidRDefault="00000000" w:rsidRPr="00000000" w14:paraId="000000D5">
      <w:pPr>
        <w:spacing w:after="340" w:line="360" w:lineRule="auto"/>
        <w:rPr>
          <w:sz w:val="24"/>
          <w:szCs w:val="24"/>
        </w:rPr>
      </w:pPr>
      <w:r w:rsidDel="00000000" w:rsidR="00000000" w:rsidRPr="00000000">
        <w:rPr>
          <w:sz w:val="24"/>
          <w:szCs w:val="24"/>
          <w:rtl w:val="0"/>
        </w:rPr>
        <w:t xml:space="preserve">Department for Education (2009). </w:t>
      </w:r>
      <w:r w:rsidDel="00000000" w:rsidR="00000000" w:rsidRPr="00000000">
        <w:rPr>
          <w:i w:val="1"/>
          <w:sz w:val="24"/>
          <w:szCs w:val="24"/>
          <w:rtl w:val="0"/>
        </w:rPr>
        <w:t xml:space="preserve">Improving subject pedagogy through Lesson Study: Handbook for leading teachers in mathematics and English</w:t>
      </w:r>
      <w:r w:rsidDel="00000000" w:rsidR="00000000" w:rsidRPr="00000000">
        <w:rPr>
          <w:sz w:val="24"/>
          <w:szCs w:val="24"/>
          <w:rtl w:val="0"/>
        </w:rPr>
        <w:t xml:space="preserve">. Department of Education, p.5.</w:t>
      </w:r>
    </w:p>
    <w:p w:rsidR="00000000" w:rsidDel="00000000" w:rsidP="00000000" w:rsidRDefault="00000000" w:rsidRPr="00000000" w14:paraId="000000D6">
      <w:pPr>
        <w:spacing w:after="340" w:line="360" w:lineRule="auto"/>
        <w:rPr>
          <w:sz w:val="24"/>
          <w:szCs w:val="24"/>
        </w:rPr>
      </w:pPr>
      <w:r w:rsidDel="00000000" w:rsidR="00000000" w:rsidRPr="00000000">
        <w:rPr>
          <w:sz w:val="24"/>
          <w:szCs w:val="24"/>
          <w:rtl w:val="0"/>
        </w:rPr>
        <w:t xml:space="preserve">Dudley, P. (2014). </w:t>
      </w:r>
      <w:r w:rsidDel="00000000" w:rsidR="00000000" w:rsidRPr="00000000">
        <w:rPr>
          <w:i w:val="1"/>
          <w:sz w:val="24"/>
          <w:szCs w:val="24"/>
          <w:rtl w:val="0"/>
        </w:rPr>
        <w:t xml:space="preserve">Lesson Study: A Handbook</w:t>
      </w:r>
      <w:r w:rsidDel="00000000" w:rsidR="00000000" w:rsidRPr="00000000">
        <w:rPr>
          <w:sz w:val="24"/>
          <w:szCs w:val="24"/>
          <w:rtl w:val="0"/>
        </w:rPr>
        <w:t xml:space="preserve">. Cambridge: LSUK, p.2.</w:t>
      </w:r>
    </w:p>
    <w:p w:rsidR="00000000" w:rsidDel="00000000" w:rsidP="00000000" w:rsidRDefault="00000000" w:rsidRPr="00000000" w14:paraId="000000D7">
      <w:pPr>
        <w:spacing w:after="340" w:line="360" w:lineRule="auto"/>
        <w:rPr>
          <w:sz w:val="24"/>
          <w:szCs w:val="24"/>
        </w:rPr>
      </w:pPr>
      <w:r w:rsidDel="00000000" w:rsidR="00000000" w:rsidRPr="00000000">
        <w:rPr>
          <w:sz w:val="24"/>
          <w:szCs w:val="24"/>
          <w:rtl w:val="0"/>
        </w:rPr>
        <w:t xml:space="preserve">Dudley, P. and Gowing, E. (2012). Reflection Through Lesson Study. In: A. Hansen, ed., </w:t>
      </w:r>
      <w:r w:rsidDel="00000000" w:rsidR="00000000" w:rsidRPr="00000000">
        <w:rPr>
          <w:i w:val="1"/>
          <w:sz w:val="24"/>
          <w:szCs w:val="24"/>
          <w:rtl w:val="0"/>
        </w:rPr>
        <w:t xml:space="preserve">Reflective Learning and Teaching in Primary Schools</w:t>
      </w:r>
      <w:r w:rsidDel="00000000" w:rsidR="00000000" w:rsidRPr="00000000">
        <w:rPr>
          <w:sz w:val="24"/>
          <w:szCs w:val="24"/>
          <w:rtl w:val="0"/>
        </w:rPr>
        <w:t xml:space="preserve">. California: SAGE, p.135.</w:t>
      </w:r>
    </w:p>
    <w:p w:rsidR="00000000" w:rsidDel="00000000" w:rsidP="00000000" w:rsidRDefault="00000000" w:rsidRPr="00000000" w14:paraId="000000D8">
      <w:pPr>
        <w:spacing w:after="340" w:line="360" w:lineRule="auto"/>
        <w:rPr>
          <w:sz w:val="24"/>
          <w:szCs w:val="24"/>
        </w:rPr>
      </w:pPr>
      <w:r w:rsidDel="00000000" w:rsidR="00000000" w:rsidRPr="00000000">
        <w:rPr>
          <w:sz w:val="24"/>
          <w:szCs w:val="24"/>
          <w:rtl w:val="0"/>
        </w:rPr>
        <w:t xml:space="preserve">Education Workforce Council (2019). </w:t>
      </w:r>
      <w:r w:rsidDel="00000000" w:rsidR="00000000" w:rsidRPr="00000000">
        <w:rPr>
          <w:i w:val="1"/>
          <w:sz w:val="24"/>
          <w:szCs w:val="24"/>
          <w:rtl w:val="0"/>
        </w:rPr>
        <w:t xml:space="preserve">Code of Professional Conduct and Practice for Registrants with the Education Workforce Council</w:t>
      </w:r>
      <w:r w:rsidDel="00000000" w:rsidR="00000000" w:rsidRPr="00000000">
        <w:rPr>
          <w:sz w:val="24"/>
          <w:szCs w:val="24"/>
          <w:rtl w:val="0"/>
        </w:rPr>
        <w:t xml:space="preserve">. Cardiff: EWC.</w:t>
      </w:r>
    </w:p>
    <w:p w:rsidR="00000000" w:rsidDel="00000000" w:rsidP="00000000" w:rsidRDefault="00000000" w:rsidRPr="00000000" w14:paraId="000000D9">
      <w:pPr>
        <w:spacing w:after="340" w:line="360" w:lineRule="auto"/>
        <w:rPr>
          <w:sz w:val="24"/>
          <w:szCs w:val="24"/>
        </w:rPr>
      </w:pPr>
      <w:r w:rsidDel="00000000" w:rsidR="00000000" w:rsidRPr="00000000">
        <w:rPr>
          <w:sz w:val="24"/>
          <w:szCs w:val="24"/>
          <w:rtl w:val="0"/>
        </w:rPr>
        <w:t xml:space="preserve">Edwards, C., Gandini, L. and Forman, G. (1998). </w:t>
      </w:r>
      <w:r w:rsidDel="00000000" w:rsidR="00000000" w:rsidRPr="00000000">
        <w:rPr>
          <w:i w:val="1"/>
          <w:sz w:val="24"/>
          <w:szCs w:val="24"/>
          <w:rtl w:val="0"/>
        </w:rPr>
        <w:t xml:space="preserve">The Hundred Languages of Children: The Reggio Emilia Approach--advanced Reflections</w:t>
      </w:r>
      <w:r w:rsidDel="00000000" w:rsidR="00000000" w:rsidRPr="00000000">
        <w:rPr>
          <w:sz w:val="24"/>
          <w:szCs w:val="24"/>
          <w:rtl w:val="0"/>
        </w:rPr>
        <w:t xml:space="preserve">. Connecticut: Greenwood Publishing Group, p.3.</w:t>
      </w:r>
    </w:p>
    <w:p w:rsidR="00000000" w:rsidDel="00000000" w:rsidP="00000000" w:rsidRDefault="00000000" w:rsidRPr="00000000" w14:paraId="000000DA">
      <w:pPr>
        <w:spacing w:after="340" w:line="360" w:lineRule="auto"/>
        <w:rPr>
          <w:sz w:val="24"/>
          <w:szCs w:val="24"/>
        </w:rPr>
      </w:pPr>
      <w:r w:rsidDel="00000000" w:rsidR="00000000" w:rsidRPr="00000000">
        <w:rPr>
          <w:sz w:val="24"/>
          <w:szCs w:val="24"/>
          <w:rtl w:val="0"/>
        </w:rPr>
        <w:t xml:space="preserve">Gillies, R. and Ashman, A. (2003). </w:t>
      </w:r>
      <w:r w:rsidDel="00000000" w:rsidR="00000000" w:rsidRPr="00000000">
        <w:rPr>
          <w:i w:val="1"/>
          <w:sz w:val="24"/>
          <w:szCs w:val="24"/>
          <w:rtl w:val="0"/>
        </w:rPr>
        <w:t xml:space="preserve">Cooperative Learning: The Social and Intellectual Outcomes of Learning in Groups</w:t>
      </w:r>
      <w:r w:rsidDel="00000000" w:rsidR="00000000" w:rsidRPr="00000000">
        <w:rPr>
          <w:sz w:val="24"/>
          <w:szCs w:val="24"/>
          <w:rtl w:val="0"/>
        </w:rPr>
        <w:t xml:space="preserve">. London: Routledge, p.83.</w:t>
      </w:r>
    </w:p>
    <w:p w:rsidR="00000000" w:rsidDel="00000000" w:rsidP="00000000" w:rsidRDefault="00000000" w:rsidRPr="00000000" w14:paraId="000000DB">
      <w:pPr>
        <w:spacing w:after="340" w:line="360" w:lineRule="auto"/>
        <w:rPr>
          <w:sz w:val="24"/>
          <w:szCs w:val="24"/>
        </w:rPr>
      </w:pPr>
      <w:r w:rsidDel="00000000" w:rsidR="00000000" w:rsidRPr="00000000">
        <w:rPr>
          <w:sz w:val="24"/>
          <w:szCs w:val="24"/>
          <w:rtl w:val="0"/>
        </w:rPr>
        <w:t xml:space="preserve">Grugeon, E., Hubbard, L., Smith, C. and Dawes, L. (2001). </w:t>
      </w:r>
      <w:r w:rsidDel="00000000" w:rsidR="00000000" w:rsidRPr="00000000">
        <w:rPr>
          <w:i w:val="1"/>
          <w:sz w:val="24"/>
          <w:szCs w:val="24"/>
          <w:rtl w:val="0"/>
        </w:rPr>
        <w:t xml:space="preserve">Teaching Speaking and Listening in the Primary School</w:t>
      </w:r>
      <w:r w:rsidDel="00000000" w:rsidR="00000000" w:rsidRPr="00000000">
        <w:rPr>
          <w:sz w:val="24"/>
          <w:szCs w:val="24"/>
          <w:rtl w:val="0"/>
        </w:rPr>
        <w:t xml:space="preserve">. 2nd ed. London: Routledge, p.94.</w:t>
      </w:r>
    </w:p>
    <w:p w:rsidR="00000000" w:rsidDel="00000000" w:rsidP="00000000" w:rsidRDefault="00000000" w:rsidRPr="00000000" w14:paraId="000000DC">
      <w:pPr>
        <w:spacing w:after="340" w:line="360" w:lineRule="auto"/>
        <w:rPr>
          <w:sz w:val="24"/>
          <w:szCs w:val="24"/>
        </w:rPr>
      </w:pPr>
      <w:r w:rsidDel="00000000" w:rsidR="00000000" w:rsidRPr="00000000">
        <w:rPr>
          <w:sz w:val="24"/>
          <w:szCs w:val="24"/>
          <w:rtl w:val="0"/>
        </w:rPr>
        <w:t xml:space="preserve">Hendayana, S. (2014). Teacher Learning through Lesson Study in Indonesia. In: K. Wood and S. Sithamparam, ed., </w:t>
      </w:r>
      <w:r w:rsidDel="00000000" w:rsidR="00000000" w:rsidRPr="00000000">
        <w:rPr>
          <w:i w:val="1"/>
          <w:sz w:val="24"/>
          <w:szCs w:val="24"/>
          <w:rtl w:val="0"/>
        </w:rPr>
        <w:t xml:space="preserve">Realising Learning: Teachers’ professional development through lesson and learning study</w:t>
      </w:r>
      <w:r w:rsidDel="00000000" w:rsidR="00000000" w:rsidRPr="00000000">
        <w:rPr>
          <w:sz w:val="24"/>
          <w:szCs w:val="24"/>
          <w:rtl w:val="0"/>
        </w:rPr>
        <w:t xml:space="preserve">. London: Routledge, p.62.</w:t>
      </w:r>
    </w:p>
    <w:p w:rsidR="00000000" w:rsidDel="00000000" w:rsidP="00000000" w:rsidRDefault="00000000" w:rsidRPr="00000000" w14:paraId="000000DD">
      <w:pPr>
        <w:spacing w:after="340" w:line="360" w:lineRule="auto"/>
        <w:rPr>
          <w:sz w:val="24"/>
          <w:szCs w:val="24"/>
        </w:rPr>
      </w:pPr>
      <w:r w:rsidDel="00000000" w:rsidR="00000000" w:rsidRPr="00000000">
        <w:rPr>
          <w:sz w:val="24"/>
          <w:szCs w:val="24"/>
          <w:rtl w:val="0"/>
        </w:rPr>
        <w:t xml:space="preserve">Hyson, M. (2008). </w:t>
      </w:r>
      <w:r w:rsidDel="00000000" w:rsidR="00000000" w:rsidRPr="00000000">
        <w:rPr>
          <w:i w:val="1"/>
          <w:sz w:val="24"/>
          <w:szCs w:val="24"/>
          <w:rtl w:val="0"/>
        </w:rPr>
        <w:t xml:space="preserve">Enthusiastic and Engaged Learners: Approaches to Learning in the Early Childhood Classroom</w:t>
      </w:r>
      <w:r w:rsidDel="00000000" w:rsidR="00000000" w:rsidRPr="00000000">
        <w:rPr>
          <w:sz w:val="24"/>
          <w:szCs w:val="24"/>
          <w:rtl w:val="0"/>
        </w:rPr>
        <w:t xml:space="preserve">. New York: Teachers College Press, p.85.</w:t>
      </w:r>
    </w:p>
    <w:p w:rsidR="00000000" w:rsidDel="00000000" w:rsidP="00000000" w:rsidRDefault="00000000" w:rsidRPr="00000000" w14:paraId="000000DE">
      <w:pPr>
        <w:spacing w:after="340" w:line="360" w:lineRule="auto"/>
        <w:rPr>
          <w:sz w:val="24"/>
          <w:szCs w:val="24"/>
        </w:rPr>
      </w:pPr>
      <w:r w:rsidDel="00000000" w:rsidR="00000000" w:rsidRPr="00000000">
        <w:rPr>
          <w:sz w:val="24"/>
          <w:szCs w:val="24"/>
          <w:rtl w:val="0"/>
        </w:rPr>
        <w:t xml:space="preserve">Johnson, B. and Christensen, L. (2010). </w:t>
      </w:r>
      <w:r w:rsidDel="00000000" w:rsidR="00000000" w:rsidRPr="00000000">
        <w:rPr>
          <w:i w:val="1"/>
          <w:sz w:val="24"/>
          <w:szCs w:val="24"/>
          <w:rtl w:val="0"/>
        </w:rPr>
        <w:t xml:space="preserve">Educational Research: Quantitative, Qualitative, and Mixed Approaches</w:t>
      </w:r>
      <w:r w:rsidDel="00000000" w:rsidR="00000000" w:rsidRPr="00000000">
        <w:rPr>
          <w:sz w:val="24"/>
          <w:szCs w:val="24"/>
          <w:rtl w:val="0"/>
        </w:rPr>
        <w:t xml:space="preserve">. London: SAGE, p.217.</w:t>
      </w:r>
    </w:p>
    <w:p w:rsidR="00000000" w:rsidDel="00000000" w:rsidP="00000000" w:rsidRDefault="00000000" w:rsidRPr="00000000" w14:paraId="000000DF">
      <w:pPr>
        <w:spacing w:after="340" w:line="360" w:lineRule="auto"/>
        <w:rPr>
          <w:sz w:val="24"/>
          <w:szCs w:val="24"/>
        </w:rPr>
      </w:pPr>
      <w:r w:rsidDel="00000000" w:rsidR="00000000" w:rsidRPr="00000000">
        <w:rPr>
          <w:sz w:val="24"/>
          <w:szCs w:val="24"/>
          <w:rtl w:val="0"/>
        </w:rPr>
        <w:t xml:space="preserve">Kawulich, B. (2012). Collecting Data Through Observation. In: C. Wagner, B. Kawulich and M. Garner, ed., </w:t>
      </w:r>
      <w:r w:rsidDel="00000000" w:rsidR="00000000" w:rsidRPr="00000000">
        <w:rPr>
          <w:i w:val="1"/>
          <w:sz w:val="24"/>
          <w:szCs w:val="24"/>
          <w:rtl w:val="0"/>
        </w:rPr>
        <w:t xml:space="preserve">Doing Social Research: A Global Context</w:t>
      </w:r>
      <w:r w:rsidDel="00000000" w:rsidR="00000000" w:rsidRPr="00000000">
        <w:rPr>
          <w:sz w:val="24"/>
          <w:szCs w:val="24"/>
          <w:rtl w:val="0"/>
        </w:rPr>
        <w:t xml:space="preserve">. New York: McGraw Hill, p.6.</w:t>
      </w:r>
    </w:p>
    <w:p w:rsidR="00000000" w:rsidDel="00000000" w:rsidP="00000000" w:rsidRDefault="00000000" w:rsidRPr="00000000" w14:paraId="000000E0">
      <w:pPr>
        <w:spacing w:after="340" w:line="360" w:lineRule="auto"/>
        <w:rPr>
          <w:sz w:val="24"/>
          <w:szCs w:val="24"/>
        </w:rPr>
      </w:pPr>
      <w:r w:rsidDel="00000000" w:rsidR="00000000" w:rsidRPr="00000000">
        <w:rPr>
          <w:sz w:val="24"/>
          <w:szCs w:val="24"/>
          <w:rtl w:val="0"/>
        </w:rPr>
        <w:t xml:space="preserve">Kerry, T. (2015). </w:t>
      </w:r>
      <w:r w:rsidDel="00000000" w:rsidR="00000000" w:rsidRPr="00000000">
        <w:rPr>
          <w:i w:val="1"/>
          <w:sz w:val="24"/>
          <w:szCs w:val="24"/>
          <w:rtl w:val="0"/>
        </w:rPr>
        <w:t xml:space="preserve">Cross-Curricular Teaching in the Primary School: Planning and Facilitating Imaginative Lessons</w:t>
      </w:r>
      <w:r w:rsidDel="00000000" w:rsidR="00000000" w:rsidRPr="00000000">
        <w:rPr>
          <w:sz w:val="24"/>
          <w:szCs w:val="24"/>
          <w:rtl w:val="0"/>
        </w:rPr>
        <w:t xml:space="preserve">. London: Routledge, p.46.</w:t>
      </w:r>
    </w:p>
    <w:p w:rsidR="00000000" w:rsidDel="00000000" w:rsidP="00000000" w:rsidRDefault="00000000" w:rsidRPr="00000000" w14:paraId="000000E1">
      <w:pPr>
        <w:spacing w:after="340" w:line="360" w:lineRule="auto"/>
        <w:rPr>
          <w:sz w:val="24"/>
          <w:szCs w:val="24"/>
        </w:rPr>
      </w:pPr>
      <w:r w:rsidDel="00000000" w:rsidR="00000000" w:rsidRPr="00000000">
        <w:rPr>
          <w:sz w:val="24"/>
          <w:szCs w:val="24"/>
          <w:rtl w:val="0"/>
        </w:rPr>
        <w:t xml:space="preserve">Laevers, F. (1994). </w:t>
      </w:r>
      <w:r w:rsidDel="00000000" w:rsidR="00000000" w:rsidRPr="00000000">
        <w:rPr>
          <w:i w:val="1"/>
          <w:sz w:val="24"/>
          <w:szCs w:val="24"/>
          <w:rtl w:val="0"/>
        </w:rPr>
        <w:t xml:space="preserve">Defining and Assessing Quality in Early Childhood Education</w:t>
      </w:r>
      <w:r w:rsidDel="00000000" w:rsidR="00000000" w:rsidRPr="00000000">
        <w:rPr>
          <w:sz w:val="24"/>
          <w:szCs w:val="24"/>
          <w:rtl w:val="0"/>
        </w:rPr>
        <w:t xml:space="preserve">. Leuven: Leuven University Press, p.164.</w:t>
      </w:r>
    </w:p>
    <w:p w:rsidR="00000000" w:rsidDel="00000000" w:rsidP="00000000" w:rsidRDefault="00000000" w:rsidRPr="00000000" w14:paraId="000000E2">
      <w:pPr>
        <w:spacing w:after="340" w:line="360" w:lineRule="auto"/>
        <w:rPr>
          <w:sz w:val="24"/>
          <w:szCs w:val="24"/>
        </w:rPr>
      </w:pPr>
      <w:r w:rsidDel="00000000" w:rsidR="00000000" w:rsidRPr="00000000">
        <w:rPr>
          <w:sz w:val="24"/>
          <w:szCs w:val="24"/>
          <w:rtl w:val="0"/>
        </w:rPr>
        <w:t xml:space="preserve">Laevers, F. (2005). </w:t>
      </w:r>
      <w:r w:rsidDel="00000000" w:rsidR="00000000" w:rsidRPr="00000000">
        <w:rPr>
          <w:i w:val="1"/>
          <w:sz w:val="24"/>
          <w:szCs w:val="24"/>
          <w:rtl w:val="0"/>
        </w:rPr>
        <w:t xml:space="preserve">Deep-level Learning and the Experiential Approach in Early Childhood and Primary Education</w:t>
      </w:r>
      <w:r w:rsidDel="00000000" w:rsidR="00000000" w:rsidRPr="00000000">
        <w:rPr>
          <w:sz w:val="24"/>
          <w:szCs w:val="24"/>
          <w:rtl w:val="0"/>
        </w:rPr>
        <w:t xml:space="preserve">. Leuven: Katholeike Universiteit Leuven, Research Centre for Early Childhood and Primary Education, p.6.</w:t>
      </w:r>
    </w:p>
    <w:p w:rsidR="00000000" w:rsidDel="00000000" w:rsidP="00000000" w:rsidRDefault="00000000" w:rsidRPr="00000000" w14:paraId="000000E3">
      <w:pPr>
        <w:spacing w:after="340" w:line="360" w:lineRule="auto"/>
        <w:rPr>
          <w:sz w:val="24"/>
          <w:szCs w:val="24"/>
        </w:rPr>
      </w:pPr>
      <w:r w:rsidDel="00000000" w:rsidR="00000000" w:rsidRPr="00000000">
        <w:rPr>
          <w:sz w:val="24"/>
          <w:szCs w:val="24"/>
          <w:rtl w:val="0"/>
        </w:rPr>
        <w:t xml:space="preserve">Lewis, C., Perry, R. and Murata, A. (2006). How Should Research Contribute to Instructional Improvement? The Case of Lesson Study. </w:t>
      </w:r>
      <w:r w:rsidDel="00000000" w:rsidR="00000000" w:rsidRPr="00000000">
        <w:rPr>
          <w:i w:val="1"/>
          <w:sz w:val="24"/>
          <w:szCs w:val="24"/>
          <w:rtl w:val="0"/>
        </w:rPr>
        <w:t xml:space="preserve">Educational Researcher</w:t>
      </w:r>
      <w:r w:rsidDel="00000000" w:rsidR="00000000" w:rsidRPr="00000000">
        <w:rPr>
          <w:sz w:val="24"/>
          <w:szCs w:val="24"/>
          <w:rtl w:val="0"/>
        </w:rPr>
        <w:t xml:space="preserve">, 35(3), pp.3-14.</w:t>
      </w:r>
    </w:p>
    <w:p w:rsidR="00000000" w:rsidDel="00000000" w:rsidP="00000000" w:rsidRDefault="00000000" w:rsidRPr="00000000" w14:paraId="000000E4">
      <w:pPr>
        <w:spacing w:after="340" w:line="360" w:lineRule="auto"/>
        <w:rPr>
          <w:sz w:val="24"/>
          <w:szCs w:val="24"/>
        </w:rPr>
      </w:pPr>
      <w:r w:rsidDel="00000000" w:rsidR="00000000" w:rsidRPr="00000000">
        <w:rPr>
          <w:sz w:val="24"/>
          <w:szCs w:val="24"/>
          <w:rtl w:val="0"/>
        </w:rPr>
        <w:t xml:space="preserve">Lichtman, M. (2013). </w:t>
      </w:r>
      <w:r w:rsidDel="00000000" w:rsidR="00000000" w:rsidRPr="00000000">
        <w:rPr>
          <w:i w:val="1"/>
          <w:sz w:val="24"/>
          <w:szCs w:val="24"/>
          <w:rtl w:val="0"/>
        </w:rPr>
        <w:t xml:space="preserve">Qualitative research in education</w:t>
      </w:r>
      <w:r w:rsidDel="00000000" w:rsidR="00000000" w:rsidRPr="00000000">
        <w:rPr>
          <w:sz w:val="24"/>
          <w:szCs w:val="24"/>
          <w:rtl w:val="0"/>
        </w:rPr>
        <w:t xml:space="preserve">. Los Angeles: SAGE Publications, p.xv.</w:t>
      </w:r>
    </w:p>
    <w:p w:rsidR="00000000" w:rsidDel="00000000" w:rsidP="00000000" w:rsidRDefault="00000000" w:rsidRPr="00000000" w14:paraId="000000E5">
      <w:pPr>
        <w:spacing w:after="340" w:line="360" w:lineRule="auto"/>
        <w:rPr>
          <w:sz w:val="24"/>
          <w:szCs w:val="24"/>
        </w:rPr>
      </w:pPr>
      <w:r w:rsidDel="00000000" w:rsidR="00000000" w:rsidRPr="00000000">
        <w:rPr>
          <w:sz w:val="24"/>
          <w:szCs w:val="24"/>
          <w:rtl w:val="0"/>
        </w:rPr>
        <w:t xml:space="preserve">Lillard, P. (2011). </w:t>
      </w:r>
      <w:r w:rsidDel="00000000" w:rsidR="00000000" w:rsidRPr="00000000">
        <w:rPr>
          <w:i w:val="1"/>
          <w:sz w:val="24"/>
          <w:szCs w:val="24"/>
          <w:rtl w:val="0"/>
        </w:rPr>
        <w:t xml:space="preserve">Montessori</w:t>
      </w:r>
      <w:r w:rsidDel="00000000" w:rsidR="00000000" w:rsidRPr="00000000">
        <w:rPr>
          <w:sz w:val="24"/>
          <w:szCs w:val="24"/>
          <w:rtl w:val="0"/>
        </w:rPr>
        <w:t xml:space="preserve">. New York: Knopf Doubleday Publishing Group, p.53.</w:t>
      </w:r>
    </w:p>
    <w:p w:rsidR="00000000" w:rsidDel="00000000" w:rsidP="00000000" w:rsidRDefault="00000000" w:rsidRPr="00000000" w14:paraId="000000E6">
      <w:pPr>
        <w:spacing w:after="340" w:line="360" w:lineRule="auto"/>
        <w:rPr>
          <w:sz w:val="24"/>
          <w:szCs w:val="24"/>
        </w:rPr>
      </w:pPr>
      <w:r w:rsidDel="00000000" w:rsidR="00000000" w:rsidRPr="00000000">
        <w:rPr>
          <w:sz w:val="24"/>
          <w:szCs w:val="24"/>
          <w:rtl w:val="0"/>
        </w:rPr>
        <w:t xml:space="preserve">Machin, L., Hindmarch, D., Murray, S. and Richardson, T. (2015). </w:t>
      </w:r>
      <w:r w:rsidDel="00000000" w:rsidR="00000000" w:rsidRPr="00000000">
        <w:rPr>
          <w:i w:val="1"/>
          <w:sz w:val="24"/>
          <w:szCs w:val="24"/>
          <w:rtl w:val="0"/>
        </w:rPr>
        <w:t xml:space="preserve">A Complete Guide to the Level 4 Certificate in Education &amp; Training</w:t>
      </w:r>
      <w:r w:rsidDel="00000000" w:rsidR="00000000" w:rsidRPr="00000000">
        <w:rPr>
          <w:sz w:val="24"/>
          <w:szCs w:val="24"/>
          <w:rtl w:val="0"/>
        </w:rPr>
        <w:t xml:space="preserve">. Northwich: Critical Publishing, p.19.</w:t>
      </w:r>
    </w:p>
    <w:p w:rsidR="00000000" w:rsidDel="00000000" w:rsidP="00000000" w:rsidRDefault="00000000" w:rsidRPr="00000000" w14:paraId="000000E7">
      <w:pPr>
        <w:spacing w:after="340" w:line="360" w:lineRule="auto"/>
        <w:rPr>
          <w:sz w:val="24"/>
          <w:szCs w:val="24"/>
        </w:rPr>
      </w:pPr>
      <w:r w:rsidDel="00000000" w:rsidR="00000000" w:rsidRPr="00000000">
        <w:rPr>
          <w:sz w:val="24"/>
          <w:szCs w:val="24"/>
          <w:rtl w:val="0"/>
        </w:rPr>
        <w:t xml:space="preserve">Larson, L., and Miller, T., quoted in Mentz, E. and Oostuizen, I’s (2016). </w:t>
      </w:r>
      <w:r w:rsidDel="00000000" w:rsidR="00000000" w:rsidRPr="00000000">
        <w:rPr>
          <w:i w:val="1"/>
          <w:sz w:val="24"/>
          <w:szCs w:val="24"/>
          <w:rtl w:val="0"/>
        </w:rPr>
        <w:t xml:space="preserve">Self-directed learning research: An imperative for transforming the educational landscape</w:t>
      </w:r>
      <w:r w:rsidDel="00000000" w:rsidR="00000000" w:rsidRPr="00000000">
        <w:rPr>
          <w:sz w:val="24"/>
          <w:szCs w:val="24"/>
          <w:rtl w:val="0"/>
        </w:rPr>
        <w:t xml:space="preserve">. 1st ed. Durbanville: AOSIS, p.101.</w:t>
      </w:r>
    </w:p>
    <w:p w:rsidR="00000000" w:rsidDel="00000000" w:rsidP="00000000" w:rsidRDefault="00000000" w:rsidRPr="00000000" w14:paraId="000000E8">
      <w:pPr>
        <w:spacing w:after="340" w:line="360" w:lineRule="auto"/>
        <w:rPr>
          <w:sz w:val="24"/>
          <w:szCs w:val="24"/>
        </w:rPr>
      </w:pPr>
      <w:r w:rsidDel="00000000" w:rsidR="00000000" w:rsidRPr="00000000">
        <w:rPr>
          <w:sz w:val="24"/>
          <w:szCs w:val="24"/>
          <w:rtl w:val="0"/>
        </w:rPr>
        <w:t xml:space="preserve">Mitra, S. (2012). </w:t>
      </w:r>
      <w:r w:rsidDel="00000000" w:rsidR="00000000" w:rsidRPr="00000000">
        <w:rPr>
          <w:i w:val="1"/>
          <w:sz w:val="24"/>
          <w:szCs w:val="24"/>
          <w:rtl w:val="0"/>
        </w:rPr>
        <w:t xml:space="preserve">Beyond the Hole in the Wall: Discover the Power of Self-Organised Learning</w:t>
      </w:r>
      <w:r w:rsidDel="00000000" w:rsidR="00000000" w:rsidRPr="00000000">
        <w:rPr>
          <w:sz w:val="24"/>
          <w:szCs w:val="24"/>
          <w:rtl w:val="0"/>
        </w:rPr>
        <w:t xml:space="preserve">. Ted Conferences.</w:t>
      </w:r>
    </w:p>
    <w:p w:rsidR="00000000" w:rsidDel="00000000" w:rsidP="00000000" w:rsidRDefault="00000000" w:rsidRPr="00000000" w14:paraId="000000E9">
      <w:pPr>
        <w:spacing w:after="340" w:line="360" w:lineRule="auto"/>
        <w:rPr>
          <w:sz w:val="24"/>
          <w:szCs w:val="24"/>
        </w:rPr>
      </w:pPr>
      <w:r w:rsidDel="00000000" w:rsidR="00000000" w:rsidRPr="00000000">
        <w:rPr>
          <w:sz w:val="24"/>
          <w:szCs w:val="24"/>
          <w:rtl w:val="0"/>
        </w:rPr>
        <w:t xml:space="preserve">Montessori, M. (2014). </w:t>
      </w:r>
      <w:r w:rsidDel="00000000" w:rsidR="00000000" w:rsidRPr="00000000">
        <w:rPr>
          <w:i w:val="1"/>
          <w:sz w:val="24"/>
          <w:szCs w:val="24"/>
          <w:rtl w:val="0"/>
        </w:rPr>
        <w:t xml:space="preserve">Spontaneous Activity in Education</w:t>
      </w:r>
      <w:r w:rsidDel="00000000" w:rsidR="00000000" w:rsidRPr="00000000">
        <w:rPr>
          <w:sz w:val="24"/>
          <w:szCs w:val="24"/>
          <w:rtl w:val="0"/>
        </w:rPr>
        <w:t xml:space="preserve">. New York: Montessori Helper.</w:t>
      </w:r>
    </w:p>
    <w:p w:rsidR="00000000" w:rsidDel="00000000" w:rsidP="00000000" w:rsidRDefault="00000000" w:rsidRPr="00000000" w14:paraId="000000EA">
      <w:pPr>
        <w:spacing w:after="340" w:line="360" w:lineRule="auto"/>
        <w:rPr>
          <w:sz w:val="24"/>
          <w:szCs w:val="24"/>
        </w:rPr>
      </w:pPr>
      <w:r w:rsidDel="00000000" w:rsidR="00000000" w:rsidRPr="00000000">
        <w:rPr>
          <w:sz w:val="24"/>
          <w:szCs w:val="24"/>
          <w:rtl w:val="0"/>
        </w:rPr>
        <w:t xml:space="preserve">Mosley, L. (2013). </w:t>
      </w:r>
      <w:r w:rsidDel="00000000" w:rsidR="00000000" w:rsidRPr="00000000">
        <w:rPr>
          <w:i w:val="1"/>
          <w:sz w:val="24"/>
          <w:szCs w:val="24"/>
          <w:rtl w:val="0"/>
        </w:rPr>
        <w:t xml:space="preserve">Interview Research in Political Science</w:t>
      </w:r>
      <w:r w:rsidDel="00000000" w:rsidR="00000000" w:rsidRPr="00000000">
        <w:rPr>
          <w:sz w:val="24"/>
          <w:szCs w:val="24"/>
          <w:rtl w:val="0"/>
        </w:rPr>
        <w:t xml:space="preserve">. Ithaca: Cornell University Press, p.19.</w:t>
      </w:r>
    </w:p>
    <w:p w:rsidR="00000000" w:rsidDel="00000000" w:rsidP="00000000" w:rsidRDefault="00000000" w:rsidRPr="00000000" w14:paraId="000000EB">
      <w:pPr>
        <w:spacing w:after="340" w:line="360" w:lineRule="auto"/>
        <w:rPr>
          <w:sz w:val="24"/>
          <w:szCs w:val="24"/>
        </w:rPr>
      </w:pPr>
      <w:r w:rsidDel="00000000" w:rsidR="00000000" w:rsidRPr="00000000">
        <w:rPr>
          <w:sz w:val="24"/>
          <w:szCs w:val="24"/>
          <w:rtl w:val="0"/>
        </w:rPr>
        <w:t xml:space="preserve">Mulford, W., Silins, H. and Leithwood, K. (2004). </w:t>
      </w:r>
      <w:r w:rsidDel="00000000" w:rsidR="00000000" w:rsidRPr="00000000">
        <w:rPr>
          <w:i w:val="1"/>
          <w:sz w:val="24"/>
          <w:szCs w:val="24"/>
          <w:rtl w:val="0"/>
        </w:rPr>
        <w:t xml:space="preserve">Educational leadership for organisational learning and improved student outcomes</w:t>
      </w:r>
      <w:r w:rsidDel="00000000" w:rsidR="00000000" w:rsidRPr="00000000">
        <w:rPr>
          <w:sz w:val="24"/>
          <w:szCs w:val="24"/>
          <w:rtl w:val="0"/>
        </w:rPr>
        <w:t xml:space="preserve">. Boston: Kluwer Academic Publishers, p.12.</w:t>
      </w:r>
    </w:p>
    <w:p w:rsidR="00000000" w:rsidDel="00000000" w:rsidP="00000000" w:rsidRDefault="00000000" w:rsidRPr="00000000" w14:paraId="000000EC">
      <w:pPr>
        <w:spacing w:after="340" w:line="360" w:lineRule="auto"/>
        <w:rPr>
          <w:sz w:val="24"/>
          <w:szCs w:val="24"/>
        </w:rPr>
      </w:pPr>
      <w:r w:rsidDel="00000000" w:rsidR="00000000" w:rsidRPr="00000000">
        <w:rPr>
          <w:sz w:val="24"/>
          <w:szCs w:val="24"/>
          <w:rtl w:val="0"/>
        </w:rPr>
        <w:t xml:space="preserve">Neill, S. (2017). </w:t>
      </w:r>
      <w:r w:rsidDel="00000000" w:rsidR="00000000" w:rsidRPr="00000000">
        <w:rPr>
          <w:i w:val="1"/>
          <w:sz w:val="24"/>
          <w:szCs w:val="24"/>
          <w:rtl w:val="0"/>
        </w:rPr>
        <w:t xml:space="preserve">Classroom Nonverbal Communication</w:t>
      </w:r>
      <w:r w:rsidDel="00000000" w:rsidR="00000000" w:rsidRPr="00000000">
        <w:rPr>
          <w:sz w:val="24"/>
          <w:szCs w:val="24"/>
          <w:rtl w:val="0"/>
        </w:rPr>
        <w:t xml:space="preserve">. London: Routledge, pp.84-87.</w:t>
      </w:r>
    </w:p>
    <w:p w:rsidR="00000000" w:rsidDel="00000000" w:rsidP="00000000" w:rsidRDefault="00000000" w:rsidRPr="00000000" w14:paraId="000000ED">
      <w:pPr>
        <w:spacing w:after="340" w:line="360" w:lineRule="auto"/>
        <w:rPr>
          <w:sz w:val="24"/>
          <w:szCs w:val="24"/>
        </w:rPr>
      </w:pPr>
      <w:r w:rsidDel="00000000" w:rsidR="00000000" w:rsidRPr="00000000">
        <w:rPr>
          <w:sz w:val="24"/>
          <w:szCs w:val="24"/>
          <w:rtl w:val="0"/>
        </w:rPr>
        <w:t xml:space="preserve">Sullivan, F. (2017). </w:t>
      </w:r>
      <w:r w:rsidDel="00000000" w:rsidR="00000000" w:rsidRPr="00000000">
        <w:rPr>
          <w:i w:val="1"/>
          <w:sz w:val="24"/>
          <w:szCs w:val="24"/>
          <w:rtl w:val="0"/>
        </w:rPr>
        <w:t xml:space="preserve">Creativity, Technology, and Learning: Theory for Classroom Practice</w:t>
      </w:r>
      <w:r w:rsidDel="00000000" w:rsidR="00000000" w:rsidRPr="00000000">
        <w:rPr>
          <w:sz w:val="24"/>
          <w:szCs w:val="24"/>
          <w:rtl w:val="0"/>
        </w:rPr>
        <w:t xml:space="preserve">. Oxford: Taylor &amp; Francis, p.44.</w:t>
      </w:r>
    </w:p>
    <w:p w:rsidR="00000000" w:rsidDel="00000000" w:rsidP="00000000" w:rsidRDefault="00000000" w:rsidRPr="00000000" w14:paraId="000000EE">
      <w:pPr>
        <w:spacing w:after="340" w:line="360" w:lineRule="auto"/>
        <w:rPr>
          <w:sz w:val="24"/>
          <w:szCs w:val="24"/>
        </w:rPr>
      </w:pPr>
      <w:r w:rsidDel="00000000" w:rsidR="00000000" w:rsidRPr="00000000">
        <w:rPr>
          <w:sz w:val="24"/>
          <w:szCs w:val="24"/>
          <w:rtl w:val="0"/>
        </w:rPr>
        <w:t xml:space="preserve">Thomas, J., Strage, A. and Curley, R. (1988). Improving Students' Self-Directed Learning: Issues and Guidelines. </w:t>
      </w:r>
      <w:r w:rsidDel="00000000" w:rsidR="00000000" w:rsidRPr="00000000">
        <w:rPr>
          <w:i w:val="1"/>
          <w:sz w:val="24"/>
          <w:szCs w:val="24"/>
          <w:rtl w:val="0"/>
        </w:rPr>
        <w:t xml:space="preserve">The Elementary School Journal</w:t>
      </w:r>
      <w:r w:rsidDel="00000000" w:rsidR="00000000" w:rsidRPr="00000000">
        <w:rPr>
          <w:sz w:val="24"/>
          <w:szCs w:val="24"/>
          <w:rtl w:val="0"/>
        </w:rPr>
        <w:t xml:space="preserve">, 88(3), pp.313-326.</w:t>
      </w:r>
    </w:p>
    <w:p w:rsidR="00000000" w:rsidDel="00000000" w:rsidP="00000000" w:rsidRDefault="00000000" w:rsidRPr="00000000" w14:paraId="000000EF">
      <w:pPr>
        <w:spacing w:after="340" w:line="360" w:lineRule="auto"/>
        <w:rPr>
          <w:sz w:val="24"/>
          <w:szCs w:val="24"/>
        </w:rPr>
      </w:pPr>
      <w:r w:rsidDel="00000000" w:rsidR="00000000" w:rsidRPr="00000000">
        <w:rPr>
          <w:sz w:val="24"/>
          <w:szCs w:val="24"/>
          <w:rtl w:val="0"/>
        </w:rPr>
        <w:t xml:space="preserve">University of Wales Trinity St David (2018). </w:t>
      </w:r>
      <w:r w:rsidDel="00000000" w:rsidR="00000000" w:rsidRPr="00000000">
        <w:rPr>
          <w:i w:val="1"/>
          <w:sz w:val="24"/>
          <w:szCs w:val="24"/>
          <w:rtl w:val="0"/>
        </w:rPr>
        <w:t xml:space="preserve">Research Ethics &amp; Integrity Code of Practice</w:t>
      </w:r>
      <w:r w:rsidDel="00000000" w:rsidR="00000000" w:rsidRPr="00000000">
        <w:rPr>
          <w:sz w:val="24"/>
          <w:szCs w:val="24"/>
          <w:rtl w:val="0"/>
        </w:rPr>
        <w:t xml:space="preserve">. UWTSD.</w:t>
      </w:r>
    </w:p>
    <w:p w:rsidR="00000000" w:rsidDel="00000000" w:rsidP="00000000" w:rsidRDefault="00000000" w:rsidRPr="00000000" w14:paraId="000000F0">
      <w:pPr>
        <w:spacing w:after="340" w:line="360" w:lineRule="auto"/>
        <w:rPr>
          <w:sz w:val="24"/>
          <w:szCs w:val="24"/>
        </w:rPr>
      </w:pPr>
      <w:r w:rsidDel="00000000" w:rsidR="00000000" w:rsidRPr="00000000">
        <w:rPr>
          <w:sz w:val="24"/>
          <w:szCs w:val="24"/>
          <w:rtl w:val="0"/>
        </w:rPr>
        <w:t xml:space="preserve">Vickery, A. (2013). </w:t>
      </w:r>
      <w:r w:rsidDel="00000000" w:rsidR="00000000" w:rsidRPr="00000000">
        <w:rPr>
          <w:i w:val="1"/>
          <w:sz w:val="24"/>
          <w:szCs w:val="24"/>
          <w:rtl w:val="0"/>
        </w:rPr>
        <w:t xml:space="preserve">Developing Active Learning in the Primary Classroom</w:t>
      </w:r>
      <w:r w:rsidDel="00000000" w:rsidR="00000000" w:rsidRPr="00000000">
        <w:rPr>
          <w:sz w:val="24"/>
          <w:szCs w:val="24"/>
          <w:rtl w:val="0"/>
        </w:rPr>
        <w:t xml:space="preserve">. Los Angeles: SAGE, p.103.</w:t>
      </w:r>
    </w:p>
    <w:p w:rsidR="00000000" w:rsidDel="00000000" w:rsidP="00000000" w:rsidRDefault="00000000" w:rsidRPr="00000000" w14:paraId="000000F1">
      <w:pPr>
        <w:spacing w:after="340" w:line="360" w:lineRule="auto"/>
        <w:rPr>
          <w:sz w:val="24"/>
          <w:szCs w:val="24"/>
        </w:rPr>
      </w:pPr>
      <w:r w:rsidDel="00000000" w:rsidR="00000000" w:rsidRPr="00000000">
        <w:rPr>
          <w:sz w:val="24"/>
          <w:szCs w:val="24"/>
          <w:rtl w:val="0"/>
        </w:rPr>
        <w:t xml:space="preserve">Washbourne, K. (2013). </w:t>
      </w:r>
      <w:r w:rsidDel="00000000" w:rsidR="00000000" w:rsidRPr="00000000">
        <w:rPr>
          <w:i w:val="1"/>
          <w:sz w:val="24"/>
          <w:szCs w:val="24"/>
          <w:rtl w:val="0"/>
        </w:rPr>
        <w:t xml:space="preserve">The self-directed learner: intentionality in translator training and education</w:t>
      </w:r>
      <w:r w:rsidDel="00000000" w:rsidR="00000000" w:rsidRPr="00000000">
        <w:rPr>
          <w:sz w:val="24"/>
          <w:szCs w:val="24"/>
          <w:rtl w:val="0"/>
        </w:rPr>
        <w:t xml:space="preserve">. [ebook] Kent: Routledge, p.2. Available at: https://www.researchgate.net/publication/271751829_The_self-directed_learner_intentionality_in_translator_training_and_education [Accessed 15 Feb. 2019].</w:t>
      </w:r>
    </w:p>
    <w:p w:rsidR="00000000" w:rsidDel="00000000" w:rsidP="00000000" w:rsidRDefault="00000000" w:rsidRPr="00000000" w14:paraId="000000F2">
      <w:pPr>
        <w:spacing w:after="340" w:line="360" w:lineRule="auto"/>
        <w:rPr>
          <w:sz w:val="24"/>
          <w:szCs w:val="24"/>
        </w:rPr>
      </w:pPr>
      <w:r w:rsidDel="00000000" w:rsidR="00000000" w:rsidRPr="00000000">
        <w:rPr>
          <w:sz w:val="24"/>
          <w:szCs w:val="24"/>
          <w:rtl w:val="0"/>
        </w:rPr>
        <w:t xml:space="preserve">Welsh Government (2011). </w:t>
      </w:r>
      <w:r w:rsidDel="00000000" w:rsidR="00000000" w:rsidRPr="00000000">
        <w:rPr>
          <w:i w:val="1"/>
          <w:sz w:val="24"/>
          <w:szCs w:val="24"/>
          <w:rtl w:val="0"/>
        </w:rPr>
        <w:t xml:space="preserve">Pupil Participation - Good Practice Guide</w:t>
      </w:r>
      <w:r w:rsidDel="00000000" w:rsidR="00000000" w:rsidRPr="00000000">
        <w:rPr>
          <w:sz w:val="24"/>
          <w:szCs w:val="24"/>
          <w:rtl w:val="0"/>
        </w:rPr>
        <w:t xml:space="preserve">. p.6.</w:t>
      </w:r>
    </w:p>
    <w:p w:rsidR="00000000" w:rsidDel="00000000" w:rsidP="00000000" w:rsidRDefault="00000000" w:rsidRPr="00000000" w14:paraId="000000F3">
      <w:pPr>
        <w:spacing w:after="340" w:line="360" w:lineRule="auto"/>
        <w:rPr>
          <w:sz w:val="24"/>
          <w:szCs w:val="24"/>
        </w:rPr>
      </w:pPr>
      <w:r w:rsidDel="00000000" w:rsidR="00000000" w:rsidRPr="00000000">
        <w:rPr>
          <w:sz w:val="24"/>
          <w:szCs w:val="24"/>
          <w:rtl w:val="0"/>
        </w:rPr>
        <w:t xml:space="preserve">Welsh Government (2015). </w:t>
      </w:r>
      <w:r w:rsidDel="00000000" w:rsidR="00000000" w:rsidRPr="00000000">
        <w:rPr>
          <w:i w:val="1"/>
          <w:sz w:val="24"/>
          <w:szCs w:val="24"/>
          <w:rtl w:val="0"/>
        </w:rPr>
        <w:t xml:space="preserve">Successful Futures</w:t>
      </w:r>
      <w:r w:rsidDel="00000000" w:rsidR="00000000" w:rsidRPr="00000000">
        <w:rPr>
          <w:sz w:val="24"/>
          <w:szCs w:val="24"/>
          <w:rtl w:val="0"/>
        </w:rPr>
        <w:t xml:space="preserve">. OGL.</w:t>
      </w:r>
    </w:p>
    <w:p w:rsidR="00000000" w:rsidDel="00000000" w:rsidP="00000000" w:rsidRDefault="00000000" w:rsidRPr="00000000" w14:paraId="000000F4">
      <w:pPr>
        <w:ind w:left="0" w:firstLine="0"/>
        <w:rPr/>
      </w:pPr>
      <w:r w:rsidDel="00000000" w:rsidR="00000000" w:rsidRPr="00000000">
        <w:rPr>
          <w:rtl w:val="0"/>
        </w:rPr>
      </w:r>
    </w:p>
    <w:sectPr>
      <w:head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