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25F85E" w14:textId="3B2CEF16" w:rsidR="00382B7B" w:rsidRPr="006E3278" w:rsidRDefault="00382B7B" w:rsidP="00D13D3C">
      <w:pPr>
        <w:pStyle w:val="Default"/>
        <w:rPr>
          <w:rFonts w:ascii="Times New Roman" w:hAnsi="Times New Roman" w:cs="Times New Roman"/>
          <w:b/>
          <w:bCs/>
          <w:sz w:val="40"/>
          <w:szCs w:val="40"/>
        </w:rPr>
      </w:pPr>
      <w:r w:rsidRPr="006E3278">
        <w:rPr>
          <w:rFonts w:ascii="Times New Roman" w:hAnsi="Times New Roman" w:cs="Times New Roman"/>
          <w:b/>
          <w:bCs/>
          <w:sz w:val="40"/>
          <w:szCs w:val="40"/>
        </w:rPr>
        <w:t xml:space="preserve">Amy Shaw </w:t>
      </w:r>
    </w:p>
    <w:p w14:paraId="4793A873" w14:textId="2A38E693" w:rsidR="00382B7B" w:rsidRPr="006E3278" w:rsidRDefault="00382B7B" w:rsidP="00D13D3C">
      <w:pPr>
        <w:pStyle w:val="Default"/>
        <w:rPr>
          <w:rFonts w:ascii="Times New Roman" w:hAnsi="Times New Roman" w:cs="Times New Roman"/>
          <w:b/>
          <w:bCs/>
          <w:sz w:val="40"/>
          <w:szCs w:val="40"/>
        </w:rPr>
      </w:pPr>
      <w:r w:rsidRPr="006E3278">
        <w:rPr>
          <w:rFonts w:ascii="Times New Roman" w:hAnsi="Times New Roman" w:cs="Times New Roman"/>
          <w:b/>
          <w:bCs/>
          <w:sz w:val="40"/>
          <w:szCs w:val="40"/>
        </w:rPr>
        <w:t>Student ID: 2134315</w:t>
      </w:r>
    </w:p>
    <w:p w14:paraId="73E5E818" w14:textId="77777777" w:rsidR="00382B7B" w:rsidRDefault="00382B7B" w:rsidP="00D13D3C">
      <w:pPr>
        <w:pStyle w:val="Default"/>
        <w:rPr>
          <w:rFonts w:ascii="Times New Roman" w:hAnsi="Times New Roman" w:cs="Times New Roman"/>
          <w:sz w:val="22"/>
          <w:szCs w:val="22"/>
          <w:u w:val="single"/>
        </w:rPr>
      </w:pPr>
    </w:p>
    <w:p w14:paraId="7BCD6EEA" w14:textId="62B5CF7D" w:rsidR="00D13D3C" w:rsidRDefault="00D13D3C" w:rsidP="00D13D3C">
      <w:pPr>
        <w:pStyle w:val="Default"/>
        <w:rPr>
          <w:rFonts w:ascii="Times New Roman" w:hAnsi="Times New Roman" w:cs="Times New Roman"/>
          <w:sz w:val="22"/>
          <w:szCs w:val="22"/>
        </w:rPr>
      </w:pPr>
      <w:r w:rsidRPr="006C41DA">
        <w:rPr>
          <w:rFonts w:ascii="Times New Roman" w:hAnsi="Times New Roman" w:cs="Times New Roman"/>
          <w:sz w:val="22"/>
          <w:szCs w:val="22"/>
          <w:u w:val="single"/>
        </w:rPr>
        <w:t>What factors</w:t>
      </w:r>
      <w:r>
        <w:rPr>
          <w:rFonts w:ascii="Times New Roman" w:hAnsi="Times New Roman" w:cs="Times New Roman"/>
          <w:sz w:val="22"/>
          <w:szCs w:val="22"/>
        </w:rPr>
        <w:t xml:space="preserve"> or circumstances </w:t>
      </w:r>
      <w:r w:rsidRPr="006C41DA">
        <w:rPr>
          <w:rFonts w:ascii="Times New Roman" w:hAnsi="Times New Roman" w:cs="Times New Roman"/>
          <w:sz w:val="22"/>
          <w:szCs w:val="22"/>
          <w:u w:val="single"/>
        </w:rPr>
        <w:t xml:space="preserve">affect </w:t>
      </w:r>
      <w:r>
        <w:rPr>
          <w:rFonts w:ascii="Times New Roman" w:hAnsi="Times New Roman" w:cs="Times New Roman"/>
          <w:sz w:val="22"/>
          <w:szCs w:val="22"/>
        </w:rPr>
        <w:t xml:space="preserve">the police’s role </w:t>
      </w:r>
      <w:r w:rsidRPr="006C41DA">
        <w:rPr>
          <w:rFonts w:ascii="Times New Roman" w:hAnsi="Times New Roman" w:cs="Times New Roman"/>
          <w:sz w:val="22"/>
          <w:szCs w:val="22"/>
          <w:u w:val="single"/>
        </w:rPr>
        <w:t>within joint emergency services operations</w:t>
      </w:r>
      <w:r>
        <w:rPr>
          <w:rFonts w:ascii="Times New Roman" w:hAnsi="Times New Roman" w:cs="Times New Roman"/>
          <w:sz w:val="22"/>
          <w:szCs w:val="22"/>
        </w:rPr>
        <w:t xml:space="preserve">? </w:t>
      </w:r>
      <w:r w:rsidRPr="006C41DA">
        <w:rPr>
          <w:rFonts w:ascii="Times New Roman" w:hAnsi="Times New Roman" w:cs="Times New Roman"/>
          <w:sz w:val="22"/>
          <w:szCs w:val="22"/>
          <w:u w:val="single"/>
        </w:rPr>
        <w:t>How</w:t>
      </w:r>
      <w:r>
        <w:rPr>
          <w:rFonts w:ascii="Times New Roman" w:hAnsi="Times New Roman" w:cs="Times New Roman"/>
          <w:sz w:val="22"/>
          <w:szCs w:val="22"/>
        </w:rPr>
        <w:t xml:space="preserve"> has the </w:t>
      </w:r>
      <w:r w:rsidRPr="006C41DA">
        <w:rPr>
          <w:rFonts w:ascii="Times New Roman" w:hAnsi="Times New Roman" w:cs="Times New Roman"/>
          <w:sz w:val="22"/>
          <w:szCs w:val="22"/>
          <w:u w:val="single"/>
        </w:rPr>
        <w:t>police’s role changed</w:t>
      </w:r>
      <w:r>
        <w:rPr>
          <w:rFonts w:ascii="Times New Roman" w:hAnsi="Times New Roman" w:cs="Times New Roman"/>
          <w:sz w:val="22"/>
          <w:szCs w:val="22"/>
        </w:rPr>
        <w:t xml:space="preserve"> to reflect best practice </w:t>
      </w:r>
      <w:r w:rsidRPr="006C41DA">
        <w:rPr>
          <w:rFonts w:ascii="Times New Roman" w:hAnsi="Times New Roman" w:cs="Times New Roman"/>
          <w:sz w:val="22"/>
          <w:szCs w:val="22"/>
          <w:u w:val="single"/>
        </w:rPr>
        <w:t>learned from previous high-profile</w:t>
      </w:r>
      <w:r>
        <w:rPr>
          <w:rFonts w:ascii="Times New Roman" w:hAnsi="Times New Roman" w:cs="Times New Roman"/>
          <w:sz w:val="22"/>
          <w:szCs w:val="22"/>
        </w:rPr>
        <w:t xml:space="preserve"> major incidents?</w:t>
      </w:r>
    </w:p>
    <w:p w14:paraId="4B4D3AC7" w14:textId="697E1484" w:rsidR="00D13D3C" w:rsidRDefault="00D13D3C" w:rsidP="00D13D3C">
      <w:pPr>
        <w:pStyle w:val="Default"/>
        <w:rPr>
          <w:rFonts w:ascii="Times New Roman" w:hAnsi="Times New Roman" w:cs="Times New Roman"/>
          <w:sz w:val="22"/>
          <w:szCs w:val="22"/>
        </w:rPr>
      </w:pPr>
      <w:r>
        <w:rPr>
          <w:rFonts w:ascii="Times New Roman" w:hAnsi="Times New Roman" w:cs="Times New Roman"/>
          <w:sz w:val="22"/>
          <w:szCs w:val="22"/>
        </w:rPr>
        <w:t xml:space="preserve">Your answer must be based on academic </w:t>
      </w:r>
      <w:proofErr w:type="gramStart"/>
      <w:r>
        <w:rPr>
          <w:rFonts w:ascii="Times New Roman" w:hAnsi="Times New Roman" w:cs="Times New Roman"/>
          <w:sz w:val="22"/>
          <w:szCs w:val="22"/>
        </w:rPr>
        <w:t>research</w:t>
      </w:r>
      <w:proofErr w:type="gramEnd"/>
      <w:r>
        <w:rPr>
          <w:rFonts w:ascii="Times New Roman" w:hAnsi="Times New Roman" w:cs="Times New Roman"/>
          <w:sz w:val="22"/>
          <w:szCs w:val="22"/>
        </w:rPr>
        <w:t xml:space="preserve"> but you may make reference to relevant high-profile incidents. </w:t>
      </w:r>
      <w:r w:rsidR="005044E7">
        <w:rPr>
          <w:rFonts w:ascii="Times New Roman" w:hAnsi="Times New Roman" w:cs="Times New Roman"/>
          <w:sz w:val="22"/>
          <w:szCs w:val="22"/>
        </w:rPr>
        <w:t>(2000 words)</w:t>
      </w:r>
    </w:p>
    <w:p w14:paraId="3BDC0A01" w14:textId="77777777" w:rsidR="00D13D3C" w:rsidRDefault="00D13D3C" w:rsidP="00D13D3C">
      <w:pPr>
        <w:pStyle w:val="Default"/>
        <w:rPr>
          <w:rFonts w:ascii="Times New Roman" w:hAnsi="Times New Roman" w:cs="Times New Roman"/>
          <w:sz w:val="22"/>
          <w:szCs w:val="22"/>
        </w:rPr>
      </w:pPr>
    </w:p>
    <w:p w14:paraId="1325111B" w14:textId="51CD4BB6" w:rsidR="00D13D3C" w:rsidRPr="00DB05D1" w:rsidRDefault="00D13D3C" w:rsidP="00DB05D1">
      <w:pPr>
        <w:pStyle w:val="Default"/>
        <w:jc w:val="both"/>
        <w:rPr>
          <w:rFonts w:ascii="Times New Roman" w:hAnsi="Times New Roman" w:cs="Times New Roman"/>
          <w:sz w:val="22"/>
          <w:szCs w:val="22"/>
        </w:rPr>
      </w:pPr>
      <w:r w:rsidRPr="00DB05D1">
        <w:rPr>
          <w:rFonts w:ascii="Times New Roman" w:hAnsi="Times New Roman" w:cs="Times New Roman"/>
          <w:sz w:val="22"/>
          <w:szCs w:val="22"/>
        </w:rPr>
        <w:t xml:space="preserve">The following essay will </w:t>
      </w:r>
      <w:r w:rsidR="00BF1793" w:rsidRPr="00DB05D1">
        <w:rPr>
          <w:rFonts w:ascii="Times New Roman" w:hAnsi="Times New Roman" w:cs="Times New Roman"/>
          <w:sz w:val="22"/>
          <w:szCs w:val="22"/>
        </w:rPr>
        <w:t>consider</w:t>
      </w:r>
      <w:r w:rsidRPr="00DB05D1">
        <w:rPr>
          <w:rFonts w:ascii="Times New Roman" w:hAnsi="Times New Roman" w:cs="Times New Roman"/>
          <w:sz w:val="22"/>
          <w:szCs w:val="22"/>
        </w:rPr>
        <w:t xml:space="preserve"> what factors are or have impacted the role the police when dealing with joint operations and this will be analysed by using </w:t>
      </w:r>
      <w:r w:rsidR="00B36313">
        <w:rPr>
          <w:rFonts w:ascii="Times New Roman" w:hAnsi="Times New Roman" w:cs="Times New Roman"/>
          <w:sz w:val="22"/>
          <w:szCs w:val="22"/>
        </w:rPr>
        <w:t xml:space="preserve">two </w:t>
      </w:r>
      <w:r w:rsidRPr="00DB05D1">
        <w:rPr>
          <w:rFonts w:ascii="Times New Roman" w:hAnsi="Times New Roman" w:cs="Times New Roman"/>
          <w:sz w:val="22"/>
          <w:szCs w:val="22"/>
        </w:rPr>
        <w:t xml:space="preserve">relevant high-profile incidents as well as any research about them.  </w:t>
      </w:r>
      <w:r w:rsidR="00C743D9" w:rsidRPr="00DB05D1">
        <w:rPr>
          <w:rFonts w:ascii="Times New Roman" w:hAnsi="Times New Roman" w:cs="Times New Roman"/>
          <w:sz w:val="22"/>
          <w:szCs w:val="22"/>
        </w:rPr>
        <w:t>In addition, the essay will examine how best practice is achieved by police and how this has changed, following the review of</w:t>
      </w:r>
      <w:r w:rsidR="00B36313">
        <w:rPr>
          <w:rFonts w:ascii="Times New Roman" w:hAnsi="Times New Roman" w:cs="Times New Roman"/>
          <w:sz w:val="22"/>
          <w:szCs w:val="22"/>
        </w:rPr>
        <w:t xml:space="preserve"> and any potential criticisms or learning points for</w:t>
      </w:r>
      <w:r w:rsidR="00C743D9" w:rsidRPr="00DB05D1">
        <w:rPr>
          <w:rFonts w:ascii="Times New Roman" w:hAnsi="Times New Roman" w:cs="Times New Roman"/>
          <w:sz w:val="22"/>
          <w:szCs w:val="22"/>
        </w:rPr>
        <w:t xml:space="preserve"> high-profile incidents. </w:t>
      </w:r>
    </w:p>
    <w:p w14:paraId="1CF9FC95" w14:textId="77777777" w:rsidR="009F1CFC" w:rsidRPr="00DB05D1" w:rsidRDefault="009F1CFC" w:rsidP="00DB05D1">
      <w:pPr>
        <w:pStyle w:val="Default"/>
        <w:jc w:val="both"/>
        <w:rPr>
          <w:rFonts w:ascii="Times New Roman" w:hAnsi="Times New Roman" w:cs="Times New Roman"/>
          <w:sz w:val="22"/>
          <w:szCs w:val="22"/>
        </w:rPr>
      </w:pPr>
    </w:p>
    <w:p w14:paraId="7968F0CA" w14:textId="1A9FCA0D" w:rsidR="00C743D9" w:rsidRPr="00DB05D1" w:rsidRDefault="00C925A0" w:rsidP="00DB05D1">
      <w:pPr>
        <w:pStyle w:val="Default"/>
        <w:jc w:val="both"/>
        <w:rPr>
          <w:rFonts w:ascii="Times New Roman" w:hAnsi="Times New Roman" w:cs="Times New Roman"/>
          <w:sz w:val="22"/>
          <w:szCs w:val="22"/>
        </w:rPr>
      </w:pPr>
      <w:r w:rsidRPr="00DB05D1">
        <w:rPr>
          <w:rFonts w:ascii="Times New Roman" w:hAnsi="Times New Roman" w:cs="Times New Roman"/>
          <w:sz w:val="22"/>
          <w:szCs w:val="22"/>
        </w:rPr>
        <w:t>Firstly,</w:t>
      </w:r>
      <w:r w:rsidR="009F1CFC" w:rsidRPr="00DB05D1">
        <w:rPr>
          <w:rFonts w:ascii="Times New Roman" w:hAnsi="Times New Roman" w:cs="Times New Roman"/>
          <w:sz w:val="22"/>
          <w:szCs w:val="22"/>
        </w:rPr>
        <w:t xml:space="preserve"> to set ou</w:t>
      </w:r>
      <w:r w:rsidRPr="00DB05D1">
        <w:rPr>
          <w:rFonts w:ascii="Times New Roman" w:hAnsi="Times New Roman" w:cs="Times New Roman"/>
          <w:sz w:val="22"/>
          <w:szCs w:val="22"/>
        </w:rPr>
        <w:t>t</w:t>
      </w:r>
      <w:r w:rsidR="009F1CFC" w:rsidRPr="00DB05D1">
        <w:rPr>
          <w:rFonts w:ascii="Times New Roman" w:hAnsi="Times New Roman" w:cs="Times New Roman"/>
          <w:sz w:val="22"/>
          <w:szCs w:val="22"/>
        </w:rPr>
        <w:t xml:space="preserve"> clear policy for blue light services and in response to a report published in 2012 by the Association of Chief Police Officers, Chief Fire Officers Association (National Resilience), and Association of Ambulance Chief Executives (AACE), the Joint Emergency Services Interoperability Programme (JESIP) </w:t>
      </w:r>
      <w:r w:rsidR="009F1CFC" w:rsidRPr="00DB05D1">
        <w:rPr>
          <w:rFonts w:ascii="Times New Roman" w:hAnsi="Times New Roman" w:cs="Times New Roman"/>
          <w:sz w:val="22"/>
          <w:szCs w:val="22"/>
        </w:rPr>
        <w:lastRenderedPageBreak/>
        <w:t>was created</w:t>
      </w:r>
      <w:r w:rsidR="00933E7D" w:rsidRPr="00DB05D1">
        <w:rPr>
          <w:rFonts w:ascii="Times New Roman" w:hAnsi="Times New Roman" w:cs="Times New Roman"/>
          <w:sz w:val="22"/>
          <w:szCs w:val="22"/>
        </w:rPr>
        <w:t xml:space="preserve"> </w:t>
      </w:r>
      <w:sdt>
        <w:sdtPr>
          <w:rPr>
            <w:rFonts w:ascii="Times New Roman" w:hAnsi="Times New Roman" w:cs="Times New Roman"/>
            <w:sz w:val="22"/>
            <w:szCs w:val="22"/>
          </w:rPr>
          <w:id w:val="-551770909"/>
          <w:citation/>
        </w:sdtPr>
        <w:sdtEndPr/>
        <w:sdtContent>
          <w:r w:rsidR="00933E7D" w:rsidRPr="00DB05D1">
            <w:rPr>
              <w:rFonts w:ascii="Times New Roman" w:hAnsi="Times New Roman" w:cs="Times New Roman"/>
              <w:sz w:val="22"/>
              <w:szCs w:val="22"/>
            </w:rPr>
            <w:fldChar w:fldCharType="begin"/>
          </w:r>
          <w:r w:rsidR="00933E7D" w:rsidRPr="00DB05D1">
            <w:rPr>
              <w:rFonts w:ascii="Times New Roman" w:hAnsi="Times New Roman" w:cs="Times New Roman"/>
              <w:sz w:val="22"/>
              <w:szCs w:val="22"/>
            </w:rPr>
            <w:instrText xml:space="preserve"> CITATION HMI18 \l 2057 </w:instrText>
          </w:r>
          <w:r w:rsidR="00933E7D" w:rsidRPr="00DB05D1">
            <w:rPr>
              <w:rFonts w:ascii="Times New Roman" w:hAnsi="Times New Roman" w:cs="Times New Roman"/>
              <w:sz w:val="22"/>
              <w:szCs w:val="22"/>
            </w:rPr>
            <w:fldChar w:fldCharType="separate"/>
          </w:r>
          <w:r w:rsidR="00933E7D" w:rsidRPr="00DB05D1">
            <w:rPr>
              <w:rFonts w:ascii="Times New Roman" w:hAnsi="Times New Roman" w:cs="Times New Roman"/>
              <w:noProof/>
              <w:sz w:val="22"/>
              <w:szCs w:val="22"/>
            </w:rPr>
            <w:t>(HMICFRS, 2018)</w:t>
          </w:r>
          <w:r w:rsidR="00933E7D" w:rsidRPr="00DB05D1">
            <w:rPr>
              <w:rFonts w:ascii="Times New Roman" w:hAnsi="Times New Roman" w:cs="Times New Roman"/>
              <w:sz w:val="22"/>
              <w:szCs w:val="22"/>
            </w:rPr>
            <w:fldChar w:fldCharType="end"/>
          </w:r>
        </w:sdtContent>
      </w:sdt>
      <w:r w:rsidR="00933E7D" w:rsidRPr="00DB05D1">
        <w:rPr>
          <w:rFonts w:ascii="Times New Roman" w:hAnsi="Times New Roman" w:cs="Times New Roman"/>
          <w:sz w:val="22"/>
          <w:szCs w:val="22"/>
        </w:rPr>
        <w:t xml:space="preserve">. JESIP was formed as from analyses conducted in the wake of significant events like the London bombings of July 2005, which documented deficiencies and inadequacies in the interoperability of the systems, although this is not the only instance. </w:t>
      </w:r>
    </w:p>
    <w:p w14:paraId="27E64B9C" w14:textId="77777777" w:rsidR="00C925A0" w:rsidRPr="00DB05D1" w:rsidRDefault="00C925A0" w:rsidP="00DB05D1">
      <w:pPr>
        <w:pStyle w:val="Default"/>
        <w:jc w:val="both"/>
        <w:rPr>
          <w:rFonts w:ascii="Times New Roman" w:hAnsi="Times New Roman" w:cs="Times New Roman"/>
          <w:sz w:val="22"/>
          <w:szCs w:val="22"/>
        </w:rPr>
      </w:pPr>
    </w:p>
    <w:p w14:paraId="4CA642CF" w14:textId="7F36D822" w:rsidR="00C925A0" w:rsidRPr="00DB05D1" w:rsidRDefault="00C925A0" w:rsidP="00DB05D1">
      <w:pPr>
        <w:pStyle w:val="Default"/>
        <w:jc w:val="both"/>
        <w:rPr>
          <w:rFonts w:ascii="Times New Roman" w:hAnsi="Times New Roman" w:cs="Times New Roman"/>
          <w:sz w:val="22"/>
          <w:szCs w:val="22"/>
        </w:rPr>
      </w:pPr>
      <w:r w:rsidRPr="00DB05D1">
        <w:rPr>
          <w:rFonts w:ascii="Times New Roman" w:hAnsi="Times New Roman" w:cs="Times New Roman"/>
          <w:sz w:val="22"/>
          <w:szCs w:val="22"/>
        </w:rPr>
        <w:t xml:space="preserve">It is important to </w:t>
      </w:r>
      <w:r w:rsidR="000C3234" w:rsidRPr="00DB05D1">
        <w:rPr>
          <w:rFonts w:ascii="Times New Roman" w:hAnsi="Times New Roman" w:cs="Times New Roman"/>
          <w:sz w:val="22"/>
          <w:szCs w:val="22"/>
        </w:rPr>
        <w:t xml:space="preserve">also </w:t>
      </w:r>
      <w:r w:rsidRPr="00DB05D1">
        <w:rPr>
          <w:rFonts w:ascii="Times New Roman" w:hAnsi="Times New Roman" w:cs="Times New Roman"/>
          <w:sz w:val="22"/>
          <w:szCs w:val="22"/>
        </w:rPr>
        <w:t xml:space="preserve">understand what joint emergency services operations are defined as. </w:t>
      </w:r>
      <w:r w:rsidR="000C3234" w:rsidRPr="00DB05D1">
        <w:rPr>
          <w:rFonts w:ascii="Times New Roman" w:hAnsi="Times New Roman" w:cs="Times New Roman"/>
          <w:sz w:val="22"/>
          <w:szCs w:val="22"/>
        </w:rPr>
        <w:t xml:space="preserve">JESIP state “A number of organisations working together on a course, or courses of action, to achieve agreed emergency response objectives. The public expects that the emergency services will work together, particularly in the initial response emergency, in order to preserve life and reduce harm” </w:t>
      </w:r>
      <w:sdt>
        <w:sdtPr>
          <w:rPr>
            <w:rFonts w:ascii="Times New Roman" w:hAnsi="Times New Roman" w:cs="Times New Roman"/>
            <w:sz w:val="22"/>
            <w:szCs w:val="22"/>
          </w:rPr>
          <w:id w:val="-1986009361"/>
          <w:citation/>
        </w:sdtPr>
        <w:sdtEndPr/>
        <w:sdtContent>
          <w:r w:rsidR="000C3234" w:rsidRPr="00DB05D1">
            <w:rPr>
              <w:rFonts w:ascii="Times New Roman" w:hAnsi="Times New Roman" w:cs="Times New Roman"/>
              <w:sz w:val="22"/>
              <w:szCs w:val="22"/>
            </w:rPr>
            <w:fldChar w:fldCharType="begin"/>
          </w:r>
          <w:r w:rsidR="000C3234" w:rsidRPr="00DB05D1">
            <w:rPr>
              <w:rFonts w:ascii="Times New Roman" w:hAnsi="Times New Roman" w:cs="Times New Roman"/>
              <w:sz w:val="22"/>
              <w:szCs w:val="22"/>
            </w:rPr>
            <w:instrText xml:space="preserve"> CITATION JESnd \l 2057 </w:instrText>
          </w:r>
          <w:r w:rsidR="000C3234" w:rsidRPr="00DB05D1">
            <w:rPr>
              <w:rFonts w:ascii="Times New Roman" w:hAnsi="Times New Roman" w:cs="Times New Roman"/>
              <w:sz w:val="22"/>
              <w:szCs w:val="22"/>
            </w:rPr>
            <w:fldChar w:fldCharType="separate"/>
          </w:r>
          <w:r w:rsidR="000C3234" w:rsidRPr="00DB05D1">
            <w:rPr>
              <w:rFonts w:ascii="Times New Roman" w:hAnsi="Times New Roman" w:cs="Times New Roman"/>
              <w:noProof/>
              <w:sz w:val="22"/>
              <w:szCs w:val="22"/>
            </w:rPr>
            <w:t>(JESIP, n.d.)</w:t>
          </w:r>
          <w:r w:rsidR="000C3234" w:rsidRPr="00DB05D1">
            <w:rPr>
              <w:rFonts w:ascii="Times New Roman" w:hAnsi="Times New Roman" w:cs="Times New Roman"/>
              <w:sz w:val="22"/>
              <w:szCs w:val="22"/>
            </w:rPr>
            <w:fldChar w:fldCharType="end"/>
          </w:r>
        </w:sdtContent>
      </w:sdt>
      <w:r w:rsidR="000C3234" w:rsidRPr="00DB05D1">
        <w:rPr>
          <w:rFonts w:ascii="Times New Roman" w:hAnsi="Times New Roman" w:cs="Times New Roman"/>
          <w:sz w:val="22"/>
          <w:szCs w:val="22"/>
        </w:rPr>
        <w:t>. Priorities for each individual service; police, fire and rescue, or ambulance services, shouldn't take precedence over the level of multiagency cooperation necessary to function as a cohesive team. The goal is to accomplish the mutually agreed-upon Objectives for a successful response by making the greatest possible use of all the resources at hand.  Ensuring that the operations of one response service do not hinder or diminish the effectiveness of another is crucial.</w:t>
      </w:r>
    </w:p>
    <w:p w14:paraId="1A34C295" w14:textId="77777777" w:rsidR="00C57E75" w:rsidRPr="00DB05D1" w:rsidRDefault="00C57E75" w:rsidP="00DB05D1">
      <w:pPr>
        <w:pStyle w:val="Default"/>
        <w:jc w:val="both"/>
        <w:rPr>
          <w:rFonts w:ascii="Times New Roman" w:hAnsi="Times New Roman" w:cs="Times New Roman"/>
          <w:sz w:val="22"/>
          <w:szCs w:val="22"/>
        </w:rPr>
      </w:pPr>
    </w:p>
    <w:p w14:paraId="0811EF84" w14:textId="583ADEDF" w:rsidR="00C90D0F" w:rsidRPr="00DB05D1" w:rsidRDefault="00C57E75" w:rsidP="00DB05D1">
      <w:pPr>
        <w:pStyle w:val="Default"/>
        <w:jc w:val="both"/>
        <w:rPr>
          <w:rFonts w:ascii="Times New Roman" w:hAnsi="Times New Roman" w:cs="Times New Roman"/>
          <w:sz w:val="22"/>
          <w:szCs w:val="22"/>
        </w:rPr>
      </w:pPr>
      <w:r w:rsidRPr="00DB05D1">
        <w:rPr>
          <w:rFonts w:ascii="Times New Roman" w:hAnsi="Times New Roman" w:cs="Times New Roman"/>
          <w:sz w:val="22"/>
          <w:szCs w:val="22"/>
        </w:rPr>
        <w:t xml:space="preserve">JESIP outlined 5 principles for joint working where they suggest that regardless of the incident's size or spontaneity, the principles of </w:t>
      </w:r>
      <w:r w:rsidRPr="00DB05D1">
        <w:rPr>
          <w:rFonts w:ascii="Times New Roman" w:hAnsi="Times New Roman" w:cs="Times New Roman"/>
          <w:sz w:val="22"/>
          <w:szCs w:val="22"/>
        </w:rPr>
        <w:lastRenderedPageBreak/>
        <w:t xml:space="preserve">cooperative teamwork should be applied at all stages. The principles are intended to give structure to the reaction to all incidents and assist in the formation of a multi-agency response. The recuperation stage is another time when the concepts can be used </w:t>
      </w:r>
      <w:sdt>
        <w:sdtPr>
          <w:rPr>
            <w:rFonts w:ascii="Times New Roman" w:hAnsi="Times New Roman" w:cs="Times New Roman"/>
            <w:sz w:val="22"/>
            <w:szCs w:val="22"/>
          </w:rPr>
          <w:id w:val="-1642731713"/>
          <w:citation/>
        </w:sdtPr>
        <w:sdtEndPr/>
        <w:sdtContent>
          <w:r w:rsidRPr="00DB05D1">
            <w:rPr>
              <w:rFonts w:ascii="Times New Roman" w:hAnsi="Times New Roman" w:cs="Times New Roman"/>
              <w:sz w:val="22"/>
              <w:szCs w:val="22"/>
            </w:rPr>
            <w:fldChar w:fldCharType="begin"/>
          </w:r>
          <w:r w:rsidRPr="00DB05D1">
            <w:rPr>
              <w:rFonts w:ascii="Times New Roman" w:hAnsi="Times New Roman" w:cs="Times New Roman"/>
              <w:sz w:val="22"/>
              <w:szCs w:val="22"/>
            </w:rPr>
            <w:instrText xml:space="preserve"> CITATION JESnd1 \l 2057 </w:instrText>
          </w:r>
          <w:r w:rsidRPr="00DB05D1">
            <w:rPr>
              <w:rFonts w:ascii="Times New Roman" w:hAnsi="Times New Roman" w:cs="Times New Roman"/>
              <w:sz w:val="22"/>
              <w:szCs w:val="22"/>
            </w:rPr>
            <w:fldChar w:fldCharType="separate"/>
          </w:r>
          <w:r w:rsidRPr="00DB05D1">
            <w:rPr>
              <w:rFonts w:ascii="Times New Roman" w:hAnsi="Times New Roman" w:cs="Times New Roman"/>
              <w:noProof/>
              <w:sz w:val="22"/>
              <w:szCs w:val="22"/>
            </w:rPr>
            <w:t>(JESIP, n.d.)</w:t>
          </w:r>
          <w:r w:rsidRPr="00DB05D1">
            <w:rPr>
              <w:rFonts w:ascii="Times New Roman" w:hAnsi="Times New Roman" w:cs="Times New Roman"/>
              <w:sz w:val="22"/>
              <w:szCs w:val="22"/>
            </w:rPr>
            <w:fldChar w:fldCharType="end"/>
          </w:r>
        </w:sdtContent>
      </w:sdt>
      <w:r w:rsidRPr="00DB05D1">
        <w:rPr>
          <w:rFonts w:ascii="Times New Roman" w:hAnsi="Times New Roman" w:cs="Times New Roman"/>
          <w:sz w:val="22"/>
          <w:szCs w:val="22"/>
        </w:rPr>
        <w:t xml:space="preserve">. The suggested sequence for the principles is to co-locate, where services effectively meet at an obviously identifiable but safe point. This allows services to communicate, the second principle, where it is </w:t>
      </w:r>
      <w:r w:rsidR="00E81AAA" w:rsidRPr="00DB05D1">
        <w:rPr>
          <w:rFonts w:ascii="Times New Roman" w:hAnsi="Times New Roman" w:cs="Times New Roman"/>
          <w:sz w:val="22"/>
          <w:szCs w:val="22"/>
        </w:rPr>
        <w:t>outlined,</w:t>
      </w:r>
      <w:r w:rsidR="00BF1793" w:rsidRPr="00DB05D1">
        <w:rPr>
          <w:rFonts w:ascii="Times New Roman" w:hAnsi="Times New Roman" w:cs="Times New Roman"/>
          <w:sz w:val="22"/>
          <w:szCs w:val="22"/>
        </w:rPr>
        <w:t xml:space="preserve"> </w:t>
      </w:r>
      <w:r w:rsidRPr="00DB05D1">
        <w:rPr>
          <w:rFonts w:ascii="Times New Roman" w:hAnsi="Times New Roman" w:cs="Times New Roman"/>
          <w:sz w:val="22"/>
          <w:szCs w:val="22"/>
        </w:rPr>
        <w:t>that language is easily understood by all personnel</w:t>
      </w:r>
      <w:r w:rsidR="00C90D0F" w:rsidRPr="00DB05D1">
        <w:rPr>
          <w:rFonts w:ascii="Times New Roman" w:hAnsi="Times New Roman" w:cs="Times New Roman"/>
          <w:sz w:val="22"/>
          <w:szCs w:val="22"/>
        </w:rPr>
        <w:t xml:space="preserve"> and is clear. Third, is </w:t>
      </w:r>
      <w:r w:rsidR="00647FA9" w:rsidRPr="00DB05D1">
        <w:rPr>
          <w:rFonts w:ascii="Times New Roman" w:hAnsi="Times New Roman" w:cs="Times New Roman"/>
          <w:sz w:val="22"/>
          <w:szCs w:val="22"/>
        </w:rPr>
        <w:t>co-ordinate,</w:t>
      </w:r>
      <w:r w:rsidR="00C90D0F" w:rsidRPr="00DB05D1">
        <w:rPr>
          <w:rFonts w:ascii="Times New Roman" w:hAnsi="Times New Roman" w:cs="Times New Roman"/>
          <w:sz w:val="22"/>
          <w:szCs w:val="22"/>
        </w:rPr>
        <w:t xml:space="preserve"> deciding on a leading service, and determining the necessary time for more meetings as well as the priorities, resources, capabilities, and constraints for a successful response.</w:t>
      </w:r>
      <w:r w:rsidR="003D72AB" w:rsidRPr="00DB05D1">
        <w:rPr>
          <w:rFonts w:ascii="Times New Roman" w:hAnsi="Times New Roman" w:cs="Times New Roman"/>
          <w:sz w:val="22"/>
          <w:szCs w:val="22"/>
        </w:rPr>
        <w:t xml:space="preserve">  This leads to involved services exchanging knowledge regarding the possibility and possible consequences of threats and hazards, w</w:t>
      </w:r>
      <w:r w:rsidR="00647FA9" w:rsidRPr="00DB05D1">
        <w:rPr>
          <w:rFonts w:ascii="Times New Roman" w:hAnsi="Times New Roman" w:cs="Times New Roman"/>
          <w:sz w:val="22"/>
          <w:szCs w:val="22"/>
        </w:rPr>
        <w:t>ho</w:t>
      </w:r>
      <w:r w:rsidR="003D72AB" w:rsidRPr="00DB05D1">
        <w:rPr>
          <w:rFonts w:ascii="Times New Roman" w:hAnsi="Times New Roman" w:cs="Times New Roman"/>
          <w:sz w:val="22"/>
          <w:szCs w:val="22"/>
        </w:rPr>
        <w:t xml:space="preserve"> </w:t>
      </w:r>
      <w:r w:rsidR="00647FA9" w:rsidRPr="00DB05D1">
        <w:rPr>
          <w:rFonts w:ascii="Times New Roman" w:hAnsi="Times New Roman" w:cs="Times New Roman"/>
          <w:sz w:val="22"/>
          <w:szCs w:val="22"/>
        </w:rPr>
        <w:t>should</w:t>
      </w:r>
      <w:r w:rsidR="003D72AB" w:rsidRPr="00DB05D1">
        <w:rPr>
          <w:rFonts w:ascii="Times New Roman" w:hAnsi="Times New Roman" w:cs="Times New Roman"/>
          <w:sz w:val="22"/>
          <w:szCs w:val="22"/>
        </w:rPr>
        <w:t xml:space="preserve"> collectively assess risk and decide on the best course of action for control. The final principle is exhibiting shared situational awareness by utilizing the Joint Decision Model (JDM) and M/ETHANE.</w:t>
      </w:r>
    </w:p>
    <w:p w14:paraId="4AD0E365" w14:textId="6512086D" w:rsidR="00A75616" w:rsidRPr="00DB05D1" w:rsidRDefault="00A75616" w:rsidP="00DB05D1">
      <w:pPr>
        <w:pStyle w:val="Default"/>
        <w:jc w:val="both"/>
        <w:rPr>
          <w:rFonts w:ascii="Times New Roman" w:hAnsi="Times New Roman" w:cs="Times New Roman"/>
          <w:sz w:val="22"/>
          <w:szCs w:val="22"/>
        </w:rPr>
      </w:pPr>
    </w:p>
    <w:p w14:paraId="783F1D87" w14:textId="670DBA8B" w:rsidR="00BF60D7" w:rsidRPr="00DB05D1" w:rsidRDefault="003510DD" w:rsidP="00DB05D1">
      <w:pPr>
        <w:jc w:val="both"/>
        <w:rPr>
          <w:sz w:val="22"/>
          <w:szCs w:val="22"/>
        </w:rPr>
      </w:pPr>
      <w:r w:rsidRPr="00DB05D1">
        <w:rPr>
          <w:sz w:val="22"/>
          <w:szCs w:val="22"/>
        </w:rPr>
        <w:t>Operation Plato is the process of identifying a Marauding Terrorist Attack (MTA)</w:t>
      </w:r>
      <w:r w:rsidR="00F45735" w:rsidRPr="00DB05D1">
        <w:rPr>
          <w:sz w:val="22"/>
          <w:szCs w:val="22"/>
        </w:rPr>
        <w:t xml:space="preserve"> in direct, unambiguous terms. All major agencies, including police, fire services and ambulance services and other relevant organisations have agreed to use Plato as the national identifier for no-notice attacks, with those agencies having also </w:t>
      </w:r>
      <w:r w:rsidR="00F45735" w:rsidRPr="00DB05D1">
        <w:rPr>
          <w:sz w:val="22"/>
          <w:szCs w:val="22"/>
        </w:rPr>
        <w:lastRenderedPageBreak/>
        <w:t xml:space="preserve">committed to adopting Joint Operating Principles to guarantee that their response is interoperable </w:t>
      </w:r>
      <w:sdt>
        <w:sdtPr>
          <w:rPr>
            <w:sz w:val="22"/>
            <w:szCs w:val="22"/>
          </w:rPr>
          <w:id w:val="1462070090"/>
          <w:citation/>
        </w:sdtPr>
        <w:sdtEndPr/>
        <w:sdtContent>
          <w:r w:rsidR="00F45735" w:rsidRPr="00DB05D1">
            <w:rPr>
              <w:sz w:val="22"/>
              <w:szCs w:val="22"/>
            </w:rPr>
            <w:fldChar w:fldCharType="begin"/>
          </w:r>
          <w:r w:rsidR="00F45735" w:rsidRPr="00DB05D1">
            <w:rPr>
              <w:sz w:val="22"/>
              <w:szCs w:val="22"/>
            </w:rPr>
            <w:instrText xml:space="preserve"> CITATION Nat23 \l 2057 </w:instrText>
          </w:r>
          <w:r w:rsidR="00F45735" w:rsidRPr="00DB05D1">
            <w:rPr>
              <w:sz w:val="22"/>
              <w:szCs w:val="22"/>
            </w:rPr>
            <w:fldChar w:fldCharType="separate"/>
          </w:r>
          <w:r w:rsidR="00F45735" w:rsidRPr="00DB05D1">
            <w:rPr>
              <w:noProof/>
              <w:sz w:val="22"/>
              <w:szCs w:val="22"/>
            </w:rPr>
            <w:t>(National Protective Security Authority, 2023)</w:t>
          </w:r>
          <w:r w:rsidR="00F45735" w:rsidRPr="00DB05D1">
            <w:rPr>
              <w:sz w:val="22"/>
              <w:szCs w:val="22"/>
            </w:rPr>
            <w:fldChar w:fldCharType="end"/>
          </w:r>
        </w:sdtContent>
      </w:sdt>
      <w:r w:rsidR="00F45735" w:rsidRPr="00DB05D1">
        <w:rPr>
          <w:sz w:val="22"/>
          <w:szCs w:val="22"/>
        </w:rPr>
        <w:t>.</w:t>
      </w:r>
      <w:r w:rsidR="00BF60D7" w:rsidRPr="00DB05D1">
        <w:rPr>
          <w:sz w:val="22"/>
          <w:szCs w:val="22"/>
        </w:rPr>
        <w:t xml:space="preserve"> Within the national guidance and agreement for Plato, MTA’s have been discussed as and considered to be a broad variety of attack techniques, ranging from low-tech attacks with automobiles or bladed weapons to more sophisticated ones with firearms or explosives.</w:t>
      </w:r>
    </w:p>
    <w:p w14:paraId="61A1A9B0" w14:textId="77777777" w:rsidR="003D72AB" w:rsidRPr="00DB05D1" w:rsidRDefault="003D72AB" w:rsidP="00DB05D1">
      <w:pPr>
        <w:pStyle w:val="Default"/>
        <w:jc w:val="both"/>
        <w:rPr>
          <w:rFonts w:ascii="Times New Roman" w:hAnsi="Times New Roman" w:cs="Times New Roman"/>
          <w:sz w:val="22"/>
          <w:szCs w:val="22"/>
        </w:rPr>
      </w:pPr>
    </w:p>
    <w:p w14:paraId="2B7D319A" w14:textId="393D052C" w:rsidR="00C90D0F" w:rsidRPr="00DB05D1" w:rsidRDefault="00661470" w:rsidP="00DB05D1">
      <w:pPr>
        <w:pStyle w:val="Default"/>
        <w:jc w:val="both"/>
        <w:rPr>
          <w:rFonts w:ascii="Times New Roman" w:hAnsi="Times New Roman" w:cs="Times New Roman"/>
          <w:color w:val="auto"/>
          <w:sz w:val="22"/>
          <w:szCs w:val="22"/>
        </w:rPr>
      </w:pPr>
      <w:r w:rsidRPr="00DB05D1">
        <w:rPr>
          <w:rFonts w:ascii="Times New Roman" w:hAnsi="Times New Roman" w:cs="Times New Roman"/>
          <w:sz w:val="22"/>
          <w:szCs w:val="22"/>
        </w:rPr>
        <w:t>In 2017, both Greater Manchester</w:t>
      </w:r>
      <w:r w:rsidR="00EC3A39" w:rsidRPr="00DB05D1">
        <w:rPr>
          <w:rFonts w:ascii="Times New Roman" w:hAnsi="Times New Roman" w:cs="Times New Roman"/>
          <w:sz w:val="22"/>
          <w:szCs w:val="22"/>
        </w:rPr>
        <w:t xml:space="preserve"> (GMP)</w:t>
      </w:r>
      <w:r w:rsidRPr="00DB05D1">
        <w:rPr>
          <w:rFonts w:ascii="Times New Roman" w:hAnsi="Times New Roman" w:cs="Times New Roman"/>
          <w:sz w:val="22"/>
          <w:szCs w:val="22"/>
        </w:rPr>
        <w:t xml:space="preserve"> and the British Transport police were involved in dealing with a major incident within Manchester Arena which occurred </w:t>
      </w:r>
      <w:r w:rsidR="00BF1793" w:rsidRPr="00DB05D1">
        <w:rPr>
          <w:rFonts w:ascii="Times New Roman" w:hAnsi="Times New Roman" w:cs="Times New Roman"/>
          <w:sz w:val="22"/>
          <w:szCs w:val="22"/>
        </w:rPr>
        <w:t>because of</w:t>
      </w:r>
      <w:r w:rsidRPr="00DB05D1">
        <w:rPr>
          <w:rFonts w:ascii="Times New Roman" w:hAnsi="Times New Roman" w:cs="Times New Roman"/>
          <w:sz w:val="22"/>
          <w:szCs w:val="22"/>
        </w:rPr>
        <w:t xml:space="preserve"> a calculated, ruthless, and despicable act of terror being carried out, in which a</w:t>
      </w:r>
      <w:r w:rsidR="005A196E" w:rsidRPr="00DB05D1">
        <w:rPr>
          <w:rFonts w:ascii="Times New Roman" w:hAnsi="Times New Roman" w:cs="Times New Roman"/>
          <w:sz w:val="22"/>
          <w:szCs w:val="22"/>
        </w:rPr>
        <w:t>n improvised explosive device was detonated as concert goers left the site</w:t>
      </w:r>
      <w:r w:rsidR="00EC3A39" w:rsidRPr="00DB05D1">
        <w:rPr>
          <w:rFonts w:ascii="Times New Roman" w:hAnsi="Times New Roman" w:cs="Times New Roman"/>
          <w:sz w:val="22"/>
          <w:szCs w:val="22"/>
        </w:rPr>
        <w:t xml:space="preserve"> following completion of the show. This is known to be the largest incident of fatality and mass casualties since the London Bombings in 2005 </w:t>
      </w:r>
      <w:sdt>
        <w:sdtPr>
          <w:rPr>
            <w:rFonts w:ascii="Times New Roman" w:hAnsi="Times New Roman" w:cs="Times New Roman"/>
            <w:sz w:val="22"/>
            <w:szCs w:val="22"/>
          </w:rPr>
          <w:id w:val="-322591221"/>
          <w:citation/>
        </w:sdtPr>
        <w:sdtEndPr/>
        <w:sdtContent>
          <w:r w:rsidR="0012671D" w:rsidRPr="00DB05D1">
            <w:rPr>
              <w:rFonts w:ascii="Times New Roman" w:hAnsi="Times New Roman" w:cs="Times New Roman"/>
              <w:color w:val="auto"/>
              <w:sz w:val="22"/>
              <w:szCs w:val="22"/>
            </w:rPr>
            <w:fldChar w:fldCharType="begin"/>
          </w:r>
          <w:r w:rsidR="0012671D" w:rsidRPr="00DB05D1">
            <w:rPr>
              <w:rFonts w:ascii="Times New Roman" w:hAnsi="Times New Roman" w:cs="Times New Roman"/>
              <w:color w:val="auto"/>
              <w:sz w:val="22"/>
              <w:szCs w:val="22"/>
            </w:rPr>
            <w:instrText xml:space="preserve">CITATION Gre22 \l 2057 </w:instrText>
          </w:r>
          <w:r w:rsidR="0012671D" w:rsidRPr="00DB05D1">
            <w:rPr>
              <w:rFonts w:ascii="Times New Roman" w:hAnsi="Times New Roman" w:cs="Times New Roman"/>
              <w:color w:val="auto"/>
              <w:sz w:val="22"/>
              <w:szCs w:val="22"/>
            </w:rPr>
            <w:fldChar w:fldCharType="separate"/>
          </w:r>
          <w:r w:rsidR="0012671D" w:rsidRPr="00DB05D1">
            <w:rPr>
              <w:rFonts w:ascii="Times New Roman" w:hAnsi="Times New Roman" w:cs="Times New Roman"/>
              <w:noProof/>
              <w:color w:val="auto"/>
              <w:sz w:val="22"/>
              <w:szCs w:val="22"/>
            </w:rPr>
            <w:t>(Greater Manchester Police, 2022)</w:t>
          </w:r>
          <w:r w:rsidR="0012671D" w:rsidRPr="00DB05D1">
            <w:rPr>
              <w:rFonts w:ascii="Times New Roman" w:hAnsi="Times New Roman" w:cs="Times New Roman"/>
              <w:color w:val="auto"/>
              <w:sz w:val="22"/>
              <w:szCs w:val="22"/>
            </w:rPr>
            <w:fldChar w:fldCharType="end"/>
          </w:r>
        </w:sdtContent>
      </w:sdt>
      <w:r w:rsidR="0012671D" w:rsidRPr="00DB05D1">
        <w:rPr>
          <w:rFonts w:ascii="Times New Roman" w:hAnsi="Times New Roman" w:cs="Times New Roman"/>
          <w:sz w:val="22"/>
          <w:szCs w:val="22"/>
        </w:rPr>
        <w:t xml:space="preserve">. </w:t>
      </w:r>
      <w:r w:rsidR="004C2E8B" w:rsidRPr="00DB05D1">
        <w:rPr>
          <w:rFonts w:ascii="Times New Roman" w:hAnsi="Times New Roman" w:cs="Times New Roman"/>
          <w:color w:val="auto"/>
          <w:sz w:val="22"/>
          <w:szCs w:val="22"/>
        </w:rPr>
        <w:t xml:space="preserve">More than 1000 people sustained injuries, whilst 22 others were murdered. </w:t>
      </w:r>
      <w:r w:rsidR="0012671D" w:rsidRPr="00DB05D1">
        <w:rPr>
          <w:rFonts w:ascii="Times New Roman" w:hAnsi="Times New Roman" w:cs="Times New Roman"/>
          <w:color w:val="auto"/>
          <w:sz w:val="22"/>
          <w:szCs w:val="22"/>
        </w:rPr>
        <w:t>Within their statement in response to a final report written and published in 2022 by Sir John Saunders about the attack, GMP acknowledged that “p</w:t>
      </w:r>
      <w:r w:rsidR="0012671D" w:rsidRPr="00DB05D1">
        <w:rPr>
          <w:rFonts w:ascii="Times New Roman" w:hAnsi="Times New Roman" w:cs="Times New Roman"/>
          <w:color w:val="1F2025"/>
          <w:sz w:val="22"/>
          <w:szCs w:val="22"/>
          <w:shd w:val="clear" w:color="auto" w:fill="FFFFFF"/>
        </w:rPr>
        <w:t xml:space="preserve">oor communications, poor planning, inadequate training, and shortcomings in strategic leadership” had affected their response to the ferocious incident. </w:t>
      </w:r>
    </w:p>
    <w:p w14:paraId="16BD66B7" w14:textId="77777777" w:rsidR="00EC3A39" w:rsidRPr="00DB05D1" w:rsidRDefault="00EC3A39" w:rsidP="00DB05D1">
      <w:pPr>
        <w:pStyle w:val="Default"/>
        <w:jc w:val="both"/>
        <w:rPr>
          <w:rFonts w:ascii="Times New Roman" w:hAnsi="Times New Roman" w:cs="Times New Roman"/>
          <w:sz w:val="22"/>
          <w:szCs w:val="22"/>
        </w:rPr>
      </w:pPr>
    </w:p>
    <w:p w14:paraId="042570EF" w14:textId="25D3A7B2" w:rsidR="00BF3045" w:rsidRPr="00DB05D1" w:rsidRDefault="00EC3A39" w:rsidP="00DB05D1">
      <w:pPr>
        <w:pStyle w:val="Default"/>
        <w:jc w:val="both"/>
        <w:rPr>
          <w:rFonts w:ascii="Times New Roman" w:hAnsi="Times New Roman" w:cs="Times New Roman"/>
          <w:sz w:val="22"/>
          <w:szCs w:val="22"/>
        </w:rPr>
      </w:pPr>
      <w:r w:rsidRPr="00DB05D1">
        <w:rPr>
          <w:rFonts w:ascii="Times New Roman" w:hAnsi="Times New Roman" w:cs="Times New Roman"/>
          <w:sz w:val="22"/>
          <w:szCs w:val="22"/>
        </w:rPr>
        <w:lastRenderedPageBreak/>
        <w:t xml:space="preserve">Whilst GMP’s response to the attack was found by Lord Kerslake, who was responsible for undertaking and publishing the </w:t>
      </w:r>
      <w:r w:rsidR="0012671D" w:rsidRPr="00DB05D1">
        <w:rPr>
          <w:rFonts w:ascii="Times New Roman" w:hAnsi="Times New Roman" w:cs="Times New Roman"/>
          <w:sz w:val="22"/>
          <w:szCs w:val="22"/>
        </w:rPr>
        <w:t xml:space="preserve">initial </w:t>
      </w:r>
      <w:r w:rsidRPr="00DB05D1">
        <w:rPr>
          <w:rFonts w:ascii="Times New Roman" w:hAnsi="Times New Roman" w:cs="Times New Roman"/>
          <w:sz w:val="22"/>
          <w:szCs w:val="22"/>
        </w:rPr>
        <w:t xml:space="preserve">Manchester Arena </w:t>
      </w:r>
      <w:r w:rsidR="0012671D" w:rsidRPr="00DB05D1">
        <w:rPr>
          <w:rFonts w:ascii="Times New Roman" w:hAnsi="Times New Roman" w:cs="Times New Roman"/>
          <w:sz w:val="22"/>
          <w:szCs w:val="22"/>
        </w:rPr>
        <w:t>review</w:t>
      </w:r>
      <w:r w:rsidRPr="00DB05D1">
        <w:rPr>
          <w:rFonts w:ascii="Times New Roman" w:hAnsi="Times New Roman" w:cs="Times New Roman"/>
          <w:sz w:val="22"/>
          <w:szCs w:val="22"/>
        </w:rPr>
        <w:t xml:space="preserve">, </w:t>
      </w:r>
      <w:r w:rsidR="00813C89" w:rsidRPr="00DB05D1">
        <w:rPr>
          <w:rFonts w:ascii="Times New Roman" w:hAnsi="Times New Roman" w:cs="Times New Roman"/>
          <w:sz w:val="22"/>
          <w:szCs w:val="22"/>
        </w:rPr>
        <w:t xml:space="preserve">to be </w:t>
      </w:r>
      <w:r w:rsidRPr="00DB05D1">
        <w:rPr>
          <w:rFonts w:ascii="Times New Roman" w:hAnsi="Times New Roman" w:cs="Times New Roman"/>
          <w:sz w:val="22"/>
          <w:szCs w:val="22"/>
        </w:rPr>
        <w:t>mostly positive, he</w:t>
      </w:r>
      <w:r w:rsidR="00813C89" w:rsidRPr="00DB05D1">
        <w:rPr>
          <w:rFonts w:ascii="Times New Roman" w:hAnsi="Times New Roman" w:cs="Times New Roman"/>
          <w:sz w:val="22"/>
          <w:szCs w:val="22"/>
        </w:rPr>
        <w:t xml:space="preserve"> also</w:t>
      </w:r>
      <w:r w:rsidRPr="00DB05D1">
        <w:rPr>
          <w:rFonts w:ascii="Times New Roman" w:hAnsi="Times New Roman" w:cs="Times New Roman"/>
          <w:sz w:val="22"/>
          <w:szCs w:val="22"/>
        </w:rPr>
        <w:t xml:space="preserve"> found that communication from GMP to both North West Ambulance Service </w:t>
      </w:r>
      <w:r w:rsidR="00FB15AF" w:rsidRPr="00DB05D1">
        <w:rPr>
          <w:rFonts w:ascii="Times New Roman" w:hAnsi="Times New Roman" w:cs="Times New Roman"/>
          <w:sz w:val="22"/>
          <w:szCs w:val="22"/>
        </w:rPr>
        <w:t xml:space="preserve">(NWAS) </w:t>
      </w:r>
      <w:r w:rsidRPr="00DB05D1">
        <w:rPr>
          <w:rFonts w:ascii="Times New Roman" w:hAnsi="Times New Roman" w:cs="Times New Roman"/>
          <w:sz w:val="22"/>
          <w:szCs w:val="22"/>
        </w:rPr>
        <w:t>and Greater Manchester Fire and Rescue Service</w:t>
      </w:r>
      <w:r w:rsidR="00FB15AF" w:rsidRPr="00DB05D1">
        <w:rPr>
          <w:rFonts w:ascii="Times New Roman" w:hAnsi="Times New Roman" w:cs="Times New Roman"/>
          <w:sz w:val="22"/>
          <w:szCs w:val="22"/>
        </w:rPr>
        <w:t xml:space="preserve"> (GMFRS)</w:t>
      </w:r>
      <w:r w:rsidRPr="00DB05D1">
        <w:rPr>
          <w:rFonts w:ascii="Times New Roman" w:hAnsi="Times New Roman" w:cs="Times New Roman"/>
          <w:sz w:val="22"/>
          <w:szCs w:val="22"/>
        </w:rPr>
        <w:t xml:space="preserve"> </w:t>
      </w:r>
      <w:r w:rsidR="006D1858" w:rsidRPr="00DB05D1">
        <w:rPr>
          <w:rFonts w:ascii="Times New Roman" w:hAnsi="Times New Roman" w:cs="Times New Roman"/>
          <w:sz w:val="22"/>
          <w:szCs w:val="22"/>
        </w:rPr>
        <w:t xml:space="preserve">informing them that “OP PLATO” had been declared </w:t>
      </w:r>
      <w:r w:rsidRPr="00DB05D1">
        <w:rPr>
          <w:rFonts w:ascii="Times New Roman" w:hAnsi="Times New Roman" w:cs="Times New Roman"/>
          <w:sz w:val="22"/>
          <w:szCs w:val="22"/>
        </w:rPr>
        <w:t>was not initiated as set out within the Operation Plato instructions</w:t>
      </w:r>
      <w:r w:rsidR="00BF1793" w:rsidRPr="00DB05D1">
        <w:rPr>
          <w:rFonts w:ascii="Times New Roman" w:hAnsi="Times New Roman" w:cs="Times New Roman"/>
          <w:sz w:val="22"/>
          <w:szCs w:val="22"/>
        </w:rPr>
        <w:t xml:space="preserve"> </w:t>
      </w:r>
      <w:sdt>
        <w:sdtPr>
          <w:rPr>
            <w:rFonts w:ascii="Times New Roman" w:hAnsi="Times New Roman" w:cs="Times New Roman"/>
            <w:sz w:val="22"/>
            <w:szCs w:val="22"/>
          </w:rPr>
          <w:id w:val="352616783"/>
          <w:citation/>
        </w:sdtPr>
        <w:sdtEndPr/>
        <w:sdtContent>
          <w:r w:rsidR="00BF1793" w:rsidRPr="00DB05D1">
            <w:rPr>
              <w:rFonts w:ascii="Times New Roman" w:hAnsi="Times New Roman" w:cs="Times New Roman"/>
              <w:sz w:val="22"/>
              <w:szCs w:val="22"/>
            </w:rPr>
            <w:fldChar w:fldCharType="begin"/>
          </w:r>
          <w:r w:rsidR="00BF1793" w:rsidRPr="00DB05D1">
            <w:rPr>
              <w:rFonts w:ascii="Times New Roman" w:hAnsi="Times New Roman" w:cs="Times New Roman"/>
              <w:sz w:val="22"/>
              <w:szCs w:val="22"/>
            </w:rPr>
            <w:instrText xml:space="preserve"> CITATION Lor18 \l 2057 </w:instrText>
          </w:r>
          <w:r w:rsidR="00BF1793" w:rsidRPr="00DB05D1">
            <w:rPr>
              <w:rFonts w:ascii="Times New Roman" w:hAnsi="Times New Roman" w:cs="Times New Roman"/>
              <w:sz w:val="22"/>
              <w:szCs w:val="22"/>
            </w:rPr>
            <w:fldChar w:fldCharType="separate"/>
          </w:r>
          <w:r w:rsidR="00BF1793" w:rsidRPr="00DB05D1">
            <w:rPr>
              <w:rFonts w:ascii="Times New Roman" w:hAnsi="Times New Roman" w:cs="Times New Roman"/>
              <w:noProof/>
              <w:sz w:val="22"/>
              <w:szCs w:val="22"/>
            </w:rPr>
            <w:t>(Kerslake, 2018)</w:t>
          </w:r>
          <w:r w:rsidR="00BF1793" w:rsidRPr="00DB05D1">
            <w:rPr>
              <w:rFonts w:ascii="Times New Roman" w:hAnsi="Times New Roman" w:cs="Times New Roman"/>
              <w:sz w:val="22"/>
              <w:szCs w:val="22"/>
            </w:rPr>
            <w:fldChar w:fldCharType="end"/>
          </w:r>
        </w:sdtContent>
      </w:sdt>
      <w:r w:rsidR="006D1858" w:rsidRPr="00DB05D1">
        <w:rPr>
          <w:rFonts w:ascii="Times New Roman" w:hAnsi="Times New Roman" w:cs="Times New Roman"/>
          <w:sz w:val="22"/>
          <w:szCs w:val="22"/>
        </w:rPr>
        <w:t xml:space="preserve">. </w:t>
      </w:r>
      <w:r w:rsidR="005B0431" w:rsidRPr="00DB05D1">
        <w:rPr>
          <w:rFonts w:ascii="Times New Roman" w:hAnsi="Times New Roman" w:cs="Times New Roman"/>
          <w:sz w:val="22"/>
          <w:szCs w:val="22"/>
        </w:rPr>
        <w:t xml:space="preserve">Lord Kerslake found that there was also a lack of inter-radio facilities within GMP for this communication to be passed clearly and efficiently. </w:t>
      </w:r>
      <w:r w:rsidR="00C63F0C" w:rsidRPr="00DB05D1">
        <w:rPr>
          <w:rFonts w:ascii="Times New Roman" w:hAnsi="Times New Roman" w:cs="Times New Roman"/>
          <w:sz w:val="22"/>
          <w:szCs w:val="22"/>
        </w:rPr>
        <w:t>This evidences that there w</w:t>
      </w:r>
      <w:r w:rsidR="005101F4" w:rsidRPr="00DB05D1">
        <w:rPr>
          <w:rFonts w:ascii="Times New Roman" w:hAnsi="Times New Roman" w:cs="Times New Roman"/>
          <w:sz w:val="22"/>
          <w:szCs w:val="22"/>
        </w:rPr>
        <w:t xml:space="preserve">as an </w:t>
      </w:r>
      <w:r w:rsidR="00C63F0C" w:rsidRPr="00DB05D1">
        <w:rPr>
          <w:rFonts w:ascii="Times New Roman" w:hAnsi="Times New Roman" w:cs="Times New Roman"/>
          <w:sz w:val="22"/>
          <w:szCs w:val="22"/>
        </w:rPr>
        <w:t>issue around</w:t>
      </w:r>
      <w:r w:rsidR="00FB15AF" w:rsidRPr="00DB05D1">
        <w:rPr>
          <w:rFonts w:ascii="Times New Roman" w:hAnsi="Times New Roman" w:cs="Times New Roman"/>
          <w:sz w:val="22"/>
          <w:szCs w:val="22"/>
        </w:rPr>
        <w:t xml:space="preserve"> early </w:t>
      </w:r>
      <w:r w:rsidR="00C63F0C" w:rsidRPr="00DB05D1">
        <w:rPr>
          <w:rFonts w:ascii="Times New Roman" w:hAnsi="Times New Roman" w:cs="Times New Roman"/>
          <w:sz w:val="22"/>
          <w:szCs w:val="22"/>
        </w:rPr>
        <w:t>communication, in the</w:t>
      </w:r>
      <w:r w:rsidR="005101F4" w:rsidRPr="00DB05D1">
        <w:rPr>
          <w:rFonts w:ascii="Times New Roman" w:hAnsi="Times New Roman" w:cs="Times New Roman"/>
          <w:sz w:val="22"/>
          <w:szCs w:val="22"/>
        </w:rPr>
        <w:t xml:space="preserve"> minutes </w:t>
      </w:r>
      <w:r w:rsidR="005B0431" w:rsidRPr="00DB05D1">
        <w:rPr>
          <w:rFonts w:ascii="Times New Roman" w:hAnsi="Times New Roman" w:cs="Times New Roman"/>
          <w:sz w:val="22"/>
          <w:szCs w:val="22"/>
        </w:rPr>
        <w:t xml:space="preserve">and hours </w:t>
      </w:r>
      <w:r w:rsidR="00C63F0C" w:rsidRPr="00DB05D1">
        <w:rPr>
          <w:rFonts w:ascii="Times New Roman" w:hAnsi="Times New Roman" w:cs="Times New Roman"/>
          <w:sz w:val="22"/>
          <w:szCs w:val="22"/>
        </w:rPr>
        <w:t>post incident and would be an area in need of improvement, should other such incident</w:t>
      </w:r>
      <w:r w:rsidR="005B0431" w:rsidRPr="00DB05D1">
        <w:rPr>
          <w:rFonts w:ascii="Times New Roman" w:hAnsi="Times New Roman" w:cs="Times New Roman"/>
          <w:sz w:val="22"/>
          <w:szCs w:val="22"/>
        </w:rPr>
        <w:t>s</w:t>
      </w:r>
      <w:r w:rsidR="00C63F0C" w:rsidRPr="00DB05D1">
        <w:rPr>
          <w:rFonts w:ascii="Times New Roman" w:hAnsi="Times New Roman" w:cs="Times New Roman"/>
          <w:sz w:val="22"/>
          <w:szCs w:val="22"/>
        </w:rPr>
        <w:t xml:space="preserve"> </w:t>
      </w:r>
      <w:r w:rsidR="005B0431" w:rsidRPr="00DB05D1">
        <w:rPr>
          <w:rFonts w:ascii="Times New Roman" w:hAnsi="Times New Roman" w:cs="Times New Roman"/>
          <w:sz w:val="22"/>
          <w:szCs w:val="22"/>
        </w:rPr>
        <w:t xml:space="preserve">happen. </w:t>
      </w:r>
    </w:p>
    <w:p w14:paraId="68E6B32F" w14:textId="77777777" w:rsidR="005B0431" w:rsidRPr="00DB05D1" w:rsidRDefault="005B0431" w:rsidP="00DB05D1">
      <w:pPr>
        <w:pStyle w:val="Default"/>
        <w:jc w:val="both"/>
        <w:rPr>
          <w:rFonts w:ascii="Times New Roman" w:hAnsi="Times New Roman" w:cs="Times New Roman"/>
          <w:sz w:val="22"/>
          <w:szCs w:val="22"/>
        </w:rPr>
      </w:pPr>
    </w:p>
    <w:p w14:paraId="115CA1D7" w14:textId="12EC8C5A" w:rsidR="00A20F67" w:rsidRPr="00DB05D1" w:rsidRDefault="00E81AAA" w:rsidP="00DB05D1">
      <w:pPr>
        <w:pStyle w:val="Default"/>
        <w:jc w:val="both"/>
        <w:rPr>
          <w:rFonts w:ascii="Times New Roman" w:hAnsi="Times New Roman" w:cs="Times New Roman"/>
          <w:sz w:val="22"/>
          <w:szCs w:val="22"/>
        </w:rPr>
      </w:pPr>
      <w:r w:rsidRPr="00DB05D1">
        <w:rPr>
          <w:rFonts w:ascii="Times New Roman" w:hAnsi="Times New Roman" w:cs="Times New Roman"/>
          <w:sz w:val="22"/>
          <w:szCs w:val="22"/>
        </w:rPr>
        <w:t>However, it is also important to consider that</w:t>
      </w:r>
      <w:r w:rsidR="005B0431" w:rsidRPr="00DB05D1">
        <w:rPr>
          <w:rFonts w:ascii="Times New Roman" w:hAnsi="Times New Roman" w:cs="Times New Roman"/>
          <w:sz w:val="22"/>
          <w:szCs w:val="22"/>
        </w:rPr>
        <w:t xml:space="preserve"> in the Manchester Arena Inquiry Vol 2, Sir Saunders highlighted </w:t>
      </w:r>
      <w:r w:rsidR="004E6B23" w:rsidRPr="00DB05D1">
        <w:rPr>
          <w:rFonts w:ascii="Times New Roman" w:hAnsi="Times New Roman" w:cs="Times New Roman"/>
          <w:sz w:val="22"/>
          <w:szCs w:val="22"/>
        </w:rPr>
        <w:t>GMP,</w:t>
      </w:r>
      <w:r w:rsidR="00A20F67" w:rsidRPr="00DB05D1">
        <w:rPr>
          <w:rFonts w:ascii="Times New Roman" w:hAnsi="Times New Roman" w:cs="Times New Roman"/>
          <w:sz w:val="22"/>
          <w:szCs w:val="22"/>
        </w:rPr>
        <w:t xml:space="preserve"> and </w:t>
      </w:r>
      <w:r w:rsidRPr="00DB05D1">
        <w:rPr>
          <w:rFonts w:ascii="Times New Roman" w:hAnsi="Times New Roman" w:cs="Times New Roman"/>
          <w:sz w:val="22"/>
          <w:szCs w:val="22"/>
        </w:rPr>
        <w:t>all</w:t>
      </w:r>
      <w:r w:rsidR="00A20F67" w:rsidRPr="00DB05D1">
        <w:rPr>
          <w:rFonts w:ascii="Times New Roman" w:hAnsi="Times New Roman" w:cs="Times New Roman"/>
          <w:sz w:val="22"/>
          <w:szCs w:val="22"/>
        </w:rPr>
        <w:t xml:space="preserve"> the other relevant agencies required for a Marauding Terrorist Attack, participated in a</w:t>
      </w:r>
      <w:r w:rsidR="004E6B23" w:rsidRPr="00DB05D1">
        <w:rPr>
          <w:rFonts w:ascii="Times New Roman" w:hAnsi="Times New Roman" w:cs="Times New Roman"/>
          <w:sz w:val="22"/>
          <w:szCs w:val="22"/>
        </w:rPr>
        <w:t xml:space="preserve"> training</w:t>
      </w:r>
      <w:r w:rsidR="00A20F67" w:rsidRPr="00DB05D1">
        <w:rPr>
          <w:rFonts w:ascii="Times New Roman" w:hAnsi="Times New Roman" w:cs="Times New Roman"/>
          <w:sz w:val="22"/>
          <w:szCs w:val="22"/>
        </w:rPr>
        <w:t xml:space="preserve"> exercise in 2016</w:t>
      </w:r>
      <w:r w:rsidR="004E6B23" w:rsidRPr="00DB05D1">
        <w:rPr>
          <w:rFonts w:ascii="Times New Roman" w:hAnsi="Times New Roman" w:cs="Times New Roman"/>
          <w:sz w:val="22"/>
          <w:szCs w:val="22"/>
        </w:rPr>
        <w:t xml:space="preserve"> to test their capabilities and planning. This took place</w:t>
      </w:r>
      <w:r w:rsidR="00A20F67" w:rsidRPr="00DB05D1">
        <w:rPr>
          <w:rFonts w:ascii="Times New Roman" w:hAnsi="Times New Roman" w:cs="Times New Roman"/>
          <w:sz w:val="22"/>
          <w:szCs w:val="22"/>
        </w:rPr>
        <w:t xml:space="preserve"> 1 year prior to the devastating 2017 Manchester Arena attack. This was called Exercise Winchester Accord and within his review and conclusions about the preparedness of all services including the police, he found that there</w:t>
      </w:r>
      <w:r w:rsidR="005B0431" w:rsidRPr="00DB05D1">
        <w:rPr>
          <w:rFonts w:ascii="Times New Roman" w:hAnsi="Times New Roman" w:cs="Times New Roman"/>
          <w:sz w:val="22"/>
          <w:szCs w:val="22"/>
        </w:rPr>
        <w:t xml:space="preserve"> was proof that the Force Duty Officer for GMP was </w:t>
      </w:r>
      <w:r w:rsidR="00A20F67" w:rsidRPr="00DB05D1">
        <w:rPr>
          <w:rFonts w:ascii="Times New Roman" w:hAnsi="Times New Roman" w:cs="Times New Roman"/>
          <w:sz w:val="22"/>
          <w:szCs w:val="22"/>
        </w:rPr>
        <w:t>overwhelmed</w:t>
      </w:r>
      <w:r w:rsidRPr="00DB05D1">
        <w:rPr>
          <w:rFonts w:ascii="Times New Roman" w:hAnsi="Times New Roman" w:cs="Times New Roman"/>
          <w:sz w:val="22"/>
          <w:szCs w:val="22"/>
        </w:rPr>
        <w:t xml:space="preserve"> and commu</w:t>
      </w:r>
      <w:r w:rsidRPr="00DB05D1">
        <w:rPr>
          <w:rFonts w:ascii="Times New Roman" w:hAnsi="Times New Roman" w:cs="Times New Roman"/>
          <w:sz w:val="22"/>
          <w:szCs w:val="22"/>
        </w:rPr>
        <w:lastRenderedPageBreak/>
        <w:t>nication broke down, where again “OP PLATO” was not adequately declared</w:t>
      </w:r>
      <w:r w:rsidR="00A20F67" w:rsidRPr="00DB05D1">
        <w:rPr>
          <w:rFonts w:ascii="Times New Roman" w:hAnsi="Times New Roman" w:cs="Times New Roman"/>
          <w:sz w:val="22"/>
          <w:szCs w:val="22"/>
        </w:rPr>
        <w:t>,</w:t>
      </w:r>
      <w:r w:rsidR="005B0431" w:rsidRPr="00DB05D1">
        <w:rPr>
          <w:rFonts w:ascii="Times New Roman" w:hAnsi="Times New Roman" w:cs="Times New Roman"/>
          <w:sz w:val="22"/>
          <w:szCs w:val="22"/>
        </w:rPr>
        <w:t xml:space="preserve"> and</w:t>
      </w:r>
      <w:r w:rsidR="00A20F67" w:rsidRPr="00DB05D1">
        <w:rPr>
          <w:rFonts w:ascii="Times New Roman" w:hAnsi="Times New Roman" w:cs="Times New Roman"/>
          <w:sz w:val="22"/>
          <w:szCs w:val="22"/>
        </w:rPr>
        <w:t xml:space="preserve"> this was mirrored within the later fatal terror</w:t>
      </w:r>
      <w:r w:rsidRPr="00DB05D1">
        <w:rPr>
          <w:rFonts w:ascii="Times New Roman" w:hAnsi="Times New Roman" w:cs="Times New Roman"/>
          <w:sz w:val="22"/>
          <w:szCs w:val="22"/>
        </w:rPr>
        <w:t xml:space="preserve"> </w:t>
      </w:r>
      <w:sdt>
        <w:sdtPr>
          <w:rPr>
            <w:rFonts w:ascii="Times New Roman" w:hAnsi="Times New Roman" w:cs="Times New Roman"/>
            <w:sz w:val="22"/>
            <w:szCs w:val="22"/>
          </w:rPr>
          <w:id w:val="1523058856"/>
          <w:citation/>
        </w:sdtPr>
        <w:sdtEndPr/>
        <w:sdtContent>
          <w:r w:rsidRPr="00DB05D1">
            <w:rPr>
              <w:rFonts w:ascii="Times New Roman" w:hAnsi="Times New Roman" w:cs="Times New Roman"/>
              <w:sz w:val="22"/>
              <w:szCs w:val="22"/>
            </w:rPr>
            <w:fldChar w:fldCharType="begin"/>
          </w:r>
          <w:r w:rsidRPr="00DB05D1">
            <w:rPr>
              <w:rFonts w:ascii="Times New Roman" w:hAnsi="Times New Roman" w:cs="Times New Roman"/>
              <w:sz w:val="22"/>
              <w:szCs w:val="22"/>
            </w:rPr>
            <w:instrText xml:space="preserve">CITATION Sir22 \l 2057 </w:instrText>
          </w:r>
          <w:r w:rsidRPr="00DB05D1">
            <w:rPr>
              <w:rFonts w:ascii="Times New Roman" w:hAnsi="Times New Roman" w:cs="Times New Roman"/>
              <w:sz w:val="22"/>
              <w:szCs w:val="22"/>
            </w:rPr>
            <w:fldChar w:fldCharType="separate"/>
          </w:r>
          <w:r w:rsidRPr="00DB05D1">
            <w:rPr>
              <w:rFonts w:ascii="Times New Roman" w:hAnsi="Times New Roman" w:cs="Times New Roman"/>
              <w:noProof/>
              <w:sz w:val="22"/>
              <w:szCs w:val="22"/>
            </w:rPr>
            <w:t>(Sir John Saunders, 2022)</w:t>
          </w:r>
          <w:r w:rsidRPr="00DB05D1">
            <w:rPr>
              <w:rFonts w:ascii="Times New Roman" w:hAnsi="Times New Roman" w:cs="Times New Roman"/>
              <w:sz w:val="22"/>
              <w:szCs w:val="22"/>
            </w:rPr>
            <w:fldChar w:fldCharType="end"/>
          </w:r>
        </w:sdtContent>
      </w:sdt>
      <w:r w:rsidRPr="00DB05D1">
        <w:rPr>
          <w:rFonts w:ascii="Times New Roman" w:hAnsi="Times New Roman" w:cs="Times New Roman"/>
          <w:sz w:val="22"/>
          <w:szCs w:val="22"/>
        </w:rPr>
        <w:t xml:space="preserve">. </w:t>
      </w:r>
    </w:p>
    <w:p w14:paraId="05507ADA" w14:textId="77777777" w:rsidR="00A20F67" w:rsidRPr="00DB05D1" w:rsidRDefault="00A20F67" w:rsidP="00DB05D1">
      <w:pPr>
        <w:pStyle w:val="Default"/>
        <w:jc w:val="both"/>
        <w:rPr>
          <w:rFonts w:ascii="Times New Roman" w:hAnsi="Times New Roman" w:cs="Times New Roman"/>
          <w:sz w:val="22"/>
          <w:szCs w:val="22"/>
        </w:rPr>
      </w:pPr>
    </w:p>
    <w:p w14:paraId="7D79982F" w14:textId="77777777" w:rsidR="00EF6F10" w:rsidRPr="00DB05D1" w:rsidRDefault="00E81AAA" w:rsidP="00DB05D1">
      <w:pPr>
        <w:pStyle w:val="Default"/>
        <w:jc w:val="both"/>
        <w:rPr>
          <w:rFonts w:ascii="Times New Roman" w:hAnsi="Times New Roman" w:cs="Times New Roman"/>
          <w:sz w:val="22"/>
          <w:szCs w:val="22"/>
        </w:rPr>
      </w:pPr>
      <w:r w:rsidRPr="00DB05D1">
        <w:rPr>
          <w:rFonts w:ascii="Times New Roman" w:hAnsi="Times New Roman" w:cs="Times New Roman"/>
          <w:sz w:val="22"/>
          <w:szCs w:val="22"/>
        </w:rPr>
        <w:t xml:space="preserve">In looking at examples from Exercise Winchester Accord and the Manchester Arena attack, it </w:t>
      </w:r>
      <w:r w:rsidR="00BF3045" w:rsidRPr="00DB05D1">
        <w:rPr>
          <w:rFonts w:ascii="Times New Roman" w:hAnsi="Times New Roman" w:cs="Times New Roman"/>
          <w:sz w:val="22"/>
          <w:szCs w:val="22"/>
        </w:rPr>
        <w:t xml:space="preserve">evidences that whilst there was </w:t>
      </w:r>
      <w:r w:rsidRPr="00DB05D1">
        <w:rPr>
          <w:rFonts w:ascii="Times New Roman" w:hAnsi="Times New Roman" w:cs="Times New Roman"/>
          <w:sz w:val="22"/>
          <w:szCs w:val="22"/>
        </w:rPr>
        <w:t xml:space="preserve">a willingness to train and prepare for </w:t>
      </w:r>
      <w:r w:rsidR="00BF3045" w:rsidRPr="00DB05D1">
        <w:rPr>
          <w:rFonts w:ascii="Times New Roman" w:hAnsi="Times New Roman" w:cs="Times New Roman"/>
          <w:sz w:val="22"/>
          <w:szCs w:val="22"/>
        </w:rPr>
        <w:t xml:space="preserve">such incidents by police, lessons were not learned from the exercise and as such, the same mistakes were repeated. It suggests that lack of preparedness is a factor affecting the police’s role within a joint emergency services operation. </w:t>
      </w:r>
    </w:p>
    <w:p w14:paraId="1D66E478" w14:textId="77777777" w:rsidR="00EF6F10" w:rsidRPr="00DB05D1" w:rsidRDefault="00EF6F10" w:rsidP="00DB05D1">
      <w:pPr>
        <w:pStyle w:val="Default"/>
        <w:jc w:val="both"/>
        <w:rPr>
          <w:rFonts w:ascii="Times New Roman" w:hAnsi="Times New Roman" w:cs="Times New Roman"/>
          <w:sz w:val="22"/>
          <w:szCs w:val="22"/>
        </w:rPr>
      </w:pPr>
    </w:p>
    <w:p w14:paraId="327B8B3C" w14:textId="734717A4" w:rsidR="003510DD" w:rsidRPr="00DB05D1" w:rsidRDefault="002D337E" w:rsidP="00DB05D1">
      <w:pPr>
        <w:jc w:val="both"/>
        <w:rPr>
          <w:sz w:val="22"/>
          <w:szCs w:val="22"/>
        </w:rPr>
      </w:pPr>
      <w:r w:rsidRPr="00DB05D1">
        <w:rPr>
          <w:sz w:val="22"/>
          <w:szCs w:val="22"/>
        </w:rPr>
        <w:t xml:space="preserve">Another incident that would fall into the umbrella of a major incident, requiring a joint emergency services response, is the Hillsborough disaster that occurred in </w:t>
      </w:r>
      <w:r w:rsidR="00991467" w:rsidRPr="00DB05D1">
        <w:rPr>
          <w:sz w:val="22"/>
          <w:szCs w:val="22"/>
        </w:rPr>
        <w:t xml:space="preserve">April </w:t>
      </w:r>
      <w:r w:rsidRPr="00DB05D1">
        <w:rPr>
          <w:sz w:val="22"/>
          <w:szCs w:val="22"/>
        </w:rPr>
        <w:t>1989</w:t>
      </w:r>
      <w:r w:rsidR="00991467" w:rsidRPr="00DB05D1">
        <w:rPr>
          <w:sz w:val="22"/>
          <w:szCs w:val="22"/>
        </w:rPr>
        <w:t xml:space="preserve">. This </w:t>
      </w:r>
      <w:r w:rsidR="00CC7B1A" w:rsidRPr="00DB05D1">
        <w:rPr>
          <w:sz w:val="22"/>
          <w:szCs w:val="22"/>
        </w:rPr>
        <w:t>saw</w:t>
      </w:r>
      <w:r w:rsidR="00991467" w:rsidRPr="00DB05D1">
        <w:rPr>
          <w:sz w:val="22"/>
          <w:szCs w:val="22"/>
        </w:rPr>
        <w:t xml:space="preserve"> </w:t>
      </w:r>
      <w:r w:rsidR="00CC7B1A" w:rsidRPr="00DB05D1">
        <w:rPr>
          <w:sz w:val="22"/>
          <w:szCs w:val="22"/>
        </w:rPr>
        <w:t xml:space="preserve">a total of </w:t>
      </w:r>
      <w:r w:rsidR="00991467" w:rsidRPr="00DB05D1">
        <w:rPr>
          <w:sz w:val="22"/>
          <w:szCs w:val="22"/>
        </w:rPr>
        <w:t>9</w:t>
      </w:r>
      <w:r w:rsidR="00CC7B1A" w:rsidRPr="00DB05D1">
        <w:rPr>
          <w:sz w:val="22"/>
          <w:szCs w:val="22"/>
        </w:rPr>
        <w:t xml:space="preserve">7 </w:t>
      </w:r>
      <w:r w:rsidR="00991467" w:rsidRPr="00DB05D1">
        <w:rPr>
          <w:sz w:val="22"/>
          <w:szCs w:val="22"/>
        </w:rPr>
        <w:t>people die</w:t>
      </w:r>
      <w:r w:rsidR="00CC7B1A" w:rsidRPr="00DB05D1">
        <w:rPr>
          <w:sz w:val="22"/>
          <w:szCs w:val="22"/>
        </w:rPr>
        <w:t>,</w:t>
      </w:r>
      <w:r w:rsidR="00991467" w:rsidRPr="00DB05D1">
        <w:rPr>
          <w:sz w:val="22"/>
          <w:szCs w:val="22"/>
        </w:rPr>
        <w:t xml:space="preserve"> as a direct consequence of a mass crush in a pen that collapsed at the Hillsborough Stadium in Sheffield. </w:t>
      </w:r>
      <w:r w:rsidR="008625FF" w:rsidRPr="00DB05D1">
        <w:rPr>
          <w:sz w:val="22"/>
          <w:szCs w:val="22"/>
        </w:rPr>
        <w:t xml:space="preserve">Serious institutional shortcomings in the control and handling of the capacity crowd were discovered by a court investigation. The tales of survivors, whose credibility was </w:t>
      </w:r>
      <w:r w:rsidR="00BF60D7" w:rsidRPr="00DB05D1">
        <w:rPr>
          <w:sz w:val="22"/>
          <w:szCs w:val="22"/>
        </w:rPr>
        <w:t xml:space="preserve">initially </w:t>
      </w:r>
      <w:r w:rsidR="008625FF" w:rsidRPr="00DB05D1">
        <w:rPr>
          <w:sz w:val="22"/>
          <w:szCs w:val="22"/>
        </w:rPr>
        <w:t>questioned</w:t>
      </w:r>
      <w:r w:rsidR="00BF60D7" w:rsidRPr="00DB05D1">
        <w:rPr>
          <w:sz w:val="22"/>
          <w:szCs w:val="22"/>
        </w:rPr>
        <w:t xml:space="preserve"> and scrutinised for many years post-incident</w:t>
      </w:r>
      <w:r w:rsidR="008625FF" w:rsidRPr="00DB05D1">
        <w:rPr>
          <w:sz w:val="22"/>
          <w:szCs w:val="22"/>
        </w:rPr>
        <w:t>, exposed careless and blameful policing, inadequate emergency response, and defective inquiry and investigative procedures</w:t>
      </w:r>
      <w:r w:rsidR="00520DCC" w:rsidRPr="00DB05D1">
        <w:rPr>
          <w:sz w:val="22"/>
          <w:szCs w:val="22"/>
        </w:rPr>
        <w:t xml:space="preserve"> </w:t>
      </w:r>
      <w:sdt>
        <w:sdtPr>
          <w:rPr>
            <w:sz w:val="22"/>
            <w:szCs w:val="22"/>
          </w:rPr>
          <w:id w:val="2000613146"/>
          <w:citation/>
        </w:sdtPr>
        <w:sdtEndPr/>
        <w:sdtContent>
          <w:r w:rsidR="00520DCC" w:rsidRPr="00DB05D1">
            <w:rPr>
              <w:sz w:val="22"/>
              <w:szCs w:val="22"/>
            </w:rPr>
            <w:fldChar w:fldCharType="begin"/>
          </w:r>
          <w:r w:rsidR="00520DCC" w:rsidRPr="00DB05D1">
            <w:rPr>
              <w:sz w:val="22"/>
              <w:szCs w:val="22"/>
            </w:rPr>
            <w:instrText xml:space="preserve"> CITATION Scr13 \l 2057 </w:instrText>
          </w:r>
          <w:r w:rsidR="00520DCC" w:rsidRPr="00DB05D1">
            <w:rPr>
              <w:sz w:val="22"/>
              <w:szCs w:val="22"/>
            </w:rPr>
            <w:fldChar w:fldCharType="separate"/>
          </w:r>
          <w:r w:rsidR="00520DCC" w:rsidRPr="00DB05D1">
            <w:rPr>
              <w:noProof/>
              <w:sz w:val="22"/>
              <w:szCs w:val="22"/>
            </w:rPr>
            <w:t>(Scraton, 2013)</w:t>
          </w:r>
          <w:r w:rsidR="00520DCC" w:rsidRPr="00DB05D1">
            <w:rPr>
              <w:sz w:val="22"/>
              <w:szCs w:val="22"/>
            </w:rPr>
            <w:fldChar w:fldCharType="end"/>
          </w:r>
        </w:sdtContent>
      </w:sdt>
      <w:r w:rsidR="008625FF" w:rsidRPr="00DB05D1">
        <w:rPr>
          <w:sz w:val="22"/>
          <w:szCs w:val="22"/>
        </w:rPr>
        <w:t xml:space="preserve">. </w:t>
      </w:r>
      <w:r w:rsidR="00520DCC" w:rsidRPr="00DB05D1">
        <w:rPr>
          <w:sz w:val="22"/>
          <w:szCs w:val="22"/>
        </w:rPr>
        <w:t xml:space="preserve">Immediately following </w:t>
      </w:r>
      <w:r w:rsidR="00520DCC" w:rsidRPr="00DB05D1">
        <w:rPr>
          <w:sz w:val="22"/>
          <w:szCs w:val="22"/>
        </w:rPr>
        <w:lastRenderedPageBreak/>
        <w:t xml:space="preserve">the devastating deaths, police were criticized by other agencies, including a social worker and the Deputy Chief Ambulance Officer, who </w:t>
      </w:r>
      <w:r w:rsidR="003510DD" w:rsidRPr="00DB05D1">
        <w:rPr>
          <w:sz w:val="22"/>
          <w:szCs w:val="22"/>
        </w:rPr>
        <w:t>suggest</w:t>
      </w:r>
      <w:r w:rsidR="00520DCC" w:rsidRPr="00DB05D1">
        <w:rPr>
          <w:sz w:val="22"/>
          <w:szCs w:val="22"/>
        </w:rPr>
        <w:t xml:space="preserve"> that police who interacted with the families of deceased or injured were lacking compassion, citing </w:t>
      </w:r>
      <w:r w:rsidR="003510DD" w:rsidRPr="00DB05D1">
        <w:rPr>
          <w:sz w:val="22"/>
          <w:szCs w:val="22"/>
        </w:rPr>
        <w:t xml:space="preserve">that they were more interested in getting statements and asking inappropriate questions about the behaviour of the fans. </w:t>
      </w:r>
    </w:p>
    <w:p w14:paraId="7629D3D4" w14:textId="77777777" w:rsidR="00D913FD" w:rsidRPr="00DB05D1" w:rsidRDefault="00D913FD" w:rsidP="00DB05D1">
      <w:pPr>
        <w:jc w:val="both"/>
        <w:rPr>
          <w:sz w:val="22"/>
          <w:szCs w:val="22"/>
        </w:rPr>
      </w:pPr>
    </w:p>
    <w:p w14:paraId="19F92646" w14:textId="77777777" w:rsidR="00F75A3E" w:rsidRDefault="00D913FD" w:rsidP="00B50D16">
      <w:pPr>
        <w:jc w:val="both"/>
        <w:rPr>
          <w:sz w:val="22"/>
          <w:szCs w:val="22"/>
        </w:rPr>
      </w:pPr>
      <w:r w:rsidRPr="00DB05D1">
        <w:rPr>
          <w:sz w:val="22"/>
          <w:szCs w:val="22"/>
        </w:rPr>
        <w:t xml:space="preserve">To effectively examine the police response and handling of this tragedy, it is crucial to </w:t>
      </w:r>
      <w:r w:rsidR="00B04334" w:rsidRPr="00DB05D1">
        <w:rPr>
          <w:sz w:val="22"/>
          <w:szCs w:val="22"/>
        </w:rPr>
        <w:t>consider</w:t>
      </w:r>
      <w:r w:rsidRPr="00DB05D1">
        <w:rPr>
          <w:sz w:val="22"/>
          <w:szCs w:val="22"/>
        </w:rPr>
        <w:t xml:space="preserve"> the recommendations </w:t>
      </w:r>
      <w:r w:rsidR="00A268B1" w:rsidRPr="00DB05D1">
        <w:rPr>
          <w:sz w:val="22"/>
          <w:szCs w:val="22"/>
        </w:rPr>
        <w:t xml:space="preserve">for learning </w:t>
      </w:r>
      <w:r w:rsidRPr="00DB05D1">
        <w:rPr>
          <w:sz w:val="22"/>
          <w:szCs w:val="22"/>
        </w:rPr>
        <w:t xml:space="preserve">outlined </w:t>
      </w:r>
      <w:r w:rsidR="00A268B1" w:rsidRPr="00DB05D1">
        <w:rPr>
          <w:sz w:val="22"/>
          <w:szCs w:val="22"/>
        </w:rPr>
        <w:t xml:space="preserve">in a report 28 years later which </w:t>
      </w:r>
      <w:r w:rsidR="00B04334" w:rsidRPr="00DB05D1">
        <w:rPr>
          <w:sz w:val="22"/>
          <w:szCs w:val="22"/>
        </w:rPr>
        <w:t>made numerous suggestions for policing.</w:t>
      </w:r>
      <w:r w:rsidR="00DB05D1" w:rsidRPr="00DB05D1">
        <w:rPr>
          <w:sz w:val="22"/>
          <w:szCs w:val="22"/>
        </w:rPr>
        <w:t xml:space="preserve"> The Right Reverand James Jones outlines that the title of his report “the patronising disposition of unaccountable power” covers not only the experiences that families of those killed have had with the police but also with other organisations and people in the criminal justice system. He adds that the research refers to a "patronising disposition", which is a cultural state, a way of thinking that shapes the behaviour of the overall organisations included and employees involved. It can also serve as an implicit, even unspoken, bond between employees</w:t>
      </w:r>
      <w:r w:rsidR="00DB05D1">
        <w:rPr>
          <w:sz w:val="22"/>
          <w:szCs w:val="22"/>
        </w:rPr>
        <w:t xml:space="preserve"> </w:t>
      </w:r>
      <w:sdt>
        <w:sdtPr>
          <w:rPr>
            <w:sz w:val="22"/>
            <w:szCs w:val="22"/>
          </w:rPr>
          <w:id w:val="402264444"/>
          <w:citation/>
        </w:sdtPr>
        <w:sdtEndPr/>
        <w:sdtContent>
          <w:r w:rsidR="00DB05D1">
            <w:rPr>
              <w:sz w:val="22"/>
              <w:szCs w:val="22"/>
            </w:rPr>
            <w:fldChar w:fldCharType="begin"/>
          </w:r>
          <w:r w:rsidR="00DB05D1">
            <w:rPr>
              <w:sz w:val="22"/>
              <w:szCs w:val="22"/>
            </w:rPr>
            <w:instrText xml:space="preserve">CITATION The17 \l 2057 </w:instrText>
          </w:r>
          <w:r w:rsidR="00DB05D1">
            <w:rPr>
              <w:sz w:val="22"/>
              <w:szCs w:val="22"/>
            </w:rPr>
            <w:fldChar w:fldCharType="separate"/>
          </w:r>
          <w:r w:rsidR="00DB05D1" w:rsidRPr="00DB05D1">
            <w:rPr>
              <w:noProof/>
              <w:sz w:val="22"/>
              <w:szCs w:val="22"/>
            </w:rPr>
            <w:t>(The Right Reverend James Jones KBE, 2017)</w:t>
          </w:r>
          <w:r w:rsidR="00DB05D1">
            <w:rPr>
              <w:sz w:val="22"/>
              <w:szCs w:val="22"/>
            </w:rPr>
            <w:fldChar w:fldCharType="end"/>
          </w:r>
        </w:sdtContent>
      </w:sdt>
      <w:r w:rsidR="00DB05D1">
        <w:rPr>
          <w:sz w:val="22"/>
          <w:szCs w:val="22"/>
        </w:rPr>
        <w:t>.</w:t>
      </w:r>
    </w:p>
    <w:p w14:paraId="65EDF7CB" w14:textId="0EB3B702" w:rsidR="00413DC1" w:rsidRPr="004B717A" w:rsidRDefault="00DB05D1" w:rsidP="00DB05D1">
      <w:pPr>
        <w:jc w:val="both"/>
      </w:pPr>
      <w:r>
        <w:rPr>
          <w:sz w:val="22"/>
          <w:szCs w:val="22"/>
        </w:rPr>
        <w:t xml:space="preserve"> </w:t>
      </w:r>
    </w:p>
    <w:p w14:paraId="1EAA0129" w14:textId="77777777" w:rsidR="00873B97" w:rsidRDefault="00413DC1" w:rsidP="00DB05D1">
      <w:pPr>
        <w:jc w:val="both"/>
        <w:rPr>
          <w:sz w:val="22"/>
          <w:szCs w:val="22"/>
        </w:rPr>
      </w:pPr>
      <w:r>
        <w:rPr>
          <w:sz w:val="22"/>
          <w:szCs w:val="22"/>
        </w:rPr>
        <w:t>Three particular points</w:t>
      </w:r>
      <w:r w:rsidR="004B717A">
        <w:rPr>
          <w:sz w:val="22"/>
          <w:szCs w:val="22"/>
        </w:rPr>
        <w:t xml:space="preserve"> to learn from</w:t>
      </w:r>
      <w:r>
        <w:rPr>
          <w:sz w:val="22"/>
          <w:szCs w:val="22"/>
        </w:rPr>
        <w:t xml:space="preserve"> were highlighted by Jones as significant, </w:t>
      </w:r>
      <w:r w:rsidR="004B717A">
        <w:rPr>
          <w:sz w:val="22"/>
          <w:szCs w:val="22"/>
        </w:rPr>
        <w:t xml:space="preserve">out of the overall 25 </w:t>
      </w:r>
      <w:r w:rsidR="004B717A" w:rsidRPr="00873B97">
        <w:rPr>
          <w:sz w:val="22"/>
          <w:szCs w:val="22"/>
        </w:rPr>
        <w:t xml:space="preserve">recommendations.  Most relevant </w:t>
      </w:r>
      <w:r w:rsidR="004B717A" w:rsidRPr="00873B97">
        <w:rPr>
          <w:sz w:val="22"/>
          <w:szCs w:val="22"/>
        </w:rPr>
        <w:lastRenderedPageBreak/>
        <w:t>to police however</w:t>
      </w:r>
      <w:r w:rsidR="00873B97" w:rsidRPr="00873B97">
        <w:rPr>
          <w:sz w:val="22"/>
          <w:szCs w:val="22"/>
        </w:rPr>
        <w:t xml:space="preserve"> sets out that there should be </w:t>
      </w:r>
      <w:r w:rsidR="004B717A" w:rsidRPr="00873B97">
        <w:rPr>
          <w:sz w:val="22"/>
          <w:szCs w:val="22"/>
        </w:rPr>
        <w:t>a code of conduct mandating that police officers, whether active or retired, fully cooperate with investigations conducted by the Independent Police Complaints Commission or its successor organisation</w:t>
      </w:r>
      <w:r w:rsidR="00873B97" w:rsidRPr="00873B97">
        <w:rPr>
          <w:sz w:val="22"/>
          <w:szCs w:val="22"/>
        </w:rPr>
        <w:t xml:space="preserve"> </w:t>
      </w:r>
      <w:sdt>
        <w:sdtPr>
          <w:rPr>
            <w:sz w:val="22"/>
            <w:szCs w:val="22"/>
          </w:rPr>
          <w:id w:val="-612430668"/>
          <w:citation/>
        </w:sdtPr>
        <w:sdtEndPr/>
        <w:sdtContent>
          <w:r w:rsidR="00873B97" w:rsidRPr="00873B97">
            <w:rPr>
              <w:sz w:val="22"/>
              <w:szCs w:val="22"/>
            </w:rPr>
            <w:fldChar w:fldCharType="begin"/>
          </w:r>
          <w:r w:rsidR="00873B97" w:rsidRPr="00873B97">
            <w:rPr>
              <w:sz w:val="22"/>
              <w:szCs w:val="22"/>
            </w:rPr>
            <w:instrText xml:space="preserve"> CITATION Hom17 \l 2057 </w:instrText>
          </w:r>
          <w:r w:rsidR="00873B97" w:rsidRPr="00873B97">
            <w:rPr>
              <w:sz w:val="22"/>
              <w:szCs w:val="22"/>
            </w:rPr>
            <w:fldChar w:fldCharType="separate"/>
          </w:r>
          <w:r w:rsidR="00873B97" w:rsidRPr="00873B97">
            <w:rPr>
              <w:noProof/>
              <w:sz w:val="22"/>
              <w:szCs w:val="22"/>
            </w:rPr>
            <w:t>(Home Office , 2017)</w:t>
          </w:r>
          <w:r w:rsidR="00873B97" w:rsidRPr="00873B97">
            <w:rPr>
              <w:sz w:val="22"/>
              <w:szCs w:val="22"/>
            </w:rPr>
            <w:fldChar w:fldCharType="end"/>
          </w:r>
        </w:sdtContent>
      </w:sdt>
      <w:r w:rsidR="004B717A" w:rsidRPr="00873B97">
        <w:rPr>
          <w:sz w:val="22"/>
          <w:szCs w:val="22"/>
        </w:rPr>
        <w:t xml:space="preserve">. </w:t>
      </w:r>
      <w:r w:rsidRPr="00873B97">
        <w:rPr>
          <w:sz w:val="22"/>
          <w:szCs w:val="22"/>
        </w:rPr>
        <w:t xml:space="preserve"> </w:t>
      </w:r>
    </w:p>
    <w:p w14:paraId="122FCFB4" w14:textId="77777777" w:rsidR="00873B97" w:rsidRDefault="00873B97" w:rsidP="00DB05D1">
      <w:pPr>
        <w:jc w:val="both"/>
        <w:rPr>
          <w:sz w:val="22"/>
          <w:szCs w:val="22"/>
        </w:rPr>
      </w:pPr>
    </w:p>
    <w:p w14:paraId="4D6FB333" w14:textId="78D3C612" w:rsidR="005337FD" w:rsidRDefault="00873B97" w:rsidP="005337FD">
      <w:r>
        <w:rPr>
          <w:sz w:val="22"/>
          <w:szCs w:val="22"/>
        </w:rPr>
        <w:t>This suggestion was recommended because, as Montgomery pointed out, t</w:t>
      </w:r>
      <w:r w:rsidRPr="00873B97">
        <w:rPr>
          <w:sz w:val="22"/>
          <w:szCs w:val="22"/>
        </w:rPr>
        <w:t xml:space="preserve">he biggest (and worst) example of a cover-up is Hillsborough, where the victims had to wait 27 years for justice because the </w:t>
      </w:r>
      <w:r w:rsidRPr="006E337B">
        <w:rPr>
          <w:sz w:val="22"/>
          <w:szCs w:val="22"/>
        </w:rPr>
        <w:t>subjective factors—attitudes, bias, and collusion—were concealed from the public for a long time despite the objective facts being known from the beginning. A wide range of important social actors, including the police, powerful politicians, journalists, medical professionals, and sporting organisations, engaged in coordinated collusion</w:t>
      </w:r>
      <w:r w:rsidR="006E337B" w:rsidRPr="006E337B">
        <w:rPr>
          <w:sz w:val="22"/>
          <w:szCs w:val="22"/>
        </w:rPr>
        <w:t xml:space="preserve"> </w:t>
      </w:r>
      <w:sdt>
        <w:sdtPr>
          <w:rPr>
            <w:sz w:val="22"/>
            <w:szCs w:val="22"/>
          </w:rPr>
          <w:id w:val="-1455158449"/>
          <w:citation/>
        </w:sdtPr>
        <w:sdtEndPr/>
        <w:sdtContent>
          <w:r w:rsidR="006E337B" w:rsidRPr="006E337B">
            <w:rPr>
              <w:sz w:val="22"/>
              <w:szCs w:val="22"/>
            </w:rPr>
            <w:fldChar w:fldCharType="begin"/>
          </w:r>
          <w:r w:rsidR="006E337B" w:rsidRPr="006E337B">
            <w:rPr>
              <w:sz w:val="22"/>
              <w:szCs w:val="22"/>
            </w:rPr>
            <w:instrText xml:space="preserve"> CITATION Mon22 \l 2057 </w:instrText>
          </w:r>
          <w:r w:rsidR="006E337B" w:rsidRPr="006E337B">
            <w:rPr>
              <w:sz w:val="22"/>
              <w:szCs w:val="22"/>
            </w:rPr>
            <w:fldChar w:fldCharType="separate"/>
          </w:r>
          <w:r w:rsidR="006E337B" w:rsidRPr="006E337B">
            <w:rPr>
              <w:noProof/>
              <w:sz w:val="22"/>
              <w:szCs w:val="22"/>
            </w:rPr>
            <w:t>(Montgomery, 2022)</w:t>
          </w:r>
          <w:r w:rsidR="006E337B" w:rsidRPr="006E337B">
            <w:rPr>
              <w:sz w:val="22"/>
              <w:szCs w:val="22"/>
            </w:rPr>
            <w:fldChar w:fldCharType="end"/>
          </w:r>
        </w:sdtContent>
      </w:sdt>
      <w:r w:rsidRPr="006E337B">
        <w:rPr>
          <w:sz w:val="22"/>
          <w:szCs w:val="22"/>
        </w:rPr>
        <w:t>.</w:t>
      </w:r>
      <w:r w:rsidR="006E337B" w:rsidRPr="006E337B">
        <w:rPr>
          <w:sz w:val="22"/>
          <w:szCs w:val="22"/>
        </w:rPr>
        <w:t xml:space="preserve"> When looking at what factors may have caused </w:t>
      </w:r>
      <w:r w:rsidR="005337FD">
        <w:rPr>
          <w:sz w:val="22"/>
          <w:szCs w:val="22"/>
        </w:rPr>
        <w:t xml:space="preserve">the obvious </w:t>
      </w:r>
      <w:r w:rsidR="006E337B" w:rsidRPr="006E337B">
        <w:rPr>
          <w:sz w:val="22"/>
          <w:szCs w:val="22"/>
        </w:rPr>
        <w:t xml:space="preserve">bias and collusion, Montgomery considers that he social cocoon theory </w:t>
      </w:r>
      <w:r w:rsidR="005337FD">
        <w:rPr>
          <w:sz w:val="22"/>
          <w:szCs w:val="22"/>
        </w:rPr>
        <w:t>which supposes</w:t>
      </w:r>
      <w:r w:rsidR="006E337B" w:rsidRPr="006E337B">
        <w:rPr>
          <w:sz w:val="22"/>
          <w:szCs w:val="22"/>
        </w:rPr>
        <w:t xml:space="preserve"> that distal forces—such as an organization's continuing narrative and socialisation procedures—have a significant impact on proximal forces, such as emotions and cognitions. According to this analysis, the police and the media operate within a psychologically cocooned social cocoon in which: junior officers are encouraged to associate and form bonds with veterans; senior colleagues model </w:t>
      </w:r>
      <w:r w:rsidR="006E337B" w:rsidRPr="005337FD">
        <w:rPr>
          <w:sz w:val="22"/>
          <w:szCs w:val="22"/>
        </w:rPr>
        <w:t xml:space="preserve">corrupt </w:t>
      </w:r>
      <w:r w:rsidR="006E337B" w:rsidRPr="005337FD">
        <w:rPr>
          <w:sz w:val="22"/>
          <w:szCs w:val="22"/>
        </w:rPr>
        <w:lastRenderedPageBreak/>
        <w:t xml:space="preserve">behaviour and readily accept it; low-ranking offices are exposed to strong, consistent information and ideological statements that resolve ambiguities and problematic actions in black-and-white terms; low-ranking offices are reinforced in believing that their moral distress stems from naivete; </w:t>
      </w:r>
      <w:r w:rsidR="005337FD" w:rsidRPr="005337FD">
        <w:rPr>
          <w:sz w:val="22"/>
          <w:szCs w:val="22"/>
        </w:rPr>
        <w:t>corrupt actions are elevated, and uncertainty is portrayed as weakness or betrayal.</w:t>
      </w:r>
    </w:p>
    <w:p w14:paraId="2DA4B54D" w14:textId="77777777" w:rsidR="00413DC1" w:rsidRPr="00413DC1" w:rsidRDefault="00413DC1" w:rsidP="00413DC1">
      <w:pPr>
        <w:jc w:val="both"/>
        <w:rPr>
          <w:color w:val="FF0000"/>
          <w:sz w:val="22"/>
          <w:szCs w:val="22"/>
        </w:rPr>
      </w:pPr>
    </w:p>
    <w:p w14:paraId="1E4365F3" w14:textId="42107950" w:rsidR="00413DC1" w:rsidRPr="00413DC1" w:rsidRDefault="00413DC1" w:rsidP="00413DC1">
      <w:pPr>
        <w:jc w:val="both"/>
        <w:rPr>
          <w:sz w:val="22"/>
          <w:szCs w:val="22"/>
        </w:rPr>
      </w:pPr>
      <w:r w:rsidRPr="00413DC1">
        <w:rPr>
          <w:sz w:val="22"/>
          <w:szCs w:val="22"/>
        </w:rPr>
        <w:t>HM Government published a response several years after Jones’ report in which they draw attention to the national policing response, which has recognised that the police need to take the Hillsborough tragedy lessons to heart and avoid behaving defensively or obfuscating, which undermined public trust in the police and other public agencies that handled the Hillsborough tragedy</w:t>
      </w:r>
      <w:r w:rsidR="00F75A3E">
        <w:rPr>
          <w:sz w:val="22"/>
          <w:szCs w:val="22"/>
        </w:rPr>
        <w:t>, although this is also applied to other agencies involved in the disaster</w:t>
      </w:r>
      <w:r w:rsidR="002A27B1">
        <w:rPr>
          <w:sz w:val="22"/>
          <w:szCs w:val="22"/>
        </w:rPr>
        <w:t xml:space="preserve"> </w:t>
      </w:r>
      <w:sdt>
        <w:sdtPr>
          <w:rPr>
            <w:sz w:val="22"/>
            <w:szCs w:val="22"/>
          </w:rPr>
          <w:id w:val="521675084"/>
          <w:citation/>
        </w:sdtPr>
        <w:sdtEndPr/>
        <w:sdtContent>
          <w:r w:rsidR="002A27B1">
            <w:rPr>
              <w:sz w:val="22"/>
              <w:szCs w:val="22"/>
            </w:rPr>
            <w:fldChar w:fldCharType="begin"/>
          </w:r>
          <w:r w:rsidR="002A27B1">
            <w:rPr>
              <w:sz w:val="22"/>
              <w:szCs w:val="22"/>
            </w:rPr>
            <w:instrText xml:space="preserve">CITATION Jam23 \l 2057 </w:instrText>
          </w:r>
          <w:r w:rsidR="002A27B1">
            <w:rPr>
              <w:sz w:val="22"/>
              <w:szCs w:val="22"/>
            </w:rPr>
            <w:fldChar w:fldCharType="separate"/>
          </w:r>
          <w:r w:rsidR="002A27B1" w:rsidRPr="002A27B1">
            <w:rPr>
              <w:noProof/>
              <w:sz w:val="22"/>
              <w:szCs w:val="22"/>
            </w:rPr>
            <w:t>(Cleverly &amp; Chalk, 2023)</w:t>
          </w:r>
          <w:r w:rsidR="002A27B1">
            <w:rPr>
              <w:sz w:val="22"/>
              <w:szCs w:val="22"/>
            </w:rPr>
            <w:fldChar w:fldCharType="end"/>
          </w:r>
        </w:sdtContent>
      </w:sdt>
      <w:r w:rsidRPr="00413DC1">
        <w:rPr>
          <w:sz w:val="22"/>
          <w:szCs w:val="22"/>
        </w:rPr>
        <w:t xml:space="preserve">. </w:t>
      </w:r>
    </w:p>
    <w:p w14:paraId="32E1415A" w14:textId="1AAAE6A8" w:rsidR="00D913FD" w:rsidRPr="00DB05D1" w:rsidRDefault="00D913FD" w:rsidP="00B71E87">
      <w:pPr>
        <w:jc w:val="both"/>
        <w:rPr>
          <w:sz w:val="22"/>
          <w:szCs w:val="22"/>
        </w:rPr>
      </w:pPr>
    </w:p>
    <w:p w14:paraId="7DC259C7" w14:textId="5F3A6124" w:rsidR="00964436" w:rsidRDefault="00B04334" w:rsidP="00B71E87">
      <w:pPr>
        <w:jc w:val="both"/>
        <w:rPr>
          <w:sz w:val="22"/>
          <w:szCs w:val="22"/>
        </w:rPr>
      </w:pPr>
      <w:r w:rsidRPr="00DB05D1">
        <w:rPr>
          <w:sz w:val="22"/>
          <w:szCs w:val="22"/>
        </w:rPr>
        <w:t>The NPCC and College of Police (COP) took on board the suggestions and in January 2023, published an official response addressing each of the recommendation</w:t>
      </w:r>
      <w:r w:rsidR="00873B97">
        <w:rPr>
          <w:sz w:val="22"/>
          <w:szCs w:val="22"/>
        </w:rPr>
        <w:t>s</w:t>
      </w:r>
      <w:r w:rsidRPr="00DB05D1">
        <w:rPr>
          <w:sz w:val="22"/>
          <w:szCs w:val="22"/>
        </w:rPr>
        <w:t xml:space="preserve"> and documenting what had been or is being done </w:t>
      </w:r>
      <w:r w:rsidRPr="00964436">
        <w:rPr>
          <w:sz w:val="22"/>
          <w:szCs w:val="22"/>
        </w:rPr>
        <w:t>to encourage that police learn from scrutiny</w:t>
      </w:r>
      <w:r w:rsidR="00964436">
        <w:rPr>
          <w:sz w:val="22"/>
          <w:szCs w:val="22"/>
        </w:rPr>
        <w:t xml:space="preserve"> as a</w:t>
      </w:r>
      <w:r w:rsidR="00964436" w:rsidRPr="00964436">
        <w:rPr>
          <w:sz w:val="22"/>
          <w:szCs w:val="22"/>
        </w:rPr>
        <w:t>fter Hillsborough, there was a great deal of distress for many individuals, and those effects can still be felt today due to police communication breakdowns and the dissemination of false infor</w:t>
      </w:r>
      <w:r w:rsidR="00964436" w:rsidRPr="00964436">
        <w:rPr>
          <w:sz w:val="22"/>
          <w:szCs w:val="22"/>
        </w:rPr>
        <w:lastRenderedPageBreak/>
        <w:t>mation</w:t>
      </w:r>
      <w:r w:rsidR="00AC308F">
        <w:rPr>
          <w:sz w:val="22"/>
          <w:szCs w:val="22"/>
        </w:rPr>
        <w:t xml:space="preserve"> </w:t>
      </w:r>
      <w:sdt>
        <w:sdtPr>
          <w:rPr>
            <w:sz w:val="22"/>
            <w:szCs w:val="22"/>
          </w:rPr>
          <w:id w:val="540861758"/>
          <w:citation/>
        </w:sdtPr>
        <w:sdtEndPr/>
        <w:sdtContent>
          <w:r w:rsidR="00AC308F">
            <w:rPr>
              <w:sz w:val="22"/>
              <w:szCs w:val="22"/>
            </w:rPr>
            <w:fldChar w:fldCharType="begin"/>
          </w:r>
          <w:r w:rsidR="00AC308F">
            <w:rPr>
              <w:sz w:val="22"/>
              <w:szCs w:val="22"/>
            </w:rPr>
            <w:instrText xml:space="preserve">CITATION NPC23 \l 2057 </w:instrText>
          </w:r>
          <w:r w:rsidR="00AC308F">
            <w:rPr>
              <w:sz w:val="22"/>
              <w:szCs w:val="22"/>
            </w:rPr>
            <w:fldChar w:fldCharType="separate"/>
          </w:r>
          <w:r w:rsidR="00AC308F" w:rsidRPr="00AC308F">
            <w:rPr>
              <w:noProof/>
              <w:sz w:val="22"/>
              <w:szCs w:val="22"/>
            </w:rPr>
            <w:t>(NPCC &amp; College Of Policing, 2023)</w:t>
          </w:r>
          <w:r w:rsidR="00AC308F">
            <w:rPr>
              <w:sz w:val="22"/>
              <w:szCs w:val="22"/>
            </w:rPr>
            <w:fldChar w:fldCharType="end"/>
          </w:r>
        </w:sdtContent>
      </w:sdt>
      <w:r w:rsidR="00964436" w:rsidRPr="00964436">
        <w:rPr>
          <w:sz w:val="22"/>
          <w:szCs w:val="22"/>
        </w:rPr>
        <w:t>.</w:t>
      </w:r>
      <w:r w:rsidR="00964436">
        <w:rPr>
          <w:sz w:val="22"/>
          <w:szCs w:val="22"/>
        </w:rPr>
        <w:t xml:space="preserve"> </w:t>
      </w:r>
      <w:r w:rsidR="00E441E4" w:rsidRPr="00964436">
        <w:rPr>
          <w:sz w:val="22"/>
          <w:szCs w:val="22"/>
        </w:rPr>
        <w:t xml:space="preserve">In order to address poor organizational culture issues, which were an obviously aggravating factor </w:t>
      </w:r>
      <w:r w:rsidR="00E441E4" w:rsidRPr="00AC308F">
        <w:rPr>
          <w:sz w:val="22"/>
          <w:szCs w:val="22"/>
        </w:rPr>
        <w:t>following the major incident</w:t>
      </w:r>
      <w:r w:rsidR="00AC308F">
        <w:rPr>
          <w:sz w:val="22"/>
          <w:szCs w:val="22"/>
        </w:rPr>
        <w:t>, t</w:t>
      </w:r>
      <w:r w:rsidR="00964436" w:rsidRPr="00AC308F">
        <w:rPr>
          <w:sz w:val="22"/>
          <w:szCs w:val="22"/>
        </w:rPr>
        <w:t xml:space="preserve">he COP also added that the goal of the new authorised professional practice (APP) on media relations released by them in 2017 is to guarantee that police communication adheres to the highest standards of transparency, accountability, and integrity at all service levels. It is explicitly stated in the guidance that it should be read in addition to the Code of Ethics, with the latter being currently reviewed to ensure it is still appropriate for </w:t>
      </w:r>
      <w:r w:rsidR="00AC308F" w:rsidRPr="00AC308F">
        <w:rPr>
          <w:sz w:val="22"/>
          <w:szCs w:val="22"/>
        </w:rPr>
        <w:t xml:space="preserve">their intended use. </w:t>
      </w:r>
      <w:r w:rsidR="00964436" w:rsidRPr="00AC308F">
        <w:rPr>
          <w:sz w:val="22"/>
          <w:szCs w:val="22"/>
        </w:rPr>
        <w:t xml:space="preserve"> </w:t>
      </w:r>
    </w:p>
    <w:p w14:paraId="2E21B00C" w14:textId="77777777" w:rsidR="00B71E87" w:rsidRPr="00DB05D1" w:rsidRDefault="00B71E87" w:rsidP="00B71E87">
      <w:pPr>
        <w:pStyle w:val="Default"/>
        <w:jc w:val="both"/>
        <w:rPr>
          <w:rFonts w:ascii="Times New Roman" w:hAnsi="Times New Roman" w:cs="Times New Roman"/>
          <w:sz w:val="22"/>
          <w:szCs w:val="22"/>
        </w:rPr>
      </w:pPr>
    </w:p>
    <w:p w14:paraId="79120A6F" w14:textId="4CBCFCB4" w:rsidR="0069329A" w:rsidRDefault="00AC308F" w:rsidP="005044E7">
      <w:pPr>
        <w:pStyle w:val="Default"/>
        <w:jc w:val="both"/>
        <w:rPr>
          <w:rFonts w:ascii="Times New Roman" w:hAnsi="Times New Roman" w:cs="Times New Roman"/>
          <w:color w:val="FF0000"/>
          <w:sz w:val="22"/>
          <w:szCs w:val="22"/>
        </w:rPr>
      </w:pPr>
      <w:r w:rsidRPr="005044E7">
        <w:rPr>
          <w:rFonts w:ascii="Times New Roman" w:hAnsi="Times New Roman" w:cs="Times New Roman"/>
          <w:color w:val="auto"/>
          <w:sz w:val="22"/>
          <w:szCs w:val="22"/>
        </w:rPr>
        <w:t>In conclusion following the analysis of both examples of significant incidents within British Policing history and the subsequent</w:t>
      </w:r>
      <w:r w:rsidR="00B71E87" w:rsidRPr="005044E7">
        <w:rPr>
          <w:rFonts w:ascii="Times New Roman" w:hAnsi="Times New Roman" w:cs="Times New Roman"/>
          <w:color w:val="auto"/>
          <w:sz w:val="22"/>
          <w:szCs w:val="22"/>
        </w:rPr>
        <w:t xml:space="preserve"> formal</w:t>
      </w:r>
      <w:r w:rsidRPr="005044E7">
        <w:rPr>
          <w:rFonts w:ascii="Times New Roman" w:hAnsi="Times New Roman" w:cs="Times New Roman"/>
          <w:color w:val="auto"/>
          <w:sz w:val="22"/>
          <w:szCs w:val="22"/>
        </w:rPr>
        <w:t xml:space="preserve"> responses to them, the evidence suggests that factors affecting polices role with joint operations include poor organizational culture, lack of planning and a failure to learn. Much has been done to correct this, with national guidance being issued</w:t>
      </w:r>
      <w:r w:rsidR="00B71E87" w:rsidRPr="005044E7">
        <w:rPr>
          <w:rFonts w:ascii="Times New Roman" w:hAnsi="Times New Roman" w:cs="Times New Roman"/>
          <w:color w:val="auto"/>
          <w:sz w:val="22"/>
          <w:szCs w:val="22"/>
        </w:rPr>
        <w:t>, firstly to acknowledge both the positive and poor actions of police and finally, to identify learning and develop strategies and policies to improve policing practices to prevent harm and heartache for members of the public in future as well as preventing loss of public confidence in police</w:t>
      </w:r>
      <w:r w:rsidR="005044E7">
        <w:rPr>
          <w:rFonts w:ascii="Times New Roman" w:hAnsi="Times New Roman" w:cs="Times New Roman"/>
          <w:color w:val="auto"/>
          <w:sz w:val="22"/>
          <w:szCs w:val="22"/>
        </w:rPr>
        <w:t xml:space="preserve"> as has been seen particularly in the case of the Hillsborough disaster</w:t>
      </w:r>
      <w:r w:rsidR="00B71E87" w:rsidRPr="005044E7">
        <w:rPr>
          <w:rFonts w:ascii="Times New Roman" w:hAnsi="Times New Roman" w:cs="Times New Roman"/>
          <w:color w:val="auto"/>
          <w:sz w:val="22"/>
          <w:szCs w:val="22"/>
        </w:rPr>
        <w:t xml:space="preserve">. </w:t>
      </w:r>
      <w:r w:rsidR="0069329A">
        <w:rPr>
          <w:rFonts w:ascii="Times New Roman" w:hAnsi="Times New Roman" w:cs="Times New Roman"/>
          <w:color w:val="FF0000"/>
          <w:sz w:val="22"/>
          <w:szCs w:val="22"/>
        </w:rPr>
        <w:t xml:space="preserve"> </w:t>
      </w:r>
    </w:p>
    <w:p w14:paraId="6E6E6FAF" w14:textId="77777777" w:rsidR="005044E7" w:rsidRDefault="005044E7" w:rsidP="005044E7">
      <w:pPr>
        <w:pStyle w:val="Default"/>
        <w:jc w:val="both"/>
        <w:rPr>
          <w:rFonts w:ascii="Times New Roman" w:hAnsi="Times New Roman" w:cs="Times New Roman"/>
          <w:color w:val="FF0000"/>
          <w:sz w:val="22"/>
          <w:szCs w:val="22"/>
        </w:rPr>
      </w:pPr>
    </w:p>
    <w:p w14:paraId="2F6C4827" w14:textId="0C3B1615" w:rsidR="005044E7" w:rsidRDefault="005044E7" w:rsidP="005044E7">
      <w:pPr>
        <w:pStyle w:val="Default"/>
        <w:jc w:val="both"/>
        <w:rPr>
          <w:rFonts w:ascii="Times New Roman" w:hAnsi="Times New Roman" w:cs="Times New Roman"/>
          <w:color w:val="FF0000"/>
          <w:sz w:val="22"/>
          <w:szCs w:val="22"/>
        </w:rPr>
      </w:pPr>
      <w:r>
        <w:rPr>
          <w:rFonts w:ascii="Times New Roman" w:hAnsi="Times New Roman" w:cs="Times New Roman"/>
          <w:color w:val="FF0000"/>
          <w:sz w:val="22"/>
          <w:szCs w:val="22"/>
        </w:rPr>
        <w:t>1939 words</w:t>
      </w:r>
    </w:p>
    <w:p w14:paraId="25A44C47" w14:textId="77777777" w:rsidR="005044E7" w:rsidRDefault="005044E7" w:rsidP="005044E7">
      <w:pPr>
        <w:pStyle w:val="Default"/>
        <w:jc w:val="both"/>
        <w:rPr>
          <w:rFonts w:ascii="Times New Roman" w:hAnsi="Times New Roman" w:cs="Times New Roman"/>
          <w:color w:val="FF0000"/>
          <w:sz w:val="22"/>
          <w:szCs w:val="22"/>
        </w:rPr>
      </w:pPr>
    </w:p>
    <w:p w14:paraId="7B350618" w14:textId="77777777" w:rsidR="005044E7" w:rsidRDefault="005044E7" w:rsidP="005044E7">
      <w:pPr>
        <w:pStyle w:val="Default"/>
        <w:jc w:val="both"/>
        <w:rPr>
          <w:rFonts w:ascii="Times New Roman" w:hAnsi="Times New Roman" w:cs="Times New Roman"/>
          <w:color w:val="auto"/>
          <w:sz w:val="22"/>
          <w:szCs w:val="22"/>
        </w:rPr>
      </w:pPr>
    </w:p>
    <w:p w14:paraId="705A7C5C" w14:textId="77777777" w:rsidR="000E7255" w:rsidRDefault="000E7255" w:rsidP="005044E7">
      <w:pPr>
        <w:pStyle w:val="Default"/>
        <w:jc w:val="both"/>
        <w:rPr>
          <w:rFonts w:ascii="Times New Roman" w:hAnsi="Times New Roman" w:cs="Times New Roman"/>
          <w:color w:val="auto"/>
          <w:sz w:val="22"/>
          <w:szCs w:val="22"/>
        </w:rPr>
      </w:pPr>
    </w:p>
    <w:p w14:paraId="72CC5538" w14:textId="77777777" w:rsidR="000E7255" w:rsidRDefault="000E7255" w:rsidP="005044E7">
      <w:pPr>
        <w:pStyle w:val="Default"/>
        <w:jc w:val="both"/>
        <w:rPr>
          <w:rFonts w:ascii="Times New Roman" w:hAnsi="Times New Roman" w:cs="Times New Roman"/>
          <w:color w:val="auto"/>
          <w:sz w:val="22"/>
          <w:szCs w:val="22"/>
        </w:rPr>
      </w:pPr>
    </w:p>
    <w:p w14:paraId="05201282" w14:textId="77777777" w:rsidR="000E7255" w:rsidRDefault="000E7255" w:rsidP="005044E7">
      <w:pPr>
        <w:pStyle w:val="Default"/>
        <w:jc w:val="both"/>
        <w:rPr>
          <w:rFonts w:ascii="Times New Roman" w:hAnsi="Times New Roman" w:cs="Times New Roman"/>
          <w:color w:val="auto"/>
          <w:sz w:val="22"/>
          <w:szCs w:val="22"/>
        </w:rPr>
      </w:pPr>
    </w:p>
    <w:p w14:paraId="3DFA29BE" w14:textId="7D1D9E35" w:rsidR="0053283F" w:rsidRPr="003B0E5A" w:rsidRDefault="0053283F" w:rsidP="0053283F">
      <w:pPr>
        <w:pStyle w:val="Default"/>
        <w:jc w:val="both"/>
        <w:rPr>
          <w:rFonts w:ascii="Times New Roman" w:hAnsi="Times New Roman" w:cs="Times New Roman"/>
          <w:sz w:val="22"/>
          <w:szCs w:val="22"/>
        </w:rPr>
      </w:pPr>
      <w:r w:rsidRPr="003B0E5A">
        <w:rPr>
          <w:rFonts w:ascii="Times New Roman" w:hAnsi="Times New Roman" w:cs="Times New Roman"/>
          <w:sz w:val="22"/>
          <w:szCs w:val="22"/>
          <w:u w:val="single"/>
        </w:rPr>
        <w:t>Why</w:t>
      </w:r>
      <w:r w:rsidRPr="003B0E5A">
        <w:rPr>
          <w:rFonts w:ascii="Times New Roman" w:hAnsi="Times New Roman" w:cs="Times New Roman"/>
          <w:sz w:val="22"/>
          <w:szCs w:val="22"/>
        </w:rPr>
        <w:t xml:space="preserve"> might terrorist organisations be </w:t>
      </w:r>
      <w:r w:rsidRPr="003B0E5A">
        <w:rPr>
          <w:rFonts w:ascii="Times New Roman" w:hAnsi="Times New Roman" w:cs="Times New Roman"/>
          <w:sz w:val="22"/>
          <w:szCs w:val="22"/>
          <w:u w:val="single"/>
        </w:rPr>
        <w:t>involved in other types of criminality</w:t>
      </w:r>
      <w:r w:rsidRPr="003B0E5A">
        <w:rPr>
          <w:rFonts w:ascii="Times New Roman" w:hAnsi="Times New Roman" w:cs="Times New Roman"/>
          <w:sz w:val="22"/>
          <w:szCs w:val="22"/>
        </w:rPr>
        <w:t xml:space="preserve">, and </w:t>
      </w:r>
      <w:r w:rsidRPr="003B0E5A">
        <w:rPr>
          <w:rFonts w:ascii="Times New Roman" w:hAnsi="Times New Roman" w:cs="Times New Roman"/>
          <w:sz w:val="22"/>
          <w:szCs w:val="22"/>
          <w:u w:val="single"/>
        </w:rPr>
        <w:t>how</w:t>
      </w:r>
      <w:r w:rsidRPr="003B0E5A">
        <w:rPr>
          <w:rFonts w:ascii="Times New Roman" w:hAnsi="Times New Roman" w:cs="Times New Roman"/>
          <w:sz w:val="22"/>
          <w:szCs w:val="22"/>
        </w:rPr>
        <w:t xml:space="preserve"> might </w:t>
      </w:r>
      <w:r w:rsidRPr="003B0E5A">
        <w:rPr>
          <w:rFonts w:ascii="Times New Roman" w:hAnsi="Times New Roman" w:cs="Times New Roman"/>
          <w:sz w:val="22"/>
          <w:szCs w:val="22"/>
          <w:u w:val="single"/>
        </w:rPr>
        <w:t>intelligence</w:t>
      </w:r>
      <w:r w:rsidRPr="003B0E5A">
        <w:rPr>
          <w:rFonts w:ascii="Times New Roman" w:hAnsi="Times New Roman" w:cs="Times New Roman"/>
          <w:sz w:val="22"/>
          <w:szCs w:val="22"/>
        </w:rPr>
        <w:t xml:space="preserve"> gained in the investigation of such criminality </w:t>
      </w:r>
      <w:r w:rsidRPr="003B0E5A">
        <w:rPr>
          <w:rFonts w:ascii="Times New Roman" w:hAnsi="Times New Roman" w:cs="Times New Roman"/>
          <w:sz w:val="22"/>
          <w:szCs w:val="22"/>
          <w:u w:val="single"/>
        </w:rPr>
        <w:t>inform counter-terrorism</w:t>
      </w:r>
      <w:r w:rsidRPr="003B0E5A">
        <w:rPr>
          <w:rFonts w:ascii="Times New Roman" w:hAnsi="Times New Roman" w:cs="Times New Roman"/>
          <w:sz w:val="22"/>
          <w:szCs w:val="22"/>
        </w:rPr>
        <w:t xml:space="preserve"> policing? (2000) </w:t>
      </w:r>
    </w:p>
    <w:p w14:paraId="5FE1F00B" w14:textId="442DF40E" w:rsidR="0053283F" w:rsidRPr="003B0E5A" w:rsidRDefault="0053283F" w:rsidP="0053283F">
      <w:pPr>
        <w:pStyle w:val="Default"/>
        <w:jc w:val="both"/>
        <w:rPr>
          <w:rFonts w:ascii="Times New Roman" w:hAnsi="Times New Roman" w:cs="Times New Roman"/>
          <w:sz w:val="22"/>
          <w:szCs w:val="22"/>
        </w:rPr>
      </w:pPr>
      <w:r w:rsidRPr="003B0E5A">
        <w:rPr>
          <w:rFonts w:ascii="Times New Roman" w:hAnsi="Times New Roman" w:cs="Times New Roman"/>
          <w:sz w:val="22"/>
          <w:szCs w:val="22"/>
        </w:rPr>
        <w:t xml:space="preserve">Your answer must be based on academic research, but you may make reference to relevant case studies. </w:t>
      </w:r>
    </w:p>
    <w:p w14:paraId="39F2F134" w14:textId="77777777" w:rsidR="0053283F" w:rsidRPr="00731911" w:rsidRDefault="0053283F" w:rsidP="0053283F">
      <w:pPr>
        <w:pStyle w:val="Default"/>
        <w:jc w:val="both"/>
        <w:rPr>
          <w:rFonts w:ascii="Times New Roman" w:hAnsi="Times New Roman" w:cs="Times New Roman"/>
          <w:sz w:val="22"/>
          <w:szCs w:val="22"/>
        </w:rPr>
      </w:pPr>
    </w:p>
    <w:p w14:paraId="3D39758C" w14:textId="19FFEDE0" w:rsidR="002D1788" w:rsidRPr="00731911" w:rsidRDefault="003B03B8" w:rsidP="00731911">
      <w:pPr>
        <w:pStyle w:val="Default"/>
        <w:jc w:val="both"/>
        <w:rPr>
          <w:rFonts w:ascii="Times New Roman" w:hAnsi="Times New Roman" w:cs="Times New Roman"/>
          <w:sz w:val="22"/>
          <w:szCs w:val="22"/>
        </w:rPr>
      </w:pPr>
      <w:r w:rsidRPr="00731911">
        <w:rPr>
          <w:rFonts w:ascii="Times New Roman" w:hAnsi="Times New Roman" w:cs="Times New Roman"/>
          <w:sz w:val="22"/>
          <w:szCs w:val="22"/>
        </w:rPr>
        <w:t xml:space="preserve">The aim of the following essay is to evaluate why terrorist organisations may be involved in different types of crime and how, by investigating these types of criminality, counter terrorism policing may be informed by intelligence. </w:t>
      </w:r>
    </w:p>
    <w:p w14:paraId="09BEB1B2" w14:textId="77777777" w:rsidR="003B03B8" w:rsidRPr="00731911" w:rsidRDefault="003B03B8" w:rsidP="00731911">
      <w:pPr>
        <w:pStyle w:val="Default"/>
        <w:jc w:val="both"/>
        <w:rPr>
          <w:rFonts w:ascii="Times New Roman" w:hAnsi="Times New Roman" w:cs="Times New Roman"/>
          <w:sz w:val="22"/>
          <w:szCs w:val="22"/>
        </w:rPr>
      </w:pPr>
    </w:p>
    <w:p w14:paraId="0FD207DB" w14:textId="10C993CD" w:rsidR="008E38FA" w:rsidRDefault="00F01791" w:rsidP="00392163">
      <w:pPr>
        <w:jc w:val="both"/>
        <w:rPr>
          <w:sz w:val="22"/>
          <w:szCs w:val="22"/>
        </w:rPr>
      </w:pPr>
      <w:r w:rsidRPr="00731911">
        <w:rPr>
          <w:sz w:val="22"/>
          <w:szCs w:val="22"/>
        </w:rPr>
        <w:t>Firstly,</w:t>
      </w:r>
      <w:r w:rsidR="00274B1D" w:rsidRPr="00731911">
        <w:rPr>
          <w:sz w:val="22"/>
          <w:szCs w:val="22"/>
        </w:rPr>
        <w:t xml:space="preserve"> to accurately evaluate the subject,</w:t>
      </w:r>
      <w:r w:rsidRPr="00731911">
        <w:rPr>
          <w:sz w:val="22"/>
          <w:szCs w:val="22"/>
        </w:rPr>
        <w:t xml:space="preserve"> </w:t>
      </w:r>
      <w:r w:rsidR="00274B1D" w:rsidRPr="00731911">
        <w:rPr>
          <w:sz w:val="22"/>
          <w:szCs w:val="22"/>
        </w:rPr>
        <w:t xml:space="preserve">it is important to look at what links there are between terrorism and organised crime. Founded as an EU organisation in 2009, Europol, also known as the European Police Office, provides a distinctive array of services and is crucial to the European security framework. They published a </w:t>
      </w:r>
      <w:r w:rsidR="00274B1D" w:rsidRPr="00731911">
        <w:rPr>
          <w:sz w:val="22"/>
          <w:szCs w:val="22"/>
        </w:rPr>
        <w:lastRenderedPageBreak/>
        <w:t xml:space="preserve">body of work, </w:t>
      </w:r>
      <w:r w:rsidR="0015133B" w:rsidRPr="00731911">
        <w:rPr>
          <w:sz w:val="22"/>
          <w:szCs w:val="22"/>
        </w:rPr>
        <w:t xml:space="preserve">the </w:t>
      </w:r>
      <w:r w:rsidR="00274B1D" w:rsidRPr="00731911">
        <w:rPr>
          <w:sz w:val="22"/>
          <w:szCs w:val="22"/>
        </w:rPr>
        <w:t xml:space="preserve">Serious and Organised Crime Threat Assessment, in 2017 </w:t>
      </w:r>
      <w:r w:rsidR="0015133B" w:rsidRPr="00731911">
        <w:rPr>
          <w:sz w:val="22"/>
          <w:szCs w:val="22"/>
        </w:rPr>
        <w:t xml:space="preserve">in </w:t>
      </w:r>
      <w:r w:rsidR="00274B1D" w:rsidRPr="00731911">
        <w:rPr>
          <w:sz w:val="22"/>
          <w:szCs w:val="22"/>
        </w:rPr>
        <w:t>which</w:t>
      </w:r>
      <w:r w:rsidR="0015133B" w:rsidRPr="00731911">
        <w:rPr>
          <w:sz w:val="22"/>
          <w:szCs w:val="22"/>
        </w:rPr>
        <w:t xml:space="preserve"> they found from investigations into the terrorist attacks that occurred in Paris in November 2015 and Brussels in March 2016, some of those involved had personal connections to criminal organisations</w:t>
      </w:r>
      <w:r w:rsidR="008E38FA" w:rsidRPr="00731911">
        <w:rPr>
          <w:sz w:val="22"/>
          <w:szCs w:val="22"/>
        </w:rPr>
        <w:t xml:space="preserve"> and were engaging in the production of false documents and the trafficking of firearms, among other forms of serious and organised crime. </w:t>
      </w:r>
      <w:r w:rsidR="005A0A7C" w:rsidRPr="00731911">
        <w:rPr>
          <w:sz w:val="22"/>
          <w:szCs w:val="22"/>
        </w:rPr>
        <w:t xml:space="preserve">Terrorist </w:t>
      </w:r>
      <w:r w:rsidR="008E38FA" w:rsidRPr="00731911">
        <w:rPr>
          <w:sz w:val="22"/>
          <w:szCs w:val="22"/>
        </w:rPr>
        <w:t>organisations may receive deadly weapons</w:t>
      </w:r>
      <w:r w:rsidR="000A41DC" w:rsidRPr="00731911">
        <w:rPr>
          <w:sz w:val="22"/>
          <w:szCs w:val="22"/>
        </w:rPr>
        <w:t xml:space="preserve"> or other goods and equipment</w:t>
      </w:r>
      <w:r w:rsidR="008E38FA" w:rsidRPr="00731911">
        <w:rPr>
          <w:sz w:val="22"/>
          <w:szCs w:val="22"/>
        </w:rPr>
        <w:t xml:space="preserve"> </w:t>
      </w:r>
      <w:r w:rsidR="005A0A7C" w:rsidRPr="00731911">
        <w:rPr>
          <w:sz w:val="22"/>
          <w:szCs w:val="22"/>
        </w:rPr>
        <w:t>for use in</w:t>
      </w:r>
      <w:r w:rsidR="008E38FA" w:rsidRPr="00731911">
        <w:rPr>
          <w:sz w:val="22"/>
          <w:szCs w:val="22"/>
        </w:rPr>
        <w:t xml:space="preserve"> attacks </w:t>
      </w:r>
      <w:r w:rsidR="005A0A7C" w:rsidRPr="00731911">
        <w:rPr>
          <w:sz w:val="22"/>
          <w:szCs w:val="22"/>
        </w:rPr>
        <w:t>by infiltrating</w:t>
      </w:r>
      <w:r w:rsidR="008E38FA" w:rsidRPr="00731911">
        <w:rPr>
          <w:sz w:val="22"/>
          <w:szCs w:val="22"/>
        </w:rPr>
        <w:t xml:space="preserve"> OCG infrastructures such as guns or forged passports</w:t>
      </w:r>
      <w:r w:rsidR="000A41DC" w:rsidRPr="00731911">
        <w:rPr>
          <w:sz w:val="22"/>
          <w:szCs w:val="22"/>
        </w:rPr>
        <w:t>. Additionally,</w:t>
      </w:r>
      <w:r w:rsidR="008E38FA" w:rsidRPr="00731911">
        <w:rPr>
          <w:sz w:val="22"/>
          <w:szCs w:val="22"/>
        </w:rPr>
        <w:t xml:space="preserve"> terrorist actors may be able to raise money to support their terrorist actions by engaging in s</w:t>
      </w:r>
      <w:r w:rsidR="000A41DC" w:rsidRPr="00731911">
        <w:rPr>
          <w:sz w:val="22"/>
          <w:szCs w:val="22"/>
        </w:rPr>
        <w:t>uch crime</w:t>
      </w:r>
      <w:r w:rsidR="00731911" w:rsidRPr="00731911">
        <w:rPr>
          <w:sz w:val="22"/>
          <w:szCs w:val="22"/>
        </w:rPr>
        <w:t xml:space="preserve"> </w:t>
      </w:r>
      <w:sdt>
        <w:sdtPr>
          <w:rPr>
            <w:sz w:val="22"/>
            <w:szCs w:val="22"/>
          </w:rPr>
          <w:id w:val="180246273"/>
          <w:citation/>
        </w:sdtPr>
        <w:sdtEndPr/>
        <w:sdtContent>
          <w:r w:rsidR="00731911" w:rsidRPr="00731911">
            <w:rPr>
              <w:sz w:val="22"/>
              <w:szCs w:val="22"/>
            </w:rPr>
            <w:fldChar w:fldCharType="begin"/>
          </w:r>
          <w:r w:rsidR="00731911" w:rsidRPr="00731911">
            <w:rPr>
              <w:sz w:val="22"/>
              <w:szCs w:val="22"/>
            </w:rPr>
            <w:instrText xml:space="preserve"> CITATION Eur17 \l 2057 </w:instrText>
          </w:r>
          <w:r w:rsidR="00731911" w:rsidRPr="00731911">
            <w:rPr>
              <w:sz w:val="22"/>
              <w:szCs w:val="22"/>
            </w:rPr>
            <w:fldChar w:fldCharType="separate"/>
          </w:r>
          <w:r w:rsidR="00731911" w:rsidRPr="00731911">
            <w:rPr>
              <w:noProof/>
              <w:sz w:val="22"/>
              <w:szCs w:val="22"/>
            </w:rPr>
            <w:t>(Europol, 2017)</w:t>
          </w:r>
          <w:r w:rsidR="00731911" w:rsidRPr="00731911">
            <w:rPr>
              <w:sz w:val="22"/>
              <w:szCs w:val="22"/>
            </w:rPr>
            <w:fldChar w:fldCharType="end"/>
          </w:r>
        </w:sdtContent>
      </w:sdt>
      <w:r w:rsidR="000A41DC" w:rsidRPr="00731911">
        <w:rPr>
          <w:sz w:val="22"/>
          <w:szCs w:val="22"/>
        </w:rPr>
        <w:t xml:space="preserve">. </w:t>
      </w:r>
    </w:p>
    <w:p w14:paraId="63464BDF" w14:textId="77777777" w:rsidR="00763565" w:rsidRDefault="00763565" w:rsidP="00392163">
      <w:pPr>
        <w:jc w:val="both"/>
        <w:rPr>
          <w:sz w:val="22"/>
          <w:szCs w:val="22"/>
        </w:rPr>
      </w:pPr>
    </w:p>
    <w:p w14:paraId="27D640AF" w14:textId="44719BC6" w:rsidR="00463581" w:rsidRDefault="00E56EBC" w:rsidP="00392163">
      <w:pPr>
        <w:jc w:val="both"/>
        <w:rPr>
          <w:sz w:val="22"/>
          <w:szCs w:val="22"/>
        </w:rPr>
      </w:pPr>
      <w:r w:rsidRPr="002E0835">
        <w:rPr>
          <w:sz w:val="22"/>
          <w:szCs w:val="22"/>
        </w:rPr>
        <w:t>Supporting the information published by Europol</w:t>
      </w:r>
      <w:r w:rsidR="002E0835" w:rsidRPr="002E0835">
        <w:rPr>
          <w:sz w:val="22"/>
          <w:szCs w:val="22"/>
        </w:rPr>
        <w:t xml:space="preserve">, a paper published by Royal United Services Institute, found </w:t>
      </w:r>
      <w:r w:rsidR="00392163">
        <w:rPr>
          <w:sz w:val="22"/>
          <w:szCs w:val="22"/>
        </w:rPr>
        <w:t>from</w:t>
      </w:r>
      <w:r w:rsidR="002E0835" w:rsidRPr="002E0835">
        <w:rPr>
          <w:sz w:val="22"/>
          <w:szCs w:val="22"/>
        </w:rPr>
        <w:t xml:space="preserve"> research </w:t>
      </w:r>
      <w:r w:rsidRPr="002E0835">
        <w:rPr>
          <w:sz w:val="22"/>
          <w:szCs w:val="22"/>
        </w:rPr>
        <w:t xml:space="preserve">that a 2015 manual ostensibly written by an Islamic State member illustrates the significance of fraud as a technique for financing terrorism. Many of the various types of fraud are covered by this </w:t>
      </w:r>
      <w:r w:rsidR="00596571">
        <w:rPr>
          <w:sz w:val="22"/>
          <w:szCs w:val="22"/>
        </w:rPr>
        <w:t xml:space="preserve">alleged </w:t>
      </w:r>
      <w:r w:rsidRPr="002E0835">
        <w:rPr>
          <w:sz w:val="22"/>
          <w:szCs w:val="22"/>
        </w:rPr>
        <w:t xml:space="preserve">handbook, however, the </w:t>
      </w:r>
      <w:r w:rsidR="00596571">
        <w:rPr>
          <w:sz w:val="22"/>
          <w:szCs w:val="22"/>
        </w:rPr>
        <w:t>writer</w:t>
      </w:r>
      <w:r w:rsidRPr="002E0835">
        <w:rPr>
          <w:sz w:val="22"/>
          <w:szCs w:val="22"/>
        </w:rPr>
        <w:t xml:space="preserve"> offers guidance on several fraudulent ways to make "easy money" in a section titled "Earning Money". This includes supporting schemes involving credit cards, PayPal and eBay, phishing, hacking with the </w:t>
      </w:r>
      <w:r w:rsidRPr="00463581">
        <w:rPr>
          <w:sz w:val="22"/>
          <w:szCs w:val="22"/>
        </w:rPr>
        <w:t xml:space="preserve">writer alleging, without providing any supporting documentation, that </w:t>
      </w:r>
      <w:r w:rsidR="00463581" w:rsidRPr="00463581">
        <w:rPr>
          <w:sz w:val="22"/>
          <w:szCs w:val="22"/>
        </w:rPr>
        <w:t>“</w:t>
      </w:r>
      <w:r w:rsidRPr="00463581">
        <w:rPr>
          <w:sz w:val="22"/>
          <w:szCs w:val="22"/>
        </w:rPr>
        <w:t xml:space="preserve">a Muslim Accountant had </w:t>
      </w:r>
      <w:r w:rsidR="00463581" w:rsidRPr="00463581">
        <w:rPr>
          <w:sz w:val="22"/>
          <w:szCs w:val="22"/>
        </w:rPr>
        <w:t xml:space="preserve">effectively stolen </w:t>
      </w:r>
      <w:r w:rsidRPr="00463581">
        <w:rPr>
          <w:sz w:val="22"/>
          <w:szCs w:val="22"/>
        </w:rPr>
        <w:t>$50 million from his boss and fled to the Islamic State”</w:t>
      </w:r>
      <w:r w:rsidR="002E0835" w:rsidRPr="00463581">
        <w:rPr>
          <w:sz w:val="22"/>
          <w:szCs w:val="22"/>
        </w:rPr>
        <w:t xml:space="preserve"> </w:t>
      </w:r>
      <w:sdt>
        <w:sdtPr>
          <w:rPr>
            <w:sz w:val="22"/>
            <w:szCs w:val="22"/>
          </w:rPr>
          <w:id w:val="1226578399"/>
          <w:citation/>
        </w:sdtPr>
        <w:sdtEndPr/>
        <w:sdtContent>
          <w:r w:rsidR="002E0835" w:rsidRPr="00463581">
            <w:rPr>
              <w:sz w:val="22"/>
              <w:szCs w:val="22"/>
            </w:rPr>
            <w:fldChar w:fldCharType="begin"/>
          </w:r>
          <w:r w:rsidR="002E0835" w:rsidRPr="00463581">
            <w:rPr>
              <w:sz w:val="22"/>
              <w:szCs w:val="22"/>
            </w:rPr>
            <w:instrText xml:space="preserve"> CITATION Woo21 \l 2057 </w:instrText>
          </w:r>
          <w:r w:rsidR="002E0835" w:rsidRPr="00463581">
            <w:rPr>
              <w:sz w:val="22"/>
              <w:szCs w:val="22"/>
            </w:rPr>
            <w:fldChar w:fldCharType="separate"/>
          </w:r>
          <w:r w:rsidR="002E0835" w:rsidRPr="00463581">
            <w:rPr>
              <w:noProof/>
              <w:sz w:val="22"/>
              <w:szCs w:val="22"/>
            </w:rPr>
            <w:t>(Wood, Keatinge, Ditcham, &amp; Janjeva, 2021)</w:t>
          </w:r>
          <w:r w:rsidR="002E0835" w:rsidRPr="00463581">
            <w:rPr>
              <w:sz w:val="22"/>
              <w:szCs w:val="22"/>
            </w:rPr>
            <w:fldChar w:fldCharType="end"/>
          </w:r>
        </w:sdtContent>
      </w:sdt>
      <w:r w:rsidRPr="00463581">
        <w:rPr>
          <w:sz w:val="22"/>
          <w:szCs w:val="22"/>
        </w:rPr>
        <w:t xml:space="preserve">. </w:t>
      </w:r>
      <w:r w:rsidR="00463581" w:rsidRPr="00463581">
        <w:rPr>
          <w:sz w:val="22"/>
          <w:szCs w:val="22"/>
        </w:rPr>
        <w:t xml:space="preserve">The paper adds that </w:t>
      </w:r>
      <w:r w:rsidR="00392163">
        <w:rPr>
          <w:sz w:val="22"/>
          <w:szCs w:val="22"/>
        </w:rPr>
        <w:t>t</w:t>
      </w:r>
      <w:r w:rsidR="00463581" w:rsidRPr="00463581">
        <w:rPr>
          <w:sz w:val="22"/>
          <w:szCs w:val="22"/>
        </w:rPr>
        <w:t xml:space="preserve">errorists on both sides of the Northern Ireland war allegedly forced building subcontractors to conduct tax fraud in the 1980s </w:t>
      </w:r>
      <w:r w:rsidR="00920B8C" w:rsidRPr="00463581">
        <w:rPr>
          <w:sz w:val="22"/>
          <w:szCs w:val="22"/>
        </w:rPr>
        <w:t>to</w:t>
      </w:r>
      <w:r w:rsidR="00463581" w:rsidRPr="00463581">
        <w:rPr>
          <w:sz w:val="22"/>
          <w:szCs w:val="22"/>
        </w:rPr>
        <w:t xml:space="preserve"> raise money; at the time, a judge noted that both Protestant and Catholic terrorists were being supported by this means of “fundraising”. </w:t>
      </w:r>
    </w:p>
    <w:p w14:paraId="0B7235F0" w14:textId="77777777" w:rsidR="00920B8C" w:rsidRDefault="00920B8C" w:rsidP="00392163">
      <w:pPr>
        <w:jc w:val="both"/>
        <w:rPr>
          <w:sz w:val="22"/>
          <w:szCs w:val="22"/>
        </w:rPr>
      </w:pPr>
    </w:p>
    <w:p w14:paraId="440971E0" w14:textId="10E5F3DB" w:rsidR="00046E98" w:rsidRDefault="00920B8C" w:rsidP="00046E98">
      <w:pPr>
        <w:jc w:val="both"/>
        <w:rPr>
          <w:sz w:val="22"/>
          <w:szCs w:val="22"/>
        </w:rPr>
      </w:pPr>
      <w:r w:rsidRPr="00046E98">
        <w:rPr>
          <w:sz w:val="22"/>
          <w:szCs w:val="22"/>
        </w:rPr>
        <w:t xml:space="preserve">Additionally, </w:t>
      </w:r>
      <w:r w:rsidR="0097450C" w:rsidRPr="00046E98">
        <w:rPr>
          <w:sz w:val="22"/>
          <w:szCs w:val="22"/>
        </w:rPr>
        <w:t xml:space="preserve">research has also evidenced that terrorists will avoid direct gun acquisition since it puts them at greater danger of being discovered. Rather, they will often rely on relationships that they have had for a long time whilst involved in other criminal activity, often even before they became radicalised. For instance, the 2012 Toulouse-Montauban attack culprit had a lengthy history of involvement in organised crime, drug trafficking, and other fraudulent operations. He had already served time in prison. Two of the seven firearms he used in these attacks have been tracked down, and the evidence suggests that he obtained them through his prior criminal ties </w:t>
      </w:r>
      <w:sdt>
        <w:sdtPr>
          <w:rPr>
            <w:sz w:val="22"/>
            <w:szCs w:val="22"/>
          </w:rPr>
          <w:id w:val="-1890024239"/>
          <w:citation/>
        </w:sdtPr>
        <w:sdtEndPr/>
        <w:sdtContent>
          <w:r w:rsidR="0097450C" w:rsidRPr="00046E98">
            <w:rPr>
              <w:sz w:val="22"/>
              <w:szCs w:val="22"/>
            </w:rPr>
            <w:fldChar w:fldCharType="begin"/>
          </w:r>
          <w:r w:rsidR="0097450C" w:rsidRPr="00046E98">
            <w:rPr>
              <w:sz w:val="22"/>
              <w:szCs w:val="22"/>
            </w:rPr>
            <w:instrText xml:space="preserve"> CITATION Duq18 \l 2057 </w:instrText>
          </w:r>
          <w:r w:rsidR="0097450C" w:rsidRPr="00046E98">
            <w:rPr>
              <w:sz w:val="22"/>
              <w:szCs w:val="22"/>
            </w:rPr>
            <w:fldChar w:fldCharType="separate"/>
          </w:r>
          <w:r w:rsidR="0097450C" w:rsidRPr="00046E98">
            <w:rPr>
              <w:noProof/>
              <w:sz w:val="22"/>
              <w:szCs w:val="22"/>
            </w:rPr>
            <w:t>(Duquet &amp; Goris, 2018)</w:t>
          </w:r>
          <w:r w:rsidR="0097450C" w:rsidRPr="00046E98">
            <w:rPr>
              <w:sz w:val="22"/>
              <w:szCs w:val="22"/>
            </w:rPr>
            <w:fldChar w:fldCharType="end"/>
          </w:r>
        </w:sdtContent>
      </w:sdt>
      <w:r w:rsidR="0097450C" w:rsidRPr="00046E98">
        <w:rPr>
          <w:sz w:val="22"/>
          <w:szCs w:val="22"/>
        </w:rPr>
        <w:t>.</w:t>
      </w:r>
      <w:r w:rsidR="00046E98" w:rsidRPr="00046E98">
        <w:rPr>
          <w:sz w:val="22"/>
          <w:szCs w:val="22"/>
        </w:rPr>
        <w:t xml:space="preserve"> This research has also shown that the enforcement of laws pertaining to the trafficking of illicit firearms has gained importance as a counter-terrorism strategy.</w:t>
      </w:r>
    </w:p>
    <w:p w14:paraId="0AEF0AAE" w14:textId="77777777" w:rsidR="00DC0F17" w:rsidRDefault="00DC0F17" w:rsidP="00046E98">
      <w:pPr>
        <w:jc w:val="both"/>
        <w:rPr>
          <w:sz w:val="22"/>
          <w:szCs w:val="22"/>
        </w:rPr>
      </w:pPr>
    </w:p>
    <w:p w14:paraId="1F3E460D" w14:textId="2598148C" w:rsidR="00CC6447" w:rsidRPr="00D01BCD" w:rsidRDefault="00DC0F17" w:rsidP="00D01BCD">
      <w:pPr>
        <w:jc w:val="both"/>
        <w:rPr>
          <w:sz w:val="22"/>
          <w:szCs w:val="22"/>
        </w:rPr>
      </w:pPr>
      <w:r w:rsidRPr="00D01BCD">
        <w:rPr>
          <w:sz w:val="22"/>
          <w:szCs w:val="22"/>
        </w:rPr>
        <w:t xml:space="preserve">Other research analysing links between terrorist groups and organised crime groups in Scotland found that </w:t>
      </w:r>
      <w:r w:rsidR="00D01BCD" w:rsidRPr="00D01BCD">
        <w:rPr>
          <w:sz w:val="22"/>
          <w:szCs w:val="22"/>
        </w:rPr>
        <w:t xml:space="preserve">terrorist organisations utilise criminality as a pretext for their activities, and it's possible </w:t>
      </w:r>
      <w:r w:rsidR="00D01BCD" w:rsidRPr="00D01BCD">
        <w:rPr>
          <w:sz w:val="22"/>
          <w:szCs w:val="22"/>
        </w:rPr>
        <w:lastRenderedPageBreak/>
        <w:t>that some of their members aim to be and are intentionally imprisoned as a result. These individuals may then go on to further the objectives of their terrorist organisation by forming more beneficial connections. Serious organised crime groups are likely being duped in some of their links with groups they think are like their own, but who actually have goals related to terrorism</w:t>
      </w:r>
      <w:r w:rsidR="00D01BCD">
        <w:rPr>
          <w:sz w:val="22"/>
          <w:szCs w:val="22"/>
        </w:rPr>
        <w:t xml:space="preserve"> </w:t>
      </w:r>
      <w:sdt>
        <w:sdtPr>
          <w:rPr>
            <w:sz w:val="22"/>
            <w:szCs w:val="22"/>
          </w:rPr>
          <w:id w:val="-1724138810"/>
          <w:citation/>
        </w:sdtPr>
        <w:sdtEndPr/>
        <w:sdtContent>
          <w:r w:rsidR="00D01BCD">
            <w:rPr>
              <w:sz w:val="22"/>
              <w:szCs w:val="22"/>
            </w:rPr>
            <w:fldChar w:fldCharType="begin"/>
          </w:r>
          <w:r w:rsidR="00D01BCD">
            <w:rPr>
              <w:sz w:val="22"/>
              <w:szCs w:val="22"/>
            </w:rPr>
            <w:instrText xml:space="preserve"> CITATION Gal14 \l 2057 </w:instrText>
          </w:r>
          <w:r w:rsidR="00D01BCD">
            <w:rPr>
              <w:sz w:val="22"/>
              <w:szCs w:val="22"/>
            </w:rPr>
            <w:fldChar w:fldCharType="separate"/>
          </w:r>
          <w:r w:rsidR="00D01BCD" w:rsidRPr="00D01BCD">
            <w:rPr>
              <w:noProof/>
              <w:sz w:val="22"/>
              <w:szCs w:val="22"/>
            </w:rPr>
            <w:t>(Gallagher, 2014)</w:t>
          </w:r>
          <w:r w:rsidR="00D01BCD">
            <w:rPr>
              <w:sz w:val="22"/>
              <w:szCs w:val="22"/>
            </w:rPr>
            <w:fldChar w:fldCharType="end"/>
          </w:r>
        </w:sdtContent>
      </w:sdt>
      <w:r w:rsidR="00D01BCD" w:rsidRPr="00D01BCD">
        <w:rPr>
          <w:sz w:val="22"/>
          <w:szCs w:val="22"/>
        </w:rPr>
        <w:t>.</w:t>
      </w:r>
    </w:p>
    <w:p w14:paraId="3E2DEB12" w14:textId="5129DA0E" w:rsidR="00DC0F17" w:rsidRDefault="00DC0F17" w:rsidP="00046E98">
      <w:pPr>
        <w:jc w:val="both"/>
        <w:rPr>
          <w:sz w:val="22"/>
          <w:szCs w:val="22"/>
        </w:rPr>
      </w:pPr>
    </w:p>
    <w:p w14:paraId="7E754CB0" w14:textId="7FCF52D3" w:rsidR="00B94219" w:rsidRPr="00005415" w:rsidRDefault="00F873E8" w:rsidP="00005415">
      <w:r>
        <w:rPr>
          <w:sz w:val="22"/>
          <w:szCs w:val="22"/>
        </w:rPr>
        <w:t>When considering how intelligence may inform counter-terrorism policing, particularly when looking at the involvement of terrorists with other criminality, it is necessary to understand what intelligence is</w:t>
      </w:r>
      <w:r w:rsidR="00C60EDE">
        <w:rPr>
          <w:sz w:val="22"/>
          <w:szCs w:val="22"/>
        </w:rPr>
        <w:t>,</w:t>
      </w:r>
      <w:r w:rsidRPr="00F873E8">
        <w:rPr>
          <w:sz w:val="22"/>
          <w:szCs w:val="22"/>
        </w:rPr>
        <w:t xml:space="preserve"> how it is collected</w:t>
      </w:r>
      <w:r w:rsidR="00C60EDE">
        <w:rPr>
          <w:sz w:val="22"/>
          <w:szCs w:val="22"/>
        </w:rPr>
        <w:t xml:space="preserve"> and who is responsible for developing it</w:t>
      </w:r>
      <w:r w:rsidRPr="00F873E8">
        <w:rPr>
          <w:sz w:val="22"/>
          <w:szCs w:val="22"/>
        </w:rPr>
        <w:t>. Intelligence is described by the National Crime Agency (NCA) as “</w:t>
      </w:r>
      <w:r w:rsidRPr="00F873E8">
        <w:rPr>
          <w:sz w:val="22"/>
          <w:szCs w:val="22"/>
          <w:shd w:val="clear" w:color="auto" w:fill="FFFFFF"/>
        </w:rPr>
        <w:t>information that has been analysed to assess its relevance and reliability”</w:t>
      </w:r>
      <w:r>
        <w:rPr>
          <w:sz w:val="22"/>
          <w:szCs w:val="22"/>
          <w:shd w:val="clear" w:color="auto" w:fill="FFFFFF"/>
        </w:rPr>
        <w:t xml:space="preserve"> </w:t>
      </w:r>
      <w:sdt>
        <w:sdtPr>
          <w:rPr>
            <w:sz w:val="22"/>
            <w:szCs w:val="22"/>
            <w:shd w:val="clear" w:color="auto" w:fill="FFFFFF"/>
          </w:rPr>
          <w:id w:val="-1675104016"/>
          <w:citation/>
        </w:sdtPr>
        <w:sdtEndPr/>
        <w:sdtContent>
          <w:r>
            <w:rPr>
              <w:sz w:val="22"/>
              <w:szCs w:val="22"/>
              <w:shd w:val="clear" w:color="auto" w:fill="FFFFFF"/>
            </w:rPr>
            <w:fldChar w:fldCharType="begin"/>
          </w:r>
          <w:r>
            <w:rPr>
              <w:sz w:val="22"/>
              <w:szCs w:val="22"/>
              <w:shd w:val="clear" w:color="auto" w:fill="FFFFFF"/>
            </w:rPr>
            <w:instrText xml:space="preserve"> CITATION Natnd \l 2057 </w:instrText>
          </w:r>
          <w:r>
            <w:rPr>
              <w:sz w:val="22"/>
              <w:szCs w:val="22"/>
              <w:shd w:val="clear" w:color="auto" w:fill="FFFFFF"/>
            </w:rPr>
            <w:fldChar w:fldCharType="separate"/>
          </w:r>
          <w:r w:rsidRPr="00F873E8">
            <w:rPr>
              <w:noProof/>
              <w:sz w:val="22"/>
              <w:szCs w:val="22"/>
              <w:shd w:val="clear" w:color="auto" w:fill="FFFFFF"/>
            </w:rPr>
            <w:t>(National Crime Agency, n.d.)</w:t>
          </w:r>
          <w:r>
            <w:rPr>
              <w:sz w:val="22"/>
              <w:szCs w:val="22"/>
              <w:shd w:val="clear" w:color="auto" w:fill="FFFFFF"/>
            </w:rPr>
            <w:fldChar w:fldCharType="end"/>
          </w:r>
        </w:sdtContent>
      </w:sdt>
      <w:r>
        <w:rPr>
          <w:sz w:val="22"/>
          <w:szCs w:val="22"/>
          <w:shd w:val="clear" w:color="auto" w:fill="FFFFFF"/>
        </w:rPr>
        <w:t xml:space="preserve">. </w:t>
      </w:r>
      <w:r w:rsidR="00B94219">
        <w:rPr>
          <w:sz w:val="22"/>
          <w:szCs w:val="22"/>
          <w:shd w:val="clear" w:color="auto" w:fill="FFFFFF"/>
        </w:rPr>
        <w:t>Intelligence is collected in a number of ways</w:t>
      </w:r>
      <w:r w:rsidR="00005415">
        <w:rPr>
          <w:sz w:val="22"/>
          <w:szCs w:val="22"/>
          <w:shd w:val="clear" w:color="auto" w:fill="FFFFFF"/>
        </w:rPr>
        <w:t xml:space="preserve"> by a wide range of sources, with the College of Police identifying covert human intelligence sources (CHIS), police officers, </w:t>
      </w:r>
      <w:r w:rsidR="00005415">
        <w:t>surreptitious tracking, probing, and listening devices</w:t>
      </w:r>
      <w:r w:rsidR="00005415">
        <w:t xml:space="preserve">, </w:t>
      </w:r>
      <w:r w:rsidR="00005415" w:rsidRPr="00005415">
        <w:rPr>
          <w:color w:val="202124"/>
          <w:sz w:val="22"/>
          <w:szCs w:val="22"/>
          <w:shd w:val="clear" w:color="auto" w:fill="FFFFFF"/>
        </w:rPr>
        <w:t>closed circuit television</w:t>
      </w:r>
      <w:r w:rsidR="00005415">
        <w:rPr>
          <w:color w:val="202124"/>
          <w:sz w:val="22"/>
          <w:szCs w:val="22"/>
          <w:shd w:val="clear" w:color="auto" w:fill="FFFFFF"/>
        </w:rPr>
        <w:t xml:space="preserve">, community leaders and witnesses/victims as just a few </w:t>
      </w:r>
      <w:sdt>
        <w:sdtPr>
          <w:rPr>
            <w:color w:val="202124"/>
            <w:sz w:val="22"/>
            <w:szCs w:val="22"/>
            <w:shd w:val="clear" w:color="auto" w:fill="FFFFFF"/>
          </w:rPr>
          <w:id w:val="-1979067465"/>
          <w:citation/>
        </w:sdtPr>
        <w:sdtContent>
          <w:r w:rsidR="00005415">
            <w:rPr>
              <w:color w:val="202124"/>
              <w:sz w:val="22"/>
              <w:szCs w:val="22"/>
              <w:shd w:val="clear" w:color="auto" w:fill="FFFFFF"/>
            </w:rPr>
            <w:fldChar w:fldCharType="begin"/>
          </w:r>
          <w:r w:rsidR="00005415">
            <w:rPr>
              <w:color w:val="202124"/>
              <w:sz w:val="22"/>
              <w:szCs w:val="22"/>
              <w:shd w:val="clear" w:color="auto" w:fill="FFFFFF"/>
            </w:rPr>
            <w:instrText xml:space="preserve"> CITATION Col131 \l 2057 </w:instrText>
          </w:r>
          <w:r w:rsidR="00005415">
            <w:rPr>
              <w:color w:val="202124"/>
              <w:sz w:val="22"/>
              <w:szCs w:val="22"/>
              <w:shd w:val="clear" w:color="auto" w:fill="FFFFFF"/>
            </w:rPr>
            <w:fldChar w:fldCharType="separate"/>
          </w:r>
          <w:r w:rsidR="00005415" w:rsidRPr="00005415">
            <w:rPr>
              <w:noProof/>
              <w:color w:val="202124"/>
              <w:sz w:val="22"/>
              <w:szCs w:val="22"/>
              <w:shd w:val="clear" w:color="auto" w:fill="FFFFFF"/>
            </w:rPr>
            <w:t>(College of Policing, 2013)</w:t>
          </w:r>
          <w:r w:rsidR="00005415">
            <w:rPr>
              <w:color w:val="202124"/>
              <w:sz w:val="22"/>
              <w:szCs w:val="22"/>
              <w:shd w:val="clear" w:color="auto" w:fill="FFFFFF"/>
            </w:rPr>
            <w:fldChar w:fldCharType="end"/>
          </w:r>
        </w:sdtContent>
      </w:sdt>
      <w:r w:rsidR="00005415">
        <w:rPr>
          <w:color w:val="202124"/>
          <w:sz w:val="22"/>
          <w:szCs w:val="22"/>
          <w:shd w:val="clear" w:color="auto" w:fill="FFFFFF"/>
        </w:rPr>
        <w:t>.</w:t>
      </w:r>
      <w:r w:rsidR="001F29A0">
        <w:rPr>
          <w:color w:val="FF0000"/>
          <w:sz w:val="22"/>
          <w:szCs w:val="22"/>
          <w:shd w:val="clear" w:color="auto" w:fill="FFFFFF"/>
        </w:rPr>
        <w:t xml:space="preserve"> </w:t>
      </w:r>
      <w:r w:rsidR="00005415" w:rsidRPr="00005415">
        <w:rPr>
          <w:sz w:val="22"/>
          <w:szCs w:val="22"/>
          <w:shd w:val="clear" w:color="auto" w:fill="FFFFFF"/>
        </w:rPr>
        <w:t>A</w:t>
      </w:r>
      <w:r w:rsidR="00B94219">
        <w:rPr>
          <w:sz w:val="22"/>
          <w:szCs w:val="22"/>
          <w:shd w:val="clear" w:color="auto" w:fill="FFFFFF"/>
        </w:rPr>
        <w:t>gencies such as GCHQ, NCA and CTP have a responsibility with their provisions in directly tackling the threat of terrorism</w:t>
      </w:r>
      <w:r w:rsidR="00005415">
        <w:rPr>
          <w:sz w:val="22"/>
          <w:szCs w:val="22"/>
          <w:shd w:val="clear" w:color="auto" w:fill="FFFFFF"/>
        </w:rPr>
        <w:t>, alongside police forces locally</w:t>
      </w:r>
      <w:r w:rsidR="00B94219">
        <w:rPr>
          <w:sz w:val="22"/>
          <w:szCs w:val="22"/>
          <w:shd w:val="clear" w:color="auto" w:fill="FFFFFF"/>
        </w:rPr>
        <w:t xml:space="preserve">. For example, Counter Terrorism Policing state their role “is a collaboration of UK police forces working with the UK intelligence </w:t>
      </w:r>
      <w:r w:rsidR="00B94219">
        <w:rPr>
          <w:sz w:val="22"/>
          <w:szCs w:val="22"/>
          <w:shd w:val="clear" w:color="auto" w:fill="FFFFFF"/>
        </w:rPr>
        <w:lastRenderedPageBreak/>
        <w:t>community to help protect the public”</w:t>
      </w:r>
      <w:r w:rsidR="0004176A">
        <w:rPr>
          <w:sz w:val="22"/>
          <w:szCs w:val="22"/>
          <w:shd w:val="clear" w:color="auto" w:fill="FFFFFF"/>
        </w:rPr>
        <w:t xml:space="preserve"> </w:t>
      </w:r>
      <w:sdt>
        <w:sdtPr>
          <w:rPr>
            <w:sz w:val="22"/>
            <w:szCs w:val="22"/>
            <w:shd w:val="clear" w:color="auto" w:fill="FFFFFF"/>
          </w:rPr>
          <w:id w:val="-1471513908"/>
          <w:citation/>
        </w:sdtPr>
        <w:sdtContent>
          <w:r w:rsidR="0004176A">
            <w:rPr>
              <w:sz w:val="22"/>
              <w:szCs w:val="22"/>
              <w:shd w:val="clear" w:color="auto" w:fill="FFFFFF"/>
            </w:rPr>
            <w:fldChar w:fldCharType="begin"/>
          </w:r>
          <w:r w:rsidR="0004176A">
            <w:rPr>
              <w:sz w:val="22"/>
              <w:szCs w:val="22"/>
              <w:shd w:val="clear" w:color="auto" w:fill="FFFFFF"/>
            </w:rPr>
            <w:instrText xml:space="preserve"> CITATION Cound \l 2057 </w:instrText>
          </w:r>
          <w:r w:rsidR="0004176A">
            <w:rPr>
              <w:sz w:val="22"/>
              <w:szCs w:val="22"/>
              <w:shd w:val="clear" w:color="auto" w:fill="FFFFFF"/>
            </w:rPr>
            <w:fldChar w:fldCharType="separate"/>
          </w:r>
          <w:r w:rsidR="0004176A" w:rsidRPr="0004176A">
            <w:rPr>
              <w:noProof/>
              <w:sz w:val="22"/>
              <w:szCs w:val="22"/>
              <w:shd w:val="clear" w:color="auto" w:fill="FFFFFF"/>
            </w:rPr>
            <w:t>(Counter Terrorism Policing, n.d.)</w:t>
          </w:r>
          <w:r w:rsidR="0004176A">
            <w:rPr>
              <w:sz w:val="22"/>
              <w:szCs w:val="22"/>
              <w:shd w:val="clear" w:color="auto" w:fill="FFFFFF"/>
            </w:rPr>
            <w:fldChar w:fldCharType="end"/>
          </w:r>
        </w:sdtContent>
      </w:sdt>
      <w:r w:rsidR="00B94219">
        <w:rPr>
          <w:sz w:val="22"/>
          <w:szCs w:val="22"/>
          <w:shd w:val="clear" w:color="auto" w:fill="FFFFFF"/>
        </w:rPr>
        <w:t xml:space="preserve">. </w:t>
      </w:r>
      <w:r w:rsidR="0004176A">
        <w:rPr>
          <w:sz w:val="22"/>
          <w:szCs w:val="22"/>
          <w:shd w:val="clear" w:color="auto" w:fill="FFFFFF"/>
        </w:rPr>
        <w:t xml:space="preserve">They follow the “PPPP” principle which is to Prevent, Pursue, Protect and Prepare for terrorism. </w:t>
      </w:r>
    </w:p>
    <w:p w14:paraId="66DD8DF2" w14:textId="4D729794" w:rsidR="00B94219" w:rsidRPr="00B94219" w:rsidRDefault="00B94219" w:rsidP="00046E98">
      <w:pPr>
        <w:jc w:val="both"/>
        <w:rPr>
          <w:sz w:val="22"/>
          <w:szCs w:val="22"/>
          <w:shd w:val="clear" w:color="auto" w:fill="FFFFFF"/>
        </w:rPr>
      </w:pPr>
    </w:p>
    <w:p w14:paraId="20F60BEE" w14:textId="2227A318" w:rsidR="00F873E8" w:rsidRDefault="00DF7EDC" w:rsidP="00BC7DB2">
      <w:pPr>
        <w:jc w:val="both"/>
        <w:rPr>
          <w:sz w:val="22"/>
          <w:szCs w:val="22"/>
          <w:shd w:val="clear" w:color="auto" w:fill="FFFFFF"/>
        </w:rPr>
      </w:pPr>
      <w:r>
        <w:rPr>
          <w:sz w:val="22"/>
          <w:szCs w:val="22"/>
          <w:shd w:val="clear" w:color="auto" w:fill="FFFFFF"/>
        </w:rPr>
        <w:t>Further, GCHQ who are a leader in cyber and security as well as intelligence across the world focus on 5 mission areas, with 3 main capabilities. Their aim within counter terrorism is to prevent and put an end to terrorist assaults against the UK and overseas allies, coupled with minimising the financial and social damage that serious and organised crime brings to the UK</w:t>
      </w:r>
      <w:r w:rsidR="00C60EDE">
        <w:rPr>
          <w:sz w:val="22"/>
          <w:szCs w:val="22"/>
          <w:shd w:val="clear" w:color="auto" w:fill="FFFFFF"/>
        </w:rPr>
        <w:t xml:space="preserve"> </w:t>
      </w:r>
      <w:sdt>
        <w:sdtPr>
          <w:rPr>
            <w:sz w:val="22"/>
            <w:szCs w:val="22"/>
            <w:shd w:val="clear" w:color="auto" w:fill="FFFFFF"/>
          </w:rPr>
          <w:id w:val="169304018"/>
          <w:citation/>
        </w:sdtPr>
        <w:sdtEndPr/>
        <w:sdtContent>
          <w:r w:rsidR="00C60EDE">
            <w:rPr>
              <w:sz w:val="22"/>
              <w:szCs w:val="22"/>
              <w:shd w:val="clear" w:color="auto" w:fill="FFFFFF"/>
            </w:rPr>
            <w:fldChar w:fldCharType="begin"/>
          </w:r>
          <w:r w:rsidR="00C60EDE">
            <w:rPr>
              <w:sz w:val="22"/>
              <w:szCs w:val="22"/>
              <w:shd w:val="clear" w:color="auto" w:fill="FFFFFF"/>
            </w:rPr>
            <w:instrText xml:space="preserve"> CITATION GCHnd \l 2057 </w:instrText>
          </w:r>
          <w:r w:rsidR="00C60EDE">
            <w:rPr>
              <w:sz w:val="22"/>
              <w:szCs w:val="22"/>
              <w:shd w:val="clear" w:color="auto" w:fill="FFFFFF"/>
            </w:rPr>
            <w:fldChar w:fldCharType="separate"/>
          </w:r>
          <w:r w:rsidR="00C60EDE" w:rsidRPr="00C60EDE">
            <w:rPr>
              <w:noProof/>
              <w:sz w:val="22"/>
              <w:szCs w:val="22"/>
              <w:shd w:val="clear" w:color="auto" w:fill="FFFFFF"/>
            </w:rPr>
            <w:t>(GCHQ, n.d.)</w:t>
          </w:r>
          <w:r w:rsidR="00C60EDE">
            <w:rPr>
              <w:sz w:val="22"/>
              <w:szCs w:val="22"/>
              <w:shd w:val="clear" w:color="auto" w:fill="FFFFFF"/>
            </w:rPr>
            <w:fldChar w:fldCharType="end"/>
          </w:r>
        </w:sdtContent>
      </w:sdt>
      <w:r>
        <w:rPr>
          <w:sz w:val="22"/>
          <w:szCs w:val="22"/>
          <w:shd w:val="clear" w:color="auto" w:fill="FFFFFF"/>
        </w:rPr>
        <w:t xml:space="preserve">. They list their capabilities as being the collection of intelligence using a wide range of means to gather data that they believe is of value, analysing the data to generate intelligence reports and effect, </w:t>
      </w:r>
      <w:r w:rsidR="00C60EDE">
        <w:rPr>
          <w:sz w:val="22"/>
          <w:szCs w:val="22"/>
          <w:shd w:val="clear" w:color="auto" w:fill="FFFFFF"/>
        </w:rPr>
        <w:t xml:space="preserve">for </w:t>
      </w:r>
      <w:r>
        <w:rPr>
          <w:sz w:val="22"/>
          <w:szCs w:val="22"/>
          <w:shd w:val="clear" w:color="auto" w:fill="FFFFFF"/>
        </w:rPr>
        <w:t xml:space="preserve">which </w:t>
      </w:r>
      <w:r w:rsidR="00C60EDE">
        <w:rPr>
          <w:sz w:val="22"/>
          <w:szCs w:val="22"/>
          <w:shd w:val="clear" w:color="auto" w:fill="FFFFFF"/>
        </w:rPr>
        <w:t xml:space="preserve">they utilise online tools that they have developed to achieve positive outcomes for safety. </w:t>
      </w:r>
    </w:p>
    <w:p w14:paraId="316ECFB6" w14:textId="77777777" w:rsidR="00CC6447" w:rsidRDefault="00CC6447" w:rsidP="00BC7DB2">
      <w:pPr>
        <w:jc w:val="both"/>
        <w:rPr>
          <w:sz w:val="22"/>
          <w:szCs w:val="22"/>
          <w:shd w:val="clear" w:color="auto" w:fill="FFFFFF"/>
        </w:rPr>
      </w:pPr>
    </w:p>
    <w:p w14:paraId="60663102" w14:textId="70AE4981" w:rsidR="0097450C" w:rsidRPr="006A33CC" w:rsidRDefault="00A90C15" w:rsidP="00BC7DB2">
      <w:pPr>
        <w:jc w:val="both"/>
      </w:pPr>
      <w:r w:rsidRPr="00A90C15">
        <w:rPr>
          <w:sz w:val="22"/>
          <w:szCs w:val="22"/>
          <w:shd w:val="clear" w:color="auto" w:fill="FFFFFF"/>
        </w:rPr>
        <w:t xml:space="preserve">When looking at tools within policing to </w:t>
      </w:r>
      <w:r w:rsidR="00245085" w:rsidRPr="00A90C15">
        <w:rPr>
          <w:sz w:val="22"/>
          <w:szCs w:val="22"/>
          <w:shd w:val="clear" w:color="auto" w:fill="FFFFFF"/>
        </w:rPr>
        <w:t>aid</w:t>
      </w:r>
      <w:r w:rsidRPr="00A90C15">
        <w:rPr>
          <w:sz w:val="22"/>
          <w:szCs w:val="22"/>
          <w:shd w:val="clear" w:color="auto" w:fill="FFFFFF"/>
        </w:rPr>
        <w:t xml:space="preserve"> the progression and management of intelligence, the National Intelligence Model (NIM) was formed and is described as “</w:t>
      </w:r>
      <w:r w:rsidRPr="00A90C15">
        <w:rPr>
          <w:color w:val="282828"/>
          <w:sz w:val="22"/>
          <w:szCs w:val="22"/>
        </w:rPr>
        <w:t>An intelligence-led business model used by UK police forces to gather, evaluate and manage information</w:t>
      </w:r>
      <w:r w:rsidRPr="00A90C15">
        <w:rPr>
          <w:color w:val="282828"/>
          <w:sz w:val="22"/>
          <w:szCs w:val="22"/>
        </w:rPr>
        <w:t xml:space="preserve">” </w:t>
      </w:r>
      <w:sdt>
        <w:sdtPr>
          <w:rPr>
            <w:color w:val="282828"/>
            <w:sz w:val="22"/>
            <w:szCs w:val="22"/>
          </w:rPr>
          <w:id w:val="-1865660054"/>
          <w:citation/>
        </w:sdtPr>
        <w:sdtContent>
          <w:r w:rsidRPr="00A90C15">
            <w:rPr>
              <w:color w:val="282828"/>
              <w:sz w:val="22"/>
              <w:szCs w:val="22"/>
            </w:rPr>
            <w:fldChar w:fldCharType="begin"/>
          </w:r>
          <w:r w:rsidRPr="00A90C15">
            <w:rPr>
              <w:color w:val="282828"/>
              <w:sz w:val="22"/>
              <w:szCs w:val="22"/>
            </w:rPr>
            <w:instrText xml:space="preserve"> CITATION HMI231 \l 2057 </w:instrText>
          </w:r>
          <w:r w:rsidRPr="00A90C15">
            <w:rPr>
              <w:color w:val="282828"/>
              <w:sz w:val="22"/>
              <w:szCs w:val="22"/>
            </w:rPr>
            <w:fldChar w:fldCharType="separate"/>
          </w:r>
          <w:r w:rsidRPr="00A90C15">
            <w:rPr>
              <w:noProof/>
              <w:color w:val="282828"/>
              <w:sz w:val="22"/>
              <w:szCs w:val="22"/>
            </w:rPr>
            <w:t>(HMICFRS, 2023)</w:t>
          </w:r>
          <w:r w:rsidRPr="00A90C15">
            <w:rPr>
              <w:color w:val="282828"/>
              <w:sz w:val="22"/>
              <w:szCs w:val="22"/>
            </w:rPr>
            <w:fldChar w:fldCharType="end"/>
          </w:r>
        </w:sdtContent>
      </w:sdt>
      <w:r w:rsidRPr="00A90C15">
        <w:rPr>
          <w:color w:val="282828"/>
          <w:sz w:val="22"/>
          <w:szCs w:val="22"/>
        </w:rPr>
        <w:t xml:space="preserve">. </w:t>
      </w:r>
      <w:r w:rsidRPr="00A90C15">
        <w:rPr>
          <w:color w:val="282828"/>
          <w:sz w:val="22"/>
          <w:szCs w:val="22"/>
        </w:rPr>
        <w:t xml:space="preserve"> </w:t>
      </w:r>
      <w:r w:rsidRPr="00A90C15">
        <w:rPr>
          <w:sz w:val="22"/>
          <w:szCs w:val="22"/>
        </w:rPr>
        <w:t>It was developed by the National Criminal Intelligence Service to assist forces in making the best decisions possible</w:t>
      </w:r>
      <w:r>
        <w:rPr>
          <w:sz w:val="22"/>
          <w:szCs w:val="22"/>
        </w:rPr>
        <w:t xml:space="preserve"> when using processed information</w:t>
      </w:r>
      <w:r w:rsidRPr="00A90C15">
        <w:rPr>
          <w:sz w:val="22"/>
          <w:szCs w:val="22"/>
        </w:rPr>
        <w:t>.</w:t>
      </w:r>
      <w:r>
        <w:rPr>
          <w:sz w:val="22"/>
          <w:szCs w:val="22"/>
        </w:rPr>
        <w:t xml:space="preserve"> </w:t>
      </w:r>
      <w:r w:rsidR="00245085">
        <w:rPr>
          <w:sz w:val="22"/>
          <w:szCs w:val="22"/>
        </w:rPr>
        <w:t xml:space="preserve">In addition, </w:t>
      </w:r>
      <w:r w:rsidR="00245085">
        <w:rPr>
          <w:sz w:val="22"/>
          <w:szCs w:val="22"/>
        </w:rPr>
        <w:lastRenderedPageBreak/>
        <w:t>Gar</w:t>
      </w:r>
      <w:r w:rsidR="00592E32">
        <w:rPr>
          <w:sz w:val="22"/>
          <w:szCs w:val="22"/>
        </w:rPr>
        <w:t>r</w:t>
      </w:r>
      <w:r w:rsidR="00245085">
        <w:rPr>
          <w:sz w:val="22"/>
          <w:szCs w:val="22"/>
        </w:rPr>
        <w:t xml:space="preserve">y Thomas summarises the </w:t>
      </w:r>
      <w:r w:rsidR="00245085" w:rsidRPr="00245085">
        <w:rPr>
          <w:sz w:val="22"/>
          <w:szCs w:val="22"/>
        </w:rPr>
        <w:t xml:space="preserve">NIM by describing </w:t>
      </w:r>
      <w:r w:rsidR="00245085" w:rsidRPr="00245085">
        <w:rPr>
          <w:sz w:val="22"/>
          <w:szCs w:val="22"/>
        </w:rPr>
        <w:t>Level One (local level), Level Two (cross-border level), and Level Three (national and international level) are the three operating levels at which the NIM was intended to function. Local crime and disturbance problems are under Level One, and they can be handled at the police Basic Command Unit (BCU) level. Level Two concerns itself with unrest and crime issues that should be handled at the regional level since they transcend boundaries between neighbouring forces or between BCUs within a force. Level Three addresses major, organised crime and disorder situations that call for control at the national or worldwide level</w:t>
      </w:r>
      <w:r w:rsidR="00592E32">
        <w:rPr>
          <w:sz w:val="22"/>
          <w:szCs w:val="22"/>
        </w:rPr>
        <w:t xml:space="preserve"> </w:t>
      </w:r>
      <w:sdt>
        <w:sdtPr>
          <w:rPr>
            <w:sz w:val="22"/>
            <w:szCs w:val="22"/>
          </w:rPr>
          <w:id w:val="-958031512"/>
          <w:citation/>
        </w:sdtPr>
        <w:sdtContent>
          <w:r w:rsidR="00592E32">
            <w:rPr>
              <w:sz w:val="22"/>
              <w:szCs w:val="22"/>
            </w:rPr>
            <w:fldChar w:fldCharType="begin"/>
          </w:r>
          <w:r w:rsidR="00592E32">
            <w:rPr>
              <w:sz w:val="22"/>
              <w:szCs w:val="22"/>
            </w:rPr>
            <w:instrText xml:space="preserve">CITATION Tho6a \t  \l 2057 </w:instrText>
          </w:r>
          <w:r w:rsidR="00592E32">
            <w:rPr>
              <w:sz w:val="22"/>
              <w:szCs w:val="22"/>
            </w:rPr>
            <w:fldChar w:fldCharType="separate"/>
          </w:r>
          <w:r w:rsidR="00592E32" w:rsidRPr="00592E32">
            <w:rPr>
              <w:noProof/>
              <w:sz w:val="22"/>
              <w:szCs w:val="22"/>
            </w:rPr>
            <w:t>(Thomas, 2016a)</w:t>
          </w:r>
          <w:r w:rsidR="00592E32">
            <w:rPr>
              <w:sz w:val="22"/>
              <w:szCs w:val="22"/>
            </w:rPr>
            <w:fldChar w:fldCharType="end"/>
          </w:r>
        </w:sdtContent>
      </w:sdt>
      <w:r w:rsidR="00245085" w:rsidRPr="00245085">
        <w:rPr>
          <w:sz w:val="22"/>
          <w:szCs w:val="22"/>
        </w:rPr>
        <w:t xml:space="preserve">. </w:t>
      </w:r>
    </w:p>
    <w:p w14:paraId="0076D367" w14:textId="77777777" w:rsidR="00CC6447" w:rsidRPr="00046E98" w:rsidRDefault="00CC6447" w:rsidP="00BC7DB2">
      <w:pPr>
        <w:jc w:val="both"/>
        <w:rPr>
          <w:b/>
          <w:bCs/>
          <w:sz w:val="22"/>
          <w:szCs w:val="22"/>
        </w:rPr>
      </w:pPr>
    </w:p>
    <w:p w14:paraId="3FD2B67E" w14:textId="1C992306" w:rsidR="00EC00CE" w:rsidRDefault="00EC00CE" w:rsidP="00BC7DB2">
      <w:pPr>
        <w:jc w:val="both"/>
        <w:rPr>
          <w:sz w:val="22"/>
          <w:szCs w:val="22"/>
        </w:rPr>
      </w:pPr>
      <w:r w:rsidRPr="00EC00CE">
        <w:rPr>
          <w:sz w:val="22"/>
          <w:szCs w:val="22"/>
        </w:rPr>
        <w:t>Members of the Baltic Sea Region Task Force on Organised Crime decided to expand their collaboration to include counterterrorism in 2001. Regarding the relationship between organised crime and terrorism in the Baltic Region, the Task Force published a preliminary report which stated that investigations had shown connections between organised crime and terrorism, particularly when it came to money laundering, illegal immigration, corruption, and other financial crimes that illegally fund terrorist endeavours. Approximately 50% of the nations included on the Task Force stated that they had discovered evidence of connections between domestic organised crime and terrorism</w:t>
      </w:r>
      <w:r>
        <w:rPr>
          <w:sz w:val="22"/>
          <w:szCs w:val="22"/>
        </w:rPr>
        <w:t xml:space="preserve"> </w:t>
      </w:r>
      <w:sdt>
        <w:sdtPr>
          <w:rPr>
            <w:sz w:val="22"/>
            <w:szCs w:val="22"/>
          </w:rPr>
          <w:id w:val="761648072"/>
          <w:citation/>
        </w:sdtPr>
        <w:sdtContent>
          <w:r>
            <w:rPr>
              <w:sz w:val="22"/>
              <w:szCs w:val="22"/>
            </w:rPr>
            <w:fldChar w:fldCharType="begin"/>
          </w:r>
          <w:r>
            <w:rPr>
              <w:sz w:val="22"/>
              <w:szCs w:val="22"/>
            </w:rPr>
            <w:instrText xml:space="preserve"> CITATION Dan04 \l 2057 </w:instrText>
          </w:r>
          <w:r>
            <w:rPr>
              <w:sz w:val="22"/>
              <w:szCs w:val="22"/>
            </w:rPr>
            <w:fldChar w:fldCharType="separate"/>
          </w:r>
          <w:r w:rsidRPr="00EC00CE">
            <w:rPr>
              <w:noProof/>
              <w:sz w:val="22"/>
              <w:szCs w:val="22"/>
            </w:rPr>
            <w:t>(Dandurand &amp; Chin, 2004)</w:t>
          </w:r>
          <w:r>
            <w:rPr>
              <w:sz w:val="22"/>
              <w:szCs w:val="22"/>
            </w:rPr>
            <w:fldChar w:fldCharType="end"/>
          </w:r>
        </w:sdtContent>
      </w:sdt>
      <w:r w:rsidRPr="00EC00CE">
        <w:rPr>
          <w:sz w:val="22"/>
          <w:szCs w:val="22"/>
        </w:rPr>
        <w:t xml:space="preserve">. </w:t>
      </w:r>
      <w:r w:rsidR="00B94219">
        <w:rPr>
          <w:sz w:val="22"/>
          <w:szCs w:val="22"/>
        </w:rPr>
        <w:t xml:space="preserve">This suggests </w:t>
      </w:r>
      <w:r w:rsidR="00B94219">
        <w:rPr>
          <w:sz w:val="22"/>
          <w:szCs w:val="22"/>
        </w:rPr>
        <w:lastRenderedPageBreak/>
        <w:t xml:space="preserve">that the information garnered has allowed for intelligence to be developed forming a link between the two types of serious crime, something which can be developed to prevent future harm. </w:t>
      </w:r>
    </w:p>
    <w:p w14:paraId="172A48D0" w14:textId="77777777" w:rsidR="00B94219" w:rsidRPr="00BC7DB2" w:rsidRDefault="00B94219" w:rsidP="00BC7DB2">
      <w:pPr>
        <w:jc w:val="both"/>
        <w:rPr>
          <w:sz w:val="22"/>
          <w:szCs w:val="22"/>
        </w:rPr>
      </w:pPr>
    </w:p>
    <w:p w14:paraId="1F66DA4B" w14:textId="585442A9" w:rsidR="00B94219" w:rsidRPr="00BC7DB2" w:rsidRDefault="00B94219" w:rsidP="00BC7DB2">
      <w:pPr>
        <w:jc w:val="both"/>
        <w:rPr>
          <w:sz w:val="22"/>
          <w:szCs w:val="22"/>
        </w:rPr>
      </w:pPr>
      <w:r w:rsidRPr="00BC7DB2">
        <w:rPr>
          <w:sz w:val="22"/>
          <w:szCs w:val="22"/>
        </w:rPr>
        <w:t xml:space="preserve">In 2023, Wiltshire Police publicised the successful conviction of an 18-year-old male, who had been arrested following an </w:t>
      </w:r>
      <w:r w:rsidR="0004176A" w:rsidRPr="00642227">
        <w:rPr>
          <w:sz w:val="22"/>
          <w:szCs w:val="22"/>
        </w:rPr>
        <w:t>intelligence-based</w:t>
      </w:r>
      <w:r w:rsidRPr="00BC7DB2">
        <w:rPr>
          <w:sz w:val="22"/>
          <w:szCs w:val="22"/>
        </w:rPr>
        <w:t xml:space="preserve"> operation into the dissemination of and possession of terrorist </w:t>
      </w:r>
      <w:r w:rsidR="0004176A" w:rsidRPr="00BC7DB2">
        <w:rPr>
          <w:sz w:val="22"/>
          <w:szCs w:val="22"/>
        </w:rPr>
        <w:t>instructional content. His arrest was as a result of developed intelligence identifying him as a serial contributor of the supply of such articles online</w:t>
      </w:r>
      <w:r w:rsidR="00BC7DB2">
        <w:rPr>
          <w:sz w:val="22"/>
          <w:szCs w:val="22"/>
        </w:rPr>
        <w:t xml:space="preserve"> </w:t>
      </w:r>
      <w:sdt>
        <w:sdtPr>
          <w:rPr>
            <w:sz w:val="22"/>
            <w:szCs w:val="22"/>
          </w:rPr>
          <w:id w:val="-413778167"/>
          <w:citation/>
        </w:sdtPr>
        <w:sdtContent>
          <w:r w:rsidR="00BC7DB2">
            <w:rPr>
              <w:sz w:val="22"/>
              <w:szCs w:val="22"/>
            </w:rPr>
            <w:fldChar w:fldCharType="begin"/>
          </w:r>
          <w:r w:rsidR="00BC7DB2">
            <w:rPr>
              <w:sz w:val="22"/>
              <w:szCs w:val="22"/>
            </w:rPr>
            <w:instrText xml:space="preserve"> CITATION Wil23 \l 2057 </w:instrText>
          </w:r>
          <w:r w:rsidR="00BC7DB2">
            <w:rPr>
              <w:sz w:val="22"/>
              <w:szCs w:val="22"/>
            </w:rPr>
            <w:fldChar w:fldCharType="separate"/>
          </w:r>
          <w:r w:rsidR="00BC7DB2" w:rsidRPr="00BC7DB2">
            <w:rPr>
              <w:noProof/>
              <w:sz w:val="22"/>
              <w:szCs w:val="22"/>
            </w:rPr>
            <w:t>(Wiltshire Police, 2023)</w:t>
          </w:r>
          <w:r w:rsidR="00BC7DB2">
            <w:rPr>
              <w:sz w:val="22"/>
              <w:szCs w:val="22"/>
            </w:rPr>
            <w:fldChar w:fldCharType="end"/>
          </w:r>
        </w:sdtContent>
      </w:sdt>
      <w:r w:rsidR="0004176A" w:rsidRPr="00BC7DB2">
        <w:rPr>
          <w:sz w:val="22"/>
          <w:szCs w:val="22"/>
        </w:rPr>
        <w:t>. This intelligence was shared between Wiltshire and Counter Terrorism Policing</w:t>
      </w:r>
      <w:r w:rsidR="00BC7DB2">
        <w:rPr>
          <w:sz w:val="22"/>
          <w:szCs w:val="22"/>
        </w:rPr>
        <w:t>, although it is unclear whether this intelligence became known as a result of the teenager committing other types of crime</w:t>
      </w:r>
      <w:r w:rsidR="00CC6447">
        <w:rPr>
          <w:sz w:val="22"/>
          <w:szCs w:val="22"/>
        </w:rPr>
        <w:t>, however it found serious crime and risk to public being committed</w:t>
      </w:r>
      <w:r w:rsidR="0004176A" w:rsidRPr="00BC7DB2">
        <w:rPr>
          <w:sz w:val="22"/>
          <w:szCs w:val="22"/>
        </w:rPr>
        <w:t xml:space="preserve">. </w:t>
      </w:r>
    </w:p>
    <w:p w14:paraId="113823C4" w14:textId="4B730E2A" w:rsidR="00920B8C" w:rsidRPr="00BC7DB2" w:rsidRDefault="00920B8C" w:rsidP="00BC7DB2">
      <w:pPr>
        <w:jc w:val="both"/>
        <w:rPr>
          <w:sz w:val="22"/>
          <w:szCs w:val="22"/>
        </w:rPr>
      </w:pPr>
    </w:p>
    <w:p w14:paraId="44CF4AA3" w14:textId="30D5AA2F" w:rsidR="00D638A3" w:rsidRDefault="00BC7DB2" w:rsidP="00D638A3">
      <w:pPr>
        <w:jc w:val="both"/>
      </w:pPr>
      <w:r w:rsidRPr="00D638A3">
        <w:rPr>
          <w:sz w:val="22"/>
          <w:szCs w:val="22"/>
        </w:rPr>
        <w:t xml:space="preserve">When looking at how local policing contributes to informing counter-terrorism, Garry Thomas argues that to </w:t>
      </w:r>
      <w:r w:rsidRPr="00D638A3">
        <w:rPr>
          <w:sz w:val="22"/>
          <w:szCs w:val="22"/>
        </w:rPr>
        <w:t xml:space="preserve">address current difficulties for policing, particularly in regard to counterterrorism, it </w:t>
      </w:r>
      <w:r w:rsidRPr="00D638A3">
        <w:rPr>
          <w:sz w:val="22"/>
          <w:szCs w:val="22"/>
        </w:rPr>
        <w:t>might</w:t>
      </w:r>
      <w:r w:rsidRPr="00D638A3">
        <w:rPr>
          <w:sz w:val="22"/>
          <w:szCs w:val="22"/>
        </w:rPr>
        <w:t xml:space="preserve"> be necessary to further develop a neighbourhood policing approach and use community intelligence more effectively and efficiently</w:t>
      </w:r>
      <w:r w:rsidR="00CC6447">
        <w:rPr>
          <w:sz w:val="22"/>
          <w:szCs w:val="22"/>
        </w:rPr>
        <w:t>,</w:t>
      </w:r>
      <w:r w:rsidRPr="00D638A3">
        <w:rPr>
          <w:sz w:val="22"/>
          <w:szCs w:val="22"/>
        </w:rPr>
        <w:t xml:space="preserve"> as he also points out </w:t>
      </w:r>
      <w:r w:rsidR="00D638A3" w:rsidRPr="00D638A3">
        <w:rPr>
          <w:sz w:val="22"/>
          <w:szCs w:val="22"/>
        </w:rPr>
        <w:t>that p</w:t>
      </w:r>
      <w:r w:rsidR="00D638A3" w:rsidRPr="00D638A3">
        <w:rPr>
          <w:sz w:val="22"/>
          <w:szCs w:val="22"/>
        </w:rPr>
        <w:t>otential terrorists frequently reside in nearby neighbourhoods or local communities</w:t>
      </w:r>
      <w:r w:rsidR="00D638A3" w:rsidRPr="00D638A3">
        <w:rPr>
          <w:sz w:val="22"/>
          <w:szCs w:val="22"/>
        </w:rPr>
        <w:t>, as was seen from the 2005 London bombings, the 4 assailants were UK nationals</w:t>
      </w:r>
      <w:r w:rsidR="00D638A3">
        <w:rPr>
          <w:sz w:val="22"/>
          <w:szCs w:val="22"/>
        </w:rPr>
        <w:t xml:space="preserve"> </w:t>
      </w:r>
      <w:sdt>
        <w:sdtPr>
          <w:rPr>
            <w:sz w:val="22"/>
            <w:szCs w:val="22"/>
          </w:rPr>
          <w:id w:val="-208036301"/>
          <w:citation/>
        </w:sdtPr>
        <w:sdtContent>
          <w:r w:rsidR="00D638A3">
            <w:rPr>
              <w:sz w:val="22"/>
              <w:szCs w:val="22"/>
            </w:rPr>
            <w:fldChar w:fldCharType="begin"/>
          </w:r>
          <w:r w:rsidR="00CC6447">
            <w:rPr>
              <w:sz w:val="22"/>
              <w:szCs w:val="22"/>
            </w:rPr>
            <w:instrText xml:space="preserve">CITATION Tho16 \l 2057 </w:instrText>
          </w:r>
          <w:r w:rsidR="00D638A3">
            <w:rPr>
              <w:sz w:val="22"/>
              <w:szCs w:val="22"/>
            </w:rPr>
            <w:fldChar w:fldCharType="separate"/>
          </w:r>
          <w:r w:rsidR="00CC6447" w:rsidRPr="00CC6447">
            <w:rPr>
              <w:noProof/>
              <w:sz w:val="22"/>
              <w:szCs w:val="22"/>
            </w:rPr>
            <w:t>(Thomas, 2016b)</w:t>
          </w:r>
          <w:r w:rsidR="00D638A3">
            <w:rPr>
              <w:sz w:val="22"/>
              <w:szCs w:val="22"/>
            </w:rPr>
            <w:fldChar w:fldCharType="end"/>
          </w:r>
        </w:sdtContent>
      </w:sdt>
      <w:r w:rsidR="00D638A3" w:rsidRPr="00D638A3">
        <w:rPr>
          <w:sz w:val="22"/>
          <w:szCs w:val="22"/>
        </w:rPr>
        <w:t>. The agendas of municipal, regional, and federal law enforcement frequently overlap</w:t>
      </w:r>
      <w:r w:rsidR="00CC6447">
        <w:rPr>
          <w:sz w:val="22"/>
          <w:szCs w:val="22"/>
        </w:rPr>
        <w:t xml:space="preserve"> and s</w:t>
      </w:r>
      <w:r w:rsidR="00D638A3" w:rsidRPr="00D638A3">
        <w:rPr>
          <w:sz w:val="22"/>
          <w:szCs w:val="22"/>
        </w:rPr>
        <w:t>ince most crimes and incidents, no matter how big or small, start in a neighbourhood or community, using local officers to gather information will probably improve threat assessments about acts of terrorism.</w:t>
      </w:r>
      <w:r w:rsidR="00D638A3">
        <w:t xml:space="preserve"> </w:t>
      </w:r>
    </w:p>
    <w:p w14:paraId="3D7447DC" w14:textId="5F6F2395" w:rsidR="00D638A3" w:rsidRDefault="00D638A3" w:rsidP="00DB2181">
      <w:pPr>
        <w:jc w:val="both"/>
        <w:rPr>
          <w:sz w:val="22"/>
          <w:szCs w:val="22"/>
        </w:rPr>
      </w:pPr>
    </w:p>
    <w:p w14:paraId="688050C9" w14:textId="7F6D2587" w:rsidR="00092327" w:rsidRPr="00092327" w:rsidRDefault="00642227" w:rsidP="00DB2181">
      <w:pPr>
        <w:jc w:val="both"/>
        <w:rPr>
          <w:sz w:val="22"/>
          <w:szCs w:val="22"/>
        </w:rPr>
      </w:pPr>
      <w:r w:rsidRPr="00092327">
        <w:rPr>
          <w:sz w:val="22"/>
          <w:szCs w:val="22"/>
        </w:rPr>
        <w:t xml:space="preserve">Another means of informing counter-terrorism policing is the use of </w:t>
      </w:r>
      <w:r w:rsidR="00092327" w:rsidRPr="00092327">
        <w:rPr>
          <w:color w:val="333333"/>
          <w:sz w:val="22"/>
          <w:szCs w:val="22"/>
        </w:rPr>
        <w:t>Multiagency Public Protection Arrangements</w:t>
      </w:r>
      <w:r w:rsidR="00092327" w:rsidRPr="00092327">
        <w:rPr>
          <w:color w:val="333333"/>
          <w:sz w:val="22"/>
          <w:szCs w:val="22"/>
        </w:rPr>
        <w:t xml:space="preserve">, otherwise known as </w:t>
      </w:r>
      <w:r w:rsidRPr="00092327">
        <w:rPr>
          <w:sz w:val="22"/>
          <w:szCs w:val="22"/>
        </w:rPr>
        <w:t>MAPPA</w:t>
      </w:r>
      <w:r w:rsidR="00092327" w:rsidRPr="00092327">
        <w:rPr>
          <w:sz w:val="22"/>
          <w:szCs w:val="22"/>
        </w:rPr>
        <w:t xml:space="preserve">, as well as the Joint Extremist Unit (JEXU). </w:t>
      </w:r>
      <w:r w:rsidR="00092327" w:rsidRPr="00092327">
        <w:rPr>
          <w:sz w:val="22"/>
          <w:szCs w:val="22"/>
        </w:rPr>
        <w:t>Experts from Police Services, Her Majesty's Prison and Probation Service, and other organisations in England and Wales make up JEXU, a specialised counterterrorism unit</w:t>
      </w:r>
      <w:r w:rsidR="00092327" w:rsidRPr="00092327">
        <w:rPr>
          <w:sz w:val="22"/>
          <w:szCs w:val="22"/>
        </w:rPr>
        <w:t xml:space="preserve"> who subsequently</w:t>
      </w:r>
      <w:r w:rsidR="00092327" w:rsidRPr="00092327">
        <w:rPr>
          <w:sz w:val="22"/>
          <w:szCs w:val="22"/>
        </w:rPr>
        <w:t xml:space="preserve"> keep an eye on and assesses extreme offenders.</w:t>
      </w:r>
      <w:r w:rsidR="00092327" w:rsidRPr="00092327">
        <w:rPr>
          <w:sz w:val="22"/>
          <w:szCs w:val="22"/>
        </w:rPr>
        <w:t xml:space="preserve"> </w:t>
      </w:r>
      <w:r w:rsidR="00092327" w:rsidRPr="00092327">
        <w:rPr>
          <w:sz w:val="22"/>
          <w:szCs w:val="22"/>
        </w:rPr>
        <w:t xml:space="preserve">Bimonthly meetings between the police, prison, and probation are </w:t>
      </w:r>
      <w:r w:rsidR="00092327" w:rsidRPr="00092327">
        <w:rPr>
          <w:sz w:val="22"/>
          <w:szCs w:val="22"/>
        </w:rPr>
        <w:t>chaired by JEXU and t</w:t>
      </w:r>
      <w:r w:rsidR="00092327" w:rsidRPr="00092327">
        <w:rPr>
          <w:sz w:val="22"/>
          <w:szCs w:val="22"/>
        </w:rPr>
        <w:t>hese gatherings serve to coordinate the handling of convicted terrorists, commonly known as "TACT"</w:t>
      </w:r>
      <w:r w:rsidR="00092327" w:rsidRPr="00092327">
        <w:rPr>
          <w:sz w:val="22"/>
          <w:szCs w:val="22"/>
        </w:rPr>
        <w:t xml:space="preserve"> </w:t>
      </w:r>
      <w:r w:rsidR="00092327" w:rsidRPr="00092327">
        <w:rPr>
          <w:sz w:val="22"/>
          <w:szCs w:val="22"/>
        </w:rPr>
        <w:t>offenders.</w:t>
      </w:r>
      <w:r w:rsidR="00092327" w:rsidRPr="00092327">
        <w:rPr>
          <w:sz w:val="22"/>
          <w:szCs w:val="22"/>
        </w:rPr>
        <w:t xml:space="preserve"> Similarly, MAPPA is a comprehensive approach which </w:t>
      </w:r>
      <w:r w:rsidR="00092327" w:rsidRPr="00092327">
        <w:rPr>
          <w:sz w:val="22"/>
          <w:szCs w:val="22"/>
        </w:rPr>
        <w:t>identifies high-risk offenders, evaluates their risk profile and risk variables, and puts risk management plans into action. Information exchanged across agencies is essential since it makes the plan possible at every level</w:t>
      </w:r>
      <w:r w:rsidR="00092327">
        <w:rPr>
          <w:sz w:val="22"/>
          <w:szCs w:val="22"/>
        </w:rPr>
        <w:t xml:space="preserve"> </w:t>
      </w:r>
      <w:sdt>
        <w:sdtPr>
          <w:rPr>
            <w:sz w:val="22"/>
            <w:szCs w:val="22"/>
          </w:rPr>
          <w:id w:val="-1613665429"/>
          <w:citation/>
        </w:sdtPr>
        <w:sdtContent>
          <w:r w:rsidR="00092327">
            <w:rPr>
              <w:sz w:val="22"/>
              <w:szCs w:val="22"/>
            </w:rPr>
            <w:fldChar w:fldCharType="begin"/>
          </w:r>
          <w:r w:rsidR="00092327">
            <w:rPr>
              <w:sz w:val="22"/>
              <w:szCs w:val="22"/>
            </w:rPr>
            <w:instrText xml:space="preserve"> CITATION Won21 \l 2057 </w:instrText>
          </w:r>
          <w:r w:rsidR="00092327">
            <w:rPr>
              <w:sz w:val="22"/>
              <w:szCs w:val="22"/>
            </w:rPr>
            <w:fldChar w:fldCharType="separate"/>
          </w:r>
          <w:r w:rsidR="00092327" w:rsidRPr="00092327">
            <w:rPr>
              <w:noProof/>
              <w:sz w:val="22"/>
              <w:szCs w:val="22"/>
            </w:rPr>
            <w:t>(Wong, 2021)</w:t>
          </w:r>
          <w:r w:rsidR="00092327">
            <w:rPr>
              <w:sz w:val="22"/>
              <w:szCs w:val="22"/>
            </w:rPr>
            <w:fldChar w:fldCharType="end"/>
          </w:r>
        </w:sdtContent>
      </w:sdt>
      <w:r w:rsidR="00092327" w:rsidRPr="00092327">
        <w:rPr>
          <w:sz w:val="22"/>
          <w:szCs w:val="22"/>
        </w:rPr>
        <w:t>.</w:t>
      </w:r>
    </w:p>
    <w:p w14:paraId="0475E72F" w14:textId="1DA8288E" w:rsidR="00D638A3" w:rsidRDefault="00D638A3" w:rsidP="00D638A3">
      <w:pPr>
        <w:jc w:val="both"/>
        <w:rPr>
          <w:sz w:val="22"/>
          <w:szCs w:val="22"/>
        </w:rPr>
      </w:pPr>
    </w:p>
    <w:p w14:paraId="041C0E3C" w14:textId="14A0B176" w:rsidR="00DB2181" w:rsidRDefault="00DB2181" w:rsidP="00D638A3">
      <w:pPr>
        <w:jc w:val="both"/>
        <w:rPr>
          <w:sz w:val="22"/>
          <w:szCs w:val="22"/>
        </w:rPr>
      </w:pPr>
      <w:r>
        <w:rPr>
          <w:sz w:val="22"/>
          <w:szCs w:val="22"/>
        </w:rPr>
        <w:lastRenderedPageBreak/>
        <w:t xml:space="preserve">In having these arrangements, with specific roles for each representative responsible authority or agency, it allows for the sharing of information between services to become fluid and permits better risk management, thus informing how counter terrorism polices those who are at risk of or have become TACT offenders. </w:t>
      </w:r>
    </w:p>
    <w:p w14:paraId="4C3C11AC" w14:textId="77777777" w:rsidR="00DB2181" w:rsidRDefault="00DB2181" w:rsidP="00D638A3">
      <w:pPr>
        <w:jc w:val="both"/>
        <w:rPr>
          <w:sz w:val="22"/>
          <w:szCs w:val="22"/>
        </w:rPr>
      </w:pPr>
    </w:p>
    <w:p w14:paraId="3DA53953" w14:textId="79D88792" w:rsidR="00B40E8F" w:rsidRDefault="00DB2181" w:rsidP="009161C8">
      <w:pPr>
        <w:jc w:val="both"/>
      </w:pPr>
      <w:r w:rsidRPr="00DB2181">
        <w:rPr>
          <w:sz w:val="22"/>
          <w:szCs w:val="22"/>
        </w:rPr>
        <w:t>Another example of success when sharing information between services and utilising intelligence relates to statistics published by the Counter Terrorism Police</w:t>
      </w:r>
      <w:r>
        <w:rPr>
          <w:sz w:val="22"/>
          <w:szCs w:val="22"/>
        </w:rPr>
        <w:t xml:space="preserve"> (CTP)</w:t>
      </w:r>
      <w:r w:rsidRPr="00DB2181">
        <w:rPr>
          <w:sz w:val="22"/>
          <w:szCs w:val="22"/>
        </w:rPr>
        <w:t>. They state that e</w:t>
      </w:r>
      <w:r w:rsidRPr="00DB2181">
        <w:rPr>
          <w:sz w:val="22"/>
          <w:szCs w:val="22"/>
        </w:rPr>
        <w:t>very year, the public reports 10,000 incidents of possible terrorist activity; of these, 20% contain valuable intelligence that enables law enforcement to apprehend terrorists.</w:t>
      </w:r>
      <w:r>
        <w:rPr>
          <w:sz w:val="22"/>
          <w:szCs w:val="22"/>
        </w:rPr>
        <w:t xml:space="preserve"> Whilst the disruption of terror </w:t>
      </w:r>
      <w:r w:rsidRPr="00B40E8F">
        <w:rPr>
          <w:sz w:val="22"/>
          <w:szCs w:val="22"/>
        </w:rPr>
        <w:t>related activities is the overall positive outcome, CTP have expressed concerns that a</w:t>
      </w:r>
      <w:r w:rsidRPr="00B40E8F">
        <w:rPr>
          <w:sz w:val="22"/>
          <w:szCs w:val="22"/>
        </w:rPr>
        <w:t>lthough there has been a decrease in arrests overall</w:t>
      </w:r>
      <w:r w:rsidRPr="00B40E8F">
        <w:rPr>
          <w:sz w:val="22"/>
          <w:szCs w:val="22"/>
        </w:rPr>
        <w:t xml:space="preserve"> for such offences,</w:t>
      </w:r>
      <w:r w:rsidR="00B40E8F" w:rsidRPr="00B40E8F">
        <w:rPr>
          <w:sz w:val="22"/>
          <w:szCs w:val="22"/>
        </w:rPr>
        <w:t xml:space="preserve"> which they attribute to likely being a result of the Covid-19 pandemic and subsequent lockdowns, </w:t>
      </w:r>
      <w:r w:rsidR="00B40E8F" w:rsidRPr="00B40E8F">
        <w:rPr>
          <w:sz w:val="22"/>
          <w:szCs w:val="22"/>
        </w:rPr>
        <w:t>25 youngsters were detained for acts of terrorism—the greatest number of arrests record in any previously recorded year</w:t>
      </w:r>
      <w:r w:rsidR="00B40E8F">
        <w:rPr>
          <w:sz w:val="22"/>
          <w:szCs w:val="22"/>
        </w:rPr>
        <w:t xml:space="preserve"> </w:t>
      </w:r>
      <w:sdt>
        <w:sdtPr>
          <w:rPr>
            <w:sz w:val="22"/>
            <w:szCs w:val="22"/>
          </w:rPr>
          <w:id w:val="1855372365"/>
          <w:citation/>
        </w:sdtPr>
        <w:sdtContent>
          <w:r w:rsidR="00B40E8F">
            <w:rPr>
              <w:sz w:val="22"/>
              <w:szCs w:val="22"/>
            </w:rPr>
            <w:fldChar w:fldCharType="begin"/>
          </w:r>
          <w:r w:rsidR="00B40E8F">
            <w:rPr>
              <w:sz w:val="22"/>
              <w:szCs w:val="22"/>
            </w:rPr>
            <w:instrText xml:space="preserve"> CITATION Cou21 \l 2057 </w:instrText>
          </w:r>
          <w:r w:rsidR="00B40E8F">
            <w:rPr>
              <w:sz w:val="22"/>
              <w:szCs w:val="22"/>
            </w:rPr>
            <w:fldChar w:fldCharType="separate"/>
          </w:r>
          <w:r w:rsidR="00B40E8F" w:rsidRPr="00B40E8F">
            <w:rPr>
              <w:noProof/>
              <w:sz w:val="22"/>
              <w:szCs w:val="22"/>
            </w:rPr>
            <w:t>(Counter Terrorism Police, 2021)</w:t>
          </w:r>
          <w:r w:rsidR="00B40E8F">
            <w:rPr>
              <w:sz w:val="22"/>
              <w:szCs w:val="22"/>
            </w:rPr>
            <w:fldChar w:fldCharType="end"/>
          </w:r>
        </w:sdtContent>
      </w:sdt>
      <w:r w:rsidR="00B40E8F" w:rsidRPr="00B40E8F">
        <w:rPr>
          <w:sz w:val="22"/>
          <w:szCs w:val="22"/>
        </w:rPr>
        <w:t>.</w:t>
      </w:r>
      <w:r w:rsidR="00B40E8F">
        <w:t> </w:t>
      </w:r>
    </w:p>
    <w:p w14:paraId="664D5DA9" w14:textId="0694F867" w:rsidR="00DB2181" w:rsidRDefault="00DB2181" w:rsidP="009161C8">
      <w:pPr>
        <w:jc w:val="both"/>
      </w:pPr>
    </w:p>
    <w:p w14:paraId="4BDC2886" w14:textId="444A97C4" w:rsidR="00BB2049" w:rsidRPr="009161C8" w:rsidRDefault="00BB2049" w:rsidP="009161C8">
      <w:pPr>
        <w:jc w:val="both"/>
        <w:rPr>
          <w:sz w:val="22"/>
          <w:szCs w:val="22"/>
        </w:rPr>
      </w:pPr>
      <w:r>
        <w:rPr>
          <w:sz w:val="22"/>
          <w:szCs w:val="22"/>
        </w:rPr>
        <w:t xml:space="preserve">With the aim of the essay to establish firstly, why terrorists may be involved in criminality and secondly, how intelligence gained when considering criminality </w:t>
      </w:r>
      <w:r w:rsidR="00145A48">
        <w:rPr>
          <w:sz w:val="22"/>
          <w:szCs w:val="22"/>
        </w:rPr>
        <w:t>would</w:t>
      </w:r>
      <w:r>
        <w:rPr>
          <w:sz w:val="22"/>
          <w:szCs w:val="22"/>
        </w:rPr>
        <w:t xml:space="preserve"> support counter terrorism policing, a number of prominent and relevant resources have allowed </w:t>
      </w:r>
      <w:r>
        <w:rPr>
          <w:sz w:val="22"/>
          <w:szCs w:val="22"/>
        </w:rPr>
        <w:lastRenderedPageBreak/>
        <w:t xml:space="preserve">for rational conclusions to be drawn. </w:t>
      </w:r>
      <w:r w:rsidR="009161C8">
        <w:rPr>
          <w:sz w:val="22"/>
          <w:szCs w:val="22"/>
        </w:rPr>
        <w:t xml:space="preserve">The final </w:t>
      </w:r>
      <w:r>
        <w:rPr>
          <w:sz w:val="22"/>
          <w:szCs w:val="22"/>
        </w:rPr>
        <w:t>conclusion</w:t>
      </w:r>
      <w:r w:rsidR="009161C8">
        <w:rPr>
          <w:sz w:val="22"/>
          <w:szCs w:val="22"/>
        </w:rPr>
        <w:t xml:space="preserve"> from all information obtained within this essay is that</w:t>
      </w:r>
      <w:r>
        <w:rPr>
          <w:sz w:val="22"/>
          <w:szCs w:val="22"/>
        </w:rPr>
        <w:t xml:space="preserve"> those who are preparing to act or undertake terrorist arrangements engage in other forms of criminality to begin</w:t>
      </w:r>
      <w:r w:rsidR="00145A48">
        <w:rPr>
          <w:sz w:val="22"/>
          <w:szCs w:val="22"/>
        </w:rPr>
        <w:t xml:space="preserve"> with</w:t>
      </w:r>
      <w:r>
        <w:rPr>
          <w:sz w:val="22"/>
          <w:szCs w:val="22"/>
        </w:rPr>
        <w:t xml:space="preserve"> to obtain monetary reward to fund their hostile endeavours. </w:t>
      </w:r>
      <w:r w:rsidRPr="009161C8">
        <w:rPr>
          <w:sz w:val="22"/>
          <w:szCs w:val="22"/>
        </w:rPr>
        <w:t>The most popular methodology from research is shown to be fraud, which coincides with t</w:t>
      </w:r>
      <w:r w:rsidRPr="009161C8">
        <w:rPr>
          <w:sz w:val="22"/>
          <w:szCs w:val="22"/>
        </w:rPr>
        <w:t xml:space="preserve">he most frequently recorded crime in the UK </w:t>
      </w:r>
      <w:r w:rsidRPr="009161C8">
        <w:rPr>
          <w:sz w:val="22"/>
          <w:szCs w:val="22"/>
        </w:rPr>
        <w:t>being</w:t>
      </w:r>
      <w:r w:rsidRPr="009161C8">
        <w:rPr>
          <w:sz w:val="22"/>
          <w:szCs w:val="22"/>
        </w:rPr>
        <w:t xml:space="preserve"> fraud, which has an impact on both the social and economic aspects of UK society. In England and Wales, it makes up more than 40% of all crime, with an anticipated 3.5 million fraud instances encountered by adults between April 2022 and March 2023, according to the Office of National Statistics</w:t>
      </w:r>
      <w:r w:rsidR="009161C8">
        <w:rPr>
          <w:sz w:val="22"/>
          <w:szCs w:val="22"/>
        </w:rPr>
        <w:t xml:space="preserve"> </w:t>
      </w:r>
      <w:sdt>
        <w:sdtPr>
          <w:rPr>
            <w:sz w:val="22"/>
            <w:szCs w:val="22"/>
          </w:rPr>
          <w:id w:val="-1753888038"/>
          <w:citation/>
        </w:sdtPr>
        <w:sdtContent>
          <w:r w:rsidR="009161C8">
            <w:rPr>
              <w:sz w:val="22"/>
              <w:szCs w:val="22"/>
            </w:rPr>
            <w:fldChar w:fldCharType="begin"/>
          </w:r>
          <w:r w:rsidR="009161C8">
            <w:rPr>
              <w:sz w:val="22"/>
              <w:szCs w:val="22"/>
            </w:rPr>
            <w:instrText xml:space="preserve"> CITATION Natnd1 \l 2057 </w:instrText>
          </w:r>
          <w:r w:rsidR="009161C8">
            <w:rPr>
              <w:sz w:val="22"/>
              <w:szCs w:val="22"/>
            </w:rPr>
            <w:fldChar w:fldCharType="separate"/>
          </w:r>
          <w:r w:rsidR="009161C8" w:rsidRPr="009161C8">
            <w:rPr>
              <w:noProof/>
              <w:sz w:val="22"/>
              <w:szCs w:val="22"/>
            </w:rPr>
            <w:t>(National Crime Agency, n.d.)</w:t>
          </w:r>
          <w:r w:rsidR="009161C8">
            <w:rPr>
              <w:sz w:val="22"/>
              <w:szCs w:val="22"/>
            </w:rPr>
            <w:fldChar w:fldCharType="end"/>
          </w:r>
        </w:sdtContent>
      </w:sdt>
      <w:r w:rsidRPr="009161C8">
        <w:rPr>
          <w:sz w:val="22"/>
          <w:szCs w:val="22"/>
        </w:rPr>
        <w:t>.</w:t>
      </w:r>
    </w:p>
    <w:p w14:paraId="6042B9A2" w14:textId="7AD87276" w:rsidR="009161C8" w:rsidRDefault="00BB2049" w:rsidP="009161C8">
      <w:pPr>
        <w:jc w:val="both"/>
        <w:rPr>
          <w:sz w:val="22"/>
          <w:szCs w:val="22"/>
        </w:rPr>
      </w:pPr>
      <w:r>
        <w:rPr>
          <w:sz w:val="22"/>
          <w:szCs w:val="22"/>
        </w:rPr>
        <w:t xml:space="preserve"> </w:t>
      </w:r>
    </w:p>
    <w:p w14:paraId="185C6ADC" w14:textId="35E70E1C" w:rsidR="00145A48" w:rsidRDefault="00DD7541" w:rsidP="009161C8">
      <w:pPr>
        <w:jc w:val="both"/>
        <w:rPr>
          <w:sz w:val="22"/>
          <w:szCs w:val="22"/>
        </w:rPr>
      </w:pPr>
      <w:r>
        <w:rPr>
          <w:sz w:val="22"/>
          <w:szCs w:val="22"/>
        </w:rPr>
        <w:t xml:space="preserve">Lastly, counter terrorism policing is supported by intelligence in a variety of ways, most notably the use of information sharing between relevant and appropriate services using MAPPA to manage offenders, as well as creating preventative measures to offending with the “PPPP” framework. Where intelligence is identified and shared responsibly, specialist units are able to assess and track the behaviours of those </w:t>
      </w:r>
      <w:r w:rsidR="006C568A">
        <w:rPr>
          <w:sz w:val="22"/>
          <w:szCs w:val="22"/>
        </w:rPr>
        <w:t xml:space="preserve">recognised as serious offenders, thus likely </w:t>
      </w:r>
      <w:r w:rsidR="006E3278">
        <w:rPr>
          <w:sz w:val="22"/>
          <w:szCs w:val="22"/>
        </w:rPr>
        <w:t>preventing,</w:t>
      </w:r>
      <w:r w:rsidR="006C568A">
        <w:rPr>
          <w:sz w:val="22"/>
          <w:szCs w:val="22"/>
        </w:rPr>
        <w:t xml:space="preserve"> and disrupting future risk</w:t>
      </w:r>
      <w:r w:rsidR="00B1551C">
        <w:rPr>
          <w:sz w:val="22"/>
          <w:szCs w:val="22"/>
        </w:rPr>
        <w:t>s</w:t>
      </w:r>
      <w:r w:rsidR="006C568A">
        <w:rPr>
          <w:sz w:val="22"/>
          <w:szCs w:val="22"/>
        </w:rPr>
        <w:t xml:space="preserve">. </w:t>
      </w:r>
    </w:p>
    <w:p w14:paraId="5208D2CA" w14:textId="77777777" w:rsidR="006E3278" w:rsidRDefault="006E3278" w:rsidP="009161C8">
      <w:pPr>
        <w:jc w:val="both"/>
        <w:rPr>
          <w:sz w:val="22"/>
          <w:szCs w:val="22"/>
        </w:rPr>
      </w:pPr>
    </w:p>
    <w:p w14:paraId="7BEE6EC1" w14:textId="20118139" w:rsidR="006E3278" w:rsidRDefault="006E3278" w:rsidP="009161C8">
      <w:pPr>
        <w:jc w:val="both"/>
        <w:rPr>
          <w:color w:val="FF0000"/>
          <w:sz w:val="22"/>
          <w:szCs w:val="22"/>
        </w:rPr>
      </w:pPr>
      <w:r w:rsidRPr="006E3278">
        <w:rPr>
          <w:color w:val="FF0000"/>
          <w:sz w:val="22"/>
          <w:szCs w:val="22"/>
        </w:rPr>
        <w:t>1934 words</w:t>
      </w:r>
    </w:p>
    <w:p w14:paraId="3512B677" w14:textId="77777777" w:rsidR="006E3278" w:rsidRDefault="006E3278" w:rsidP="009161C8">
      <w:pPr>
        <w:jc w:val="both"/>
        <w:rPr>
          <w:color w:val="FF0000"/>
          <w:sz w:val="22"/>
          <w:szCs w:val="22"/>
        </w:rPr>
      </w:pPr>
    </w:p>
    <w:p w14:paraId="49BC7785" w14:textId="77777777" w:rsidR="006E3278" w:rsidRDefault="006E3278" w:rsidP="009161C8">
      <w:pPr>
        <w:jc w:val="both"/>
        <w:rPr>
          <w:color w:val="FF0000"/>
          <w:sz w:val="22"/>
          <w:szCs w:val="22"/>
        </w:rPr>
      </w:pPr>
    </w:p>
    <w:p w14:paraId="270115E0" w14:textId="77777777" w:rsidR="006E3278" w:rsidRDefault="006E3278" w:rsidP="009161C8">
      <w:pPr>
        <w:jc w:val="both"/>
        <w:rPr>
          <w:color w:val="FF0000"/>
          <w:sz w:val="22"/>
          <w:szCs w:val="22"/>
        </w:rPr>
      </w:pPr>
    </w:p>
    <w:p w14:paraId="73D8868D" w14:textId="77777777" w:rsidR="006E3278" w:rsidRDefault="006E3278" w:rsidP="009161C8">
      <w:pPr>
        <w:jc w:val="both"/>
        <w:rPr>
          <w:color w:val="FF0000"/>
          <w:sz w:val="22"/>
          <w:szCs w:val="22"/>
        </w:rPr>
      </w:pPr>
    </w:p>
    <w:p w14:paraId="4D870651" w14:textId="77777777" w:rsidR="006E3278" w:rsidRDefault="006E3278" w:rsidP="009161C8">
      <w:pPr>
        <w:jc w:val="both"/>
        <w:rPr>
          <w:color w:val="FF0000"/>
          <w:sz w:val="22"/>
          <w:szCs w:val="22"/>
        </w:rPr>
      </w:pPr>
    </w:p>
    <w:p w14:paraId="2F6755AE" w14:textId="77777777" w:rsidR="006E3278" w:rsidRDefault="006E3278" w:rsidP="009161C8">
      <w:pPr>
        <w:jc w:val="both"/>
        <w:rPr>
          <w:color w:val="FF0000"/>
          <w:sz w:val="22"/>
          <w:szCs w:val="22"/>
        </w:rPr>
      </w:pPr>
    </w:p>
    <w:p w14:paraId="0B82A90F" w14:textId="77777777" w:rsidR="006E3278" w:rsidRDefault="006E3278" w:rsidP="009161C8">
      <w:pPr>
        <w:jc w:val="both"/>
        <w:rPr>
          <w:color w:val="FF0000"/>
          <w:sz w:val="22"/>
          <w:szCs w:val="22"/>
        </w:rPr>
      </w:pPr>
    </w:p>
    <w:sdt>
      <w:sdtPr>
        <w:id w:val="1390231688"/>
        <w:docPartObj>
          <w:docPartGallery w:val="Bibliographies"/>
          <w:docPartUnique/>
        </w:docPartObj>
      </w:sdtPr>
      <w:sdtEndPr>
        <w:rPr>
          <w:b w:val="0"/>
          <w:bCs w:val="0"/>
          <w:kern w:val="0"/>
          <w:sz w:val="24"/>
          <w:szCs w:val="24"/>
        </w:rPr>
      </w:sdtEndPr>
      <w:sdtContent>
        <w:p w14:paraId="0DCB4D6A" w14:textId="08AB29CA" w:rsidR="006E3278" w:rsidRDefault="006E3278">
          <w:pPr>
            <w:pStyle w:val="Heading1"/>
          </w:pPr>
          <w:r>
            <w:t>Bibliography</w:t>
          </w:r>
        </w:p>
        <w:sdt>
          <w:sdtPr>
            <w:id w:val="111145805"/>
            <w:bibliography/>
          </w:sdtPr>
          <w:sdtContent>
            <w:p w14:paraId="4A262ADA" w14:textId="77777777" w:rsidR="006E3278" w:rsidRDefault="006E3278" w:rsidP="006E3278">
              <w:pPr>
                <w:pStyle w:val="Bibliography"/>
                <w:ind w:left="720" w:hanging="720"/>
                <w:rPr>
                  <w:noProof/>
                </w:rPr>
              </w:pPr>
              <w:r>
                <w:fldChar w:fldCharType="begin"/>
              </w:r>
              <w:r>
                <w:instrText xml:space="preserve"> BIBLIOGRAPHY </w:instrText>
              </w:r>
              <w:r>
                <w:fldChar w:fldCharType="separate"/>
              </w:r>
              <w:r>
                <w:rPr>
                  <w:noProof/>
                </w:rPr>
                <w:t xml:space="preserve">Cleverly, J., &amp; Chalk, A. (2023). </w:t>
              </w:r>
              <w:r>
                <w:rPr>
                  <w:i/>
                  <w:iCs/>
                  <w:noProof/>
                </w:rPr>
                <w:t>A Hillsborough Legacy: the Goverment's response to Bishop James Jones' report to ensure the pain and suffering of the Hillsborough families is never repeated.</w:t>
              </w:r>
              <w:r>
                <w:rPr>
                  <w:noProof/>
                </w:rPr>
                <w:t xml:space="preserve"> gov.uk.</w:t>
              </w:r>
            </w:p>
            <w:p w14:paraId="3546C04B" w14:textId="77777777" w:rsidR="006E3278" w:rsidRDefault="006E3278" w:rsidP="006E3278">
              <w:pPr>
                <w:pStyle w:val="Bibliography"/>
                <w:ind w:left="720" w:hanging="720"/>
                <w:rPr>
                  <w:noProof/>
                </w:rPr>
              </w:pPr>
              <w:r>
                <w:rPr>
                  <w:noProof/>
                </w:rPr>
                <w:t xml:space="preserve">College of Policing. (2013, October 23). </w:t>
              </w:r>
              <w:r>
                <w:rPr>
                  <w:i/>
                  <w:iCs/>
                  <w:noProof/>
                </w:rPr>
                <w:t>Intelligence Strategy</w:t>
              </w:r>
              <w:r>
                <w:rPr>
                  <w:noProof/>
                </w:rPr>
                <w:t>. Retrieved from www.college.police.uk: https://www.college.police.uk/app/investigation/investigative-strategies/intelligence-strategy</w:t>
              </w:r>
            </w:p>
            <w:p w14:paraId="764BC194" w14:textId="77777777" w:rsidR="006E3278" w:rsidRDefault="006E3278" w:rsidP="006E3278">
              <w:pPr>
                <w:pStyle w:val="Bibliography"/>
                <w:ind w:left="720" w:hanging="720"/>
                <w:rPr>
                  <w:noProof/>
                </w:rPr>
              </w:pPr>
              <w:r>
                <w:rPr>
                  <w:noProof/>
                </w:rPr>
                <w:t xml:space="preserve">Counter Terrorism Police. (2021, December 9). </w:t>
              </w:r>
              <w:r>
                <w:rPr>
                  <w:i/>
                  <w:iCs/>
                  <w:noProof/>
                </w:rPr>
                <w:t>Latest Home Office statistics reveal 7 late-stage plots foiled since March 2020</w:t>
              </w:r>
              <w:r>
                <w:rPr>
                  <w:noProof/>
                </w:rPr>
                <w:t>. Retrieved from www.counterterrorism.police.uk: https://www.counterterrorism.police.uk/latest-home-office-statistics-reveal-7-late-stage-plots-foiled-since-march-2020/</w:t>
              </w:r>
            </w:p>
            <w:p w14:paraId="534E3DC8" w14:textId="77777777" w:rsidR="006E3278" w:rsidRDefault="006E3278" w:rsidP="006E3278">
              <w:pPr>
                <w:pStyle w:val="Bibliography"/>
                <w:ind w:left="720" w:hanging="720"/>
                <w:rPr>
                  <w:noProof/>
                </w:rPr>
              </w:pPr>
              <w:r>
                <w:rPr>
                  <w:noProof/>
                </w:rPr>
                <w:t xml:space="preserve">Counter Terrorism Policing. (n.d.). </w:t>
              </w:r>
              <w:r>
                <w:rPr>
                  <w:i/>
                  <w:iCs/>
                  <w:noProof/>
                </w:rPr>
                <w:t>Counter Terrorism Policing</w:t>
              </w:r>
              <w:r>
                <w:rPr>
                  <w:noProof/>
                </w:rPr>
                <w:t>. Retrieved from www.counterterrorism.police.uk: https://www.counterterrorism.police.uk/</w:t>
              </w:r>
            </w:p>
            <w:p w14:paraId="7BA4F499" w14:textId="77777777" w:rsidR="006E3278" w:rsidRDefault="006E3278" w:rsidP="006E3278">
              <w:pPr>
                <w:pStyle w:val="Bibliography"/>
                <w:ind w:left="720" w:hanging="720"/>
                <w:rPr>
                  <w:noProof/>
                </w:rPr>
              </w:pPr>
              <w:r>
                <w:rPr>
                  <w:noProof/>
                </w:rPr>
                <w:t xml:space="preserve">Dandurand, Y., &amp; Chin, V. (2004). </w:t>
              </w:r>
              <w:r>
                <w:rPr>
                  <w:i/>
                  <w:iCs/>
                  <w:noProof/>
                </w:rPr>
                <w:t>Links Between Terrorism and Other Forms of Crime.</w:t>
              </w:r>
              <w:r>
                <w:rPr>
                  <w:noProof/>
                </w:rPr>
                <w:t xml:space="preserve"> Vancouver: International Centre for Criminal Law Reform and Criminal Justice Policy .</w:t>
              </w:r>
            </w:p>
            <w:p w14:paraId="024894B6" w14:textId="77777777" w:rsidR="006E3278" w:rsidRDefault="006E3278" w:rsidP="006E3278">
              <w:pPr>
                <w:pStyle w:val="Bibliography"/>
                <w:ind w:left="720" w:hanging="720"/>
                <w:rPr>
                  <w:noProof/>
                </w:rPr>
              </w:pPr>
              <w:r>
                <w:rPr>
                  <w:noProof/>
                </w:rPr>
                <w:t xml:space="preserve">Duquet, N., &amp; Goris, K. (2018). </w:t>
              </w:r>
              <w:r>
                <w:rPr>
                  <w:i/>
                  <w:iCs/>
                  <w:noProof/>
                </w:rPr>
                <w:t>Firearms acquisition by terrorists in Europe.</w:t>
              </w:r>
              <w:r>
                <w:rPr>
                  <w:noProof/>
                </w:rPr>
                <w:t xml:space="preserve"> Brussels: Flemish Peace Institute.</w:t>
              </w:r>
            </w:p>
            <w:p w14:paraId="357DB8CC" w14:textId="77777777" w:rsidR="006E3278" w:rsidRDefault="006E3278" w:rsidP="006E3278">
              <w:pPr>
                <w:pStyle w:val="Bibliography"/>
                <w:ind w:left="720" w:hanging="720"/>
                <w:rPr>
                  <w:noProof/>
                </w:rPr>
              </w:pPr>
              <w:r>
                <w:rPr>
                  <w:noProof/>
                </w:rPr>
                <w:t xml:space="preserve">Europol. (2017). </w:t>
              </w:r>
              <w:r>
                <w:rPr>
                  <w:i/>
                  <w:iCs/>
                  <w:noProof/>
                </w:rPr>
                <w:t>Serious and Organised Crime Threat Assesment.</w:t>
              </w:r>
              <w:r>
                <w:rPr>
                  <w:noProof/>
                </w:rPr>
                <w:t xml:space="preserve"> Retrieved from www.europol.europa.eu: https://www.europol.europa.eu/socta/2017/resources/socta-2017.pdf</w:t>
              </w:r>
            </w:p>
            <w:p w14:paraId="33274A2C" w14:textId="77777777" w:rsidR="006E3278" w:rsidRDefault="006E3278" w:rsidP="006E3278">
              <w:pPr>
                <w:pStyle w:val="Bibliography"/>
                <w:ind w:left="720" w:hanging="720"/>
                <w:rPr>
                  <w:noProof/>
                </w:rPr>
              </w:pPr>
              <w:r>
                <w:rPr>
                  <w:noProof/>
                </w:rPr>
                <w:t xml:space="preserve">Gallagher, M. J. (2014). Terrorism and Organised Crime: Co-operative Endeavours in Scotland? </w:t>
              </w:r>
              <w:r>
                <w:rPr>
                  <w:i/>
                  <w:iCs/>
                  <w:noProof/>
                </w:rPr>
                <w:t xml:space="preserve">Terrorism and Political Violence </w:t>
              </w:r>
              <w:r>
                <w:rPr>
                  <w:noProof/>
                </w:rPr>
                <w:t>, 320-336.</w:t>
              </w:r>
            </w:p>
            <w:p w14:paraId="05553F39" w14:textId="77777777" w:rsidR="006E3278" w:rsidRDefault="006E3278" w:rsidP="006E3278">
              <w:pPr>
                <w:pStyle w:val="Bibliography"/>
                <w:ind w:left="720" w:hanging="720"/>
                <w:rPr>
                  <w:noProof/>
                </w:rPr>
              </w:pPr>
              <w:r>
                <w:rPr>
                  <w:noProof/>
                </w:rPr>
                <w:t xml:space="preserve">GCHQ. (n.d.). </w:t>
              </w:r>
              <w:r>
                <w:rPr>
                  <w:i/>
                  <w:iCs/>
                  <w:noProof/>
                </w:rPr>
                <w:t>Overview</w:t>
              </w:r>
              <w:r>
                <w:rPr>
                  <w:noProof/>
                </w:rPr>
                <w:t>. Retrieved from www.gchq.gov.uk/: https://www.gchq.gov.uk/section/mission/overview</w:t>
              </w:r>
            </w:p>
            <w:p w14:paraId="32671AE4" w14:textId="77777777" w:rsidR="006E3278" w:rsidRDefault="006E3278" w:rsidP="006E3278">
              <w:pPr>
                <w:pStyle w:val="Bibliography"/>
                <w:ind w:left="720" w:hanging="720"/>
                <w:rPr>
                  <w:noProof/>
                </w:rPr>
              </w:pPr>
              <w:r>
                <w:rPr>
                  <w:noProof/>
                </w:rPr>
                <w:t xml:space="preserve">Greater Manchester Police. (2022, November 03). </w:t>
              </w:r>
              <w:r>
                <w:rPr>
                  <w:i/>
                  <w:iCs/>
                  <w:noProof/>
                </w:rPr>
                <w:t>Statement in response to Manchester Arena Inquiry Volume Two Report</w:t>
              </w:r>
              <w:r>
                <w:rPr>
                  <w:noProof/>
                </w:rPr>
                <w:t>. Retrieved from www.gmp.police.uk: https://www.gmp.police.uk/news/greater-manchester/news/news/2022/november/statement-in-response-to-inquiry-report/</w:t>
              </w:r>
            </w:p>
            <w:p w14:paraId="387F649C" w14:textId="77777777" w:rsidR="006E3278" w:rsidRDefault="006E3278" w:rsidP="006E3278">
              <w:pPr>
                <w:pStyle w:val="Bibliography"/>
                <w:ind w:left="720" w:hanging="720"/>
                <w:rPr>
                  <w:noProof/>
                </w:rPr>
              </w:pPr>
              <w:r>
                <w:rPr>
                  <w:noProof/>
                </w:rPr>
                <w:t xml:space="preserve">HMICFRS. (2018, May 18). </w:t>
              </w:r>
              <w:r>
                <w:rPr>
                  <w:i/>
                  <w:iCs/>
                  <w:noProof/>
                </w:rPr>
                <w:t>Joint Emergency Services Interoperability Principles</w:t>
              </w:r>
              <w:r>
                <w:rPr>
                  <w:noProof/>
                </w:rPr>
                <w:t>. Retrieved from hmicfrs.justiceinspectorates.gov.uk: https://hmicfrs.justiceinspectorates.gov.uk/our-work/article/joint-emergency-services-interoperability-principles/</w:t>
              </w:r>
            </w:p>
            <w:p w14:paraId="0A438EF7" w14:textId="77777777" w:rsidR="006E3278" w:rsidRDefault="006E3278" w:rsidP="006E3278">
              <w:pPr>
                <w:pStyle w:val="Bibliography"/>
                <w:ind w:left="720" w:hanging="720"/>
                <w:rPr>
                  <w:noProof/>
                </w:rPr>
              </w:pPr>
              <w:r>
                <w:rPr>
                  <w:noProof/>
                </w:rPr>
                <w:t xml:space="preserve">HMICFRS. (2023, March 24). </w:t>
              </w:r>
              <w:r>
                <w:rPr>
                  <w:i/>
                  <w:iCs/>
                  <w:noProof/>
                </w:rPr>
                <w:t>National Intelligence Model</w:t>
              </w:r>
              <w:r>
                <w:rPr>
                  <w:noProof/>
                </w:rPr>
                <w:t>. Retrieved from hmicfrs.justiceinspectorates.gov.uk: https://hmicfrs.justiceinspectorates.gov.uk/glossary/national-intelligence-model/</w:t>
              </w:r>
            </w:p>
            <w:p w14:paraId="5CD0487C" w14:textId="77777777" w:rsidR="006E3278" w:rsidRDefault="006E3278" w:rsidP="006E3278">
              <w:pPr>
                <w:pStyle w:val="Bibliography"/>
                <w:ind w:left="720" w:hanging="720"/>
                <w:rPr>
                  <w:noProof/>
                </w:rPr>
              </w:pPr>
              <w:r>
                <w:rPr>
                  <w:noProof/>
                </w:rPr>
                <w:t xml:space="preserve">Home Office . (2017, November 1). </w:t>
              </w:r>
              <w:r>
                <w:rPr>
                  <w:i/>
                  <w:iCs/>
                  <w:noProof/>
                </w:rPr>
                <w:t>Hillsborough stadium disaster: lessons that must be learnt</w:t>
              </w:r>
              <w:r>
                <w:rPr>
                  <w:noProof/>
                </w:rPr>
                <w:t>. Retrieved from www.gov.uk: https://www.gov.uk/government/publications/hillsborough-stadium-disaster-lessons-that-must-be-learnt</w:t>
              </w:r>
            </w:p>
            <w:p w14:paraId="3D79A413" w14:textId="77777777" w:rsidR="006E3278" w:rsidRDefault="006E3278" w:rsidP="006E3278">
              <w:pPr>
                <w:pStyle w:val="Bibliography"/>
                <w:ind w:left="720" w:hanging="720"/>
                <w:rPr>
                  <w:noProof/>
                </w:rPr>
              </w:pPr>
              <w:r>
                <w:rPr>
                  <w:noProof/>
                </w:rPr>
                <w:t xml:space="preserve">JESIP. (n.d.). </w:t>
              </w:r>
              <w:r>
                <w:rPr>
                  <w:i/>
                  <w:iCs/>
                  <w:noProof/>
                </w:rPr>
                <w:t>Definitions</w:t>
              </w:r>
              <w:r>
                <w:rPr>
                  <w:noProof/>
                </w:rPr>
                <w:t>. Retrieved from www.jesip.org.uk: https://www.jesip.org.uk/joint-doctrine/definitions/#:~:text=it%20is%20identified.-,Joint%20working,preserve%20life%20and%20reduce%20harm.</w:t>
              </w:r>
            </w:p>
            <w:p w14:paraId="7E983D5F" w14:textId="77777777" w:rsidR="006E3278" w:rsidRDefault="006E3278" w:rsidP="006E3278">
              <w:pPr>
                <w:pStyle w:val="Bibliography"/>
                <w:ind w:left="720" w:hanging="720"/>
                <w:rPr>
                  <w:noProof/>
                </w:rPr>
              </w:pPr>
              <w:r>
                <w:rPr>
                  <w:noProof/>
                </w:rPr>
                <w:t xml:space="preserve">JESIP. (n.d.). </w:t>
              </w:r>
              <w:r>
                <w:rPr>
                  <w:i/>
                  <w:iCs/>
                  <w:noProof/>
                </w:rPr>
                <w:t>Principles for Joint Working</w:t>
              </w:r>
              <w:r>
                <w:rPr>
                  <w:noProof/>
                </w:rPr>
                <w:t>. Retrieved from www.jesip.org.uk: https://www.jesip.org.uk/joint-doctrine/principles-for-joint-working/</w:t>
              </w:r>
            </w:p>
            <w:p w14:paraId="317768DD" w14:textId="77777777" w:rsidR="006E3278" w:rsidRDefault="006E3278" w:rsidP="006E3278">
              <w:pPr>
                <w:pStyle w:val="Bibliography"/>
                <w:ind w:left="720" w:hanging="720"/>
                <w:rPr>
                  <w:noProof/>
                </w:rPr>
              </w:pPr>
              <w:r>
                <w:rPr>
                  <w:noProof/>
                </w:rPr>
                <w:t xml:space="preserve">Kerslake, L. (2018). </w:t>
              </w:r>
              <w:r>
                <w:rPr>
                  <w:i/>
                  <w:iCs/>
                  <w:noProof/>
                </w:rPr>
                <w:t>The Kerslake Report.</w:t>
              </w:r>
              <w:r>
                <w:rPr>
                  <w:noProof/>
                </w:rPr>
                <w:t xml:space="preserve"> </w:t>
              </w:r>
            </w:p>
            <w:p w14:paraId="4CFEA9CC" w14:textId="77777777" w:rsidR="006E3278" w:rsidRDefault="006E3278" w:rsidP="006E3278">
              <w:pPr>
                <w:pStyle w:val="Bibliography"/>
                <w:ind w:left="720" w:hanging="720"/>
                <w:rPr>
                  <w:noProof/>
                </w:rPr>
              </w:pPr>
              <w:r>
                <w:rPr>
                  <w:noProof/>
                </w:rPr>
                <w:t xml:space="preserve">Montgomery, A. (2022). Concerted Collusion: Studying Multiagency Institutional Cover-Up. </w:t>
              </w:r>
              <w:r>
                <w:rPr>
                  <w:i/>
                  <w:iCs/>
                  <w:noProof/>
                </w:rPr>
                <w:t>Front. Psychol.</w:t>
              </w:r>
              <w:r>
                <w:rPr>
                  <w:noProof/>
                </w:rPr>
                <w:t xml:space="preserve"> </w:t>
              </w:r>
            </w:p>
            <w:p w14:paraId="60C4C3D6" w14:textId="77777777" w:rsidR="006E3278" w:rsidRDefault="006E3278" w:rsidP="006E3278">
              <w:pPr>
                <w:pStyle w:val="Bibliography"/>
                <w:ind w:left="720" w:hanging="720"/>
                <w:rPr>
                  <w:noProof/>
                </w:rPr>
              </w:pPr>
              <w:r>
                <w:rPr>
                  <w:noProof/>
                </w:rPr>
                <w:t xml:space="preserve">National Crime Agency. (n.d.). </w:t>
              </w:r>
              <w:r>
                <w:rPr>
                  <w:i/>
                  <w:iCs/>
                  <w:noProof/>
                </w:rPr>
                <w:t>Fraud</w:t>
              </w:r>
              <w:r>
                <w:rPr>
                  <w:noProof/>
                </w:rPr>
                <w:t>. Retrieved from www.nationalcrimeagency.gov.uk: https://www.nationalcrimeagency.gov.uk/what-we-do/crime-threats/fraud-and-economic-crime#:~:text=It%20accounts%20for%20over%2040,adults%20aged%2016%20and%20over.</w:t>
              </w:r>
            </w:p>
            <w:p w14:paraId="7799C294" w14:textId="77777777" w:rsidR="006E3278" w:rsidRDefault="006E3278" w:rsidP="006E3278">
              <w:pPr>
                <w:pStyle w:val="Bibliography"/>
                <w:ind w:left="720" w:hanging="720"/>
                <w:rPr>
                  <w:noProof/>
                </w:rPr>
              </w:pPr>
              <w:r>
                <w:rPr>
                  <w:noProof/>
                </w:rPr>
                <w:t xml:space="preserve">National Crime Agency. (n.d.). </w:t>
              </w:r>
              <w:r>
                <w:rPr>
                  <w:i/>
                  <w:iCs/>
                  <w:noProof/>
                </w:rPr>
                <w:t>Intelligence: enhancing the picture of serious organised crime affecting the UK</w:t>
              </w:r>
              <w:r>
                <w:rPr>
                  <w:noProof/>
                </w:rPr>
                <w:t>. Retrieved from www.nationalcrimeagency.gov.uk/: https://www.nationalcrimeagency.gov.uk/what-we-do/how-we-work/intelligence-enhancing-the-picture-of-serious-organised-crime-affecting-the-uk</w:t>
              </w:r>
            </w:p>
            <w:p w14:paraId="60CA9FCD" w14:textId="77777777" w:rsidR="006E3278" w:rsidRDefault="006E3278" w:rsidP="006E3278">
              <w:pPr>
                <w:pStyle w:val="Bibliography"/>
                <w:ind w:left="720" w:hanging="720"/>
                <w:rPr>
                  <w:noProof/>
                </w:rPr>
              </w:pPr>
              <w:r>
                <w:rPr>
                  <w:noProof/>
                </w:rPr>
                <w:t xml:space="preserve">National Protective Security Authority. (2023, March). </w:t>
              </w:r>
              <w:r>
                <w:rPr>
                  <w:i/>
                  <w:iCs/>
                  <w:noProof/>
                </w:rPr>
                <w:t>MTA Supplementary Guidance: Working with Police and other Emergency Services.</w:t>
              </w:r>
              <w:r>
                <w:rPr>
                  <w:noProof/>
                </w:rPr>
                <w:t xml:space="preserve"> Retrieved from www.npsa.gov.uk: https://www.npsa.gov.uk/resources/mta-supplementary-guidance-working-police-and-other-emergency-services</w:t>
              </w:r>
            </w:p>
            <w:p w14:paraId="58615503" w14:textId="77777777" w:rsidR="006E3278" w:rsidRDefault="006E3278" w:rsidP="006E3278">
              <w:pPr>
                <w:pStyle w:val="Bibliography"/>
                <w:ind w:left="720" w:hanging="720"/>
                <w:rPr>
                  <w:noProof/>
                </w:rPr>
              </w:pPr>
              <w:r>
                <w:rPr>
                  <w:noProof/>
                </w:rPr>
                <w:t xml:space="preserve">NPCC &amp; College Of Policing. (2023). </w:t>
              </w:r>
              <w:r>
                <w:rPr>
                  <w:i/>
                  <w:iCs/>
                  <w:noProof/>
                </w:rPr>
                <w:t>National police response to the Hillsborough Families Report.</w:t>
              </w:r>
              <w:r>
                <w:rPr>
                  <w:noProof/>
                </w:rPr>
                <w:t xml:space="preserve"> </w:t>
              </w:r>
            </w:p>
            <w:p w14:paraId="29073041" w14:textId="77777777" w:rsidR="006E3278" w:rsidRDefault="006E3278" w:rsidP="006E3278">
              <w:pPr>
                <w:pStyle w:val="Bibliography"/>
                <w:ind w:left="720" w:hanging="720"/>
                <w:rPr>
                  <w:noProof/>
                </w:rPr>
              </w:pPr>
              <w:r>
                <w:rPr>
                  <w:noProof/>
                </w:rPr>
                <w:t xml:space="preserve">Scraton, P. (2013). The legacy of Hillsborough: Liberating truth, challenging power. </w:t>
              </w:r>
              <w:r>
                <w:rPr>
                  <w:i/>
                  <w:iCs/>
                  <w:noProof/>
                </w:rPr>
                <w:t xml:space="preserve">Race and Class </w:t>
              </w:r>
              <w:r>
                <w:rPr>
                  <w:noProof/>
                </w:rPr>
                <w:t>, 1-27.</w:t>
              </w:r>
            </w:p>
            <w:p w14:paraId="13D2F120" w14:textId="77777777" w:rsidR="006E3278" w:rsidRDefault="006E3278" w:rsidP="006E3278">
              <w:pPr>
                <w:pStyle w:val="Bibliography"/>
                <w:ind w:left="720" w:hanging="720"/>
                <w:rPr>
                  <w:noProof/>
                </w:rPr>
              </w:pPr>
              <w:r>
                <w:rPr>
                  <w:noProof/>
                </w:rPr>
                <w:t xml:space="preserve">Sir John Saunders. (2022). </w:t>
              </w:r>
              <w:r>
                <w:rPr>
                  <w:i/>
                  <w:iCs/>
                  <w:noProof/>
                </w:rPr>
                <w:t>Manchester Arena Inquiry Volume 2: Emergency Response.</w:t>
              </w:r>
              <w:r>
                <w:rPr>
                  <w:noProof/>
                </w:rPr>
                <w:t xml:space="preserve"> </w:t>
              </w:r>
            </w:p>
            <w:p w14:paraId="1E79255B" w14:textId="77777777" w:rsidR="006E3278" w:rsidRDefault="006E3278" w:rsidP="006E3278">
              <w:pPr>
                <w:pStyle w:val="Bibliography"/>
                <w:ind w:left="720" w:hanging="720"/>
                <w:rPr>
                  <w:noProof/>
                </w:rPr>
              </w:pPr>
              <w:r>
                <w:rPr>
                  <w:noProof/>
                </w:rPr>
                <w:t xml:space="preserve">The Right Reverend James Jones KBE. (2017). </w:t>
              </w:r>
              <w:r>
                <w:rPr>
                  <w:i/>
                  <w:iCs/>
                  <w:noProof/>
                </w:rPr>
                <w:t>The patronising disposition of unaccountable power.</w:t>
              </w:r>
              <w:r>
                <w:rPr>
                  <w:noProof/>
                </w:rPr>
                <w:t xml:space="preserve"> </w:t>
              </w:r>
            </w:p>
            <w:p w14:paraId="289AC789" w14:textId="77777777" w:rsidR="006E3278" w:rsidRDefault="006E3278" w:rsidP="006E3278">
              <w:pPr>
                <w:pStyle w:val="Bibliography"/>
                <w:ind w:left="720" w:hanging="720"/>
                <w:rPr>
                  <w:noProof/>
                </w:rPr>
              </w:pPr>
              <w:r>
                <w:rPr>
                  <w:noProof/>
                </w:rPr>
                <w:t xml:space="preserve">Thomas, G. (2016a). A case for local neighbourhood policing and community intelligence in counter terrorism. </w:t>
              </w:r>
              <w:r>
                <w:rPr>
                  <w:i/>
                  <w:iCs/>
                  <w:noProof/>
                </w:rPr>
                <w:t>The Police Journal: Theory, Practice and Principles</w:t>
              </w:r>
              <w:r>
                <w:rPr>
                  <w:noProof/>
                </w:rPr>
                <w:t>, 31-54.</w:t>
              </w:r>
            </w:p>
            <w:p w14:paraId="54E5A471" w14:textId="77777777" w:rsidR="006E3278" w:rsidRDefault="006E3278" w:rsidP="006E3278">
              <w:pPr>
                <w:pStyle w:val="Bibliography"/>
                <w:ind w:left="720" w:hanging="720"/>
                <w:rPr>
                  <w:noProof/>
                </w:rPr>
              </w:pPr>
              <w:r>
                <w:rPr>
                  <w:noProof/>
                </w:rPr>
                <w:t xml:space="preserve">Thomas, G. (2016b). A case for local neighbourhood policing and community intelligence in counter terrorism. </w:t>
              </w:r>
              <w:r>
                <w:rPr>
                  <w:i/>
                  <w:iCs/>
                  <w:noProof/>
                </w:rPr>
                <w:t>The Police Journal: Theory, Practice and Principles</w:t>
              </w:r>
              <w:r>
                <w:rPr>
                  <w:noProof/>
                </w:rPr>
                <w:t>, 31-54.</w:t>
              </w:r>
            </w:p>
            <w:p w14:paraId="08E25C72" w14:textId="77777777" w:rsidR="006E3278" w:rsidRDefault="006E3278" w:rsidP="006E3278">
              <w:pPr>
                <w:pStyle w:val="Bibliography"/>
                <w:ind w:left="720" w:hanging="720"/>
                <w:rPr>
                  <w:noProof/>
                </w:rPr>
              </w:pPr>
              <w:r>
                <w:rPr>
                  <w:noProof/>
                </w:rPr>
                <w:t xml:space="preserve">Wiltshire Police. (2023, September 14). </w:t>
              </w:r>
              <w:r>
                <w:rPr>
                  <w:i/>
                  <w:iCs/>
                  <w:noProof/>
                </w:rPr>
                <w:t>Telegram Teenager Found Guilty of Terrorism Offences</w:t>
              </w:r>
              <w:r>
                <w:rPr>
                  <w:noProof/>
                </w:rPr>
                <w:t>. Retrieved from www.wiltshire.police.uk: https://www.wiltshire.police.uk/news/wiltshire/news/2023/september-2023/telegram-teenager-found-guilty-of-terrorism-offences/</w:t>
              </w:r>
            </w:p>
            <w:p w14:paraId="6F012946" w14:textId="77777777" w:rsidR="006E3278" w:rsidRDefault="006E3278" w:rsidP="006E3278">
              <w:pPr>
                <w:pStyle w:val="Bibliography"/>
                <w:ind w:left="720" w:hanging="720"/>
                <w:rPr>
                  <w:noProof/>
                </w:rPr>
              </w:pPr>
              <w:r>
                <w:rPr>
                  <w:noProof/>
                </w:rPr>
                <w:t xml:space="preserve">Wong, J. (2021). Sharing terrorism intelligence: insights from UK law enforcement agencies. </w:t>
              </w:r>
              <w:r>
                <w:rPr>
                  <w:i/>
                  <w:iCs/>
                  <w:noProof/>
                </w:rPr>
                <w:t>Journal of Policing, Intelligence and Counter Terrorism</w:t>
              </w:r>
              <w:r>
                <w:rPr>
                  <w:noProof/>
                </w:rPr>
                <w:t>, 218-228.</w:t>
              </w:r>
            </w:p>
            <w:p w14:paraId="1A99548C" w14:textId="77777777" w:rsidR="006E3278" w:rsidRDefault="006E3278" w:rsidP="006E3278">
              <w:pPr>
                <w:pStyle w:val="Bibliography"/>
                <w:ind w:left="720" w:hanging="720"/>
                <w:rPr>
                  <w:noProof/>
                </w:rPr>
              </w:pPr>
              <w:r>
                <w:rPr>
                  <w:noProof/>
                </w:rPr>
                <w:t xml:space="preserve">Wood, H., Keatinge, T., Ditcham, K., &amp; Janjeva, A. (2021). </w:t>
              </w:r>
              <w:r>
                <w:rPr>
                  <w:i/>
                  <w:iCs/>
                  <w:noProof/>
                </w:rPr>
                <w:t>The Silent Threat; The Impact of Fraud on UK National Security.</w:t>
              </w:r>
              <w:r>
                <w:rPr>
                  <w:noProof/>
                </w:rPr>
                <w:t xml:space="preserve"> Royal United Services Institute.</w:t>
              </w:r>
            </w:p>
            <w:p w14:paraId="4B659607" w14:textId="15FC3C8A" w:rsidR="006E3278" w:rsidRDefault="006E3278" w:rsidP="006E3278">
              <w:r>
                <w:rPr>
                  <w:b/>
                  <w:bCs/>
                  <w:noProof/>
                </w:rPr>
                <w:fldChar w:fldCharType="end"/>
              </w:r>
            </w:p>
          </w:sdtContent>
        </w:sdt>
      </w:sdtContent>
    </w:sdt>
    <w:p w14:paraId="41E84E1C" w14:textId="77777777" w:rsidR="006E3278" w:rsidRPr="006E3278" w:rsidRDefault="006E3278" w:rsidP="009161C8">
      <w:pPr>
        <w:jc w:val="both"/>
        <w:rPr>
          <w:color w:val="FF0000"/>
          <w:sz w:val="22"/>
          <w:szCs w:val="22"/>
        </w:rPr>
      </w:pPr>
    </w:p>
    <w:sectPr w:rsidR="006E3278" w:rsidRPr="006E32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B5340A"/>
    <w:multiLevelType w:val="hybridMultilevel"/>
    <w:tmpl w:val="E9224568"/>
    <w:lvl w:ilvl="0" w:tplc="C4243482">
      <w:start w:val="1939"/>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CA00328"/>
    <w:multiLevelType w:val="multilevel"/>
    <w:tmpl w:val="92A2D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0071304">
    <w:abstractNumId w:val="0"/>
  </w:num>
  <w:num w:numId="2" w16cid:durableId="6696769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3D3C"/>
    <w:rsid w:val="00000C18"/>
    <w:rsid w:val="00005415"/>
    <w:rsid w:val="0004176A"/>
    <w:rsid w:val="00046E98"/>
    <w:rsid w:val="00092327"/>
    <w:rsid w:val="000A41DC"/>
    <w:rsid w:val="000C3234"/>
    <w:rsid w:val="000D024C"/>
    <w:rsid w:val="000E7255"/>
    <w:rsid w:val="000F5495"/>
    <w:rsid w:val="00110B42"/>
    <w:rsid w:val="0012671D"/>
    <w:rsid w:val="00145A48"/>
    <w:rsid w:val="0015133B"/>
    <w:rsid w:val="00185A90"/>
    <w:rsid w:val="001F29A0"/>
    <w:rsid w:val="00203D1B"/>
    <w:rsid w:val="00245085"/>
    <w:rsid w:val="00274B1D"/>
    <w:rsid w:val="002A27B1"/>
    <w:rsid w:val="002D1788"/>
    <w:rsid w:val="002D337E"/>
    <w:rsid w:val="002E0835"/>
    <w:rsid w:val="002E5339"/>
    <w:rsid w:val="00314574"/>
    <w:rsid w:val="003510DD"/>
    <w:rsid w:val="00362C41"/>
    <w:rsid w:val="00382B7B"/>
    <w:rsid w:val="00387BF5"/>
    <w:rsid w:val="00392163"/>
    <w:rsid w:val="003B03B8"/>
    <w:rsid w:val="003B0E5A"/>
    <w:rsid w:val="003D72AB"/>
    <w:rsid w:val="00413DC1"/>
    <w:rsid w:val="00424E97"/>
    <w:rsid w:val="00463581"/>
    <w:rsid w:val="004B717A"/>
    <w:rsid w:val="004C2E8B"/>
    <w:rsid w:val="004E6B23"/>
    <w:rsid w:val="005044E7"/>
    <w:rsid w:val="005065B9"/>
    <w:rsid w:val="005101F4"/>
    <w:rsid w:val="00520DCC"/>
    <w:rsid w:val="00527365"/>
    <w:rsid w:val="0053283F"/>
    <w:rsid w:val="005337FD"/>
    <w:rsid w:val="00592E32"/>
    <w:rsid w:val="00596571"/>
    <w:rsid w:val="005A0A7C"/>
    <w:rsid w:val="005A196E"/>
    <w:rsid w:val="005B0431"/>
    <w:rsid w:val="005E4BDB"/>
    <w:rsid w:val="00642227"/>
    <w:rsid w:val="00647FA9"/>
    <w:rsid w:val="00661470"/>
    <w:rsid w:val="0069329A"/>
    <w:rsid w:val="006A33CC"/>
    <w:rsid w:val="006C41DA"/>
    <w:rsid w:val="006C568A"/>
    <w:rsid w:val="006D1858"/>
    <w:rsid w:val="006E3278"/>
    <w:rsid w:val="006E337B"/>
    <w:rsid w:val="00731911"/>
    <w:rsid w:val="00763565"/>
    <w:rsid w:val="00794D68"/>
    <w:rsid w:val="00813C89"/>
    <w:rsid w:val="00823CDF"/>
    <w:rsid w:val="008625FF"/>
    <w:rsid w:val="00873B97"/>
    <w:rsid w:val="00875332"/>
    <w:rsid w:val="008E38FA"/>
    <w:rsid w:val="009161C8"/>
    <w:rsid w:val="00920B8C"/>
    <w:rsid w:val="00932531"/>
    <w:rsid w:val="00933E7D"/>
    <w:rsid w:val="00964436"/>
    <w:rsid w:val="0097450C"/>
    <w:rsid w:val="00991467"/>
    <w:rsid w:val="009E2733"/>
    <w:rsid w:val="009F1CFC"/>
    <w:rsid w:val="00A20F67"/>
    <w:rsid w:val="00A268B1"/>
    <w:rsid w:val="00A75616"/>
    <w:rsid w:val="00A90C15"/>
    <w:rsid w:val="00AC308F"/>
    <w:rsid w:val="00B04334"/>
    <w:rsid w:val="00B1551C"/>
    <w:rsid w:val="00B36313"/>
    <w:rsid w:val="00B40E8F"/>
    <w:rsid w:val="00B50D16"/>
    <w:rsid w:val="00B71E87"/>
    <w:rsid w:val="00B94219"/>
    <w:rsid w:val="00BB2049"/>
    <w:rsid w:val="00BC7DB2"/>
    <w:rsid w:val="00BF1793"/>
    <w:rsid w:val="00BF3045"/>
    <w:rsid w:val="00BF60D7"/>
    <w:rsid w:val="00C57E75"/>
    <w:rsid w:val="00C60EDE"/>
    <w:rsid w:val="00C63F0C"/>
    <w:rsid w:val="00C743D9"/>
    <w:rsid w:val="00C90D0F"/>
    <w:rsid w:val="00C925A0"/>
    <w:rsid w:val="00CC6447"/>
    <w:rsid w:val="00CC7B1A"/>
    <w:rsid w:val="00CD3B0B"/>
    <w:rsid w:val="00D01BCD"/>
    <w:rsid w:val="00D13D3C"/>
    <w:rsid w:val="00D411B3"/>
    <w:rsid w:val="00D638A3"/>
    <w:rsid w:val="00D913FD"/>
    <w:rsid w:val="00DA70C5"/>
    <w:rsid w:val="00DB05D1"/>
    <w:rsid w:val="00DB2181"/>
    <w:rsid w:val="00DC0F17"/>
    <w:rsid w:val="00DD7541"/>
    <w:rsid w:val="00DF7EDC"/>
    <w:rsid w:val="00E035D0"/>
    <w:rsid w:val="00E441E4"/>
    <w:rsid w:val="00E56EBC"/>
    <w:rsid w:val="00E81AAA"/>
    <w:rsid w:val="00EC00CE"/>
    <w:rsid w:val="00EC17F2"/>
    <w:rsid w:val="00EC3A39"/>
    <w:rsid w:val="00ED360F"/>
    <w:rsid w:val="00EF6F10"/>
    <w:rsid w:val="00F01791"/>
    <w:rsid w:val="00F12B5C"/>
    <w:rsid w:val="00F1545E"/>
    <w:rsid w:val="00F45735"/>
    <w:rsid w:val="00F75A3E"/>
    <w:rsid w:val="00F873E8"/>
    <w:rsid w:val="00FB15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47CD4"/>
  <w15:chartTrackingRefBased/>
  <w15:docId w15:val="{FCD5C11C-1ED0-4C8E-A6FA-FFD2F78F3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60D7"/>
    <w:pPr>
      <w:spacing w:after="0" w:line="240" w:lineRule="auto"/>
    </w:pPr>
    <w:rPr>
      <w:rFonts w:ascii="Times New Roman" w:eastAsia="Times New Roman" w:hAnsi="Times New Roman" w:cs="Times New Roman"/>
      <w:kern w:val="0"/>
      <w:sz w:val="24"/>
      <w:szCs w:val="24"/>
      <w:lang w:eastAsia="en-GB"/>
      <w14:ligatures w14:val="none"/>
    </w:rPr>
  </w:style>
  <w:style w:type="paragraph" w:styleId="Heading1">
    <w:name w:val="heading 1"/>
    <w:basedOn w:val="Normal"/>
    <w:link w:val="Heading1Char"/>
    <w:uiPriority w:val="9"/>
    <w:qFormat/>
    <w:rsid w:val="00EF6F10"/>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13D3C"/>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basedOn w:val="DefaultParagraphFont"/>
    <w:uiPriority w:val="99"/>
    <w:semiHidden/>
    <w:unhideWhenUsed/>
    <w:rsid w:val="00A20F67"/>
    <w:rPr>
      <w:color w:val="0000FF"/>
      <w:u w:val="single"/>
    </w:rPr>
  </w:style>
  <w:style w:type="character" w:styleId="FollowedHyperlink">
    <w:name w:val="FollowedHyperlink"/>
    <w:basedOn w:val="DefaultParagraphFont"/>
    <w:uiPriority w:val="99"/>
    <w:semiHidden/>
    <w:unhideWhenUsed/>
    <w:rsid w:val="00E81AAA"/>
    <w:rPr>
      <w:color w:val="954F72" w:themeColor="followedHyperlink"/>
      <w:u w:val="single"/>
    </w:rPr>
  </w:style>
  <w:style w:type="character" w:customStyle="1" w:styleId="Heading1Char">
    <w:name w:val="Heading 1 Char"/>
    <w:basedOn w:val="DefaultParagraphFont"/>
    <w:link w:val="Heading1"/>
    <w:uiPriority w:val="9"/>
    <w:rsid w:val="00EF6F10"/>
    <w:rPr>
      <w:rFonts w:ascii="Times New Roman" w:eastAsia="Times New Roman" w:hAnsi="Times New Roman" w:cs="Times New Roman"/>
      <w:b/>
      <w:bCs/>
      <w:kern w:val="36"/>
      <w:sz w:val="48"/>
      <w:szCs w:val="48"/>
      <w:lang w:eastAsia="en-GB"/>
      <w14:ligatures w14:val="none"/>
    </w:rPr>
  </w:style>
  <w:style w:type="paragraph" w:styleId="Bibliography">
    <w:name w:val="Bibliography"/>
    <w:basedOn w:val="Normal"/>
    <w:next w:val="Normal"/>
    <w:uiPriority w:val="37"/>
    <w:unhideWhenUsed/>
    <w:rsid w:val="005044E7"/>
  </w:style>
  <w:style w:type="character" w:styleId="Strong">
    <w:name w:val="Strong"/>
    <w:basedOn w:val="DefaultParagraphFont"/>
    <w:uiPriority w:val="22"/>
    <w:qFormat/>
    <w:rsid w:val="002E5339"/>
    <w:rPr>
      <w:b/>
      <w:bCs/>
    </w:rPr>
  </w:style>
  <w:style w:type="paragraph" w:styleId="NoSpacing">
    <w:name w:val="No Spacing"/>
    <w:uiPriority w:val="1"/>
    <w:qFormat/>
    <w:rsid w:val="003B0E5A"/>
    <w:pPr>
      <w:spacing w:after="0"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61333">
      <w:bodyDiv w:val="1"/>
      <w:marLeft w:val="0"/>
      <w:marRight w:val="0"/>
      <w:marTop w:val="0"/>
      <w:marBottom w:val="0"/>
      <w:divBdr>
        <w:top w:val="none" w:sz="0" w:space="0" w:color="auto"/>
        <w:left w:val="none" w:sz="0" w:space="0" w:color="auto"/>
        <w:bottom w:val="none" w:sz="0" w:space="0" w:color="auto"/>
        <w:right w:val="none" w:sz="0" w:space="0" w:color="auto"/>
      </w:divBdr>
    </w:div>
    <w:div w:id="7415672">
      <w:bodyDiv w:val="1"/>
      <w:marLeft w:val="0"/>
      <w:marRight w:val="0"/>
      <w:marTop w:val="0"/>
      <w:marBottom w:val="0"/>
      <w:divBdr>
        <w:top w:val="none" w:sz="0" w:space="0" w:color="auto"/>
        <w:left w:val="none" w:sz="0" w:space="0" w:color="auto"/>
        <w:bottom w:val="none" w:sz="0" w:space="0" w:color="auto"/>
        <w:right w:val="none" w:sz="0" w:space="0" w:color="auto"/>
      </w:divBdr>
    </w:div>
    <w:div w:id="13121339">
      <w:bodyDiv w:val="1"/>
      <w:marLeft w:val="0"/>
      <w:marRight w:val="0"/>
      <w:marTop w:val="0"/>
      <w:marBottom w:val="0"/>
      <w:divBdr>
        <w:top w:val="none" w:sz="0" w:space="0" w:color="auto"/>
        <w:left w:val="none" w:sz="0" w:space="0" w:color="auto"/>
        <w:bottom w:val="none" w:sz="0" w:space="0" w:color="auto"/>
        <w:right w:val="none" w:sz="0" w:space="0" w:color="auto"/>
      </w:divBdr>
    </w:div>
    <w:div w:id="16319024">
      <w:bodyDiv w:val="1"/>
      <w:marLeft w:val="0"/>
      <w:marRight w:val="0"/>
      <w:marTop w:val="0"/>
      <w:marBottom w:val="0"/>
      <w:divBdr>
        <w:top w:val="none" w:sz="0" w:space="0" w:color="auto"/>
        <w:left w:val="none" w:sz="0" w:space="0" w:color="auto"/>
        <w:bottom w:val="none" w:sz="0" w:space="0" w:color="auto"/>
        <w:right w:val="none" w:sz="0" w:space="0" w:color="auto"/>
      </w:divBdr>
    </w:div>
    <w:div w:id="37168295">
      <w:bodyDiv w:val="1"/>
      <w:marLeft w:val="0"/>
      <w:marRight w:val="0"/>
      <w:marTop w:val="0"/>
      <w:marBottom w:val="0"/>
      <w:divBdr>
        <w:top w:val="none" w:sz="0" w:space="0" w:color="auto"/>
        <w:left w:val="none" w:sz="0" w:space="0" w:color="auto"/>
        <w:bottom w:val="none" w:sz="0" w:space="0" w:color="auto"/>
        <w:right w:val="none" w:sz="0" w:space="0" w:color="auto"/>
      </w:divBdr>
    </w:div>
    <w:div w:id="98912205">
      <w:bodyDiv w:val="1"/>
      <w:marLeft w:val="0"/>
      <w:marRight w:val="0"/>
      <w:marTop w:val="0"/>
      <w:marBottom w:val="0"/>
      <w:divBdr>
        <w:top w:val="none" w:sz="0" w:space="0" w:color="auto"/>
        <w:left w:val="none" w:sz="0" w:space="0" w:color="auto"/>
        <w:bottom w:val="none" w:sz="0" w:space="0" w:color="auto"/>
        <w:right w:val="none" w:sz="0" w:space="0" w:color="auto"/>
      </w:divBdr>
    </w:div>
    <w:div w:id="138352132">
      <w:bodyDiv w:val="1"/>
      <w:marLeft w:val="0"/>
      <w:marRight w:val="0"/>
      <w:marTop w:val="0"/>
      <w:marBottom w:val="0"/>
      <w:divBdr>
        <w:top w:val="none" w:sz="0" w:space="0" w:color="auto"/>
        <w:left w:val="none" w:sz="0" w:space="0" w:color="auto"/>
        <w:bottom w:val="none" w:sz="0" w:space="0" w:color="auto"/>
        <w:right w:val="none" w:sz="0" w:space="0" w:color="auto"/>
      </w:divBdr>
    </w:div>
    <w:div w:id="160003586">
      <w:bodyDiv w:val="1"/>
      <w:marLeft w:val="0"/>
      <w:marRight w:val="0"/>
      <w:marTop w:val="0"/>
      <w:marBottom w:val="0"/>
      <w:divBdr>
        <w:top w:val="none" w:sz="0" w:space="0" w:color="auto"/>
        <w:left w:val="none" w:sz="0" w:space="0" w:color="auto"/>
        <w:bottom w:val="none" w:sz="0" w:space="0" w:color="auto"/>
        <w:right w:val="none" w:sz="0" w:space="0" w:color="auto"/>
      </w:divBdr>
    </w:div>
    <w:div w:id="218827301">
      <w:bodyDiv w:val="1"/>
      <w:marLeft w:val="0"/>
      <w:marRight w:val="0"/>
      <w:marTop w:val="0"/>
      <w:marBottom w:val="0"/>
      <w:divBdr>
        <w:top w:val="none" w:sz="0" w:space="0" w:color="auto"/>
        <w:left w:val="none" w:sz="0" w:space="0" w:color="auto"/>
        <w:bottom w:val="none" w:sz="0" w:space="0" w:color="auto"/>
        <w:right w:val="none" w:sz="0" w:space="0" w:color="auto"/>
      </w:divBdr>
    </w:div>
    <w:div w:id="228731557">
      <w:bodyDiv w:val="1"/>
      <w:marLeft w:val="0"/>
      <w:marRight w:val="0"/>
      <w:marTop w:val="0"/>
      <w:marBottom w:val="0"/>
      <w:divBdr>
        <w:top w:val="none" w:sz="0" w:space="0" w:color="auto"/>
        <w:left w:val="none" w:sz="0" w:space="0" w:color="auto"/>
        <w:bottom w:val="none" w:sz="0" w:space="0" w:color="auto"/>
        <w:right w:val="none" w:sz="0" w:space="0" w:color="auto"/>
      </w:divBdr>
    </w:div>
    <w:div w:id="309483207">
      <w:bodyDiv w:val="1"/>
      <w:marLeft w:val="0"/>
      <w:marRight w:val="0"/>
      <w:marTop w:val="0"/>
      <w:marBottom w:val="0"/>
      <w:divBdr>
        <w:top w:val="none" w:sz="0" w:space="0" w:color="auto"/>
        <w:left w:val="none" w:sz="0" w:space="0" w:color="auto"/>
        <w:bottom w:val="none" w:sz="0" w:space="0" w:color="auto"/>
        <w:right w:val="none" w:sz="0" w:space="0" w:color="auto"/>
      </w:divBdr>
    </w:div>
    <w:div w:id="334963373">
      <w:bodyDiv w:val="1"/>
      <w:marLeft w:val="0"/>
      <w:marRight w:val="0"/>
      <w:marTop w:val="0"/>
      <w:marBottom w:val="0"/>
      <w:divBdr>
        <w:top w:val="none" w:sz="0" w:space="0" w:color="auto"/>
        <w:left w:val="none" w:sz="0" w:space="0" w:color="auto"/>
        <w:bottom w:val="none" w:sz="0" w:space="0" w:color="auto"/>
        <w:right w:val="none" w:sz="0" w:space="0" w:color="auto"/>
      </w:divBdr>
    </w:div>
    <w:div w:id="338192945">
      <w:bodyDiv w:val="1"/>
      <w:marLeft w:val="0"/>
      <w:marRight w:val="0"/>
      <w:marTop w:val="0"/>
      <w:marBottom w:val="0"/>
      <w:divBdr>
        <w:top w:val="none" w:sz="0" w:space="0" w:color="auto"/>
        <w:left w:val="none" w:sz="0" w:space="0" w:color="auto"/>
        <w:bottom w:val="none" w:sz="0" w:space="0" w:color="auto"/>
        <w:right w:val="none" w:sz="0" w:space="0" w:color="auto"/>
      </w:divBdr>
    </w:div>
    <w:div w:id="346833812">
      <w:bodyDiv w:val="1"/>
      <w:marLeft w:val="0"/>
      <w:marRight w:val="0"/>
      <w:marTop w:val="0"/>
      <w:marBottom w:val="0"/>
      <w:divBdr>
        <w:top w:val="none" w:sz="0" w:space="0" w:color="auto"/>
        <w:left w:val="none" w:sz="0" w:space="0" w:color="auto"/>
        <w:bottom w:val="none" w:sz="0" w:space="0" w:color="auto"/>
        <w:right w:val="none" w:sz="0" w:space="0" w:color="auto"/>
      </w:divBdr>
    </w:div>
    <w:div w:id="383909963">
      <w:bodyDiv w:val="1"/>
      <w:marLeft w:val="0"/>
      <w:marRight w:val="0"/>
      <w:marTop w:val="0"/>
      <w:marBottom w:val="0"/>
      <w:divBdr>
        <w:top w:val="none" w:sz="0" w:space="0" w:color="auto"/>
        <w:left w:val="none" w:sz="0" w:space="0" w:color="auto"/>
        <w:bottom w:val="none" w:sz="0" w:space="0" w:color="auto"/>
        <w:right w:val="none" w:sz="0" w:space="0" w:color="auto"/>
      </w:divBdr>
    </w:div>
    <w:div w:id="385839597">
      <w:bodyDiv w:val="1"/>
      <w:marLeft w:val="0"/>
      <w:marRight w:val="0"/>
      <w:marTop w:val="0"/>
      <w:marBottom w:val="0"/>
      <w:divBdr>
        <w:top w:val="none" w:sz="0" w:space="0" w:color="auto"/>
        <w:left w:val="none" w:sz="0" w:space="0" w:color="auto"/>
        <w:bottom w:val="none" w:sz="0" w:space="0" w:color="auto"/>
        <w:right w:val="none" w:sz="0" w:space="0" w:color="auto"/>
      </w:divBdr>
    </w:div>
    <w:div w:id="443115135">
      <w:bodyDiv w:val="1"/>
      <w:marLeft w:val="0"/>
      <w:marRight w:val="0"/>
      <w:marTop w:val="0"/>
      <w:marBottom w:val="0"/>
      <w:divBdr>
        <w:top w:val="none" w:sz="0" w:space="0" w:color="auto"/>
        <w:left w:val="none" w:sz="0" w:space="0" w:color="auto"/>
        <w:bottom w:val="none" w:sz="0" w:space="0" w:color="auto"/>
        <w:right w:val="none" w:sz="0" w:space="0" w:color="auto"/>
      </w:divBdr>
    </w:div>
    <w:div w:id="447285671">
      <w:bodyDiv w:val="1"/>
      <w:marLeft w:val="0"/>
      <w:marRight w:val="0"/>
      <w:marTop w:val="0"/>
      <w:marBottom w:val="0"/>
      <w:divBdr>
        <w:top w:val="none" w:sz="0" w:space="0" w:color="auto"/>
        <w:left w:val="none" w:sz="0" w:space="0" w:color="auto"/>
        <w:bottom w:val="none" w:sz="0" w:space="0" w:color="auto"/>
        <w:right w:val="none" w:sz="0" w:space="0" w:color="auto"/>
      </w:divBdr>
    </w:div>
    <w:div w:id="587230845">
      <w:bodyDiv w:val="1"/>
      <w:marLeft w:val="0"/>
      <w:marRight w:val="0"/>
      <w:marTop w:val="0"/>
      <w:marBottom w:val="0"/>
      <w:divBdr>
        <w:top w:val="none" w:sz="0" w:space="0" w:color="auto"/>
        <w:left w:val="none" w:sz="0" w:space="0" w:color="auto"/>
        <w:bottom w:val="none" w:sz="0" w:space="0" w:color="auto"/>
        <w:right w:val="none" w:sz="0" w:space="0" w:color="auto"/>
      </w:divBdr>
    </w:div>
    <w:div w:id="646126601">
      <w:bodyDiv w:val="1"/>
      <w:marLeft w:val="0"/>
      <w:marRight w:val="0"/>
      <w:marTop w:val="0"/>
      <w:marBottom w:val="0"/>
      <w:divBdr>
        <w:top w:val="none" w:sz="0" w:space="0" w:color="auto"/>
        <w:left w:val="none" w:sz="0" w:space="0" w:color="auto"/>
        <w:bottom w:val="none" w:sz="0" w:space="0" w:color="auto"/>
        <w:right w:val="none" w:sz="0" w:space="0" w:color="auto"/>
      </w:divBdr>
    </w:div>
    <w:div w:id="675574045">
      <w:bodyDiv w:val="1"/>
      <w:marLeft w:val="0"/>
      <w:marRight w:val="0"/>
      <w:marTop w:val="0"/>
      <w:marBottom w:val="0"/>
      <w:divBdr>
        <w:top w:val="none" w:sz="0" w:space="0" w:color="auto"/>
        <w:left w:val="none" w:sz="0" w:space="0" w:color="auto"/>
        <w:bottom w:val="none" w:sz="0" w:space="0" w:color="auto"/>
        <w:right w:val="none" w:sz="0" w:space="0" w:color="auto"/>
      </w:divBdr>
    </w:div>
    <w:div w:id="678433240">
      <w:bodyDiv w:val="1"/>
      <w:marLeft w:val="0"/>
      <w:marRight w:val="0"/>
      <w:marTop w:val="0"/>
      <w:marBottom w:val="0"/>
      <w:divBdr>
        <w:top w:val="none" w:sz="0" w:space="0" w:color="auto"/>
        <w:left w:val="none" w:sz="0" w:space="0" w:color="auto"/>
        <w:bottom w:val="none" w:sz="0" w:space="0" w:color="auto"/>
        <w:right w:val="none" w:sz="0" w:space="0" w:color="auto"/>
      </w:divBdr>
    </w:div>
    <w:div w:id="687564819">
      <w:bodyDiv w:val="1"/>
      <w:marLeft w:val="0"/>
      <w:marRight w:val="0"/>
      <w:marTop w:val="0"/>
      <w:marBottom w:val="0"/>
      <w:divBdr>
        <w:top w:val="none" w:sz="0" w:space="0" w:color="auto"/>
        <w:left w:val="none" w:sz="0" w:space="0" w:color="auto"/>
        <w:bottom w:val="none" w:sz="0" w:space="0" w:color="auto"/>
        <w:right w:val="none" w:sz="0" w:space="0" w:color="auto"/>
      </w:divBdr>
    </w:div>
    <w:div w:id="721564170">
      <w:bodyDiv w:val="1"/>
      <w:marLeft w:val="0"/>
      <w:marRight w:val="0"/>
      <w:marTop w:val="0"/>
      <w:marBottom w:val="0"/>
      <w:divBdr>
        <w:top w:val="none" w:sz="0" w:space="0" w:color="auto"/>
        <w:left w:val="none" w:sz="0" w:space="0" w:color="auto"/>
        <w:bottom w:val="none" w:sz="0" w:space="0" w:color="auto"/>
        <w:right w:val="none" w:sz="0" w:space="0" w:color="auto"/>
      </w:divBdr>
    </w:div>
    <w:div w:id="724521688">
      <w:bodyDiv w:val="1"/>
      <w:marLeft w:val="0"/>
      <w:marRight w:val="0"/>
      <w:marTop w:val="0"/>
      <w:marBottom w:val="0"/>
      <w:divBdr>
        <w:top w:val="none" w:sz="0" w:space="0" w:color="auto"/>
        <w:left w:val="none" w:sz="0" w:space="0" w:color="auto"/>
        <w:bottom w:val="none" w:sz="0" w:space="0" w:color="auto"/>
        <w:right w:val="none" w:sz="0" w:space="0" w:color="auto"/>
      </w:divBdr>
    </w:div>
    <w:div w:id="752773613">
      <w:bodyDiv w:val="1"/>
      <w:marLeft w:val="0"/>
      <w:marRight w:val="0"/>
      <w:marTop w:val="0"/>
      <w:marBottom w:val="0"/>
      <w:divBdr>
        <w:top w:val="none" w:sz="0" w:space="0" w:color="auto"/>
        <w:left w:val="none" w:sz="0" w:space="0" w:color="auto"/>
        <w:bottom w:val="none" w:sz="0" w:space="0" w:color="auto"/>
        <w:right w:val="none" w:sz="0" w:space="0" w:color="auto"/>
      </w:divBdr>
      <w:divsChild>
        <w:div w:id="1085808276">
          <w:marLeft w:val="0"/>
          <w:marRight w:val="0"/>
          <w:marTop w:val="0"/>
          <w:marBottom w:val="0"/>
          <w:divBdr>
            <w:top w:val="none" w:sz="0" w:space="0" w:color="auto"/>
            <w:left w:val="none" w:sz="0" w:space="0" w:color="auto"/>
            <w:bottom w:val="none" w:sz="0" w:space="0" w:color="auto"/>
            <w:right w:val="none" w:sz="0" w:space="0" w:color="auto"/>
          </w:divBdr>
        </w:div>
      </w:divsChild>
    </w:div>
    <w:div w:id="780956884">
      <w:bodyDiv w:val="1"/>
      <w:marLeft w:val="0"/>
      <w:marRight w:val="0"/>
      <w:marTop w:val="0"/>
      <w:marBottom w:val="0"/>
      <w:divBdr>
        <w:top w:val="none" w:sz="0" w:space="0" w:color="auto"/>
        <w:left w:val="none" w:sz="0" w:space="0" w:color="auto"/>
        <w:bottom w:val="none" w:sz="0" w:space="0" w:color="auto"/>
        <w:right w:val="none" w:sz="0" w:space="0" w:color="auto"/>
      </w:divBdr>
    </w:div>
    <w:div w:id="785733578">
      <w:bodyDiv w:val="1"/>
      <w:marLeft w:val="0"/>
      <w:marRight w:val="0"/>
      <w:marTop w:val="0"/>
      <w:marBottom w:val="0"/>
      <w:divBdr>
        <w:top w:val="none" w:sz="0" w:space="0" w:color="auto"/>
        <w:left w:val="none" w:sz="0" w:space="0" w:color="auto"/>
        <w:bottom w:val="none" w:sz="0" w:space="0" w:color="auto"/>
        <w:right w:val="none" w:sz="0" w:space="0" w:color="auto"/>
      </w:divBdr>
    </w:div>
    <w:div w:id="795104926">
      <w:bodyDiv w:val="1"/>
      <w:marLeft w:val="0"/>
      <w:marRight w:val="0"/>
      <w:marTop w:val="0"/>
      <w:marBottom w:val="0"/>
      <w:divBdr>
        <w:top w:val="none" w:sz="0" w:space="0" w:color="auto"/>
        <w:left w:val="none" w:sz="0" w:space="0" w:color="auto"/>
        <w:bottom w:val="none" w:sz="0" w:space="0" w:color="auto"/>
        <w:right w:val="none" w:sz="0" w:space="0" w:color="auto"/>
      </w:divBdr>
    </w:div>
    <w:div w:id="814183161">
      <w:bodyDiv w:val="1"/>
      <w:marLeft w:val="0"/>
      <w:marRight w:val="0"/>
      <w:marTop w:val="0"/>
      <w:marBottom w:val="0"/>
      <w:divBdr>
        <w:top w:val="none" w:sz="0" w:space="0" w:color="auto"/>
        <w:left w:val="none" w:sz="0" w:space="0" w:color="auto"/>
        <w:bottom w:val="none" w:sz="0" w:space="0" w:color="auto"/>
        <w:right w:val="none" w:sz="0" w:space="0" w:color="auto"/>
      </w:divBdr>
    </w:div>
    <w:div w:id="818577167">
      <w:bodyDiv w:val="1"/>
      <w:marLeft w:val="0"/>
      <w:marRight w:val="0"/>
      <w:marTop w:val="0"/>
      <w:marBottom w:val="0"/>
      <w:divBdr>
        <w:top w:val="none" w:sz="0" w:space="0" w:color="auto"/>
        <w:left w:val="none" w:sz="0" w:space="0" w:color="auto"/>
        <w:bottom w:val="none" w:sz="0" w:space="0" w:color="auto"/>
        <w:right w:val="none" w:sz="0" w:space="0" w:color="auto"/>
      </w:divBdr>
    </w:div>
    <w:div w:id="827406762">
      <w:bodyDiv w:val="1"/>
      <w:marLeft w:val="0"/>
      <w:marRight w:val="0"/>
      <w:marTop w:val="0"/>
      <w:marBottom w:val="0"/>
      <w:divBdr>
        <w:top w:val="none" w:sz="0" w:space="0" w:color="auto"/>
        <w:left w:val="none" w:sz="0" w:space="0" w:color="auto"/>
        <w:bottom w:val="none" w:sz="0" w:space="0" w:color="auto"/>
        <w:right w:val="none" w:sz="0" w:space="0" w:color="auto"/>
      </w:divBdr>
    </w:div>
    <w:div w:id="831142845">
      <w:bodyDiv w:val="1"/>
      <w:marLeft w:val="0"/>
      <w:marRight w:val="0"/>
      <w:marTop w:val="0"/>
      <w:marBottom w:val="0"/>
      <w:divBdr>
        <w:top w:val="none" w:sz="0" w:space="0" w:color="auto"/>
        <w:left w:val="none" w:sz="0" w:space="0" w:color="auto"/>
        <w:bottom w:val="none" w:sz="0" w:space="0" w:color="auto"/>
        <w:right w:val="none" w:sz="0" w:space="0" w:color="auto"/>
      </w:divBdr>
    </w:div>
    <w:div w:id="850029642">
      <w:bodyDiv w:val="1"/>
      <w:marLeft w:val="0"/>
      <w:marRight w:val="0"/>
      <w:marTop w:val="0"/>
      <w:marBottom w:val="0"/>
      <w:divBdr>
        <w:top w:val="none" w:sz="0" w:space="0" w:color="auto"/>
        <w:left w:val="none" w:sz="0" w:space="0" w:color="auto"/>
        <w:bottom w:val="none" w:sz="0" w:space="0" w:color="auto"/>
        <w:right w:val="none" w:sz="0" w:space="0" w:color="auto"/>
      </w:divBdr>
    </w:div>
    <w:div w:id="868101971">
      <w:bodyDiv w:val="1"/>
      <w:marLeft w:val="0"/>
      <w:marRight w:val="0"/>
      <w:marTop w:val="0"/>
      <w:marBottom w:val="0"/>
      <w:divBdr>
        <w:top w:val="none" w:sz="0" w:space="0" w:color="auto"/>
        <w:left w:val="none" w:sz="0" w:space="0" w:color="auto"/>
        <w:bottom w:val="none" w:sz="0" w:space="0" w:color="auto"/>
        <w:right w:val="none" w:sz="0" w:space="0" w:color="auto"/>
      </w:divBdr>
    </w:div>
    <w:div w:id="874466339">
      <w:bodyDiv w:val="1"/>
      <w:marLeft w:val="0"/>
      <w:marRight w:val="0"/>
      <w:marTop w:val="0"/>
      <w:marBottom w:val="0"/>
      <w:divBdr>
        <w:top w:val="none" w:sz="0" w:space="0" w:color="auto"/>
        <w:left w:val="none" w:sz="0" w:space="0" w:color="auto"/>
        <w:bottom w:val="none" w:sz="0" w:space="0" w:color="auto"/>
        <w:right w:val="none" w:sz="0" w:space="0" w:color="auto"/>
      </w:divBdr>
    </w:div>
    <w:div w:id="929772928">
      <w:bodyDiv w:val="1"/>
      <w:marLeft w:val="0"/>
      <w:marRight w:val="0"/>
      <w:marTop w:val="0"/>
      <w:marBottom w:val="0"/>
      <w:divBdr>
        <w:top w:val="none" w:sz="0" w:space="0" w:color="auto"/>
        <w:left w:val="none" w:sz="0" w:space="0" w:color="auto"/>
        <w:bottom w:val="none" w:sz="0" w:space="0" w:color="auto"/>
        <w:right w:val="none" w:sz="0" w:space="0" w:color="auto"/>
      </w:divBdr>
    </w:div>
    <w:div w:id="946884383">
      <w:bodyDiv w:val="1"/>
      <w:marLeft w:val="0"/>
      <w:marRight w:val="0"/>
      <w:marTop w:val="0"/>
      <w:marBottom w:val="0"/>
      <w:divBdr>
        <w:top w:val="none" w:sz="0" w:space="0" w:color="auto"/>
        <w:left w:val="none" w:sz="0" w:space="0" w:color="auto"/>
        <w:bottom w:val="none" w:sz="0" w:space="0" w:color="auto"/>
        <w:right w:val="none" w:sz="0" w:space="0" w:color="auto"/>
      </w:divBdr>
    </w:div>
    <w:div w:id="976181384">
      <w:bodyDiv w:val="1"/>
      <w:marLeft w:val="0"/>
      <w:marRight w:val="0"/>
      <w:marTop w:val="0"/>
      <w:marBottom w:val="0"/>
      <w:divBdr>
        <w:top w:val="none" w:sz="0" w:space="0" w:color="auto"/>
        <w:left w:val="none" w:sz="0" w:space="0" w:color="auto"/>
        <w:bottom w:val="none" w:sz="0" w:space="0" w:color="auto"/>
        <w:right w:val="none" w:sz="0" w:space="0" w:color="auto"/>
      </w:divBdr>
    </w:div>
    <w:div w:id="976572108">
      <w:bodyDiv w:val="1"/>
      <w:marLeft w:val="0"/>
      <w:marRight w:val="0"/>
      <w:marTop w:val="0"/>
      <w:marBottom w:val="0"/>
      <w:divBdr>
        <w:top w:val="none" w:sz="0" w:space="0" w:color="auto"/>
        <w:left w:val="none" w:sz="0" w:space="0" w:color="auto"/>
        <w:bottom w:val="none" w:sz="0" w:space="0" w:color="auto"/>
        <w:right w:val="none" w:sz="0" w:space="0" w:color="auto"/>
      </w:divBdr>
    </w:div>
    <w:div w:id="977103853">
      <w:bodyDiv w:val="1"/>
      <w:marLeft w:val="0"/>
      <w:marRight w:val="0"/>
      <w:marTop w:val="0"/>
      <w:marBottom w:val="0"/>
      <w:divBdr>
        <w:top w:val="none" w:sz="0" w:space="0" w:color="auto"/>
        <w:left w:val="none" w:sz="0" w:space="0" w:color="auto"/>
        <w:bottom w:val="none" w:sz="0" w:space="0" w:color="auto"/>
        <w:right w:val="none" w:sz="0" w:space="0" w:color="auto"/>
      </w:divBdr>
      <w:divsChild>
        <w:div w:id="1113012493">
          <w:marLeft w:val="0"/>
          <w:marRight w:val="0"/>
          <w:marTop w:val="0"/>
          <w:marBottom w:val="0"/>
          <w:divBdr>
            <w:top w:val="none" w:sz="0" w:space="0" w:color="auto"/>
            <w:left w:val="none" w:sz="0" w:space="0" w:color="auto"/>
            <w:bottom w:val="none" w:sz="0" w:space="0" w:color="auto"/>
            <w:right w:val="none" w:sz="0" w:space="0" w:color="auto"/>
          </w:divBdr>
        </w:div>
      </w:divsChild>
    </w:div>
    <w:div w:id="988363907">
      <w:bodyDiv w:val="1"/>
      <w:marLeft w:val="0"/>
      <w:marRight w:val="0"/>
      <w:marTop w:val="0"/>
      <w:marBottom w:val="0"/>
      <w:divBdr>
        <w:top w:val="none" w:sz="0" w:space="0" w:color="auto"/>
        <w:left w:val="none" w:sz="0" w:space="0" w:color="auto"/>
        <w:bottom w:val="none" w:sz="0" w:space="0" w:color="auto"/>
        <w:right w:val="none" w:sz="0" w:space="0" w:color="auto"/>
      </w:divBdr>
    </w:div>
    <w:div w:id="990333540">
      <w:bodyDiv w:val="1"/>
      <w:marLeft w:val="0"/>
      <w:marRight w:val="0"/>
      <w:marTop w:val="0"/>
      <w:marBottom w:val="0"/>
      <w:divBdr>
        <w:top w:val="none" w:sz="0" w:space="0" w:color="auto"/>
        <w:left w:val="none" w:sz="0" w:space="0" w:color="auto"/>
        <w:bottom w:val="none" w:sz="0" w:space="0" w:color="auto"/>
        <w:right w:val="none" w:sz="0" w:space="0" w:color="auto"/>
      </w:divBdr>
    </w:div>
    <w:div w:id="1009672465">
      <w:bodyDiv w:val="1"/>
      <w:marLeft w:val="0"/>
      <w:marRight w:val="0"/>
      <w:marTop w:val="0"/>
      <w:marBottom w:val="0"/>
      <w:divBdr>
        <w:top w:val="none" w:sz="0" w:space="0" w:color="auto"/>
        <w:left w:val="none" w:sz="0" w:space="0" w:color="auto"/>
        <w:bottom w:val="none" w:sz="0" w:space="0" w:color="auto"/>
        <w:right w:val="none" w:sz="0" w:space="0" w:color="auto"/>
      </w:divBdr>
    </w:div>
    <w:div w:id="1016690258">
      <w:bodyDiv w:val="1"/>
      <w:marLeft w:val="0"/>
      <w:marRight w:val="0"/>
      <w:marTop w:val="0"/>
      <w:marBottom w:val="0"/>
      <w:divBdr>
        <w:top w:val="none" w:sz="0" w:space="0" w:color="auto"/>
        <w:left w:val="none" w:sz="0" w:space="0" w:color="auto"/>
        <w:bottom w:val="none" w:sz="0" w:space="0" w:color="auto"/>
        <w:right w:val="none" w:sz="0" w:space="0" w:color="auto"/>
      </w:divBdr>
    </w:div>
    <w:div w:id="1030453915">
      <w:bodyDiv w:val="1"/>
      <w:marLeft w:val="0"/>
      <w:marRight w:val="0"/>
      <w:marTop w:val="0"/>
      <w:marBottom w:val="0"/>
      <w:divBdr>
        <w:top w:val="none" w:sz="0" w:space="0" w:color="auto"/>
        <w:left w:val="none" w:sz="0" w:space="0" w:color="auto"/>
        <w:bottom w:val="none" w:sz="0" w:space="0" w:color="auto"/>
        <w:right w:val="none" w:sz="0" w:space="0" w:color="auto"/>
      </w:divBdr>
    </w:div>
    <w:div w:id="1046293190">
      <w:bodyDiv w:val="1"/>
      <w:marLeft w:val="0"/>
      <w:marRight w:val="0"/>
      <w:marTop w:val="0"/>
      <w:marBottom w:val="0"/>
      <w:divBdr>
        <w:top w:val="none" w:sz="0" w:space="0" w:color="auto"/>
        <w:left w:val="none" w:sz="0" w:space="0" w:color="auto"/>
        <w:bottom w:val="none" w:sz="0" w:space="0" w:color="auto"/>
        <w:right w:val="none" w:sz="0" w:space="0" w:color="auto"/>
      </w:divBdr>
    </w:div>
    <w:div w:id="1115639860">
      <w:bodyDiv w:val="1"/>
      <w:marLeft w:val="0"/>
      <w:marRight w:val="0"/>
      <w:marTop w:val="0"/>
      <w:marBottom w:val="0"/>
      <w:divBdr>
        <w:top w:val="none" w:sz="0" w:space="0" w:color="auto"/>
        <w:left w:val="none" w:sz="0" w:space="0" w:color="auto"/>
        <w:bottom w:val="none" w:sz="0" w:space="0" w:color="auto"/>
        <w:right w:val="none" w:sz="0" w:space="0" w:color="auto"/>
      </w:divBdr>
    </w:div>
    <w:div w:id="1123615826">
      <w:bodyDiv w:val="1"/>
      <w:marLeft w:val="0"/>
      <w:marRight w:val="0"/>
      <w:marTop w:val="0"/>
      <w:marBottom w:val="0"/>
      <w:divBdr>
        <w:top w:val="none" w:sz="0" w:space="0" w:color="auto"/>
        <w:left w:val="none" w:sz="0" w:space="0" w:color="auto"/>
        <w:bottom w:val="none" w:sz="0" w:space="0" w:color="auto"/>
        <w:right w:val="none" w:sz="0" w:space="0" w:color="auto"/>
      </w:divBdr>
    </w:div>
    <w:div w:id="1131822596">
      <w:bodyDiv w:val="1"/>
      <w:marLeft w:val="0"/>
      <w:marRight w:val="0"/>
      <w:marTop w:val="0"/>
      <w:marBottom w:val="0"/>
      <w:divBdr>
        <w:top w:val="none" w:sz="0" w:space="0" w:color="auto"/>
        <w:left w:val="none" w:sz="0" w:space="0" w:color="auto"/>
        <w:bottom w:val="none" w:sz="0" w:space="0" w:color="auto"/>
        <w:right w:val="none" w:sz="0" w:space="0" w:color="auto"/>
      </w:divBdr>
    </w:div>
    <w:div w:id="1146318382">
      <w:bodyDiv w:val="1"/>
      <w:marLeft w:val="0"/>
      <w:marRight w:val="0"/>
      <w:marTop w:val="0"/>
      <w:marBottom w:val="0"/>
      <w:divBdr>
        <w:top w:val="none" w:sz="0" w:space="0" w:color="auto"/>
        <w:left w:val="none" w:sz="0" w:space="0" w:color="auto"/>
        <w:bottom w:val="none" w:sz="0" w:space="0" w:color="auto"/>
        <w:right w:val="none" w:sz="0" w:space="0" w:color="auto"/>
      </w:divBdr>
    </w:div>
    <w:div w:id="1165778696">
      <w:bodyDiv w:val="1"/>
      <w:marLeft w:val="0"/>
      <w:marRight w:val="0"/>
      <w:marTop w:val="0"/>
      <w:marBottom w:val="0"/>
      <w:divBdr>
        <w:top w:val="none" w:sz="0" w:space="0" w:color="auto"/>
        <w:left w:val="none" w:sz="0" w:space="0" w:color="auto"/>
        <w:bottom w:val="none" w:sz="0" w:space="0" w:color="auto"/>
        <w:right w:val="none" w:sz="0" w:space="0" w:color="auto"/>
      </w:divBdr>
    </w:div>
    <w:div w:id="1180006289">
      <w:bodyDiv w:val="1"/>
      <w:marLeft w:val="0"/>
      <w:marRight w:val="0"/>
      <w:marTop w:val="0"/>
      <w:marBottom w:val="0"/>
      <w:divBdr>
        <w:top w:val="none" w:sz="0" w:space="0" w:color="auto"/>
        <w:left w:val="none" w:sz="0" w:space="0" w:color="auto"/>
        <w:bottom w:val="none" w:sz="0" w:space="0" w:color="auto"/>
        <w:right w:val="none" w:sz="0" w:space="0" w:color="auto"/>
      </w:divBdr>
    </w:div>
    <w:div w:id="1187401493">
      <w:bodyDiv w:val="1"/>
      <w:marLeft w:val="0"/>
      <w:marRight w:val="0"/>
      <w:marTop w:val="0"/>
      <w:marBottom w:val="0"/>
      <w:divBdr>
        <w:top w:val="none" w:sz="0" w:space="0" w:color="auto"/>
        <w:left w:val="none" w:sz="0" w:space="0" w:color="auto"/>
        <w:bottom w:val="none" w:sz="0" w:space="0" w:color="auto"/>
        <w:right w:val="none" w:sz="0" w:space="0" w:color="auto"/>
      </w:divBdr>
    </w:div>
    <w:div w:id="1209032401">
      <w:bodyDiv w:val="1"/>
      <w:marLeft w:val="0"/>
      <w:marRight w:val="0"/>
      <w:marTop w:val="0"/>
      <w:marBottom w:val="0"/>
      <w:divBdr>
        <w:top w:val="none" w:sz="0" w:space="0" w:color="auto"/>
        <w:left w:val="none" w:sz="0" w:space="0" w:color="auto"/>
        <w:bottom w:val="none" w:sz="0" w:space="0" w:color="auto"/>
        <w:right w:val="none" w:sz="0" w:space="0" w:color="auto"/>
      </w:divBdr>
    </w:div>
    <w:div w:id="1272585753">
      <w:bodyDiv w:val="1"/>
      <w:marLeft w:val="0"/>
      <w:marRight w:val="0"/>
      <w:marTop w:val="0"/>
      <w:marBottom w:val="0"/>
      <w:divBdr>
        <w:top w:val="none" w:sz="0" w:space="0" w:color="auto"/>
        <w:left w:val="none" w:sz="0" w:space="0" w:color="auto"/>
        <w:bottom w:val="none" w:sz="0" w:space="0" w:color="auto"/>
        <w:right w:val="none" w:sz="0" w:space="0" w:color="auto"/>
      </w:divBdr>
    </w:div>
    <w:div w:id="1284078382">
      <w:bodyDiv w:val="1"/>
      <w:marLeft w:val="0"/>
      <w:marRight w:val="0"/>
      <w:marTop w:val="0"/>
      <w:marBottom w:val="0"/>
      <w:divBdr>
        <w:top w:val="none" w:sz="0" w:space="0" w:color="auto"/>
        <w:left w:val="none" w:sz="0" w:space="0" w:color="auto"/>
        <w:bottom w:val="none" w:sz="0" w:space="0" w:color="auto"/>
        <w:right w:val="none" w:sz="0" w:space="0" w:color="auto"/>
      </w:divBdr>
    </w:div>
    <w:div w:id="1313170458">
      <w:bodyDiv w:val="1"/>
      <w:marLeft w:val="0"/>
      <w:marRight w:val="0"/>
      <w:marTop w:val="0"/>
      <w:marBottom w:val="0"/>
      <w:divBdr>
        <w:top w:val="none" w:sz="0" w:space="0" w:color="auto"/>
        <w:left w:val="none" w:sz="0" w:space="0" w:color="auto"/>
        <w:bottom w:val="none" w:sz="0" w:space="0" w:color="auto"/>
        <w:right w:val="none" w:sz="0" w:space="0" w:color="auto"/>
      </w:divBdr>
    </w:div>
    <w:div w:id="1314985930">
      <w:bodyDiv w:val="1"/>
      <w:marLeft w:val="0"/>
      <w:marRight w:val="0"/>
      <w:marTop w:val="0"/>
      <w:marBottom w:val="0"/>
      <w:divBdr>
        <w:top w:val="none" w:sz="0" w:space="0" w:color="auto"/>
        <w:left w:val="none" w:sz="0" w:space="0" w:color="auto"/>
        <w:bottom w:val="none" w:sz="0" w:space="0" w:color="auto"/>
        <w:right w:val="none" w:sz="0" w:space="0" w:color="auto"/>
      </w:divBdr>
    </w:div>
    <w:div w:id="1346788321">
      <w:bodyDiv w:val="1"/>
      <w:marLeft w:val="0"/>
      <w:marRight w:val="0"/>
      <w:marTop w:val="0"/>
      <w:marBottom w:val="0"/>
      <w:divBdr>
        <w:top w:val="none" w:sz="0" w:space="0" w:color="auto"/>
        <w:left w:val="none" w:sz="0" w:space="0" w:color="auto"/>
        <w:bottom w:val="none" w:sz="0" w:space="0" w:color="auto"/>
        <w:right w:val="none" w:sz="0" w:space="0" w:color="auto"/>
      </w:divBdr>
    </w:div>
    <w:div w:id="1352226032">
      <w:bodyDiv w:val="1"/>
      <w:marLeft w:val="0"/>
      <w:marRight w:val="0"/>
      <w:marTop w:val="0"/>
      <w:marBottom w:val="0"/>
      <w:divBdr>
        <w:top w:val="none" w:sz="0" w:space="0" w:color="auto"/>
        <w:left w:val="none" w:sz="0" w:space="0" w:color="auto"/>
        <w:bottom w:val="none" w:sz="0" w:space="0" w:color="auto"/>
        <w:right w:val="none" w:sz="0" w:space="0" w:color="auto"/>
      </w:divBdr>
    </w:div>
    <w:div w:id="1381317464">
      <w:bodyDiv w:val="1"/>
      <w:marLeft w:val="0"/>
      <w:marRight w:val="0"/>
      <w:marTop w:val="0"/>
      <w:marBottom w:val="0"/>
      <w:divBdr>
        <w:top w:val="none" w:sz="0" w:space="0" w:color="auto"/>
        <w:left w:val="none" w:sz="0" w:space="0" w:color="auto"/>
        <w:bottom w:val="none" w:sz="0" w:space="0" w:color="auto"/>
        <w:right w:val="none" w:sz="0" w:space="0" w:color="auto"/>
      </w:divBdr>
    </w:div>
    <w:div w:id="1384907148">
      <w:bodyDiv w:val="1"/>
      <w:marLeft w:val="0"/>
      <w:marRight w:val="0"/>
      <w:marTop w:val="0"/>
      <w:marBottom w:val="0"/>
      <w:divBdr>
        <w:top w:val="none" w:sz="0" w:space="0" w:color="auto"/>
        <w:left w:val="none" w:sz="0" w:space="0" w:color="auto"/>
        <w:bottom w:val="none" w:sz="0" w:space="0" w:color="auto"/>
        <w:right w:val="none" w:sz="0" w:space="0" w:color="auto"/>
      </w:divBdr>
    </w:div>
    <w:div w:id="1410037068">
      <w:bodyDiv w:val="1"/>
      <w:marLeft w:val="0"/>
      <w:marRight w:val="0"/>
      <w:marTop w:val="0"/>
      <w:marBottom w:val="0"/>
      <w:divBdr>
        <w:top w:val="none" w:sz="0" w:space="0" w:color="auto"/>
        <w:left w:val="none" w:sz="0" w:space="0" w:color="auto"/>
        <w:bottom w:val="none" w:sz="0" w:space="0" w:color="auto"/>
        <w:right w:val="none" w:sz="0" w:space="0" w:color="auto"/>
      </w:divBdr>
    </w:div>
    <w:div w:id="1413509320">
      <w:bodyDiv w:val="1"/>
      <w:marLeft w:val="0"/>
      <w:marRight w:val="0"/>
      <w:marTop w:val="0"/>
      <w:marBottom w:val="0"/>
      <w:divBdr>
        <w:top w:val="none" w:sz="0" w:space="0" w:color="auto"/>
        <w:left w:val="none" w:sz="0" w:space="0" w:color="auto"/>
        <w:bottom w:val="none" w:sz="0" w:space="0" w:color="auto"/>
        <w:right w:val="none" w:sz="0" w:space="0" w:color="auto"/>
      </w:divBdr>
    </w:div>
    <w:div w:id="1461608053">
      <w:bodyDiv w:val="1"/>
      <w:marLeft w:val="0"/>
      <w:marRight w:val="0"/>
      <w:marTop w:val="0"/>
      <w:marBottom w:val="0"/>
      <w:divBdr>
        <w:top w:val="none" w:sz="0" w:space="0" w:color="auto"/>
        <w:left w:val="none" w:sz="0" w:space="0" w:color="auto"/>
        <w:bottom w:val="none" w:sz="0" w:space="0" w:color="auto"/>
        <w:right w:val="none" w:sz="0" w:space="0" w:color="auto"/>
      </w:divBdr>
    </w:div>
    <w:div w:id="1492797261">
      <w:bodyDiv w:val="1"/>
      <w:marLeft w:val="0"/>
      <w:marRight w:val="0"/>
      <w:marTop w:val="0"/>
      <w:marBottom w:val="0"/>
      <w:divBdr>
        <w:top w:val="none" w:sz="0" w:space="0" w:color="auto"/>
        <w:left w:val="none" w:sz="0" w:space="0" w:color="auto"/>
        <w:bottom w:val="none" w:sz="0" w:space="0" w:color="auto"/>
        <w:right w:val="none" w:sz="0" w:space="0" w:color="auto"/>
      </w:divBdr>
    </w:div>
    <w:div w:id="1537502924">
      <w:bodyDiv w:val="1"/>
      <w:marLeft w:val="0"/>
      <w:marRight w:val="0"/>
      <w:marTop w:val="0"/>
      <w:marBottom w:val="0"/>
      <w:divBdr>
        <w:top w:val="none" w:sz="0" w:space="0" w:color="auto"/>
        <w:left w:val="none" w:sz="0" w:space="0" w:color="auto"/>
        <w:bottom w:val="none" w:sz="0" w:space="0" w:color="auto"/>
        <w:right w:val="none" w:sz="0" w:space="0" w:color="auto"/>
      </w:divBdr>
    </w:div>
    <w:div w:id="1546286372">
      <w:bodyDiv w:val="1"/>
      <w:marLeft w:val="0"/>
      <w:marRight w:val="0"/>
      <w:marTop w:val="0"/>
      <w:marBottom w:val="0"/>
      <w:divBdr>
        <w:top w:val="none" w:sz="0" w:space="0" w:color="auto"/>
        <w:left w:val="none" w:sz="0" w:space="0" w:color="auto"/>
        <w:bottom w:val="none" w:sz="0" w:space="0" w:color="auto"/>
        <w:right w:val="none" w:sz="0" w:space="0" w:color="auto"/>
      </w:divBdr>
    </w:div>
    <w:div w:id="1552687606">
      <w:bodyDiv w:val="1"/>
      <w:marLeft w:val="0"/>
      <w:marRight w:val="0"/>
      <w:marTop w:val="0"/>
      <w:marBottom w:val="0"/>
      <w:divBdr>
        <w:top w:val="none" w:sz="0" w:space="0" w:color="auto"/>
        <w:left w:val="none" w:sz="0" w:space="0" w:color="auto"/>
        <w:bottom w:val="none" w:sz="0" w:space="0" w:color="auto"/>
        <w:right w:val="none" w:sz="0" w:space="0" w:color="auto"/>
      </w:divBdr>
    </w:div>
    <w:div w:id="1562444827">
      <w:bodyDiv w:val="1"/>
      <w:marLeft w:val="0"/>
      <w:marRight w:val="0"/>
      <w:marTop w:val="0"/>
      <w:marBottom w:val="0"/>
      <w:divBdr>
        <w:top w:val="none" w:sz="0" w:space="0" w:color="auto"/>
        <w:left w:val="none" w:sz="0" w:space="0" w:color="auto"/>
        <w:bottom w:val="none" w:sz="0" w:space="0" w:color="auto"/>
        <w:right w:val="none" w:sz="0" w:space="0" w:color="auto"/>
      </w:divBdr>
    </w:div>
    <w:div w:id="1572736006">
      <w:bodyDiv w:val="1"/>
      <w:marLeft w:val="0"/>
      <w:marRight w:val="0"/>
      <w:marTop w:val="0"/>
      <w:marBottom w:val="0"/>
      <w:divBdr>
        <w:top w:val="none" w:sz="0" w:space="0" w:color="auto"/>
        <w:left w:val="none" w:sz="0" w:space="0" w:color="auto"/>
        <w:bottom w:val="none" w:sz="0" w:space="0" w:color="auto"/>
        <w:right w:val="none" w:sz="0" w:space="0" w:color="auto"/>
      </w:divBdr>
    </w:div>
    <w:div w:id="1595626681">
      <w:bodyDiv w:val="1"/>
      <w:marLeft w:val="0"/>
      <w:marRight w:val="0"/>
      <w:marTop w:val="0"/>
      <w:marBottom w:val="0"/>
      <w:divBdr>
        <w:top w:val="none" w:sz="0" w:space="0" w:color="auto"/>
        <w:left w:val="none" w:sz="0" w:space="0" w:color="auto"/>
        <w:bottom w:val="none" w:sz="0" w:space="0" w:color="auto"/>
        <w:right w:val="none" w:sz="0" w:space="0" w:color="auto"/>
      </w:divBdr>
    </w:div>
    <w:div w:id="1622834047">
      <w:bodyDiv w:val="1"/>
      <w:marLeft w:val="0"/>
      <w:marRight w:val="0"/>
      <w:marTop w:val="0"/>
      <w:marBottom w:val="0"/>
      <w:divBdr>
        <w:top w:val="none" w:sz="0" w:space="0" w:color="auto"/>
        <w:left w:val="none" w:sz="0" w:space="0" w:color="auto"/>
        <w:bottom w:val="none" w:sz="0" w:space="0" w:color="auto"/>
        <w:right w:val="none" w:sz="0" w:space="0" w:color="auto"/>
      </w:divBdr>
    </w:div>
    <w:div w:id="1699350372">
      <w:bodyDiv w:val="1"/>
      <w:marLeft w:val="0"/>
      <w:marRight w:val="0"/>
      <w:marTop w:val="0"/>
      <w:marBottom w:val="0"/>
      <w:divBdr>
        <w:top w:val="none" w:sz="0" w:space="0" w:color="auto"/>
        <w:left w:val="none" w:sz="0" w:space="0" w:color="auto"/>
        <w:bottom w:val="none" w:sz="0" w:space="0" w:color="auto"/>
        <w:right w:val="none" w:sz="0" w:space="0" w:color="auto"/>
      </w:divBdr>
    </w:div>
    <w:div w:id="1727606963">
      <w:bodyDiv w:val="1"/>
      <w:marLeft w:val="0"/>
      <w:marRight w:val="0"/>
      <w:marTop w:val="0"/>
      <w:marBottom w:val="0"/>
      <w:divBdr>
        <w:top w:val="none" w:sz="0" w:space="0" w:color="auto"/>
        <w:left w:val="none" w:sz="0" w:space="0" w:color="auto"/>
        <w:bottom w:val="none" w:sz="0" w:space="0" w:color="auto"/>
        <w:right w:val="none" w:sz="0" w:space="0" w:color="auto"/>
      </w:divBdr>
    </w:div>
    <w:div w:id="1764449446">
      <w:bodyDiv w:val="1"/>
      <w:marLeft w:val="0"/>
      <w:marRight w:val="0"/>
      <w:marTop w:val="0"/>
      <w:marBottom w:val="0"/>
      <w:divBdr>
        <w:top w:val="none" w:sz="0" w:space="0" w:color="auto"/>
        <w:left w:val="none" w:sz="0" w:space="0" w:color="auto"/>
        <w:bottom w:val="none" w:sz="0" w:space="0" w:color="auto"/>
        <w:right w:val="none" w:sz="0" w:space="0" w:color="auto"/>
      </w:divBdr>
    </w:div>
    <w:div w:id="1808472856">
      <w:bodyDiv w:val="1"/>
      <w:marLeft w:val="0"/>
      <w:marRight w:val="0"/>
      <w:marTop w:val="0"/>
      <w:marBottom w:val="0"/>
      <w:divBdr>
        <w:top w:val="none" w:sz="0" w:space="0" w:color="auto"/>
        <w:left w:val="none" w:sz="0" w:space="0" w:color="auto"/>
        <w:bottom w:val="none" w:sz="0" w:space="0" w:color="auto"/>
        <w:right w:val="none" w:sz="0" w:space="0" w:color="auto"/>
      </w:divBdr>
    </w:div>
    <w:div w:id="1834487071">
      <w:bodyDiv w:val="1"/>
      <w:marLeft w:val="0"/>
      <w:marRight w:val="0"/>
      <w:marTop w:val="0"/>
      <w:marBottom w:val="0"/>
      <w:divBdr>
        <w:top w:val="none" w:sz="0" w:space="0" w:color="auto"/>
        <w:left w:val="none" w:sz="0" w:space="0" w:color="auto"/>
        <w:bottom w:val="none" w:sz="0" w:space="0" w:color="auto"/>
        <w:right w:val="none" w:sz="0" w:space="0" w:color="auto"/>
      </w:divBdr>
    </w:div>
    <w:div w:id="1847013826">
      <w:bodyDiv w:val="1"/>
      <w:marLeft w:val="0"/>
      <w:marRight w:val="0"/>
      <w:marTop w:val="0"/>
      <w:marBottom w:val="0"/>
      <w:divBdr>
        <w:top w:val="none" w:sz="0" w:space="0" w:color="auto"/>
        <w:left w:val="none" w:sz="0" w:space="0" w:color="auto"/>
        <w:bottom w:val="none" w:sz="0" w:space="0" w:color="auto"/>
        <w:right w:val="none" w:sz="0" w:space="0" w:color="auto"/>
      </w:divBdr>
    </w:div>
    <w:div w:id="1858032795">
      <w:bodyDiv w:val="1"/>
      <w:marLeft w:val="0"/>
      <w:marRight w:val="0"/>
      <w:marTop w:val="0"/>
      <w:marBottom w:val="0"/>
      <w:divBdr>
        <w:top w:val="none" w:sz="0" w:space="0" w:color="auto"/>
        <w:left w:val="none" w:sz="0" w:space="0" w:color="auto"/>
        <w:bottom w:val="none" w:sz="0" w:space="0" w:color="auto"/>
        <w:right w:val="none" w:sz="0" w:space="0" w:color="auto"/>
      </w:divBdr>
    </w:div>
    <w:div w:id="1858956531">
      <w:bodyDiv w:val="1"/>
      <w:marLeft w:val="0"/>
      <w:marRight w:val="0"/>
      <w:marTop w:val="0"/>
      <w:marBottom w:val="0"/>
      <w:divBdr>
        <w:top w:val="none" w:sz="0" w:space="0" w:color="auto"/>
        <w:left w:val="none" w:sz="0" w:space="0" w:color="auto"/>
        <w:bottom w:val="none" w:sz="0" w:space="0" w:color="auto"/>
        <w:right w:val="none" w:sz="0" w:space="0" w:color="auto"/>
      </w:divBdr>
    </w:div>
    <w:div w:id="1880388213">
      <w:bodyDiv w:val="1"/>
      <w:marLeft w:val="0"/>
      <w:marRight w:val="0"/>
      <w:marTop w:val="0"/>
      <w:marBottom w:val="0"/>
      <w:divBdr>
        <w:top w:val="none" w:sz="0" w:space="0" w:color="auto"/>
        <w:left w:val="none" w:sz="0" w:space="0" w:color="auto"/>
        <w:bottom w:val="none" w:sz="0" w:space="0" w:color="auto"/>
        <w:right w:val="none" w:sz="0" w:space="0" w:color="auto"/>
      </w:divBdr>
    </w:div>
    <w:div w:id="1881018212">
      <w:bodyDiv w:val="1"/>
      <w:marLeft w:val="0"/>
      <w:marRight w:val="0"/>
      <w:marTop w:val="0"/>
      <w:marBottom w:val="0"/>
      <w:divBdr>
        <w:top w:val="none" w:sz="0" w:space="0" w:color="auto"/>
        <w:left w:val="none" w:sz="0" w:space="0" w:color="auto"/>
        <w:bottom w:val="none" w:sz="0" w:space="0" w:color="auto"/>
        <w:right w:val="none" w:sz="0" w:space="0" w:color="auto"/>
      </w:divBdr>
    </w:div>
    <w:div w:id="1883784091">
      <w:bodyDiv w:val="1"/>
      <w:marLeft w:val="0"/>
      <w:marRight w:val="0"/>
      <w:marTop w:val="0"/>
      <w:marBottom w:val="0"/>
      <w:divBdr>
        <w:top w:val="none" w:sz="0" w:space="0" w:color="auto"/>
        <w:left w:val="none" w:sz="0" w:space="0" w:color="auto"/>
        <w:bottom w:val="none" w:sz="0" w:space="0" w:color="auto"/>
        <w:right w:val="none" w:sz="0" w:space="0" w:color="auto"/>
      </w:divBdr>
    </w:div>
    <w:div w:id="1889949651">
      <w:bodyDiv w:val="1"/>
      <w:marLeft w:val="0"/>
      <w:marRight w:val="0"/>
      <w:marTop w:val="0"/>
      <w:marBottom w:val="0"/>
      <w:divBdr>
        <w:top w:val="none" w:sz="0" w:space="0" w:color="auto"/>
        <w:left w:val="none" w:sz="0" w:space="0" w:color="auto"/>
        <w:bottom w:val="none" w:sz="0" w:space="0" w:color="auto"/>
        <w:right w:val="none" w:sz="0" w:space="0" w:color="auto"/>
      </w:divBdr>
    </w:div>
    <w:div w:id="1907059561">
      <w:bodyDiv w:val="1"/>
      <w:marLeft w:val="0"/>
      <w:marRight w:val="0"/>
      <w:marTop w:val="0"/>
      <w:marBottom w:val="0"/>
      <w:divBdr>
        <w:top w:val="none" w:sz="0" w:space="0" w:color="auto"/>
        <w:left w:val="none" w:sz="0" w:space="0" w:color="auto"/>
        <w:bottom w:val="none" w:sz="0" w:space="0" w:color="auto"/>
        <w:right w:val="none" w:sz="0" w:space="0" w:color="auto"/>
      </w:divBdr>
    </w:div>
    <w:div w:id="1926962049">
      <w:bodyDiv w:val="1"/>
      <w:marLeft w:val="0"/>
      <w:marRight w:val="0"/>
      <w:marTop w:val="0"/>
      <w:marBottom w:val="0"/>
      <w:divBdr>
        <w:top w:val="none" w:sz="0" w:space="0" w:color="auto"/>
        <w:left w:val="none" w:sz="0" w:space="0" w:color="auto"/>
        <w:bottom w:val="none" w:sz="0" w:space="0" w:color="auto"/>
        <w:right w:val="none" w:sz="0" w:space="0" w:color="auto"/>
      </w:divBdr>
    </w:div>
    <w:div w:id="2010523507">
      <w:bodyDiv w:val="1"/>
      <w:marLeft w:val="0"/>
      <w:marRight w:val="0"/>
      <w:marTop w:val="0"/>
      <w:marBottom w:val="0"/>
      <w:divBdr>
        <w:top w:val="none" w:sz="0" w:space="0" w:color="auto"/>
        <w:left w:val="none" w:sz="0" w:space="0" w:color="auto"/>
        <w:bottom w:val="none" w:sz="0" w:space="0" w:color="auto"/>
        <w:right w:val="none" w:sz="0" w:space="0" w:color="auto"/>
      </w:divBdr>
    </w:div>
    <w:div w:id="2036736188">
      <w:bodyDiv w:val="1"/>
      <w:marLeft w:val="0"/>
      <w:marRight w:val="0"/>
      <w:marTop w:val="0"/>
      <w:marBottom w:val="0"/>
      <w:divBdr>
        <w:top w:val="none" w:sz="0" w:space="0" w:color="auto"/>
        <w:left w:val="none" w:sz="0" w:space="0" w:color="auto"/>
        <w:bottom w:val="none" w:sz="0" w:space="0" w:color="auto"/>
        <w:right w:val="none" w:sz="0" w:space="0" w:color="auto"/>
      </w:divBdr>
    </w:div>
    <w:div w:id="2083259696">
      <w:bodyDiv w:val="1"/>
      <w:marLeft w:val="0"/>
      <w:marRight w:val="0"/>
      <w:marTop w:val="0"/>
      <w:marBottom w:val="0"/>
      <w:divBdr>
        <w:top w:val="none" w:sz="0" w:space="0" w:color="auto"/>
        <w:left w:val="none" w:sz="0" w:space="0" w:color="auto"/>
        <w:bottom w:val="none" w:sz="0" w:space="0" w:color="auto"/>
        <w:right w:val="none" w:sz="0" w:space="0" w:color="auto"/>
      </w:divBdr>
    </w:div>
    <w:div w:id="2093164381">
      <w:bodyDiv w:val="1"/>
      <w:marLeft w:val="0"/>
      <w:marRight w:val="0"/>
      <w:marTop w:val="0"/>
      <w:marBottom w:val="0"/>
      <w:divBdr>
        <w:top w:val="none" w:sz="0" w:space="0" w:color="auto"/>
        <w:left w:val="none" w:sz="0" w:space="0" w:color="auto"/>
        <w:bottom w:val="none" w:sz="0" w:space="0" w:color="auto"/>
        <w:right w:val="none" w:sz="0" w:space="0" w:color="auto"/>
      </w:divBdr>
    </w:div>
    <w:div w:id="2112554865">
      <w:bodyDiv w:val="1"/>
      <w:marLeft w:val="0"/>
      <w:marRight w:val="0"/>
      <w:marTop w:val="0"/>
      <w:marBottom w:val="0"/>
      <w:divBdr>
        <w:top w:val="none" w:sz="0" w:space="0" w:color="auto"/>
        <w:left w:val="none" w:sz="0" w:space="0" w:color="auto"/>
        <w:bottom w:val="none" w:sz="0" w:space="0" w:color="auto"/>
        <w:right w:val="none" w:sz="0" w:space="0" w:color="auto"/>
      </w:divBdr>
    </w:div>
    <w:div w:id="2132285892">
      <w:bodyDiv w:val="1"/>
      <w:marLeft w:val="0"/>
      <w:marRight w:val="0"/>
      <w:marTop w:val="0"/>
      <w:marBottom w:val="0"/>
      <w:divBdr>
        <w:top w:val="none" w:sz="0" w:space="0" w:color="auto"/>
        <w:left w:val="none" w:sz="0" w:space="0" w:color="auto"/>
        <w:bottom w:val="none" w:sz="0" w:space="0" w:color="auto"/>
        <w:right w:val="none" w:sz="0" w:space="0" w:color="auto"/>
      </w:divBdr>
    </w:div>
    <w:div w:id="2135827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HMI18</b:Tag>
    <b:SourceType>InternetSite</b:SourceType>
    <b:Guid>{7F0FFEF5-0D37-4376-8409-6F202295A32B}</b:Guid>
    <b:Title>Joint Emergency Services Interoperability Principles</b:Title>
    <b:InternetSiteTitle>hmicfrs.justiceinspectorates.gov.uk</b:InternetSiteTitle>
    <b:Year>2018</b:Year>
    <b:Month>May</b:Month>
    <b:Day>18</b:Day>
    <b:URL>https://hmicfrs.justiceinspectorates.gov.uk/our-work/article/joint-emergency-services-interoperability-principles/</b:URL>
    <b:Author>
      <b:Author>
        <b:Corporate>HMICFRS</b:Corporate>
      </b:Author>
    </b:Author>
    <b:RefOrder>1</b:RefOrder>
  </b:Source>
  <b:Source>
    <b:Tag>JESnd</b:Tag>
    <b:SourceType>InternetSite</b:SourceType>
    <b:Guid>{B21BEE15-F3EA-4EB0-8CEF-0059F8F0279B}</b:Guid>
    <b:Author>
      <b:Author>
        <b:Corporate>JESIP</b:Corporate>
      </b:Author>
    </b:Author>
    <b:Title>Definitions</b:Title>
    <b:InternetSiteTitle>www.jesip.org.uk</b:InternetSiteTitle>
    <b:Year>n.d.</b:Year>
    <b:URL>https://www.jesip.org.uk/joint-doctrine/definitions/#:~:text=it%20is%20identified.-,Joint%20working,preserve%20life%20and%20reduce%20harm.</b:URL>
    <b:RefOrder>2</b:RefOrder>
  </b:Source>
  <b:Source>
    <b:Tag>JESnd1</b:Tag>
    <b:SourceType>InternetSite</b:SourceType>
    <b:Guid>{C2C6F799-5A3A-4608-95C9-67CBFCD0A786}</b:Guid>
    <b:Author>
      <b:Author>
        <b:Corporate>JESIP</b:Corporate>
      </b:Author>
    </b:Author>
    <b:Title>Principles for Joint Working</b:Title>
    <b:InternetSiteTitle>www.jesip.org.uk</b:InternetSiteTitle>
    <b:Year>n.d.</b:Year>
    <b:URL>https://www.jesip.org.uk/joint-doctrine/principles-for-joint-working/</b:URL>
    <b:RefOrder>3</b:RefOrder>
  </b:Source>
  <b:Source>
    <b:Tag>Lor18</b:Tag>
    <b:SourceType>Report</b:SourceType>
    <b:Guid>{B28C8B03-9A31-43A6-8E60-88E6C1C11B13}</b:Guid>
    <b:Title>The Kerslake Report</b:Title>
    <b:Year>2018</b:Year>
    <b:Author>
      <b:Author>
        <b:NameList>
          <b:Person>
            <b:Last>Kerslake</b:Last>
            <b:First>Lord</b:First>
          </b:Person>
        </b:NameList>
      </b:Author>
    </b:Author>
    <b:RefOrder>6</b:RefOrder>
  </b:Source>
  <b:Source>
    <b:Tag>Gre22</b:Tag>
    <b:SourceType>InternetSite</b:SourceType>
    <b:Guid>{C17E9AE3-CB02-4791-A8AE-34B40DD3D769}</b:Guid>
    <b:Title>Statement in response to Manchester Arena Inquiry Volume Two Report</b:Title>
    <b:Year>2022</b:Year>
    <b:Author>
      <b:Author>
        <b:Corporate>Greater Manchester Police</b:Corporate>
      </b:Author>
    </b:Author>
    <b:InternetSiteTitle>www.gmp.police.uk</b:InternetSiteTitle>
    <b:Month>November</b:Month>
    <b:Day>03</b:Day>
    <b:URL>https://www.gmp.police.uk/news/greater-manchester/news/news/2022/november/statement-in-response-to-inquiry-report/</b:URL>
    <b:RefOrder>5</b:RefOrder>
  </b:Source>
  <b:Source>
    <b:Tag>Sir22</b:Tag>
    <b:SourceType>Report</b:SourceType>
    <b:Guid>{A33F8E9C-CF0F-4184-AEC6-357835FFF483}</b:Guid>
    <b:Title>Manchester Arena Inquiry Volume 2: Emergency Response</b:Title>
    <b:Year>2022</b:Year>
    <b:Author>
      <b:Author>
        <b:Corporate>Sir John Saunders</b:Corporate>
      </b:Author>
    </b:Author>
    <b:RefOrder>7</b:RefOrder>
  </b:Source>
  <b:Source>
    <b:Tag>Scr13</b:Tag>
    <b:SourceType>JournalArticle</b:SourceType>
    <b:Guid>{5CE4DA2E-A351-4F4B-89E9-51F4F933C8A3}</b:Guid>
    <b:Title>The legacy of Hillsborough: Liberating truth, challenging power</b:Title>
    <b:Year>2013</b:Year>
    <b:Author>
      <b:Author>
        <b:NameList>
          <b:Person>
            <b:Last>Scraton</b:Last>
            <b:First>Phil</b:First>
          </b:Person>
        </b:NameList>
      </b:Author>
    </b:Author>
    <b:JournalName>Race and Class </b:JournalName>
    <b:Pages>1-27</b:Pages>
    <b:RefOrder>8</b:RefOrder>
  </b:Source>
  <b:Source>
    <b:Tag>Nat23</b:Tag>
    <b:SourceType>DocumentFromInternetSite</b:SourceType>
    <b:Guid>{8225DB0F-71D5-486D-9ABE-34C875690F61}</b:Guid>
    <b:Title>MTA Supplementary Guidance: Working with Police and other Emergency Services</b:Title>
    <b:Year>2023</b:Year>
    <b:Author>
      <b:Author>
        <b:Corporate>National Protective Security Authority</b:Corporate>
      </b:Author>
    </b:Author>
    <b:InternetSiteTitle>www.npsa.gov.uk</b:InternetSiteTitle>
    <b:Month>March</b:Month>
    <b:URL>https://www.npsa.gov.uk/resources/mta-supplementary-guidance-working-police-and-other-emergency-services</b:URL>
    <b:RefOrder>4</b:RefOrder>
  </b:Source>
  <b:Source>
    <b:Tag>The17</b:Tag>
    <b:SourceType>Report</b:SourceType>
    <b:Guid>{56B915B7-FD69-47E5-A09D-4095C554009D}</b:Guid>
    <b:Title>The patronising disposition of unaccountable power</b:Title>
    <b:Year>2017</b:Year>
    <b:Author>
      <b:Author>
        <b:Corporate>The Right Reverend James Jones KBE</b:Corporate>
      </b:Author>
    </b:Author>
    <b:RefOrder>9</b:RefOrder>
  </b:Source>
  <b:Source>
    <b:Tag>Jam23</b:Tag>
    <b:SourceType>Report</b:SourceType>
    <b:Guid>{3352C2D3-B72D-49E4-AFAC-33B941BA0A28}</b:Guid>
    <b:Title>A Hillsborough Legacy: the Goverment's response to Bishop James Jones' report to ensure the pain and suffering of the Hillsborough families is never repeated</b:Title>
    <b:Year>2023</b:Year>
    <b:Author>
      <b:Author>
        <b:NameList>
          <b:Person>
            <b:Last>Cleverly</b:Last>
            <b:First>James</b:First>
          </b:Person>
          <b:Person>
            <b:Last>Chalk</b:Last>
            <b:First>Alex</b:First>
          </b:Person>
        </b:NameList>
      </b:Author>
    </b:Author>
    <b:Publisher>gov.uk</b:Publisher>
    <b:RefOrder>12</b:RefOrder>
  </b:Source>
  <b:Source>
    <b:Tag>Hom17</b:Tag>
    <b:SourceType>InternetSite</b:SourceType>
    <b:Guid>{F88D5405-8487-46A1-8484-F15F037AF748}</b:Guid>
    <b:Title>Hillsborough stadium disaster: lessons that must be learnt</b:Title>
    <b:Year>2017</b:Year>
    <b:Author>
      <b:Author>
        <b:Corporate>Home Office </b:Corporate>
      </b:Author>
    </b:Author>
    <b:InternetSiteTitle>www.gov.uk</b:InternetSiteTitle>
    <b:Month>November</b:Month>
    <b:Day>1</b:Day>
    <b:URL>https://www.gov.uk/government/publications/hillsborough-stadium-disaster-lessons-that-must-be-learnt</b:URL>
    <b:RefOrder>10</b:RefOrder>
  </b:Source>
  <b:Source>
    <b:Tag>Mon22</b:Tag>
    <b:SourceType>JournalArticle</b:SourceType>
    <b:Guid>{898ECB26-3D10-4B8C-AD98-ECE034E25342}</b:Guid>
    <b:Title>Concerted Collusion: Studying Multiagency Institutional Cover-Up</b:Title>
    <b:Year>2022</b:Year>
    <b:Author>
      <b:Author>
        <b:NameList>
          <b:Person>
            <b:Last>Montgomery</b:Last>
            <b:First>Anthony</b:First>
          </b:Person>
        </b:NameList>
      </b:Author>
    </b:Author>
    <b:JournalName>Front. Psychol.</b:JournalName>
    <b:RefOrder>11</b:RefOrder>
  </b:Source>
  <b:Source>
    <b:Tag>NPC23</b:Tag>
    <b:SourceType>Report</b:SourceType>
    <b:Guid>{9D12A5E9-9282-4226-AFB1-4CC17FB66210}</b:Guid>
    <b:Author>
      <b:Author>
        <b:Corporate>NPCC &amp; College Of Policing</b:Corporate>
      </b:Author>
    </b:Author>
    <b:Title>National police response to the Hillsborough Families Report</b:Title>
    <b:Year>2023</b:Year>
    <b:RefOrder>13</b:RefOrder>
  </b:Source>
  <b:Source>
    <b:Tag>Eur17</b:Tag>
    <b:SourceType>DocumentFromInternetSite</b:SourceType>
    <b:Guid>{935FC37A-FFE3-4619-8064-A7536F99490E}</b:Guid>
    <b:Title>Serious and Organised Crime Threat Assesment</b:Title>
    <b:Year>2017</b:Year>
    <b:Author>
      <b:Author>
        <b:Corporate>Europol</b:Corporate>
      </b:Author>
    </b:Author>
    <b:InternetSiteTitle>www.europol.europa.eu</b:InternetSiteTitle>
    <b:URL>https://www.europol.europa.eu/socta/2017/resources/socta-2017.pdf</b:URL>
    <b:RefOrder>14</b:RefOrder>
  </b:Source>
  <b:Source>
    <b:Tag>Woo21</b:Tag>
    <b:SourceType>Report</b:SourceType>
    <b:Guid>{44F39420-A118-4D77-9AB1-C65923F15A99}</b:Guid>
    <b:Title>The Silent Threat; The Impact of Fraud on UK National Security</b:Title>
    <b:Year>2021</b:Year>
    <b:Author>
      <b:Author>
        <b:NameList>
          <b:Person>
            <b:Last>Wood</b:Last>
            <b:First>Helena</b:First>
          </b:Person>
          <b:Person>
            <b:Last>Keatinge</b:Last>
            <b:First>Tom</b:First>
          </b:Person>
          <b:Person>
            <b:Last>Ditcham</b:Last>
            <b:First>Keith</b:First>
          </b:Person>
          <b:Person>
            <b:Last>Janjeva</b:Last>
            <b:First>Ardi</b:First>
          </b:Person>
        </b:NameList>
      </b:Author>
    </b:Author>
    <b:Publisher>Royal United Services Institute</b:Publisher>
    <b:RefOrder>15</b:RefOrder>
  </b:Source>
  <b:Source>
    <b:Tag>Duq18</b:Tag>
    <b:SourceType>Report</b:SourceType>
    <b:Guid>{FA5CFC94-8877-484E-8E64-28189A606206}</b:Guid>
    <b:Author>
      <b:Author>
        <b:NameList>
          <b:Person>
            <b:Last>Duquet</b:Last>
            <b:First>Nils</b:First>
          </b:Person>
          <b:Person>
            <b:Last>Goris</b:Last>
            <b:First>Kevin</b:First>
          </b:Person>
        </b:NameList>
      </b:Author>
    </b:Author>
    <b:Title>Firearms acquisition by terrorists in Europe</b:Title>
    <b:Year>2018</b:Year>
    <b:Publisher>Flemish Peace Institute</b:Publisher>
    <b:City>Brussels</b:City>
    <b:RefOrder>16</b:RefOrder>
  </b:Source>
  <b:Source>
    <b:Tag>Gal14</b:Tag>
    <b:SourceType>JournalArticle</b:SourceType>
    <b:Guid>{95C28C6E-12C7-41A6-9960-E6D1C713FB90}</b:Guid>
    <b:Title>Terrorism and Organised Crime: Co-operative Endeavours in Scotland?</b:Title>
    <b:Year>2014</b:Year>
    <b:Author>
      <b:Author>
        <b:NameList>
          <b:Person>
            <b:Last>Gallagher</b:Last>
            <b:First>Martin</b:First>
            <b:Middle>Joseph</b:Middle>
          </b:Person>
        </b:NameList>
      </b:Author>
    </b:Author>
    <b:JournalName>Terrorism and Political Violence </b:JournalName>
    <b:Pages>320-336</b:Pages>
    <b:RefOrder>17</b:RefOrder>
  </b:Source>
  <b:Source>
    <b:Tag>Natnd</b:Tag>
    <b:SourceType>InternetSite</b:SourceType>
    <b:Guid>{13753315-ECC6-41DE-AABA-FD25292206CD}</b:Guid>
    <b:Title>Intelligence: enhancing the picture of serious organised crime affecting the UK</b:Title>
    <b:Year>n.d.</b:Year>
    <b:Author>
      <b:Author>
        <b:Corporate>National Crime Agency</b:Corporate>
      </b:Author>
    </b:Author>
    <b:InternetSiteTitle>www.nationalcrimeagency.gov.uk/</b:InternetSiteTitle>
    <b:URL>https://www.nationalcrimeagency.gov.uk/what-we-do/how-we-work/intelligence-enhancing-the-picture-of-serious-organised-crime-affecting-the-uk</b:URL>
    <b:RefOrder>18</b:RefOrder>
  </b:Source>
  <b:Source>
    <b:Tag>GCHnd</b:Tag>
    <b:SourceType>InternetSite</b:SourceType>
    <b:Guid>{EECE271B-42B1-42C9-B3FB-3B785C453453}</b:Guid>
    <b:Author>
      <b:Author>
        <b:Corporate>GCHQ</b:Corporate>
      </b:Author>
    </b:Author>
    <b:Title>Overview</b:Title>
    <b:InternetSiteTitle>www.gchq.gov.uk/</b:InternetSiteTitle>
    <b:Year>n.d.</b:Year>
    <b:URL>https://www.gchq.gov.uk/section/mission/overview</b:URL>
    <b:RefOrder>21</b:RefOrder>
  </b:Source>
  <b:Source>
    <b:Tag>Dan04</b:Tag>
    <b:SourceType>Report</b:SourceType>
    <b:Guid>{2C44C0B6-15F6-466B-8DC4-9AB2EBBD551F}</b:Guid>
    <b:Author>
      <b:Author>
        <b:NameList>
          <b:Person>
            <b:Last>Dandurand</b:Last>
            <b:First>Yvon</b:First>
          </b:Person>
          <b:Person>
            <b:Last>Chin</b:Last>
            <b:First>Vivienne</b:First>
          </b:Person>
        </b:NameList>
      </b:Author>
    </b:Author>
    <b:Title>Links Between Terrorism and Other Forms of Crime</b:Title>
    <b:Year>2004</b:Year>
    <b:Publisher>International Centre for Criminal Law Reform and Criminal Justice Policy </b:Publisher>
    <b:City>Vancouver</b:City>
    <b:RefOrder>24</b:RefOrder>
  </b:Source>
  <b:Source>
    <b:Tag>Cound</b:Tag>
    <b:SourceType>InternetSite</b:SourceType>
    <b:Guid>{94658AB1-55D9-41A2-8652-E3608ACF0DB8}</b:Guid>
    <b:Title>Counter Terrorism Policing</b:Title>
    <b:Year>n.d.</b:Year>
    <b:Author>
      <b:Author>
        <b:Corporate>Counter Terrorism Policing</b:Corporate>
      </b:Author>
    </b:Author>
    <b:InternetSiteTitle>www.counterterrorism.police.uk</b:InternetSiteTitle>
    <b:URL>https://www.counterterrorism.police.uk/</b:URL>
    <b:RefOrder>20</b:RefOrder>
  </b:Source>
  <b:Source>
    <b:Tag>Wil23</b:Tag>
    <b:SourceType>InternetSite</b:SourceType>
    <b:Guid>{F7D3DACC-82C7-49A0-B9F9-669AEB2DA4F5}</b:Guid>
    <b:Author>
      <b:Author>
        <b:Corporate>Wiltshire Police</b:Corporate>
      </b:Author>
    </b:Author>
    <b:Title>Telegram Teenager Found Guilty of Terrorism Offences</b:Title>
    <b:InternetSiteTitle>www.wiltshire.police.uk</b:InternetSiteTitle>
    <b:Year>2023</b:Year>
    <b:Month>September</b:Month>
    <b:Day>14</b:Day>
    <b:URL>https://www.wiltshire.police.uk/news/wiltshire/news/2023/september-2023/telegram-teenager-found-guilty-of-terrorism-offences/</b:URL>
    <b:RefOrder>25</b:RefOrder>
  </b:Source>
  <b:Source>
    <b:Tag>Tho16</b:Tag>
    <b:SourceType>JournalArticle</b:SourceType>
    <b:Guid>{C0AFF521-D74D-45D0-BB34-9912CB4F3CBE}</b:Guid>
    <b:Title>A case for local neighbourhood policing and community intelligence in counter terrorism</b:Title>
    <b:Year>2016b</b:Year>
    <b:Author>
      <b:Author>
        <b:NameList>
          <b:Person>
            <b:Last>Thomas</b:Last>
            <b:First>Garry</b:First>
          </b:Person>
        </b:NameList>
      </b:Author>
    </b:Author>
    <b:JournalName>The Police Journal: Theory, Practice and Principles</b:JournalName>
    <b:Pages>31-54</b:Pages>
    <b:RefOrder>26</b:RefOrder>
  </b:Source>
  <b:Source>
    <b:Tag>HMI231</b:Tag>
    <b:SourceType>InternetSite</b:SourceType>
    <b:Guid>{B00C0BD9-8CAB-463A-B560-855197F59486}</b:Guid>
    <b:Title>National Intelligence Model</b:Title>
    <b:Year>2023</b:Year>
    <b:Author>
      <b:Author>
        <b:Corporate>HMICFRS</b:Corporate>
      </b:Author>
    </b:Author>
    <b:InternetSiteTitle>hmicfrs.justiceinspectorates.gov.uk</b:InternetSiteTitle>
    <b:Month>March</b:Month>
    <b:Day>24</b:Day>
    <b:URL>https://hmicfrs.justiceinspectorates.gov.uk/glossary/national-intelligence-model/</b:URL>
    <b:RefOrder>22</b:RefOrder>
  </b:Source>
  <b:Source>
    <b:Tag>Tho6a</b:Tag>
    <b:SourceType>JournalArticle</b:SourceType>
    <b:Guid>{593F81DF-25D4-4813-B72D-3CEFEEF358D4}</b:Guid>
    <b:Title>A case for local neighbourhood policing and community intelligence in counter terrorism</b:Title>
    <b:Year>2016a</b:Year>
    <b:Author>
      <b:Author>
        <b:NameList>
          <b:Person>
            <b:Last>Thomas</b:Last>
            <b:First>Garry</b:First>
          </b:Person>
        </b:NameList>
      </b:Author>
    </b:Author>
    <b:JournalName>The Police Journal: Theory, Practice and Principles</b:JournalName>
    <b:Pages>31-54</b:Pages>
    <b:RefOrder>23</b:RefOrder>
  </b:Source>
  <b:Source>
    <b:Tag>Col131</b:Tag>
    <b:SourceType>InternetSite</b:SourceType>
    <b:Guid>{D12F1C31-5937-4CD8-AEF4-716C031ED7E2}</b:Guid>
    <b:Title>Intelligence Strategy</b:Title>
    <b:Year>2013</b:Year>
    <b:Author>
      <b:Author>
        <b:Corporate>College of Policing</b:Corporate>
      </b:Author>
    </b:Author>
    <b:InternetSiteTitle>www.college.police.uk</b:InternetSiteTitle>
    <b:Month>October</b:Month>
    <b:Day>23</b:Day>
    <b:URL>https://www.college.police.uk/app/investigation/investigative-strategies/intelligence-strategy</b:URL>
    <b:RefOrder>19</b:RefOrder>
  </b:Source>
  <b:Source>
    <b:Tag>Won21</b:Tag>
    <b:SourceType>JournalArticle</b:SourceType>
    <b:Guid>{AD089997-46C0-411E-91D2-CD848141D02B}</b:Guid>
    <b:Title>Sharing terrorism intelligence: insights from UK law enforcement agencies</b:Title>
    <b:Year>2021</b:Year>
    <b:Author>
      <b:Author>
        <b:NameList>
          <b:Person>
            <b:Last>Wong</b:Last>
            <b:First>Joanna</b:First>
          </b:Person>
        </b:NameList>
      </b:Author>
    </b:Author>
    <b:JournalName>Journal of Policing, Intelligence and Counter Terrorism</b:JournalName>
    <b:Pages>218-228</b:Pages>
    <b:RefOrder>27</b:RefOrder>
  </b:Source>
  <b:Source>
    <b:Tag>Cou21</b:Tag>
    <b:SourceType>InternetSite</b:SourceType>
    <b:Guid>{C9AFBE69-4B5C-4F5C-927A-985F69ACCDB5}</b:Guid>
    <b:Title>Latest Home Office statistics reveal 7 late-stage plots foiled since March 2020</b:Title>
    <b:Year>2021</b:Year>
    <b:Author>
      <b:Author>
        <b:Corporate>Counter Terrorism Police</b:Corporate>
      </b:Author>
    </b:Author>
    <b:InternetSiteTitle>www.counterterrorism.police.uk</b:InternetSiteTitle>
    <b:Month>December</b:Month>
    <b:Day>9</b:Day>
    <b:URL>https://www.counterterrorism.police.uk/latest-home-office-statistics-reveal-7-late-stage-plots-foiled-since-march-2020/</b:URL>
    <b:RefOrder>28</b:RefOrder>
  </b:Source>
  <b:Source>
    <b:Tag>Natnd1</b:Tag>
    <b:SourceType>InternetSite</b:SourceType>
    <b:Guid>{50431DB0-7529-44E8-AC22-11023F35A28A}</b:Guid>
    <b:Author>
      <b:Author>
        <b:Corporate>National Crime Agency</b:Corporate>
      </b:Author>
    </b:Author>
    <b:Title>Fraud</b:Title>
    <b:InternetSiteTitle>www.nationalcrimeagency.gov.uk</b:InternetSiteTitle>
    <b:Year>n.d.</b:Year>
    <b:URL>https://www.nationalcrimeagency.gov.uk/what-we-do/crime-threats/fraud-and-economic-crime#:~:text=It%20accounts%20for%20over%2040,adults%20aged%2016%20and%20over.</b:URL>
    <b:RefOrder>29</b:RefOrder>
  </b:Source>
</b:Sources>
</file>

<file path=customXml/itemProps1.xml><?xml version="1.0" encoding="utf-8"?>
<ds:datastoreItem xmlns:ds="http://schemas.openxmlformats.org/officeDocument/2006/customXml" ds:itemID="{CF1138B6-4FFC-41A1-AC5B-474E494293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2097</TotalTime>
  <Pages>8</Pages>
  <Words>4823</Words>
  <Characters>27492</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Shaw,Amy swp8369</dc:creator>
  <cp:keywords/>
  <dc:description/>
  <cp:lastModifiedBy>Shaw,Amy swp8369</cp:lastModifiedBy>
  <cp:revision>38</cp:revision>
  <dcterms:created xsi:type="dcterms:W3CDTF">2024-02-21T12:19:00Z</dcterms:created>
  <dcterms:modified xsi:type="dcterms:W3CDTF">2024-03-04T22:15:00Z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2024-02-21T14:37:37Z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99b524f9-3216-4271-82c9-e43ed981e20e</vt:lpwstr>
  </property>
  <property fmtid="{D5CDD505-2E9C-101B-9397-08002B2CF9AE}" pid="8" name="MSIP_Label_66cf8fe5-b7b7-4df7-b38d-1c61ac2f6639_ContentBits">
    <vt:lpwstr>0</vt:lpwstr>
  </property>
</Properties>
</file>