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8986E0" w14:textId="77777777" w:rsidR="00DE4C28" w:rsidRDefault="00DE4C28" w:rsidP="00A42CBC">
      <w:pPr>
        <w:jc w:val="both"/>
      </w:pPr>
    </w:p>
    <w:p w14:paraId="190821FC" w14:textId="77777777" w:rsidR="00DE4C28" w:rsidRDefault="00DE4C28" w:rsidP="00A42CBC">
      <w:pPr>
        <w:jc w:val="both"/>
      </w:pPr>
    </w:p>
    <w:p w14:paraId="680C7585" w14:textId="77777777" w:rsidR="00DE4C28" w:rsidRDefault="00DE4C28" w:rsidP="00A42CBC">
      <w:pPr>
        <w:jc w:val="both"/>
      </w:pPr>
    </w:p>
    <w:p w14:paraId="41055944" w14:textId="77777777" w:rsidR="00DE4C28" w:rsidRDefault="00DE4C28" w:rsidP="00A42CBC">
      <w:pPr>
        <w:jc w:val="both"/>
      </w:pPr>
    </w:p>
    <w:p w14:paraId="053E5967" w14:textId="77777777" w:rsidR="00DE4C28" w:rsidRDefault="00FE2A0A" w:rsidP="00A42CBC">
      <w:pPr>
        <w:spacing w:after="400"/>
        <w:jc w:val="both"/>
      </w:pPr>
      <w:r>
        <w:rPr>
          <w:b/>
          <w:bCs/>
          <w:sz w:val="32"/>
          <w:szCs w:val="32"/>
        </w:rPr>
        <w:t>Person-Centred Care: Communication, Administration and Collaboration</w:t>
      </w:r>
    </w:p>
    <w:p w14:paraId="43F873C6" w14:textId="77777777" w:rsidR="00DE4C28" w:rsidRDefault="00DE4C28" w:rsidP="00A42CBC">
      <w:pPr>
        <w:jc w:val="both"/>
      </w:pPr>
    </w:p>
    <w:p w14:paraId="2D7E44FA" w14:textId="77777777" w:rsidR="00DE4C28" w:rsidRDefault="00DE4C28" w:rsidP="00A42CBC">
      <w:pPr>
        <w:jc w:val="both"/>
      </w:pPr>
    </w:p>
    <w:p w14:paraId="68E3FBAB" w14:textId="038BABD6" w:rsidR="006B635F" w:rsidRDefault="000D4C98" w:rsidP="00A42CBC">
      <w:pPr>
        <w:spacing w:after="120"/>
        <w:jc w:val="center"/>
      </w:pPr>
      <w:r>
        <w:t>MODULE: INTRODUCTION TO HEALTH AND SOCIAL CARE (LCHS4003)</w:t>
      </w:r>
    </w:p>
    <w:p w14:paraId="0D3AB2C7" w14:textId="77777777" w:rsidR="006B635F" w:rsidRPr="00EB6FF6" w:rsidRDefault="006B635F" w:rsidP="00A42CBC">
      <w:pPr>
        <w:spacing w:after="120"/>
        <w:jc w:val="center"/>
      </w:pPr>
    </w:p>
    <w:p w14:paraId="06EF578D" w14:textId="1C08D84D" w:rsidR="006B635F" w:rsidRDefault="000D4C98" w:rsidP="00A42CBC">
      <w:pPr>
        <w:spacing w:after="120"/>
        <w:jc w:val="center"/>
      </w:pPr>
      <w:r>
        <w:t>WRITTEN ASSIGNMENT</w:t>
      </w:r>
    </w:p>
    <w:p w14:paraId="533303B3" w14:textId="7EA7CC58" w:rsidR="006B635F" w:rsidRDefault="000D4C98" w:rsidP="00A42CBC">
      <w:pPr>
        <w:spacing w:after="120"/>
        <w:jc w:val="center"/>
      </w:pPr>
      <w:r>
        <w:t>NAME: Prince Peter Ojeabulu Okhueidiata (2509560)</w:t>
      </w:r>
    </w:p>
    <w:p w14:paraId="2B4F97CC" w14:textId="7C7BF704" w:rsidR="000D4C98" w:rsidRPr="00EB6FF6" w:rsidRDefault="00C43C45" w:rsidP="00A42CBC">
      <w:pPr>
        <w:spacing w:after="120"/>
        <w:jc w:val="center"/>
      </w:pPr>
      <w:r>
        <w:t>Lecturers Name: Mark Kane</w:t>
      </w:r>
    </w:p>
    <w:p w14:paraId="6721C2F7" w14:textId="4D8EC22D" w:rsidR="006B635F" w:rsidRPr="00EB6FF6" w:rsidRDefault="000D4C98" w:rsidP="00A42CBC">
      <w:pPr>
        <w:spacing w:after="120"/>
        <w:jc w:val="center"/>
      </w:pPr>
      <w:r>
        <w:t>SUBMITTED DATE: 17 APRIL 2026</w:t>
      </w:r>
    </w:p>
    <w:p w14:paraId="200C3FEC" w14:textId="1A9559D9" w:rsidR="006B635F" w:rsidRDefault="006B635F" w:rsidP="00A42CBC">
      <w:pPr>
        <w:jc w:val="both"/>
      </w:pPr>
      <w:r>
        <w:br w:type="page"/>
      </w:r>
    </w:p>
    <w:p w14:paraId="6EA49865" w14:textId="77777777" w:rsidR="00DE4C28" w:rsidRDefault="00DE4C28" w:rsidP="00A42CBC">
      <w:pPr>
        <w:jc w:val="both"/>
      </w:pPr>
    </w:p>
    <w:sdt>
      <w:sdtPr>
        <w:rPr>
          <w:rFonts w:ascii="Arial" w:eastAsia="Arial" w:hAnsi="Arial" w:cs="Arial"/>
          <w:color w:val="auto"/>
          <w:sz w:val="22"/>
          <w:szCs w:val="22"/>
          <w:lang w:val="en-GB" w:eastAsia="en-GB"/>
        </w:rPr>
        <w:id w:val="-1192231533"/>
        <w:docPartObj>
          <w:docPartGallery w:val="Table of Contents"/>
          <w:docPartUnique/>
        </w:docPartObj>
      </w:sdtPr>
      <w:sdtEndPr>
        <w:rPr>
          <w:b/>
          <w:bCs/>
          <w:noProof/>
        </w:rPr>
      </w:sdtEndPr>
      <w:sdtContent>
        <w:p w14:paraId="10FD0E5D" w14:textId="77777777" w:rsidR="000B4FBE" w:rsidRDefault="000B4FBE" w:rsidP="00A42CBC">
          <w:pPr>
            <w:pStyle w:val="TOCHeading"/>
            <w:jc w:val="both"/>
          </w:pPr>
          <w:r>
            <w:t>Table of Contents</w:t>
          </w:r>
        </w:p>
        <w:p w14:paraId="7418FB20" w14:textId="77777777" w:rsidR="00A42CBC" w:rsidRDefault="000B4FBE">
          <w:pPr>
            <w:pStyle w:val="TOC1"/>
            <w:tabs>
              <w:tab w:val="right" w:leader="dot" w:pos="9016"/>
            </w:tabs>
            <w:rPr>
              <w:rFonts w:asciiTheme="minorHAnsi" w:eastAsiaTheme="minorEastAsia" w:hAnsiTheme="minorHAnsi" w:cstheme="minorBidi"/>
              <w:noProof/>
            </w:rPr>
          </w:pPr>
          <w:r>
            <w:fldChar w:fldCharType="begin"/>
            <w:instrText xml:space="preserve"> TOC \o "1-3" \h \z \u </w:instrText>
            <w:fldChar w:fldCharType="separate"/>
          </w:r>
          <w:hyperlink w:anchor="_Toc226963741" w:history="1">
            <w:r>
              <w:rPr>
                <w:rStyle w:val="Hyperlink"/>
                <w:noProof/>
              </w:rPr>
              <w:t>Introduction</w:t>
            </w:r>
            <w:r>
              <w:rPr>
                <w:noProof/>
                <w:webHidden/>
              </w:rPr>
              <w:tab/>
              <w:fldChar w:fldCharType="begin"/>
              <w:instrText xml:space="preserve"> PAGEREF _Toc226963741 \h </w:instrText>
              <w:fldChar w:fldCharType="separate"/>
              <w:t>3</w:t>
              <w:fldChar w:fldCharType="end"/>
            </w:r>
          </w:hyperlink>
        </w:p>
        <w:p w14:paraId="7D66DF40" w14:textId="77777777" w:rsidR="00A42CBC" w:rsidRDefault="00A42CBC">
          <w:pPr>
            <w:pStyle w:val="TOC1"/>
            <w:tabs>
              <w:tab w:val="right" w:leader="dot" w:pos="9016"/>
            </w:tabs>
            <w:rPr>
              <w:rFonts w:asciiTheme="minorHAnsi" w:eastAsiaTheme="minorEastAsia" w:hAnsiTheme="minorHAnsi" w:cstheme="minorBidi"/>
              <w:noProof/>
            </w:rPr>
          </w:pPr>
          <w:hyperlink w:anchor="_Toc226963742" w:history="1">
            <w:r>
              <w:rPr>
                <w:rStyle w:val="Hyperlink"/>
                <w:noProof/>
              </w:rPr>
              <w:t>1. Effective Communication in Mr Ahmed's Care</w:t>
            </w:r>
            <w:r>
              <w:rPr>
                <w:noProof/>
                <w:webHidden/>
              </w:rPr>
              <w:tab/>
              <w:fldChar w:fldCharType="begin"/>
              <w:instrText xml:space="preserve"> PAGEREF _Toc226963742 \h </w:instrText>
              <w:fldChar w:fldCharType="separate"/>
              <w:t>3</w:t>
              <w:fldChar w:fldCharType="end"/>
            </w:r>
          </w:hyperlink>
        </w:p>
        <w:p w14:paraId="6E8F985A" w14:textId="77777777" w:rsidR="00A42CBC" w:rsidRDefault="00A42CBC">
          <w:pPr>
            <w:pStyle w:val="TOC1"/>
            <w:tabs>
              <w:tab w:val="right" w:leader="dot" w:pos="9016"/>
            </w:tabs>
            <w:rPr>
              <w:rFonts w:asciiTheme="minorHAnsi" w:eastAsiaTheme="minorEastAsia" w:hAnsiTheme="minorHAnsi" w:cstheme="minorBidi"/>
              <w:noProof/>
            </w:rPr>
          </w:pPr>
          <w:hyperlink w:anchor="_Toc226963743" w:history="1">
            <w:r>
              <w:rPr>
                <w:rStyle w:val="Hyperlink"/>
                <w:noProof/>
              </w:rPr>
              <w:t>2. Administrative Skills, Record Keeping, and the Data Protection Act 2018</w:t>
            </w:r>
            <w:r>
              <w:rPr>
                <w:noProof/>
                <w:webHidden/>
              </w:rPr>
              <w:tab/>
              <w:fldChar w:fldCharType="begin"/>
              <w:instrText xml:space="preserve"> PAGEREF _Toc226963743 \h </w:instrText>
              <w:fldChar w:fldCharType="separate"/>
              <w:t>4</w:t>
              <w:fldChar w:fldCharType="end"/>
            </w:r>
          </w:hyperlink>
        </w:p>
        <w:p w14:paraId="15D4A983" w14:textId="77777777" w:rsidR="00A42CBC" w:rsidRDefault="00A42CBC">
          <w:pPr>
            <w:pStyle w:val="TOC1"/>
            <w:tabs>
              <w:tab w:val="right" w:leader="dot" w:pos="9016"/>
            </w:tabs>
            <w:rPr>
              <w:rFonts w:asciiTheme="minorHAnsi" w:eastAsiaTheme="minorEastAsia" w:hAnsiTheme="minorHAnsi" w:cstheme="minorBidi"/>
              <w:noProof/>
            </w:rPr>
          </w:pPr>
          <w:hyperlink w:anchor="_Toc226963744" w:history="1">
            <w:r>
              <w:rPr>
                <w:rStyle w:val="Hyperlink"/>
                <w:noProof/>
              </w:rPr>
              <w:t>3. Collaborative Multi-Agency Working</w:t>
            </w:r>
            <w:r>
              <w:rPr>
                <w:noProof/>
                <w:webHidden/>
              </w:rPr>
              <w:tab/>
              <w:fldChar w:fldCharType="begin"/>
              <w:instrText xml:space="preserve"> PAGEREF _Toc226963744 \h </w:instrText>
              <w:fldChar w:fldCharType="separate"/>
              <w:t>5</w:t>
              <w:fldChar w:fldCharType="end"/>
            </w:r>
          </w:hyperlink>
        </w:p>
        <w:p w14:paraId="1A77C0F6" w14:textId="77777777" w:rsidR="00A42CBC" w:rsidRDefault="00A42CBC">
          <w:pPr>
            <w:pStyle w:val="TOC1"/>
            <w:tabs>
              <w:tab w:val="right" w:leader="dot" w:pos="9016"/>
            </w:tabs>
            <w:rPr>
              <w:rFonts w:asciiTheme="minorHAnsi" w:eastAsiaTheme="minorEastAsia" w:hAnsiTheme="minorHAnsi" w:cstheme="minorBidi"/>
              <w:noProof/>
            </w:rPr>
          </w:pPr>
          <w:hyperlink w:anchor="_Toc226963745" w:history="1">
            <w:r>
              <w:rPr>
                <w:rStyle w:val="Hyperlink"/>
                <w:noProof/>
              </w:rPr>
              <w:t>Conclusion</w:t>
            </w:r>
            <w:r>
              <w:rPr>
                <w:noProof/>
                <w:webHidden/>
              </w:rPr>
              <w:tab/>
              <w:fldChar w:fldCharType="begin"/>
              <w:instrText xml:space="preserve"> PAGEREF _Toc226963745 \h </w:instrText>
              <w:fldChar w:fldCharType="separate"/>
              <w:t>5</w:t>
              <w:fldChar w:fldCharType="end"/>
            </w:r>
          </w:hyperlink>
        </w:p>
        <w:p w14:paraId="7F3263F2" w14:textId="77777777" w:rsidR="00A42CBC" w:rsidRDefault="00A42CBC">
          <w:pPr>
            <w:pStyle w:val="TOC1"/>
            <w:tabs>
              <w:tab w:val="right" w:leader="dot" w:pos="9016"/>
            </w:tabs>
            <w:rPr>
              <w:rFonts w:asciiTheme="minorHAnsi" w:eastAsiaTheme="minorEastAsia" w:hAnsiTheme="minorHAnsi" w:cstheme="minorBidi"/>
              <w:noProof/>
            </w:rPr>
          </w:pPr>
          <w:hyperlink w:anchor="_Toc226963746" w:history="1">
            <w:r>
              <w:rPr>
                <w:rStyle w:val="Hyperlink"/>
                <w:noProof/>
              </w:rPr>
              <w:t>References</w:t>
            </w:r>
            <w:r>
              <w:rPr>
                <w:noProof/>
                <w:webHidden/>
              </w:rPr>
              <w:tab/>
              <w:fldChar w:fldCharType="begin"/>
              <w:instrText xml:space="preserve"> PAGEREF _Toc226963746 \h </w:instrText>
              <w:fldChar w:fldCharType="separate"/>
              <w:t>7</w:t>
              <w:fldChar w:fldCharType="end"/>
            </w:r>
          </w:hyperlink>
        </w:p>
        <w:p w14:paraId="636BAC62" w14:textId="77777777" w:rsidR="000B4FBE" w:rsidRDefault="000B4FBE" w:rsidP="00A42CBC">
          <w:pPr>
            <w:jc w:val="both"/>
          </w:pPr>
          <w:r>
            <w:rPr>
              <w:b/>
              <w:bCs/>
              <w:noProof/>
            </w:rPr>
            <w:fldChar w:fldCharType="end"/>
          </w:r>
        </w:p>
      </w:sdtContent>
    </w:sdt>
    <w:p w14:paraId="34C118FF" w14:textId="77777777" w:rsidR="000B4FBE" w:rsidRDefault="000B4FBE" w:rsidP="00A42CBC">
      <w:pPr>
        <w:jc w:val="both"/>
      </w:pPr>
    </w:p>
    <w:p w14:paraId="6EE8CFF7" w14:textId="77777777" w:rsidR="000B4FBE" w:rsidRDefault="000B4FBE" w:rsidP="00A42CBC">
      <w:pPr>
        <w:jc w:val="both"/>
      </w:pPr>
    </w:p>
    <w:p w14:paraId="747F350F" w14:textId="77777777" w:rsidR="000B4FBE" w:rsidRDefault="000B4FBE" w:rsidP="00A42CBC">
      <w:pPr>
        <w:jc w:val="both"/>
        <w:sectPr w:rsidR="000B4FBE">
          <w:pgSz w:w="11906" w:h="16838"/>
          <w:pgMar w:top="1440" w:right="1440" w:bottom="1440" w:left="1440" w:header="708" w:footer="708" w:gutter="0"/>
          <w:cols w:space="720"/>
          <w:docGrid w:linePitch="360"/>
        </w:sectPr>
      </w:pPr>
    </w:p>
    <w:p w14:paraId="53DE3E18" w14:textId="77777777" w:rsidR="00A42CBC" w:rsidRDefault="00A42CBC" w:rsidP="00A42CBC">
      <w:pPr>
        <w:pStyle w:val="Heading1"/>
        <w:spacing w:line="276" w:lineRule="auto"/>
        <w:jc w:val="both"/>
      </w:pPr>
      <w:bookmarkStart w:id="0" w:name="_Toc226963741"/>
      <w:r>
        <w:lastRenderedPageBreak/>
        <w:t>Introduction</w:t>
      </w:r>
      <w:bookmarkEnd w:id="0"/>
    </w:p>
    <w:p w14:paraId="10010AB2" w14:textId="77777777" w:rsidR="00A42CBC" w:rsidRDefault="00A42CBC" w:rsidP="00A42CBC">
      <w:pPr>
        <w:spacing w:after="200" w:line="276" w:lineRule="auto"/>
        <w:jc w:val="both"/>
      </w:pPr>
      <w:r>
        <w:rPr>
          <w:sz w:val="24"/>
          <w:szCs w:val="24"/>
        </w:rPr>
        <w:t>This report investigates professional practice within health and social care through the experience of Mr Ahmed, a 68-year-old man who has recently been discharged from hospital following a stroke. He resides with his wife and receives home care visits three times each day, with support coordinated through a multidisciplinary team (MDT) consisting of a general practitioner (GP), a district nurse, and a speech and language therapist (SLT). The fact that Bengali is Mr Ahmed’s primary language introduces significant complexity to his care, necessitating a culturally informed and flexible approach from all those involved.</w:t>
      </w:r>
    </w:p>
    <w:p w14:paraId="1303F854" w14:textId="77777777" w:rsidR="00A42CBC" w:rsidRDefault="00A42CBC" w:rsidP="00A42CBC">
      <w:pPr>
        <w:spacing w:after="200" w:line="276" w:lineRule="auto"/>
        <w:jc w:val="both"/>
      </w:pPr>
      <w:r>
        <w:rPr>
          <w:sz w:val="24"/>
          <w:szCs w:val="24"/>
        </w:rPr>
        <w:t>This report addresses three closely related areas of professional practice: effective communication, informed by the Equality Act 2010; robust administrative and record-keeping practice under the Data Protection Act 2018; and coordinated multi-agency collaboration. A recent incident in which a missed home visit caused a delay in Mr Ahmed’s medication is used as a recurring practical example throughout the report, demonstrating the critical importance of these competencies in delivering care that is safe and genuinely centred on the individual.</w:t>
      </w:r>
    </w:p>
    <w:p w14:paraId="1A5A61B2" w14:textId="77777777" w:rsidR="00A42CBC" w:rsidRDefault="00A42CBC" w:rsidP="00A42CBC">
      <w:pPr>
        <w:pStyle w:val="Heading1"/>
        <w:spacing w:line="276" w:lineRule="auto"/>
        <w:jc w:val="both"/>
      </w:pPr>
      <w:bookmarkStart w:id="1" w:name="_Toc226963742"/>
      <w:r>
        <w:t>1. Effective Communication in Mr Ahmed's Care</w:t>
      </w:r>
      <w:bookmarkEnd w:id="1"/>
    </w:p>
    <w:p w14:paraId="18629F77" w14:textId="77777777" w:rsidR="00A42CBC" w:rsidRDefault="00A42CBC" w:rsidP="00A42CBC">
      <w:pPr>
        <w:spacing w:after="200" w:line="276" w:lineRule="auto"/>
        <w:jc w:val="both"/>
      </w:pPr>
      <w:r>
        <w:rPr>
          <w:sz w:val="24"/>
          <w:szCs w:val="24"/>
        </w:rPr>
        <w:t>Clear and effective communication is a cornerstone of safe, respectful care practice. In Mr Ahmed’s case, the obstacles to good communication are multiple: he has a limited command of English, experiences post-stroke impairment affecting both cognition and speech, and frequently depends on his wife to act as an interpreter. The missed care visit that led to a delay in his medication is a concrete illustration of the serious consequences that can follow when communication between professionals and service users is inadequate.</w:t>
      </w:r>
    </w:p>
    <w:p w14:paraId="1A8C5BBE" w14:textId="77777777" w:rsidR="00A42CBC" w:rsidRDefault="00A42CBC" w:rsidP="00A42CBC">
      <w:pPr>
        <w:spacing w:after="200" w:line="276" w:lineRule="auto"/>
        <w:jc w:val="both"/>
      </w:pPr>
      <w:r>
        <w:rPr>
          <w:sz w:val="24"/>
          <w:szCs w:val="24"/>
        </w:rPr>
        <w:t>The Equality Act 2010 imposes a legal obligation to make reasonable adjustments to ensure that individuals are not disadvantaged on account of protected characteristics. In Mr Ahmed’s situation, the applicable characteristics include disability, race, and national origin. The public sector equality duty under section 149 of the Act means that it is not acceptable for the care team to depend solely on Mrs Ahmed to convey information to her husband. NHS guidance makes clear that trained professional interpreters should be employed to guarantee that Mr Ahmed’s perspective and preferences remain at the centre of his care (NHS England, 2016). Delegating this role to a family member carries considerable ethical risk, as relatives may unintentionally omit or reframe information in ways that compromise informed consent and erode the individual’s autonomy.</w:t>
      </w:r>
    </w:p>
    <w:p w14:paraId="15A854C1" w14:textId="77777777" w:rsidR="00A42CBC" w:rsidRDefault="00A42CBC" w:rsidP="00A42CBC">
      <w:pPr>
        <w:spacing w:after="200" w:line="276" w:lineRule="auto"/>
        <w:jc w:val="both"/>
      </w:pPr>
      <w:r>
        <w:rPr>
          <w:sz w:val="24"/>
          <w:szCs w:val="24"/>
        </w:rPr>
        <w:t xml:space="preserve">Shannon and Weaver’s (1949) Transmission Model of Communication offers a useful framework for analysing the communicative difficulties in Mr Ahmed’s case. The model conceptualises communication as a sequence in which a sender encodes a message that a receiver must then decode, with ‘noise’ able to interfere with accurate transmission at any stage. For Mr Ahmed, sources of such noise are varied: they encompass language differences, neurological changes resulting from his stroke, and emotional distress. In order to minimise these disruptions, the care team should adopt plain, accessible language free from clinical jargon, make use of visual aids and communication boards as advised by the SLT, verify comprehension following each exchange, and supply written materials in Bengali wherever practicable. The model further underscores that feedback </w:t>
        <w:lastRenderedPageBreak/>
        <w:t>is a critical component of effective communication; ensuring that Mr Ahmed has genuinely understood what has been communicated to him is of equal importance to the original transmission of information.</w:t>
      </w:r>
    </w:p>
    <w:p w14:paraId="75C82396" w14:textId="77777777" w:rsidR="00A42CBC" w:rsidRDefault="00A42CBC" w:rsidP="00A42CBC">
      <w:pPr>
        <w:spacing w:after="200" w:line="276" w:lineRule="auto"/>
        <w:jc w:val="both"/>
      </w:pPr>
      <w:r>
        <w:rPr>
          <w:sz w:val="24"/>
          <w:szCs w:val="24"/>
        </w:rPr>
        <w:t>The Nursing and Midwifery Council (NMC, 2018) Code obliges registered practitioners to communicate in a clear, transparent manner and to act as advocates on behalf of those they support. The Care Act 2014 adds a complementary duty on local authorities to advance individual well-being and ensure that people are meaningfully involved in decisions concerning their own care. In combination, these legislative and professional frameworks demand a communication approach that is flexible, culturally sensitive, and focused on Mr Ahmed’s own preferences rather than those assumed on his behalf by family members. Regular MDT meetings and the use of shared digital communication tools can promote consistency and coordination across the team, reducing the likelihood of the information gaps that played a role in the missed medication incident.</w:t>
      </w:r>
    </w:p>
    <w:p w14:paraId="1A0A2988" w14:textId="77777777" w:rsidR="00A42CBC" w:rsidRDefault="00A42CBC" w:rsidP="00A42CBC">
      <w:pPr>
        <w:pStyle w:val="Heading1"/>
        <w:spacing w:line="276" w:lineRule="auto"/>
        <w:jc w:val="both"/>
      </w:pPr>
      <w:bookmarkStart w:id="2" w:name="_Toc226963743"/>
      <w:r>
        <w:t>2. Administrative Skills, Record Keeping, and the Data Protection Act 2018</w:t>
      </w:r>
      <w:bookmarkEnd w:id="2"/>
    </w:p>
    <w:p w14:paraId="12E7F996" w14:textId="77777777" w:rsidR="00A42CBC" w:rsidRDefault="00A42CBC" w:rsidP="00A42CBC">
      <w:pPr>
        <w:spacing w:after="200" w:line="276" w:lineRule="auto"/>
        <w:jc w:val="both"/>
      </w:pPr>
      <w:r>
        <w:rPr>
          <w:sz w:val="24"/>
          <w:szCs w:val="24"/>
        </w:rPr>
        <w:t>Sound administrative practice constitutes both a clinical and a legal duty; it is not merely a procedural formality. The unrecorded missed home visit in Mr Ahmed’s case clearly demonstrates how failures in documentation can translate directly into risks for patient safety. When a care visit is not documented, the absence of that entry represents a record-keeping failure in its own right and may give rise to significant legal and regulatory consequences.</w:t>
      </w:r>
    </w:p>
    <w:p w14:paraId="685EA54A" w14:textId="77777777" w:rsidR="00A42CBC" w:rsidRDefault="00A42CBC" w:rsidP="00A42CBC">
      <w:pPr>
        <w:spacing w:after="200" w:line="276" w:lineRule="auto"/>
        <w:jc w:val="both"/>
      </w:pPr>
      <w:r>
        <w:rPr>
          <w:sz w:val="24"/>
          <w:szCs w:val="24"/>
        </w:rPr>
        <w:t>The Data Protection Act 2018 (DPA 2018), which gives domestic effect to the UK General Data Protection Regulation (UK GDPR), establishes the legal framework governing the handling of personal data across health and social care settings. Under this framework, data must be processed lawfully, fairly, and with transparency; gathered for clearly defined and legitimate purposes; maintained in an accurate and current state; and held no longer than is required (DPA 2018, Schedule 1). In the context of Mr Ahmed’s care, all records concerning his medication regimen, wound management, and personal care activities must be stored securely and made available only to those members of the care team with appropriate authorisation. The NMC (2018) stipulates that records should be completed contemporaneously, meaning as promptly as possible after the relevant event. Doing so strengthens professional accountability and enables patterns such as repeated missed visits by the domiciliary provider to be identified and addressed.</w:t>
      </w:r>
    </w:p>
    <w:p w14:paraId="11F7F1C2" w14:textId="77777777" w:rsidR="00A42CBC" w:rsidRDefault="00A42CBC" w:rsidP="00A42CBC">
      <w:pPr>
        <w:spacing w:after="200" w:line="276" w:lineRule="auto"/>
        <w:jc w:val="both"/>
      </w:pPr>
      <w:r>
        <w:rPr>
          <w:sz w:val="24"/>
          <w:szCs w:val="24"/>
        </w:rPr>
        <w:t>The Care Quality Commission (CQC) holds statutory responsibility for regulating health and social care providers across England under the Health and Social Care Act 2008 (Regulated Activities) Regulations 2014. Regulation 17 of that legislation requires all providers to keep records for each service user that are accurate, comprehensive, and produced at the time of the relevant care activity. Robust documentation serves to protect both the person receiving care and the practitioners responsible for delivering it, especially where an incident is subject to formal scrutiny. In Mr Ahmed’s case, the failure of the domiciliary agency to produce contemporaneous records of the missed visit may constitute a breach of this regulatory requirement.</w:t>
      </w:r>
    </w:p>
    <w:p w14:paraId="70026C33" w14:textId="77777777" w:rsidR="00A42CBC" w:rsidRDefault="00A42CBC" w:rsidP="00A42CBC">
      <w:pPr>
        <w:spacing w:after="200" w:line="276" w:lineRule="auto"/>
        <w:jc w:val="both"/>
      </w:pPr>
      <w:r>
        <w:rPr>
          <w:sz w:val="24"/>
          <w:szCs w:val="24"/>
        </w:rPr>
        <w:t xml:space="preserve">Beyond satisfying legal obligations, comprehensive record keeping plays a vital role in sustaining continuity of care. When every member of Mr Ahmed’s MDT has access to accurate, current shared records, for instance through an electronic patient record (EPR) system, they are far better equipped to </w:t>
        <w:lastRenderedPageBreak/>
        <w:t>identify deterioration early, coordinate medication reviews efficiently, and respond swiftly to any emerging concerns. The NHS Long Term Plan (NHS England, 2019) identifies integrated digital records as a significant contributor to improved care quality. All practitioners within the team are required to undertake data protection training and to adhere to their organisation’s information governance policies, in compliance with the DPA 2018 and UK GDPR.</w:t>
      </w:r>
    </w:p>
    <w:p w14:paraId="27FDE0BB" w14:textId="77777777" w:rsidR="00A42CBC" w:rsidRDefault="00A42CBC" w:rsidP="00A42CBC">
      <w:pPr>
        <w:pStyle w:val="Heading1"/>
        <w:spacing w:line="276" w:lineRule="auto"/>
        <w:jc w:val="both"/>
      </w:pPr>
      <w:bookmarkStart w:id="3" w:name="_Toc226963744"/>
      <w:r>
        <w:t>3. Collaborative Multi-Agency Working</w:t>
      </w:r>
      <w:bookmarkEnd w:id="3"/>
    </w:p>
    <w:p w14:paraId="51A337AE" w14:textId="77777777" w:rsidR="00A42CBC" w:rsidRDefault="00A42CBC" w:rsidP="00A42CBC">
      <w:pPr>
        <w:spacing w:after="200" w:line="276" w:lineRule="auto"/>
        <w:jc w:val="both"/>
      </w:pPr>
      <w:r>
        <w:rPr>
          <w:sz w:val="24"/>
          <w:szCs w:val="24"/>
        </w:rPr>
        <w:t>The provision of care for Mr Ahmed involves a number of different professionals, among them domiciliary carers, his GP, a district nurse, and an SLT, each contributing specific expertise and carrying distinct professional responsibilities. Meaningful collaboration across this MDT is essential to ensuring that the care provided is safe, coherent, and well-organised. The Care Act 2014 establishes a statutory duty requiring agencies to cooperate actively in order to advance the well-being of the individuals they serve and to prevent deterioration in their condition.</w:t>
      </w:r>
    </w:p>
    <w:p w14:paraId="7D9BEE91" w14:textId="77777777" w:rsidR="00A42CBC" w:rsidRDefault="00A42CBC" w:rsidP="00A42CBC">
      <w:pPr>
        <w:spacing w:after="200" w:line="276" w:lineRule="auto"/>
        <w:jc w:val="both"/>
      </w:pPr>
      <w:r>
        <w:rPr>
          <w:sz w:val="24"/>
          <w:szCs w:val="24"/>
        </w:rPr>
        <w:t>Irvine et al. (2002) contend that effective interprofessional collaboration is founded on mutual respect, alignment around shared objectives, and transparent communication between team members. In practical terms, a jointly maintained care plan that is regularly updated and accessible to all relevant practitioners can considerably reduce the likelihood of duplication or important information being overlooked. The SBAR framework (Situation, Background, Assessment, Recommendation) is widely applied in health and social care settings as a structured approach to professional communication, ensuring that key clinical updates, such as a change in Mr Ahmed’s swallowing capacity noted by the SLT, are conveyed accurately and without delay to all members of the team (NHS Improvement, 2018).</w:t>
      </w:r>
    </w:p>
    <w:p w14:paraId="621C2124" w14:textId="77777777" w:rsidR="00A42CBC" w:rsidRDefault="00A42CBC" w:rsidP="00A42CBC">
      <w:pPr>
        <w:spacing w:after="200" w:line="276" w:lineRule="auto"/>
        <w:jc w:val="both"/>
      </w:pPr>
      <w:r>
        <w:rPr>
          <w:sz w:val="24"/>
          <w:szCs w:val="24"/>
        </w:rPr>
        <w:t>Collaboration across agencies is regularly undermined by the persistence of professional silos, conflicting organisational priorities, and uncertainty surrounding information-sharing boundaries. The incident of the missed visit illustrates clearly how insufficient coordination between the domiciliary provider and the broader MDT can create direct risks to a service user’s safety. A number of practical measures can help overcome these barriers: appointing a designated care coordinator with overall responsibility for Mr Ahmed’s care package; convening regular case review meetings attended by all contributing agencies; and providing joint training on information-sharing policies and protocols. The NHS Five Year Forward View (NHS England, 2014) and the subsequent programme of Integrated Care System reform have both emphasised the necessity of dismantling the structural divides between health and social care in order to realise genuinely person-centred outcomes.</w:t>
      </w:r>
    </w:p>
    <w:p w14:paraId="6C3054A4" w14:textId="77777777" w:rsidR="00A42CBC" w:rsidRDefault="00A42CBC" w:rsidP="00A42CBC">
      <w:pPr>
        <w:pStyle w:val="Heading1"/>
        <w:spacing w:line="276" w:lineRule="auto"/>
        <w:jc w:val="both"/>
      </w:pPr>
      <w:bookmarkStart w:id="4" w:name="_Toc226963745"/>
      <w:r>
        <w:t>Conclusion</w:t>
      </w:r>
      <w:bookmarkEnd w:id="4"/>
    </w:p>
    <w:p w14:paraId="152C0D5E" w14:textId="77777777" w:rsidR="00A42CBC" w:rsidRDefault="00A42CBC" w:rsidP="00A42CBC">
      <w:pPr>
        <w:spacing w:after="200" w:line="276" w:lineRule="auto"/>
        <w:jc w:val="both"/>
      </w:pPr>
      <w:r>
        <w:rPr>
          <w:sz w:val="24"/>
          <w:szCs w:val="24"/>
        </w:rPr>
        <w:t>Effective communication, robust administrative practice, and coordinated multi-agency collaboration are not independent concerns to be addressed in isolation; they are interconnected and mutually dependent foundations of high-quality care. In Mr Ahmed’s circumstances, each is rendered more demanding by his language barrier, his post-stroke vulnerabilities, the range of agencies participating in his care, and the recent lapse in service provision. The Equality Act 2010 and the Data Protection Act 2018 supply the essential statutory frameworks governing communication and record keeping respectively, while the Care Act 2014 and the NMC Code together establish the professional obligation to work collaboratively and to act as advocates for those receiving care.</w:t>
      </w:r>
    </w:p>
    <w:p w14:paraId="5609974E" w14:textId="77777777" w:rsidR="00A42CBC" w:rsidRDefault="00A42CBC" w:rsidP="00A42CBC">
      <w:pPr>
        <w:spacing w:after="200" w:line="276" w:lineRule="auto"/>
        <w:jc w:val="both"/>
        <w:rPr>
          <w:sz w:val="24"/>
          <w:szCs w:val="24"/>
        </w:rPr>
      </w:pPr>
      <w:r>
        <w:rPr>
          <w:sz w:val="24"/>
          <w:szCs w:val="24"/>
        </w:rPr>
        <w:lastRenderedPageBreak/>
        <w:t>The missed home visit stands as a stark reminder of the consequences that can follow when professional systems break down. It underscores the importance of prompt and precise documentation, of proactive and transparent communication between agencies, and of governance structures that are sufficiently robust to identify and respond to failures. Remedying these weaknesses is not simply a question of satisfying regulatory obligations; it is a moral commitment to a vulnerable individual in receipt of care. By applying the principles examined in this report, the practitioners involved in supporting Mr Ahmed can provide care that is safe, dignified, legally sound, and genuinely person-centred, with his voice and his well-being informing every decision taken on his behalf.</w:t>
      </w:r>
    </w:p>
    <w:p w14:paraId="1B030DA8" w14:textId="5F2FB454" w:rsidR="00A42CBC" w:rsidRDefault="00A42CBC">
      <w:pPr>
        <w:rPr>
          <w:sz w:val="24"/>
          <w:szCs w:val="24"/>
        </w:rPr>
      </w:pPr>
      <w:r>
        <w:rPr>
          <w:sz w:val="24"/>
          <w:szCs w:val="24"/>
        </w:rPr>
        <w:br w:type="page"/>
      </w:r>
    </w:p>
    <w:p w14:paraId="4425F39A" w14:textId="77777777" w:rsidR="00A42CBC" w:rsidRDefault="00A42CBC" w:rsidP="00A42CBC">
      <w:pPr>
        <w:spacing w:after="200" w:line="276" w:lineRule="auto"/>
        <w:jc w:val="both"/>
      </w:pPr>
    </w:p>
    <w:p w14:paraId="48FE621A" w14:textId="77777777" w:rsidR="00A42CBC" w:rsidRDefault="00A42CBC" w:rsidP="00A42CBC">
      <w:pPr>
        <w:pStyle w:val="Heading1"/>
        <w:spacing w:line="276" w:lineRule="auto"/>
        <w:jc w:val="both"/>
      </w:pPr>
      <w:bookmarkStart w:id="5" w:name="_Toc226963746"/>
      <w:r>
        <w:t>References</w:t>
      </w:r>
      <w:bookmarkEnd w:id="5"/>
    </w:p>
    <w:p w14:paraId="62066652" w14:textId="77777777" w:rsidR="00A42CBC" w:rsidRDefault="00A42CBC" w:rsidP="00A42CBC">
      <w:pPr>
        <w:spacing w:after="140"/>
        <w:ind w:left="720" w:hanging="720"/>
      </w:pPr>
      <w:r>
        <w:t>Care Act 2014. c. 23. London: HMSO. Available at: https://www.legislation.gov.uk/ukpga/2014/23/contents (Accessed: 12 March 2026).</w:t>
      </w:r>
    </w:p>
    <w:p w14:paraId="2A9040B1" w14:textId="77777777" w:rsidR="00A42CBC" w:rsidRDefault="00A42CBC" w:rsidP="00A42CBC">
      <w:pPr>
        <w:spacing w:after="140"/>
        <w:ind w:left="720" w:hanging="720"/>
      </w:pPr>
      <w:r>
        <w:t>Care Quality Commission (2014) Health and Social Care Act 2008 (Regulated Activities) Regulations 2014. London: CQC.</w:t>
      </w:r>
    </w:p>
    <w:p w14:paraId="7B0E852A" w14:textId="77777777" w:rsidR="00A42CBC" w:rsidRDefault="00A42CBC" w:rsidP="00A42CBC">
      <w:pPr>
        <w:spacing w:after="140"/>
        <w:ind w:left="720" w:hanging="720"/>
      </w:pPr>
      <w:r>
        <w:t>Data Protection Act 2018. c. 12. London: HMSO. Available at: https://www.legislation.gov.uk/ukpga/2018/12/contents (Accessed: 19 March 2026).</w:t>
      </w:r>
    </w:p>
    <w:p w14:paraId="7717854E" w14:textId="77777777" w:rsidR="00A42CBC" w:rsidRDefault="00A42CBC" w:rsidP="00A42CBC">
      <w:pPr>
        <w:spacing w:after="140"/>
        <w:ind w:left="720" w:hanging="720"/>
      </w:pPr>
      <w:r>
        <w:t>Equality Act 2010. c. 15. London: HMSO. Available at: https://www.legislation.gov.uk/ukpga/2010/15/contents (Accessed: 21 March 2026).</w:t>
      </w:r>
    </w:p>
    <w:p w14:paraId="5C61F4A6" w14:textId="77777777" w:rsidR="00A42CBC" w:rsidRDefault="00A42CBC" w:rsidP="00A42CBC">
      <w:pPr>
        <w:spacing w:after="140"/>
        <w:ind w:left="720" w:hanging="720"/>
      </w:pPr>
      <w:r>
        <w:t>Irvine, R., Kerridge, I., McPhee, J. and Freeman, S. (2002) 'Interprofessionalism and ethics: Consensus or clash of cultures?', Journal of Interprofessional Care, 16(3), pp. 199-210.</w:t>
      </w:r>
    </w:p>
    <w:p w14:paraId="34F37320" w14:textId="77777777" w:rsidR="00A42CBC" w:rsidRDefault="00A42CBC" w:rsidP="00A42CBC">
      <w:pPr>
        <w:spacing w:after="140"/>
        <w:ind w:left="720" w:hanging="720"/>
      </w:pPr>
      <w:r>
        <w:t>NHS England (2014) NHS Five Year Forward View. London: NHS England.</w:t>
      </w:r>
    </w:p>
    <w:p w14:paraId="7A945EE6" w14:textId="77777777" w:rsidR="00A42CBC" w:rsidRDefault="00A42CBC" w:rsidP="00A42CBC">
      <w:pPr>
        <w:spacing w:after="140"/>
        <w:ind w:left="720" w:hanging="720"/>
      </w:pPr>
      <w:r>
        <w:t>NHS England (2016) Accessible Information Standard. London: NHS England.</w:t>
      </w:r>
    </w:p>
    <w:p w14:paraId="29099A50" w14:textId="77777777" w:rsidR="00A42CBC" w:rsidRDefault="00A42CBC" w:rsidP="00A42CBC">
      <w:pPr>
        <w:spacing w:after="140"/>
        <w:ind w:left="720" w:hanging="720"/>
      </w:pPr>
      <w:r>
        <w:t>NHS England (2019) The NHS Long Term Plan. London: NHS England. Available at: https://www.longtermplan.nhs.uk (Accessed: 21 March 2026).</w:t>
      </w:r>
    </w:p>
    <w:p w14:paraId="7071B32B" w14:textId="77777777" w:rsidR="00A42CBC" w:rsidRDefault="00A42CBC" w:rsidP="00A42CBC">
      <w:pPr>
        <w:spacing w:after="140"/>
        <w:ind w:left="720" w:hanging="720"/>
      </w:pPr>
      <w:r>
        <w:t>NHS Improvement (2018) SBAR Communication Tool: Situation, Background, Assessment, Recommendation. London: NHS Improvement.</w:t>
      </w:r>
    </w:p>
    <w:p w14:paraId="54F37D18" w14:textId="77777777" w:rsidR="00A42CBC" w:rsidRDefault="00A42CBC" w:rsidP="00A42CBC">
      <w:pPr>
        <w:spacing w:after="140"/>
        <w:ind w:left="720" w:hanging="720"/>
      </w:pPr>
      <w:r>
        <w:t>Nursing and Midwifery Council (2018) The Code: Professional Standards of Practice and Behaviour for Nurses, Midwives and Nursing Associates. London: NMC.</w:t>
      </w:r>
    </w:p>
    <w:p w14:paraId="1C12E0F5" w14:textId="77777777" w:rsidR="00A42CBC" w:rsidRDefault="00A42CBC" w:rsidP="00A42CBC">
      <w:pPr>
        <w:spacing w:after="140"/>
        <w:ind w:left="720" w:hanging="720"/>
      </w:pPr>
      <w:r>
        <w:t>Shannon, C.E. and Weaver, W. (1949) The Mathematical Theory of Communication. Urbana, IL: University of Illinois Press.</w:t>
      </w:r>
    </w:p>
    <w:p w14:paraId="045EC275" w14:textId="5C06C3D3" w:rsidR="00DE4C28" w:rsidRDefault="00DE4C28" w:rsidP="00A42CBC">
      <w:pPr>
        <w:pStyle w:val="Heading1"/>
      </w:pPr>
    </w:p>
    <w:sectPr w:rsidR="00DE4C28">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E1C0C4" w14:textId="77777777" w:rsidR="00A55A3B" w:rsidRDefault="00A55A3B">
      <w:r>
        <w:separator/>
      </w:r>
    </w:p>
  </w:endnote>
  <w:endnote w:type="continuationSeparator" w:id="0">
    <w:p w14:paraId="4D28B4B0" w14:textId="77777777" w:rsidR="00A55A3B" w:rsidRDefault="00A55A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1B8242" w14:textId="77777777" w:rsidR="00A55A3B" w:rsidRDefault="00A55A3B">
      <w:r>
        <w:separator/>
      </w:r>
    </w:p>
  </w:footnote>
  <w:footnote w:type="continuationSeparator" w:id="0">
    <w:p w14:paraId="16661AB9" w14:textId="77777777" w:rsidR="00A55A3B" w:rsidRDefault="00A55A3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F7D4E2D"/>
    <w:multiLevelType w:val="hybridMultilevel"/>
    <w:tmpl w:val="C0D65AA2"/>
    <w:lvl w:ilvl="0" w:tplc="7A882FBA">
      <w:start w:val="1"/>
      <w:numFmt w:val="bullet"/>
      <w:lvlText w:val="●"/>
      <w:lvlJc w:val="left"/>
      <w:pPr>
        <w:ind w:left="720" w:hanging="360"/>
      </w:pPr>
    </w:lvl>
    <w:lvl w:ilvl="1" w:tplc="3C32D104">
      <w:start w:val="1"/>
      <w:numFmt w:val="bullet"/>
      <w:lvlText w:val="○"/>
      <w:lvlJc w:val="left"/>
      <w:pPr>
        <w:ind w:left="1440" w:hanging="360"/>
      </w:pPr>
    </w:lvl>
    <w:lvl w:ilvl="2" w:tplc="456A519E">
      <w:start w:val="1"/>
      <w:numFmt w:val="bullet"/>
      <w:lvlText w:val="■"/>
      <w:lvlJc w:val="left"/>
      <w:pPr>
        <w:ind w:left="2160" w:hanging="360"/>
      </w:pPr>
    </w:lvl>
    <w:lvl w:ilvl="3" w:tplc="8842DB2E">
      <w:start w:val="1"/>
      <w:numFmt w:val="bullet"/>
      <w:lvlText w:val="●"/>
      <w:lvlJc w:val="left"/>
      <w:pPr>
        <w:ind w:left="2880" w:hanging="360"/>
      </w:pPr>
    </w:lvl>
    <w:lvl w:ilvl="4" w:tplc="F1249416">
      <w:start w:val="1"/>
      <w:numFmt w:val="bullet"/>
      <w:lvlText w:val="○"/>
      <w:lvlJc w:val="left"/>
      <w:pPr>
        <w:ind w:left="3600" w:hanging="360"/>
      </w:pPr>
    </w:lvl>
    <w:lvl w:ilvl="5" w:tplc="AD8AFD92">
      <w:start w:val="1"/>
      <w:numFmt w:val="bullet"/>
      <w:lvlText w:val="■"/>
      <w:lvlJc w:val="left"/>
      <w:pPr>
        <w:ind w:left="4320" w:hanging="360"/>
      </w:pPr>
    </w:lvl>
    <w:lvl w:ilvl="6" w:tplc="874614F4">
      <w:start w:val="1"/>
      <w:numFmt w:val="bullet"/>
      <w:lvlText w:val="●"/>
      <w:lvlJc w:val="left"/>
      <w:pPr>
        <w:ind w:left="5040" w:hanging="360"/>
      </w:pPr>
    </w:lvl>
    <w:lvl w:ilvl="7" w:tplc="27BE13AE">
      <w:start w:val="1"/>
      <w:numFmt w:val="bullet"/>
      <w:lvlText w:val="●"/>
      <w:lvlJc w:val="left"/>
      <w:pPr>
        <w:ind w:left="5760" w:hanging="360"/>
      </w:pPr>
    </w:lvl>
    <w:lvl w:ilvl="8" w:tplc="6D90C93E">
      <w:start w:val="1"/>
      <w:numFmt w:val="bullet"/>
      <w:lvlText w:val="●"/>
      <w:lvlJc w:val="left"/>
      <w:pPr>
        <w:ind w:left="6480" w:hanging="360"/>
      </w:pPr>
    </w:lvl>
  </w:abstractNum>
  <w:num w:numId="1" w16cid:durableId="1899896745">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E4C28"/>
    <w:rsid w:val="00064F2E"/>
    <w:rsid w:val="000B4FBE"/>
    <w:rsid w:val="000D4C98"/>
    <w:rsid w:val="00132B87"/>
    <w:rsid w:val="006B635F"/>
    <w:rsid w:val="007641F0"/>
    <w:rsid w:val="007B340B"/>
    <w:rsid w:val="009C50CE"/>
    <w:rsid w:val="00A42CBC"/>
    <w:rsid w:val="00A55A3B"/>
    <w:rsid w:val="00C43C45"/>
    <w:rsid w:val="00CE70EB"/>
    <w:rsid w:val="00DE4C28"/>
    <w:rsid w:val="00F06106"/>
    <w:rsid w:val="00F56143"/>
    <w:rsid w:val="00FE2A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BFC975"/>
  <w15:docId w15:val="{3B8B66E4-5195-4E2C-8642-68F808AA5F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pPr>
      <w:spacing w:before="300" w:after="160"/>
      <w:outlineLvl w:val="0"/>
    </w:pPr>
    <w:rPr>
      <w:b/>
      <w:bCs/>
      <w:color w:val="000000"/>
      <w:sz w:val="28"/>
      <w:szCs w:val="28"/>
    </w:rPr>
  </w:style>
  <w:style w:type="paragraph" w:styleId="Heading2">
    <w:name w:val="heading 2"/>
    <w:pPr>
      <w:spacing w:before="240" w:after="120"/>
      <w:outlineLvl w:val="1"/>
    </w:pPr>
    <w:rPr>
      <w:b/>
      <w:bCs/>
      <w:color w:val="000000"/>
      <w:sz w:val="24"/>
      <w:szCs w:val="24"/>
    </w:rPr>
  </w:style>
  <w:style w:type="paragraph" w:styleId="Heading3">
    <w:name w:val="heading 3"/>
    <w:qFormat/>
    <w:pPr>
      <w:outlineLvl w:val="2"/>
    </w:pPr>
    <w:rPr>
      <w:color w:val="1F4D78"/>
      <w:sz w:val="24"/>
      <w:szCs w:val="24"/>
    </w:rPr>
  </w:style>
  <w:style w:type="paragraph" w:styleId="Heading4">
    <w:name w:val="heading 4"/>
    <w:qFormat/>
    <w:pPr>
      <w:outlineLvl w:val="3"/>
    </w:pPr>
    <w:rPr>
      <w:i/>
      <w:iCs/>
      <w:color w:val="2E74B5"/>
    </w:rPr>
  </w:style>
  <w:style w:type="paragraph" w:styleId="Heading5">
    <w:name w:val="heading 5"/>
    <w:qFormat/>
    <w:pPr>
      <w:outlineLvl w:val="4"/>
    </w:pPr>
    <w:rPr>
      <w:color w:val="2E74B5"/>
    </w:rPr>
  </w:style>
  <w:style w:type="paragraph" w:styleId="Heading6">
    <w:name w:val="heading 6"/>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styleId="TOCHeading">
    <w:name w:val="TOC Heading"/>
    <w:basedOn w:val="Heading1"/>
    <w:next w:val="Normal"/>
    <w:uiPriority w:val="39"/>
    <w:unhideWhenUsed/>
    <w:qFormat/>
    <w:rsid w:val="000B4FBE"/>
    <w:pPr>
      <w:keepNext/>
      <w:keepLines/>
      <w:spacing w:before="240" w:after="0" w:line="259" w:lineRule="auto"/>
      <w:outlineLvl w:val="9"/>
    </w:pPr>
    <w:rPr>
      <w:rFonts w:asciiTheme="majorHAnsi" w:eastAsiaTheme="majorEastAsia" w:hAnsiTheme="majorHAnsi" w:cstheme="majorBidi"/>
      <w:b w:val="0"/>
      <w:bCs w:val="0"/>
      <w:color w:val="2E74B5" w:themeColor="accent1" w:themeShade="BF"/>
      <w:sz w:val="32"/>
      <w:szCs w:val="32"/>
      <w:lang w:val="en-US" w:eastAsia="en-US"/>
    </w:rPr>
  </w:style>
  <w:style w:type="paragraph" w:styleId="TOC1">
    <w:name w:val="toc 1"/>
    <w:basedOn w:val="Normal"/>
    <w:next w:val="Normal"/>
    <w:autoRedefine/>
    <w:uiPriority w:val="39"/>
    <w:unhideWhenUsed/>
    <w:rsid w:val="000B4FB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E9C0F1-BE5A-4960-8185-0EC7C77AD8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7</Pages>
  <Words>1752</Words>
  <Characters>9988</Characters>
  <Application>Microsoft Office Word</Application>
  <DocSecurity>0</DocSecurity>
  <Lines>83</Lines>
  <Paragraphs>23</Paragraphs>
  <ScaleCrop>false</ScaleCrop>
  <Company/>
  <LinksUpToDate>false</LinksUpToDate>
  <CharactersWithSpaces>11717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Prince Peter Ojeabulu Okhueidiata (2509560)</cp:lastModifiedBy>
  <cp:revision>7</cp:revision>
  <dcterms:created xsi:type="dcterms:W3CDTF">2026-03-21T21:52:00Z</dcterms:created>
  <dcterms:modified xsi:type="dcterms:W3CDTF">2026-04-17T13:02:00Z</dcterms:modified>
</cp:coreProperties>
</file>