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08C" w:rsidRDefault="0036708C" w:rsidP="00810EBC">
      <w:pPr>
        <w:ind w:left="720"/>
        <w:rPr>
          <w:rFonts w:ascii="Arial" w:hAnsi="Arial" w:cs="Arial"/>
          <w:iCs/>
          <w:color w:val="000000"/>
          <w:sz w:val="24"/>
          <w:szCs w:val="24"/>
          <w:shd w:val="clear" w:color="auto" w:fill="FFFFFF"/>
        </w:rPr>
      </w:pPr>
    </w:p>
    <w:p w:rsidR="0036708C" w:rsidRDefault="0036708C" w:rsidP="003A48EE">
      <w:pP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3A48EE">
      <w:pPr>
        <w:ind w:left="720"/>
        <w:jc w:val="cente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r>
        <w:rPr>
          <w:noProof/>
        </w:rPr>
        <w:drawing>
          <wp:inline distT="0" distB="0" distL="0" distR="0" wp14:anchorId="78252CFE" wp14:editId="453BF46C">
            <wp:extent cx="5285984"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70001" cy="1857867"/>
                    </a:xfrm>
                    <a:prstGeom prst="rect">
                      <a:avLst/>
                    </a:prstGeom>
                  </pic:spPr>
                </pic:pic>
              </a:graphicData>
            </a:graphic>
          </wp:inline>
        </w:drawing>
      </w: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6708C" w:rsidRDefault="003A48EE" w:rsidP="003A48EE">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sidR="004B598F">
        <w:rPr>
          <w:rFonts w:ascii="Arial" w:hAnsi="Arial" w:cs="Arial"/>
          <w:b/>
          <w:iCs/>
          <w:color w:val="000000"/>
          <w:sz w:val="36"/>
          <w:szCs w:val="36"/>
          <w:shd w:val="clear" w:color="auto" w:fill="FFFFFF"/>
        </w:rPr>
        <w:t>–</w:t>
      </w:r>
      <w:r w:rsidRPr="003A48EE">
        <w:rPr>
          <w:rFonts w:ascii="Arial" w:hAnsi="Arial" w:cs="Arial"/>
          <w:b/>
          <w:iCs/>
          <w:color w:val="000000"/>
          <w:sz w:val="36"/>
          <w:szCs w:val="36"/>
          <w:shd w:val="clear" w:color="auto" w:fill="FFFFFF"/>
        </w:rPr>
        <w:t xml:space="preserve"> </w:t>
      </w:r>
      <w:r w:rsidR="004B598F">
        <w:rPr>
          <w:rFonts w:ascii="Arial" w:hAnsi="Arial" w:cs="Arial"/>
          <w:b/>
          <w:iCs/>
          <w:color w:val="000000"/>
          <w:sz w:val="36"/>
          <w:szCs w:val="36"/>
          <w:shd w:val="clear" w:color="auto" w:fill="FFFFFF"/>
        </w:rPr>
        <w:t>Submission 1 – Background Information</w:t>
      </w: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4B598F" w:rsidRDefault="003A48EE" w:rsidP="004B598F">
      <w:pPr>
        <w:ind w:left="720"/>
        <w:jc w:val="center"/>
        <w:rPr>
          <w:rFonts w:ascii="Arial" w:hAnsi="Arial" w:cs="Arial"/>
          <w:iCs/>
          <w:color w:val="000000"/>
          <w:sz w:val="24"/>
          <w:szCs w:val="24"/>
          <w:shd w:val="clear" w:color="auto" w:fill="FFFFFF"/>
        </w:rPr>
      </w:pPr>
      <w:r>
        <w:rPr>
          <w:noProof/>
        </w:rPr>
        <w:drawing>
          <wp:inline distT="0" distB="0" distL="0" distR="0" wp14:anchorId="08FF647D" wp14:editId="48BEC19D">
            <wp:extent cx="5161280" cy="246675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2495" cy="2496011"/>
                    </a:xfrm>
                    <a:prstGeom prst="rect">
                      <a:avLst/>
                    </a:prstGeom>
                  </pic:spPr>
                </pic:pic>
              </a:graphicData>
            </a:graphic>
          </wp:inline>
        </w:drawing>
      </w:r>
    </w:p>
    <w:p w:rsidR="004B598F" w:rsidRDefault="004B598F" w:rsidP="004B598F">
      <w:pPr>
        <w:ind w:left="720"/>
        <w:rPr>
          <w:rFonts w:ascii="Arial" w:hAnsi="Arial" w:cs="Arial"/>
          <w:iCs/>
          <w:color w:val="000000"/>
          <w:sz w:val="24"/>
          <w:szCs w:val="24"/>
          <w:shd w:val="clear" w:color="auto" w:fill="FFFFFF"/>
        </w:rPr>
      </w:pPr>
    </w:p>
    <w:p w:rsidR="00810EBC" w:rsidRPr="004B598F" w:rsidRDefault="00810EBC" w:rsidP="004B598F">
      <w:pPr>
        <w:ind w:left="720"/>
        <w:rPr>
          <w:rFonts w:ascii="Arial" w:hAnsi="Arial" w:cs="Arial"/>
          <w:b/>
          <w:iCs/>
          <w:color w:val="000000"/>
          <w:sz w:val="36"/>
          <w:szCs w:val="36"/>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810EBC" w:rsidRDefault="00810EBC" w:rsidP="00810EBC">
      <w:pPr>
        <w:ind w:left="720"/>
        <w:rPr>
          <w:rStyle w:val="lrzxr"/>
          <w:rFonts w:ascii="Arial" w:hAnsi="Arial" w:cs="Arial"/>
          <w:color w:val="222222"/>
          <w:sz w:val="24"/>
          <w:szCs w:val="24"/>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BD1C44" w:rsidRDefault="00BD1C44" w:rsidP="00810EBC">
      <w:pPr>
        <w:ind w:left="720"/>
        <w:rPr>
          <w:rFonts w:ascii="Arial" w:hAnsi="Arial" w:cs="Arial"/>
          <w:iCs/>
          <w:color w:val="000000"/>
          <w:sz w:val="24"/>
          <w:szCs w:val="24"/>
          <w:shd w:val="clear" w:color="auto" w:fill="FFFFFF"/>
        </w:rPr>
      </w:pPr>
    </w:p>
    <w:p w:rsidR="00BD1C44" w:rsidRDefault="00BD1C44" w:rsidP="00810EBC">
      <w:pPr>
        <w:ind w:left="720"/>
        <w:rPr>
          <w:rFonts w:ascii="Arial" w:hAnsi="Arial" w:cs="Arial"/>
          <w:iCs/>
          <w:color w:val="000000"/>
          <w:sz w:val="24"/>
          <w:szCs w:val="24"/>
          <w:shd w:val="clear" w:color="auto" w:fill="FFFFFF"/>
        </w:rPr>
      </w:pPr>
    </w:p>
    <w:p w:rsidR="00BD1C44" w:rsidRDefault="00BD1C44" w:rsidP="00810EBC">
      <w:pPr>
        <w:ind w:left="720"/>
        <w:rPr>
          <w:rFonts w:ascii="Arial" w:hAnsi="Arial" w:cs="Arial"/>
          <w:iCs/>
          <w:color w:val="000000"/>
          <w:sz w:val="24"/>
          <w:szCs w:val="24"/>
          <w:u w:val="single"/>
          <w:shd w:val="clear" w:color="auto" w:fill="FFFFFF"/>
        </w:rPr>
      </w:pPr>
      <w:r w:rsidRPr="00BD1C44">
        <w:rPr>
          <w:rFonts w:ascii="Arial" w:hAnsi="Arial" w:cs="Arial"/>
          <w:iCs/>
          <w:color w:val="000000"/>
          <w:sz w:val="24"/>
          <w:szCs w:val="24"/>
          <w:u w:val="single"/>
          <w:shd w:val="clear" w:color="auto" w:fill="FFFFFF"/>
        </w:rPr>
        <w:t>Introduction</w:t>
      </w:r>
    </w:p>
    <w:p w:rsidR="00BD1C44" w:rsidRDefault="00BD1C44" w:rsidP="00810EBC">
      <w:pPr>
        <w:ind w:left="720"/>
        <w:rPr>
          <w:rFonts w:ascii="Arial" w:hAnsi="Arial" w:cs="Arial"/>
          <w:iCs/>
          <w:color w:val="000000"/>
          <w:sz w:val="24"/>
          <w:szCs w:val="24"/>
          <w:u w:val="single"/>
          <w:shd w:val="clear" w:color="auto" w:fill="FFFFFF"/>
        </w:rPr>
      </w:pPr>
    </w:p>
    <w:p w:rsidR="00BD1C44" w:rsidRDefault="007C4ADC" w:rsidP="00810EB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Work based learning is a </w:t>
      </w:r>
      <w:r w:rsidR="004353CF">
        <w:rPr>
          <w:rFonts w:ascii="Arial" w:hAnsi="Arial" w:cs="Arial"/>
          <w:iCs/>
          <w:color w:val="000000"/>
          <w:sz w:val="24"/>
          <w:szCs w:val="24"/>
          <w:shd w:val="clear" w:color="auto" w:fill="FFFFFF"/>
        </w:rPr>
        <w:t>process being increasingly implemented as employers and educational institutions recognise the value of providing “students with the opportunity to put into practice with real-life work experiences” (Hyndman, 2020)</w:t>
      </w:r>
      <w:r w:rsidR="009A32F9">
        <w:rPr>
          <w:rFonts w:ascii="Arial" w:hAnsi="Arial" w:cs="Arial"/>
          <w:iCs/>
          <w:color w:val="000000"/>
          <w:sz w:val="24"/>
          <w:szCs w:val="24"/>
          <w:shd w:val="clear" w:color="auto" w:fill="FFFFFF"/>
        </w:rPr>
        <w:t>.  In conjunction with this a reflective journal will be formulated profiling the events and processes that provide additional experiences and knowledge.  This will be undertaken via</w:t>
      </w:r>
      <w:r w:rsidR="0047082A">
        <w:rPr>
          <w:rFonts w:ascii="Arial" w:hAnsi="Arial" w:cs="Arial"/>
          <w:iCs/>
          <w:color w:val="000000"/>
          <w:sz w:val="24"/>
          <w:szCs w:val="24"/>
          <w:shd w:val="clear" w:color="auto" w:fill="FFFFFF"/>
        </w:rPr>
        <w:t xml:space="preserve"> current ongoing </w:t>
      </w:r>
      <w:proofErr w:type="gramStart"/>
      <w:r w:rsidR="0047082A">
        <w:rPr>
          <w:rFonts w:ascii="Arial" w:hAnsi="Arial" w:cs="Arial"/>
          <w:iCs/>
          <w:color w:val="000000"/>
          <w:sz w:val="24"/>
          <w:szCs w:val="24"/>
          <w:shd w:val="clear" w:color="auto" w:fill="FFFFFF"/>
        </w:rPr>
        <w:t>full time</w:t>
      </w:r>
      <w:proofErr w:type="gramEnd"/>
      <w:r w:rsidR="0047082A">
        <w:rPr>
          <w:rFonts w:ascii="Arial" w:hAnsi="Arial" w:cs="Arial"/>
          <w:iCs/>
          <w:color w:val="000000"/>
          <w:sz w:val="24"/>
          <w:szCs w:val="24"/>
          <w:shd w:val="clear" w:color="auto" w:fill="FFFFFF"/>
        </w:rPr>
        <w:t xml:space="preserve"> employment at </w:t>
      </w:r>
      <w:proofErr w:type="spellStart"/>
      <w:r w:rsidR="0047082A">
        <w:rPr>
          <w:rFonts w:ascii="Arial" w:hAnsi="Arial" w:cs="Arial"/>
          <w:iCs/>
          <w:color w:val="000000"/>
          <w:sz w:val="24"/>
          <w:szCs w:val="24"/>
          <w:shd w:val="clear" w:color="auto" w:fill="FFFFFF"/>
        </w:rPr>
        <w:t>Dwr</w:t>
      </w:r>
      <w:proofErr w:type="spellEnd"/>
      <w:r w:rsidR="0047082A">
        <w:rPr>
          <w:rFonts w:ascii="Arial" w:hAnsi="Arial" w:cs="Arial"/>
          <w:iCs/>
          <w:color w:val="000000"/>
          <w:sz w:val="24"/>
          <w:szCs w:val="24"/>
          <w:shd w:val="clear" w:color="auto" w:fill="FFFFFF"/>
        </w:rPr>
        <w:t xml:space="preserve"> Cymru Welsh Water (DCWW).</w:t>
      </w:r>
    </w:p>
    <w:p w:rsidR="0047082A" w:rsidRDefault="0047082A" w:rsidP="0047082A">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DCWW are a non-profit regulated utility company that are charged with providing clean drinking water and removing effluent for over 3 million customers across Wales as well parts of England.  These responsibilities necessitate a high of level of customer care and subsequent maintenance, upgrade and renewal of equipment, apparatus and infrastructure.  </w:t>
      </w:r>
    </w:p>
    <w:p w:rsidR="00E92ABC" w:rsidRDefault="00D33F92" w:rsidP="00E92AB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Dedicated teams ranging from billing, network, asset planning and capital delivery work to remedy issues and undertake activities designed to maintain a safe, reliable supply of clean water to the residents under DCWW’s jurisdiction.  One such scheme currently underway will renew nearly 20 kilometres of water mains in the Sandfields area of Port Talbot in South Wales.  </w:t>
      </w: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u w:val="single"/>
          <w:shd w:val="clear" w:color="auto" w:fill="FFFFFF"/>
        </w:rPr>
      </w:pPr>
      <w:r>
        <w:rPr>
          <w:rFonts w:ascii="Arial" w:hAnsi="Arial" w:cs="Arial"/>
          <w:iCs/>
          <w:color w:val="000000"/>
          <w:sz w:val="24"/>
          <w:szCs w:val="24"/>
          <w:u w:val="single"/>
          <w:shd w:val="clear" w:color="auto" w:fill="FFFFFF"/>
        </w:rPr>
        <w:lastRenderedPageBreak/>
        <w:t>G18 Zonal Study scheme – Sandfields</w:t>
      </w:r>
    </w:p>
    <w:p w:rsidR="00E92ABC" w:rsidRDefault="00E92ABC" w:rsidP="00E92ABC">
      <w:pPr>
        <w:ind w:left="720"/>
        <w:rPr>
          <w:rFonts w:ascii="Arial" w:hAnsi="Arial" w:cs="Arial"/>
          <w:iCs/>
          <w:color w:val="000000"/>
          <w:sz w:val="24"/>
          <w:szCs w:val="24"/>
          <w:u w:val="single"/>
          <w:shd w:val="clear" w:color="auto" w:fill="FFFFFF"/>
        </w:rPr>
      </w:pPr>
    </w:p>
    <w:p w:rsidR="00E92ABC" w:rsidRDefault="00E92ABC" w:rsidP="00E92AB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current infrastructure relaying the water to the roughly 3000 properties in the ‘zone’ was installed in the 1930’s/40’s in very sandy substrate when the sand dunes were colonised to house workers required for the expanding nearby steelworks.  </w:t>
      </w:r>
      <w:r w:rsidR="007F3724">
        <w:rPr>
          <w:rFonts w:ascii="Arial" w:hAnsi="Arial" w:cs="Arial"/>
          <w:iCs/>
          <w:color w:val="000000"/>
          <w:sz w:val="24"/>
          <w:szCs w:val="24"/>
          <w:shd w:val="clear" w:color="auto" w:fill="FFFFFF"/>
        </w:rPr>
        <w:t>At an estimated cost of nearly £10million, t</w:t>
      </w:r>
      <w:r>
        <w:rPr>
          <w:rFonts w:ascii="Arial" w:hAnsi="Arial" w:cs="Arial"/>
          <w:iCs/>
          <w:color w:val="000000"/>
          <w:sz w:val="24"/>
          <w:szCs w:val="24"/>
          <w:shd w:val="clear" w:color="auto" w:fill="FFFFFF"/>
        </w:rPr>
        <w:t>he scheme was developed to improve water quality and pressure issues in the region, following on from a sizeable amount of customer complaints and sampling evidence.  Such matters are governed by the Water Services Regulation Authority (OFWAT) who have imposed the requirement to act swiftly upon DCWW.  Failure to comply could result in financial penalties for the company.</w:t>
      </w:r>
    </w:p>
    <w:p w:rsidR="00010C14" w:rsidRDefault="00E92ABC" w:rsidP="00E92AB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00C946EF">
        <w:rPr>
          <w:rFonts w:ascii="Arial" w:hAnsi="Arial" w:cs="Arial"/>
          <w:iCs/>
          <w:color w:val="000000"/>
          <w:sz w:val="24"/>
          <w:szCs w:val="24"/>
          <w:shd w:val="clear" w:color="auto" w:fill="FFFFFF"/>
        </w:rPr>
        <w:t>The Capital Delivery arm of DCWW was given the responsibility of delivering the scheme, in partnership with a design agency ‘</w:t>
      </w:r>
      <w:proofErr w:type="spellStart"/>
      <w:r w:rsidR="00C946EF">
        <w:rPr>
          <w:rFonts w:ascii="Arial" w:hAnsi="Arial" w:cs="Arial"/>
          <w:iCs/>
          <w:color w:val="000000"/>
          <w:sz w:val="24"/>
          <w:szCs w:val="24"/>
          <w:shd w:val="clear" w:color="auto" w:fill="FFFFFF"/>
        </w:rPr>
        <w:t>Waterco</w:t>
      </w:r>
      <w:proofErr w:type="spellEnd"/>
      <w:r w:rsidR="00C946EF">
        <w:rPr>
          <w:rFonts w:ascii="Arial" w:hAnsi="Arial" w:cs="Arial"/>
          <w:iCs/>
          <w:color w:val="000000"/>
          <w:sz w:val="24"/>
          <w:szCs w:val="24"/>
          <w:shd w:val="clear" w:color="auto" w:fill="FFFFFF"/>
        </w:rPr>
        <w:t>’ and a civil engineering contractor firm ‘O Connor Utilities’</w:t>
      </w:r>
      <w:r w:rsidR="00C83A2F">
        <w:rPr>
          <w:rFonts w:ascii="Arial" w:hAnsi="Arial" w:cs="Arial"/>
          <w:iCs/>
          <w:color w:val="000000"/>
          <w:sz w:val="24"/>
          <w:szCs w:val="24"/>
          <w:shd w:val="clear" w:color="auto" w:fill="FFFFFF"/>
        </w:rPr>
        <w:t xml:space="preserve"> (OCU)</w:t>
      </w:r>
      <w:r w:rsidR="00C946EF">
        <w:rPr>
          <w:rFonts w:ascii="Arial" w:hAnsi="Arial" w:cs="Arial"/>
          <w:iCs/>
          <w:color w:val="000000"/>
          <w:sz w:val="24"/>
          <w:szCs w:val="24"/>
          <w:shd w:val="clear" w:color="auto" w:fill="FFFFFF"/>
        </w:rPr>
        <w:t>.  They will be utilising a range of techniques such as ‘open-cutting’, ‘pipe-bursting’ and ‘slip-lining’ to replace the current corroded iron infrastructure with new UPVC plastic pipes.  Such contractual relationships necessitated</w:t>
      </w:r>
      <w:r w:rsidR="00010C14">
        <w:rPr>
          <w:rFonts w:ascii="Arial" w:hAnsi="Arial" w:cs="Arial"/>
          <w:iCs/>
          <w:color w:val="000000"/>
          <w:sz w:val="24"/>
          <w:szCs w:val="24"/>
          <w:shd w:val="clear" w:color="auto" w:fill="FFFFFF"/>
        </w:rPr>
        <w:t xml:space="preserve"> extensive pre-project planning and</w:t>
      </w:r>
      <w:r w:rsidR="00C946EF">
        <w:rPr>
          <w:rFonts w:ascii="Arial" w:hAnsi="Arial" w:cs="Arial"/>
          <w:iCs/>
          <w:color w:val="000000"/>
          <w:sz w:val="24"/>
          <w:szCs w:val="24"/>
          <w:shd w:val="clear" w:color="auto" w:fill="FFFFFF"/>
        </w:rPr>
        <w:t xml:space="preserve"> </w:t>
      </w:r>
      <w:r w:rsidR="00010C14">
        <w:rPr>
          <w:rFonts w:ascii="Arial" w:hAnsi="Arial" w:cs="Arial"/>
          <w:iCs/>
          <w:color w:val="000000"/>
          <w:sz w:val="24"/>
          <w:szCs w:val="24"/>
          <w:shd w:val="clear" w:color="auto" w:fill="FFFFFF"/>
        </w:rPr>
        <w:t>the implementation of DCWW’s internal procurement and commercial teams and procedures.</w:t>
      </w:r>
    </w:p>
    <w:p w:rsidR="0011746E" w:rsidRDefault="00010C14"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Scheme pre-planning also identified the need for intensive involvement with the companies Estates and Communications Departments to negotiate private land entry and relay information to the residents.  Their buy-in and support would be crucial in carrying out the project</w:t>
      </w:r>
      <w:r w:rsidR="0011746E">
        <w:rPr>
          <w:rFonts w:ascii="Arial" w:hAnsi="Arial" w:cs="Arial"/>
          <w:iCs/>
          <w:color w:val="000000"/>
          <w:sz w:val="24"/>
          <w:szCs w:val="24"/>
          <w:shd w:val="clear" w:color="auto" w:fill="FFFFFF"/>
        </w:rPr>
        <w:t>.  Public events were held in a local community hall with the project team present to provide information to residents.  The profile of Welsh Water will be very visible throughout the work prominent branding on site:</w:t>
      </w:r>
    </w:p>
    <w:p w:rsidR="0011746E" w:rsidRDefault="0011746E" w:rsidP="00010C14">
      <w:pPr>
        <w:ind w:left="720"/>
        <w:rPr>
          <w:rFonts w:ascii="Arial" w:hAnsi="Arial" w:cs="Arial"/>
          <w:iCs/>
          <w:color w:val="000000"/>
          <w:sz w:val="24"/>
          <w:szCs w:val="24"/>
          <w:shd w:val="clear" w:color="auto" w:fill="FFFFFF"/>
        </w:rPr>
      </w:pPr>
    </w:p>
    <w:p w:rsidR="0011746E" w:rsidRDefault="0011746E" w:rsidP="0011746E">
      <w:pPr>
        <w:ind w:left="720"/>
        <w:jc w:val="center"/>
        <w:rPr>
          <w:rFonts w:ascii="Arial" w:hAnsi="Arial" w:cs="Arial"/>
          <w:iCs/>
          <w:color w:val="000000"/>
          <w:sz w:val="24"/>
          <w:szCs w:val="24"/>
          <w:shd w:val="clear" w:color="auto" w:fill="FFFFFF"/>
        </w:rPr>
      </w:pPr>
      <w:r>
        <w:rPr>
          <w:noProof/>
        </w:rPr>
        <w:drawing>
          <wp:inline distT="0" distB="0" distL="0" distR="0">
            <wp:extent cx="3703320" cy="27774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04010" cy="2778008"/>
                    </a:xfrm>
                    <a:prstGeom prst="rect">
                      <a:avLst/>
                    </a:prstGeom>
                    <a:noFill/>
                    <a:ln>
                      <a:noFill/>
                    </a:ln>
                  </pic:spPr>
                </pic:pic>
              </a:graphicData>
            </a:graphic>
          </wp:inline>
        </w:drawing>
      </w:r>
    </w:p>
    <w:p w:rsidR="0011746E" w:rsidRDefault="0011746E" w:rsidP="00010C14">
      <w:pPr>
        <w:ind w:left="720"/>
        <w:rPr>
          <w:rFonts w:ascii="Arial" w:hAnsi="Arial" w:cs="Arial"/>
          <w:iCs/>
          <w:color w:val="000000"/>
          <w:sz w:val="24"/>
          <w:szCs w:val="24"/>
          <w:shd w:val="clear" w:color="auto" w:fill="FFFFFF"/>
        </w:rPr>
      </w:pPr>
    </w:p>
    <w:p w:rsidR="0011746E" w:rsidRDefault="0011746E"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Image 1: </w:t>
      </w:r>
      <w:bookmarkStart w:id="0" w:name="_Hlk29465597"/>
      <w:r w:rsidRPr="0011746E">
        <w:rPr>
          <w:rFonts w:ascii="Arial" w:hAnsi="Arial" w:cs="Arial"/>
          <w:i/>
          <w:iCs/>
          <w:color w:val="000000"/>
          <w:sz w:val="24"/>
          <w:szCs w:val="24"/>
          <w:shd w:val="clear" w:color="auto" w:fill="FFFFFF"/>
        </w:rPr>
        <w:t>View of DCWW branded barriers protecting working area</w:t>
      </w:r>
      <w:r w:rsidR="007F3724">
        <w:rPr>
          <w:rFonts w:ascii="Arial" w:hAnsi="Arial" w:cs="Arial"/>
          <w:i/>
          <w:iCs/>
          <w:color w:val="000000"/>
          <w:sz w:val="24"/>
          <w:szCs w:val="24"/>
          <w:shd w:val="clear" w:color="auto" w:fill="FFFFFF"/>
        </w:rPr>
        <w:t xml:space="preserve"> at Silver Close, Sandfields, Port Talbot</w:t>
      </w:r>
      <w:r>
        <w:rPr>
          <w:rFonts w:ascii="Arial" w:hAnsi="Arial" w:cs="Arial"/>
          <w:iCs/>
          <w:color w:val="000000"/>
          <w:sz w:val="24"/>
          <w:szCs w:val="24"/>
          <w:shd w:val="clear" w:color="auto" w:fill="FFFFFF"/>
        </w:rPr>
        <w:t xml:space="preserve"> </w:t>
      </w:r>
      <w:bookmarkEnd w:id="0"/>
      <w:r>
        <w:rPr>
          <w:rFonts w:ascii="Arial" w:hAnsi="Arial" w:cs="Arial"/>
          <w:iCs/>
          <w:color w:val="000000"/>
          <w:sz w:val="24"/>
          <w:szCs w:val="24"/>
          <w:shd w:val="clear" w:color="auto" w:fill="FFFFFF"/>
        </w:rPr>
        <w:t>(authors own collection, 2019)</w:t>
      </w:r>
    </w:p>
    <w:p w:rsidR="0011746E" w:rsidRDefault="0011746E" w:rsidP="00010C14">
      <w:pPr>
        <w:ind w:left="720"/>
        <w:rPr>
          <w:rFonts w:ascii="Arial" w:hAnsi="Arial" w:cs="Arial"/>
          <w:iCs/>
          <w:color w:val="000000"/>
          <w:sz w:val="24"/>
          <w:szCs w:val="24"/>
          <w:shd w:val="clear" w:color="auto" w:fill="FFFFFF"/>
        </w:rPr>
      </w:pPr>
    </w:p>
    <w:p w:rsidR="0011746E" w:rsidRDefault="0011746E"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Members of the communications team are scheduled to regularly attend site and all residents have been issued with an information pack with contact details.</w:t>
      </w:r>
    </w:p>
    <w:p w:rsidR="0011746E" w:rsidRDefault="0011746E" w:rsidP="00010C14">
      <w:pPr>
        <w:ind w:left="720"/>
        <w:rPr>
          <w:rFonts w:ascii="Arial" w:hAnsi="Arial" w:cs="Arial"/>
          <w:iCs/>
          <w:color w:val="000000"/>
          <w:sz w:val="24"/>
          <w:szCs w:val="24"/>
          <w:shd w:val="clear" w:color="auto" w:fill="FFFFFF"/>
        </w:rPr>
      </w:pPr>
    </w:p>
    <w:p w:rsidR="00010C14" w:rsidRDefault="00010C14"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Other internal stakeholders included the financial, street</w:t>
      </w:r>
      <w:r w:rsidR="0011746E">
        <w:rPr>
          <w:rFonts w:ascii="Arial" w:hAnsi="Arial" w:cs="Arial"/>
          <w:iCs/>
          <w:color w:val="000000"/>
          <w:sz w:val="24"/>
          <w:szCs w:val="24"/>
          <w:shd w:val="clear" w:color="auto" w:fill="FFFFFF"/>
        </w:rPr>
        <w:t>-</w:t>
      </w:r>
      <w:r>
        <w:rPr>
          <w:rFonts w:ascii="Arial" w:hAnsi="Arial" w:cs="Arial"/>
          <w:iCs/>
          <w:color w:val="000000"/>
          <w:sz w:val="24"/>
          <w:szCs w:val="24"/>
          <w:shd w:val="clear" w:color="auto" w:fill="FFFFFF"/>
        </w:rPr>
        <w:t xml:space="preserve">works, sampling and network teams.  External bodies heavily subject to constant consultation are Neath Port Talbot County Council, the </w:t>
      </w:r>
      <w:r w:rsidR="0011746E">
        <w:rPr>
          <w:rFonts w:ascii="Arial" w:hAnsi="Arial" w:cs="Arial"/>
          <w:iCs/>
          <w:color w:val="000000"/>
          <w:sz w:val="24"/>
          <w:szCs w:val="24"/>
          <w:shd w:val="clear" w:color="auto" w:fill="FFFFFF"/>
        </w:rPr>
        <w:t>Fire Service and Housing Associations.</w:t>
      </w:r>
    </w:p>
    <w:p w:rsidR="00C83A2F" w:rsidRDefault="0011746E"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The work on site commenced during July 2020 and is due to continue until April 2020</w:t>
      </w:r>
      <w:r w:rsidR="00C83A2F">
        <w:rPr>
          <w:rFonts w:ascii="Arial" w:hAnsi="Arial" w:cs="Arial"/>
          <w:iCs/>
          <w:color w:val="000000"/>
          <w:sz w:val="24"/>
          <w:szCs w:val="24"/>
          <w:shd w:val="clear" w:color="auto" w:fill="FFFFFF"/>
        </w:rPr>
        <w:t xml:space="preserve"> at several areas throughout the housing estate:</w:t>
      </w:r>
    </w:p>
    <w:p w:rsidR="00C83A2F" w:rsidRDefault="00C83A2F" w:rsidP="00010C14">
      <w:pPr>
        <w:ind w:left="720"/>
        <w:rPr>
          <w:rFonts w:ascii="Arial" w:hAnsi="Arial" w:cs="Arial"/>
          <w:iCs/>
          <w:color w:val="000000"/>
          <w:sz w:val="24"/>
          <w:szCs w:val="24"/>
          <w:shd w:val="clear" w:color="auto" w:fill="FFFFFF"/>
        </w:rPr>
      </w:pPr>
    </w:p>
    <w:p w:rsidR="00C83A2F" w:rsidRDefault="00C83A2F" w:rsidP="00C83A2F">
      <w:pPr>
        <w:ind w:left="720"/>
        <w:jc w:val="center"/>
        <w:rPr>
          <w:rFonts w:ascii="Arial" w:hAnsi="Arial" w:cs="Arial"/>
          <w:iCs/>
          <w:color w:val="000000"/>
          <w:sz w:val="24"/>
          <w:szCs w:val="24"/>
          <w:shd w:val="clear" w:color="auto" w:fill="FFFFFF"/>
        </w:rPr>
      </w:pPr>
      <w:r>
        <w:rPr>
          <w:noProof/>
        </w:rPr>
        <w:drawing>
          <wp:inline distT="0" distB="0" distL="0" distR="0" wp14:anchorId="6BE5C568" wp14:editId="548A7283">
            <wp:extent cx="5731510" cy="46602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60265"/>
                    </a:xfrm>
                    <a:prstGeom prst="rect">
                      <a:avLst/>
                    </a:prstGeom>
                  </pic:spPr>
                </pic:pic>
              </a:graphicData>
            </a:graphic>
          </wp:inline>
        </w:drawing>
      </w:r>
    </w:p>
    <w:p w:rsidR="00C83A2F" w:rsidRDefault="00C83A2F" w:rsidP="00010C14">
      <w:pPr>
        <w:ind w:left="720"/>
        <w:rPr>
          <w:rFonts w:ascii="Arial" w:hAnsi="Arial" w:cs="Arial"/>
          <w:iCs/>
          <w:color w:val="000000"/>
          <w:sz w:val="24"/>
          <w:szCs w:val="24"/>
          <w:shd w:val="clear" w:color="auto" w:fill="FFFFFF"/>
        </w:rPr>
      </w:pPr>
    </w:p>
    <w:p w:rsidR="00C83A2F" w:rsidRPr="00C83A2F" w:rsidRDefault="00C83A2F" w:rsidP="00C83A2F">
      <w:pPr>
        <w:ind w:left="720"/>
        <w:rPr>
          <w:rFonts w:ascii="Arial" w:hAnsi="Arial" w:cs="Arial"/>
          <w:i/>
          <w:iCs/>
          <w:color w:val="000000"/>
          <w:sz w:val="24"/>
          <w:szCs w:val="24"/>
          <w:shd w:val="clear" w:color="auto" w:fill="FFFFFF"/>
        </w:rPr>
      </w:pPr>
      <w:r>
        <w:rPr>
          <w:rFonts w:ascii="Arial" w:hAnsi="Arial" w:cs="Arial"/>
          <w:iCs/>
          <w:color w:val="000000"/>
          <w:sz w:val="24"/>
          <w:szCs w:val="24"/>
          <w:shd w:val="clear" w:color="auto" w:fill="FFFFFF"/>
        </w:rPr>
        <w:t xml:space="preserve">Image 2: </w:t>
      </w:r>
      <w:bookmarkStart w:id="1" w:name="_Hlk29465681"/>
      <w:r>
        <w:rPr>
          <w:rFonts w:ascii="Arial" w:hAnsi="Arial" w:cs="Arial"/>
          <w:i/>
          <w:iCs/>
          <w:color w:val="000000"/>
          <w:sz w:val="24"/>
          <w:szCs w:val="24"/>
          <w:shd w:val="clear" w:color="auto" w:fill="FFFFFF"/>
        </w:rPr>
        <w:t>Extent plan of whole scheme</w:t>
      </w:r>
      <w:r>
        <w:rPr>
          <w:rFonts w:ascii="Arial" w:hAnsi="Arial" w:cs="Arial"/>
          <w:iCs/>
          <w:color w:val="000000"/>
          <w:sz w:val="24"/>
          <w:szCs w:val="24"/>
          <w:shd w:val="clear" w:color="auto" w:fill="FFFFFF"/>
        </w:rPr>
        <w:t xml:space="preserve"> </w:t>
      </w:r>
      <w:bookmarkEnd w:id="1"/>
      <w:r>
        <w:rPr>
          <w:rFonts w:ascii="Arial" w:hAnsi="Arial" w:cs="Arial"/>
          <w:iCs/>
          <w:color w:val="000000"/>
          <w:sz w:val="24"/>
          <w:szCs w:val="24"/>
          <w:shd w:val="clear" w:color="auto" w:fill="FFFFFF"/>
        </w:rPr>
        <w:t>(</w:t>
      </w:r>
      <w:proofErr w:type="spellStart"/>
      <w:r>
        <w:rPr>
          <w:rFonts w:ascii="Arial" w:hAnsi="Arial" w:cs="Arial"/>
          <w:iCs/>
          <w:color w:val="000000"/>
          <w:sz w:val="24"/>
          <w:szCs w:val="24"/>
          <w:shd w:val="clear" w:color="auto" w:fill="FFFFFF"/>
        </w:rPr>
        <w:t>Waterco</w:t>
      </w:r>
      <w:proofErr w:type="spellEnd"/>
      <w:r>
        <w:rPr>
          <w:rFonts w:ascii="Arial" w:hAnsi="Arial" w:cs="Arial"/>
          <w:iCs/>
          <w:color w:val="000000"/>
          <w:sz w:val="24"/>
          <w:szCs w:val="24"/>
          <w:shd w:val="clear" w:color="auto" w:fill="FFFFFF"/>
        </w:rPr>
        <w:t>, 2019)</w:t>
      </w:r>
    </w:p>
    <w:p w:rsidR="00C83A2F" w:rsidRDefault="00C83A2F" w:rsidP="00C83A2F">
      <w:pPr>
        <w:rPr>
          <w:rFonts w:ascii="Arial" w:hAnsi="Arial" w:cs="Arial"/>
          <w:iCs/>
          <w:color w:val="000000"/>
          <w:sz w:val="24"/>
          <w:szCs w:val="24"/>
          <w:shd w:val="clear" w:color="auto" w:fill="FFFFFF"/>
        </w:rPr>
      </w:pPr>
    </w:p>
    <w:p w:rsidR="0011746E" w:rsidRDefault="0011746E" w:rsidP="00010C1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Due to the extent of work</w:t>
      </w:r>
      <w:r w:rsidR="00C83A2F">
        <w:rPr>
          <w:rFonts w:ascii="Arial" w:hAnsi="Arial" w:cs="Arial"/>
          <w:iCs/>
          <w:color w:val="000000"/>
          <w:sz w:val="24"/>
          <w:szCs w:val="24"/>
          <w:shd w:val="clear" w:color="auto" w:fill="FFFFFF"/>
        </w:rPr>
        <w:t xml:space="preserve">, </w:t>
      </w:r>
      <w:proofErr w:type="gramStart"/>
      <w:r w:rsidR="00C83A2F">
        <w:rPr>
          <w:rFonts w:ascii="Arial" w:hAnsi="Arial" w:cs="Arial"/>
          <w:iCs/>
          <w:color w:val="000000"/>
          <w:sz w:val="24"/>
          <w:szCs w:val="24"/>
          <w:shd w:val="clear" w:color="auto" w:fill="FFFFFF"/>
        </w:rPr>
        <w:t>a large number of</w:t>
      </w:r>
      <w:proofErr w:type="gramEnd"/>
      <w:r w:rsidR="00C83A2F">
        <w:rPr>
          <w:rFonts w:ascii="Arial" w:hAnsi="Arial" w:cs="Arial"/>
          <w:iCs/>
          <w:color w:val="000000"/>
          <w:sz w:val="24"/>
          <w:szCs w:val="24"/>
          <w:shd w:val="clear" w:color="auto" w:fill="FFFFFF"/>
        </w:rPr>
        <w:t xml:space="preserve"> OCU operatives will be working on site simultaneously, as much as 7 gangs made up of 5 workers</w:t>
      </w:r>
      <w:r w:rsidR="00AE46C1">
        <w:rPr>
          <w:rFonts w:ascii="Arial" w:hAnsi="Arial" w:cs="Arial"/>
          <w:iCs/>
          <w:color w:val="000000"/>
          <w:sz w:val="24"/>
          <w:szCs w:val="24"/>
          <w:shd w:val="clear" w:color="auto" w:fill="FFFFFF"/>
        </w:rPr>
        <w:t>, as well as various other sub contracted firms such as reinstatement and bricklaying cohorts.</w:t>
      </w: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ED14CC" w:rsidRDefault="00ED14CC" w:rsidP="00ED14CC">
      <w:pPr>
        <w:rPr>
          <w:rFonts w:ascii="Arial" w:hAnsi="Arial" w:cs="Arial"/>
          <w:iCs/>
          <w:color w:val="000000"/>
          <w:sz w:val="24"/>
          <w:szCs w:val="24"/>
          <w:shd w:val="clear" w:color="auto" w:fill="FFFFFF"/>
        </w:rPr>
      </w:pPr>
    </w:p>
    <w:p w:rsidR="00C83A2F" w:rsidRDefault="00C83A2F" w:rsidP="00ED14CC">
      <w:pPr>
        <w:ind w:firstLine="720"/>
        <w:rPr>
          <w:rFonts w:ascii="Arial" w:hAnsi="Arial" w:cs="Arial"/>
          <w:iCs/>
          <w:color w:val="000000"/>
          <w:sz w:val="24"/>
          <w:szCs w:val="24"/>
          <w:u w:val="single"/>
          <w:shd w:val="clear" w:color="auto" w:fill="FFFFFF"/>
        </w:rPr>
      </w:pPr>
      <w:r>
        <w:rPr>
          <w:rFonts w:ascii="Arial" w:hAnsi="Arial" w:cs="Arial"/>
          <w:iCs/>
          <w:color w:val="000000"/>
          <w:sz w:val="24"/>
          <w:szCs w:val="24"/>
          <w:u w:val="single"/>
          <w:shd w:val="clear" w:color="auto" w:fill="FFFFFF"/>
        </w:rPr>
        <w:lastRenderedPageBreak/>
        <w:t>Capital Project Co-ordinator</w:t>
      </w:r>
    </w:p>
    <w:p w:rsidR="00C83A2F" w:rsidRDefault="00C83A2F" w:rsidP="00010C14">
      <w:pPr>
        <w:ind w:left="720"/>
        <w:rPr>
          <w:rFonts w:ascii="Arial" w:hAnsi="Arial" w:cs="Arial"/>
          <w:iCs/>
          <w:color w:val="000000"/>
          <w:sz w:val="24"/>
          <w:szCs w:val="24"/>
          <w:u w:val="single"/>
          <w:shd w:val="clear" w:color="auto" w:fill="FFFFFF"/>
        </w:rPr>
      </w:pPr>
    </w:p>
    <w:p w:rsidR="00AE46C1" w:rsidRDefault="00C83A2F" w:rsidP="00AE46C1">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role of Capital Project Co-ordinator (which the author is employed as) is heavily involved in all aspects of capital schemes, from the earliest stages of pre-planning to the closing processes such as snagging and handover.  Typically reporting to the project manager and liaising constantly with all </w:t>
      </w:r>
      <w:r w:rsidR="00AE46C1">
        <w:rPr>
          <w:rFonts w:ascii="Arial" w:hAnsi="Arial" w:cs="Arial"/>
          <w:iCs/>
          <w:color w:val="000000"/>
          <w:sz w:val="24"/>
          <w:szCs w:val="24"/>
          <w:shd w:val="clear" w:color="auto" w:fill="FFFFFF"/>
        </w:rPr>
        <w:t>members of the project team and external stakeholders, this role affords the opportunity for deep involvement and experience in all facets of project manage</w:t>
      </w:r>
      <w:r w:rsidR="00F46BFC">
        <w:rPr>
          <w:rFonts w:ascii="Arial" w:hAnsi="Arial" w:cs="Arial"/>
          <w:iCs/>
          <w:color w:val="000000"/>
          <w:sz w:val="24"/>
          <w:szCs w:val="24"/>
          <w:shd w:val="clear" w:color="auto" w:fill="FFFFFF"/>
        </w:rPr>
        <w:t>ment and thus ample opportunity for work based and reflective learning</w:t>
      </w:r>
      <w:r w:rsidR="00AE46C1">
        <w:rPr>
          <w:rFonts w:ascii="Arial" w:hAnsi="Arial" w:cs="Arial"/>
          <w:iCs/>
          <w:color w:val="000000"/>
          <w:sz w:val="24"/>
          <w:szCs w:val="24"/>
          <w:shd w:val="clear" w:color="auto" w:fill="FFFFFF"/>
        </w:rPr>
        <w:t xml:space="preserve">.  </w:t>
      </w:r>
    </w:p>
    <w:p w:rsidR="00AE46C1" w:rsidRDefault="00AE46C1" w:rsidP="00AE46C1">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Key off-site responsibilities include:</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Maintaining stringent auditory requirements – proof reading documents, submitting forms, informing and consulting relevant personnel.</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Being a general point of contact – communicating with all parties, replying to queries, arranging and attending meetings, providing information.</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Acting as delegated Project Manager when required.</w:t>
      </w:r>
    </w:p>
    <w:p w:rsidR="00AE46C1" w:rsidRDefault="00AE46C1" w:rsidP="00AE46C1">
      <w:pPr>
        <w:rPr>
          <w:rFonts w:ascii="Arial" w:hAnsi="Arial" w:cs="Arial"/>
          <w:iCs/>
          <w:color w:val="000000"/>
          <w:sz w:val="24"/>
          <w:szCs w:val="24"/>
          <w:shd w:val="clear" w:color="auto" w:fill="FFFFFF"/>
        </w:rPr>
      </w:pPr>
    </w:p>
    <w:p w:rsidR="00AE46C1" w:rsidRDefault="00AE46C1" w:rsidP="00AE46C1">
      <w:pPr>
        <w:ind w:left="144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Key on-site responsibilities include:</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on-site supervision of contractors to maintain health and safety compliance.</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on-site supervision of operatives to maintain hygiene compliance.</w:t>
      </w:r>
    </w:p>
    <w:p w:rsidR="00AE46C1" w:rsidRDefault="00AE46C1"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Constant on-site supervision to maintain </w:t>
      </w:r>
      <w:r w:rsidR="00F46BFC">
        <w:rPr>
          <w:rFonts w:ascii="Arial" w:hAnsi="Arial" w:cs="Arial"/>
          <w:iCs/>
          <w:color w:val="000000"/>
          <w:sz w:val="24"/>
          <w:szCs w:val="24"/>
          <w:shd w:val="clear" w:color="auto" w:fill="FFFFFF"/>
        </w:rPr>
        <w:t>design compliance.</w:t>
      </w:r>
    </w:p>
    <w:p w:rsidR="00F46BFC" w:rsidRDefault="00F46BFC" w:rsidP="00AE46C1">
      <w:pPr>
        <w:pStyle w:val="ListParagraph"/>
        <w:numPr>
          <w:ilvl w:val="0"/>
          <w:numId w:val="3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Supervising and scrutinizing reinstatement.</w:t>
      </w:r>
    </w:p>
    <w:p w:rsidR="00ED14CC" w:rsidRDefault="00ED14CC" w:rsidP="00ED14CC">
      <w:pPr>
        <w:ind w:left="720"/>
        <w:rPr>
          <w:rFonts w:ascii="Arial" w:hAnsi="Arial" w:cs="Arial"/>
          <w:iCs/>
          <w:color w:val="000000"/>
          <w:sz w:val="24"/>
          <w:szCs w:val="24"/>
          <w:shd w:val="clear" w:color="auto" w:fill="FFFFFF"/>
        </w:rPr>
      </w:pPr>
    </w:p>
    <w:p w:rsidR="00ED14CC" w:rsidRDefault="00ED14CC" w:rsidP="00ED14C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This zonal study project requires the full-time deployment of two project co-ordinators and involvement is likely to aid further career progression in DCWW.</w:t>
      </w:r>
    </w:p>
    <w:p w:rsidR="00ED14CC" w:rsidRPr="00ED14CC" w:rsidRDefault="00ED14CC" w:rsidP="00ED14CC">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p>
    <w:p w:rsidR="00F46BFC" w:rsidRPr="00F46BFC" w:rsidRDefault="00F46BFC" w:rsidP="00F46BFC">
      <w:pPr>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C83A2F" w:rsidRDefault="00C83A2F" w:rsidP="00010C14">
      <w:pPr>
        <w:ind w:left="720"/>
        <w:rPr>
          <w:rFonts w:ascii="Arial" w:hAnsi="Arial" w:cs="Arial"/>
          <w:iCs/>
          <w:color w:val="000000"/>
          <w:sz w:val="24"/>
          <w:szCs w:val="24"/>
          <w:shd w:val="clear" w:color="auto" w:fill="FFFFFF"/>
        </w:rPr>
      </w:pPr>
    </w:p>
    <w:p w:rsidR="00E92ABC" w:rsidRPr="00E92ABC" w:rsidRDefault="00E92ABC" w:rsidP="00E92ABC">
      <w:pPr>
        <w:ind w:left="720"/>
        <w:rPr>
          <w:rFonts w:ascii="Arial" w:hAnsi="Arial" w:cs="Arial"/>
          <w:iCs/>
          <w:color w:val="000000"/>
          <w:sz w:val="24"/>
          <w:szCs w:val="24"/>
          <w:u w:val="single"/>
          <w:shd w:val="clear" w:color="auto" w:fill="FFFFFF"/>
        </w:rPr>
      </w:pPr>
    </w:p>
    <w:p w:rsidR="00B235BD" w:rsidRDefault="00B235BD" w:rsidP="0047082A">
      <w:pPr>
        <w:tabs>
          <w:tab w:val="left" w:pos="3456"/>
        </w:tabs>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1F31AF" w:rsidRDefault="001F31AF" w:rsidP="001F31AF">
      <w:pPr>
        <w:rPr>
          <w:rFonts w:ascii="Arial" w:hAnsi="Arial" w:cs="Arial"/>
          <w:color w:val="000000"/>
          <w:sz w:val="24"/>
          <w:szCs w:val="24"/>
          <w:shd w:val="clear" w:color="auto" w:fill="FFFFFF"/>
        </w:rPr>
      </w:pPr>
    </w:p>
    <w:p w:rsidR="00B235BD" w:rsidRDefault="007F3724" w:rsidP="001F31AF">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Health and Safety</w:t>
      </w:r>
    </w:p>
    <w:p w:rsidR="007F3724" w:rsidRDefault="007F3724" w:rsidP="009C28A4">
      <w:pPr>
        <w:ind w:left="720"/>
        <w:rPr>
          <w:rFonts w:ascii="Arial" w:hAnsi="Arial" w:cs="Arial"/>
          <w:color w:val="000000"/>
          <w:sz w:val="24"/>
          <w:szCs w:val="24"/>
          <w:u w:val="single"/>
          <w:shd w:val="clear" w:color="auto" w:fill="FFFFFF"/>
        </w:rPr>
      </w:pPr>
    </w:p>
    <w:p w:rsidR="00FD31C5" w:rsidRDefault="00ED14CC" w:rsidP="00FD31C5">
      <w:pPr>
        <w:ind w:left="720"/>
        <w:rPr>
          <w:rFonts w:ascii="Arial" w:hAnsi="Arial" w:cs="Arial"/>
          <w:sz w:val="24"/>
          <w:szCs w:val="24"/>
          <w:lang w:val="en"/>
        </w:rPr>
      </w:pPr>
      <w:r>
        <w:rPr>
          <w:rFonts w:ascii="Arial" w:hAnsi="Arial" w:cs="Arial"/>
          <w:color w:val="000000"/>
          <w:sz w:val="24"/>
          <w:szCs w:val="24"/>
          <w:shd w:val="clear" w:color="auto" w:fill="FFFFFF"/>
        </w:rPr>
        <w:t>A scheme of this magnitude affords a DCWW project co-ordinator to be deeply immersed into monitoring Health and Safety.  Welsh Water are governed by the Health and Safety executive who enforce legislation</w:t>
      </w:r>
      <w:r w:rsidR="001F31AF">
        <w:rPr>
          <w:rFonts w:ascii="Arial" w:hAnsi="Arial" w:cs="Arial"/>
          <w:color w:val="000000"/>
          <w:sz w:val="24"/>
          <w:szCs w:val="24"/>
          <w:shd w:val="clear" w:color="auto" w:fill="FFFFFF"/>
        </w:rPr>
        <w:t xml:space="preserve"> relevant to large scale projects</w:t>
      </w:r>
      <w:r>
        <w:rPr>
          <w:rFonts w:ascii="Arial" w:hAnsi="Arial" w:cs="Arial"/>
          <w:color w:val="000000"/>
          <w:sz w:val="24"/>
          <w:szCs w:val="24"/>
          <w:shd w:val="clear" w:color="auto" w:fill="FFFFFF"/>
        </w:rPr>
        <w:t xml:space="preserve"> such as </w:t>
      </w:r>
      <w:r>
        <w:rPr>
          <w:rFonts w:ascii="Arial" w:hAnsi="Arial" w:cs="Arial"/>
          <w:i/>
          <w:color w:val="000000"/>
          <w:sz w:val="24"/>
          <w:szCs w:val="24"/>
          <w:shd w:val="clear" w:color="auto" w:fill="FFFFFF"/>
        </w:rPr>
        <w:t>‘The Building Act 1984’</w:t>
      </w:r>
      <w:r w:rsidR="001F31AF">
        <w:rPr>
          <w:rFonts w:ascii="Arial" w:hAnsi="Arial" w:cs="Arial"/>
          <w:i/>
          <w:color w:val="000000"/>
          <w:sz w:val="24"/>
          <w:szCs w:val="24"/>
          <w:shd w:val="clear" w:color="auto" w:fill="FFFFFF"/>
        </w:rPr>
        <w:t xml:space="preserve">, The Health and Safety at Work Act 1974’ </w:t>
      </w:r>
      <w:r w:rsidR="001F31AF">
        <w:rPr>
          <w:rFonts w:ascii="Arial" w:hAnsi="Arial" w:cs="Arial"/>
          <w:color w:val="000000"/>
          <w:sz w:val="24"/>
          <w:szCs w:val="24"/>
          <w:shd w:val="clear" w:color="auto" w:fill="FFFFFF"/>
        </w:rPr>
        <w:t xml:space="preserve">and </w:t>
      </w:r>
      <w:r w:rsidR="001F31AF">
        <w:rPr>
          <w:rFonts w:ascii="Arial" w:hAnsi="Arial" w:cs="Arial"/>
          <w:i/>
          <w:color w:val="000000"/>
          <w:sz w:val="24"/>
          <w:szCs w:val="24"/>
          <w:shd w:val="clear" w:color="auto" w:fill="FFFFFF"/>
        </w:rPr>
        <w:t xml:space="preserve">‘The Construction (Design and Management) Regulations 2015.  </w:t>
      </w:r>
      <w:r w:rsidR="001F31AF">
        <w:rPr>
          <w:rFonts w:ascii="Arial" w:hAnsi="Arial" w:cs="Arial"/>
          <w:color w:val="000000"/>
          <w:sz w:val="24"/>
          <w:szCs w:val="24"/>
          <w:shd w:val="clear" w:color="auto" w:fill="FFFFFF"/>
        </w:rPr>
        <w:t xml:space="preserve">A failure to comply with such can result in many unwanted personal consequences such as </w:t>
      </w:r>
      <w:r w:rsidR="00E4495B">
        <w:rPr>
          <w:rFonts w:ascii="Arial" w:hAnsi="Arial" w:cs="Arial"/>
          <w:color w:val="000000"/>
          <w:sz w:val="24"/>
          <w:szCs w:val="24"/>
          <w:shd w:val="clear" w:color="auto" w:fill="FFFFFF"/>
        </w:rPr>
        <w:t>physical injuries, death and continual mental afflictions.  In addition, companies can suffer loss of productivity, reputational loss, financial penalties as well as legal repercussions such as corporate manslaughter</w:t>
      </w:r>
      <w:r w:rsidR="00E4495B" w:rsidRPr="00E4495B">
        <w:rPr>
          <w:rFonts w:ascii="Arial" w:hAnsi="Arial" w:cs="Arial"/>
          <w:sz w:val="24"/>
          <w:szCs w:val="24"/>
          <w:lang w:val="en"/>
        </w:rPr>
        <w:t xml:space="preserve"> </w:t>
      </w:r>
      <w:r w:rsidR="00E4495B">
        <w:rPr>
          <w:rFonts w:ascii="Arial" w:hAnsi="Arial" w:cs="Arial"/>
          <w:sz w:val="24"/>
          <w:szCs w:val="24"/>
          <w:lang w:val="en"/>
        </w:rPr>
        <w:t>“</w:t>
      </w:r>
      <w:r w:rsidR="00E4495B" w:rsidRPr="00E4495B">
        <w:rPr>
          <w:rFonts w:ascii="Arial" w:hAnsi="Arial" w:cs="Arial"/>
          <w:sz w:val="24"/>
          <w:szCs w:val="24"/>
          <w:lang w:val="en"/>
        </w:rPr>
        <w:t>as a result of serious management failures resulting in a gross breach of a duty of care</w:t>
      </w:r>
      <w:r w:rsidR="00E4495B">
        <w:rPr>
          <w:rFonts w:ascii="Arial" w:hAnsi="Arial" w:cs="Arial"/>
          <w:sz w:val="24"/>
          <w:szCs w:val="24"/>
          <w:lang w:val="en"/>
        </w:rPr>
        <w:t>” (HSE, 2020).</w:t>
      </w:r>
    </w:p>
    <w:p w:rsidR="00FD31C5" w:rsidRPr="00576B34" w:rsidRDefault="00FD31C5" w:rsidP="00FD31C5">
      <w:pPr>
        <w:ind w:left="720"/>
        <w:rPr>
          <w:rFonts w:ascii="Arial" w:hAnsi="Arial" w:cs="Arial"/>
          <w:sz w:val="24"/>
          <w:szCs w:val="24"/>
          <w:lang w:val="en"/>
        </w:rPr>
      </w:pPr>
      <w:r>
        <w:rPr>
          <w:rFonts w:ascii="Arial" w:hAnsi="Arial" w:cs="Arial"/>
          <w:color w:val="000000"/>
          <w:sz w:val="24"/>
          <w:szCs w:val="24"/>
          <w:shd w:val="clear" w:color="auto" w:fill="FFFFFF"/>
        </w:rPr>
        <w:tab/>
      </w:r>
      <w:proofErr w:type="gramStart"/>
      <w:r>
        <w:rPr>
          <w:rFonts w:ascii="Arial" w:hAnsi="Arial" w:cs="Arial"/>
          <w:color w:val="000000"/>
          <w:sz w:val="24"/>
          <w:szCs w:val="24"/>
          <w:shd w:val="clear" w:color="auto" w:fill="FFFFFF"/>
        </w:rPr>
        <w:t>In order to</w:t>
      </w:r>
      <w:proofErr w:type="gramEnd"/>
      <w:r>
        <w:rPr>
          <w:rFonts w:ascii="Arial" w:hAnsi="Arial" w:cs="Arial"/>
          <w:color w:val="000000"/>
          <w:sz w:val="24"/>
          <w:szCs w:val="24"/>
          <w:shd w:val="clear" w:color="auto" w:fill="FFFFFF"/>
        </w:rPr>
        <w:t xml:space="preserve"> comply DCWW has introduced its own various standards, procedures and practices, many of which will apply to this large scheme taking place in an urban area.  These includ</w:t>
      </w:r>
      <w:r w:rsidR="00170E4A">
        <w:rPr>
          <w:rFonts w:ascii="Arial" w:hAnsi="Arial" w:cs="Arial"/>
          <w:color w:val="000000"/>
          <w:sz w:val="24"/>
          <w:szCs w:val="24"/>
          <w:shd w:val="clear" w:color="auto" w:fill="FFFFFF"/>
        </w:rPr>
        <w:t xml:space="preserve">e Health and Safety Procedures such as </w:t>
      </w:r>
      <w:r w:rsidR="00170E4A">
        <w:rPr>
          <w:rFonts w:ascii="Arial" w:hAnsi="Arial" w:cs="Arial"/>
          <w:i/>
          <w:color w:val="000000"/>
          <w:sz w:val="24"/>
          <w:szCs w:val="24"/>
          <w:shd w:val="clear" w:color="auto" w:fill="FFFFFF"/>
        </w:rPr>
        <w:t xml:space="preserve">‘HSP 805 – Management of Contractors’ </w:t>
      </w:r>
      <w:r w:rsidR="00170E4A">
        <w:rPr>
          <w:rFonts w:ascii="Arial" w:hAnsi="Arial" w:cs="Arial"/>
          <w:color w:val="000000"/>
          <w:sz w:val="24"/>
          <w:szCs w:val="24"/>
          <w:shd w:val="clear" w:color="auto" w:fill="FFFFFF"/>
        </w:rPr>
        <w:t>and ‘</w:t>
      </w:r>
      <w:r w:rsidR="00170E4A">
        <w:rPr>
          <w:rFonts w:ascii="Arial" w:hAnsi="Arial" w:cs="Arial"/>
          <w:i/>
          <w:color w:val="000000"/>
          <w:sz w:val="24"/>
          <w:szCs w:val="24"/>
          <w:shd w:val="clear" w:color="auto" w:fill="FFFFFF"/>
        </w:rPr>
        <w:t xml:space="preserve">HSP 124 – Water Mains Work – on or near’.  </w:t>
      </w:r>
      <w:r w:rsidR="00576B34">
        <w:rPr>
          <w:rFonts w:ascii="Arial" w:hAnsi="Arial" w:cs="Arial"/>
          <w:color w:val="000000"/>
          <w:sz w:val="24"/>
          <w:szCs w:val="24"/>
          <w:shd w:val="clear" w:color="auto" w:fill="FFFFFF"/>
        </w:rPr>
        <w:t xml:space="preserve">Reinforcing and underpinning these are site visits and audits with the use of </w:t>
      </w:r>
      <w:r w:rsidR="00576B34">
        <w:rPr>
          <w:rFonts w:ascii="Arial" w:hAnsi="Arial" w:cs="Arial"/>
          <w:i/>
          <w:color w:val="000000"/>
          <w:sz w:val="24"/>
          <w:szCs w:val="24"/>
          <w:shd w:val="clear" w:color="auto" w:fill="FFFFFF"/>
        </w:rPr>
        <w:t xml:space="preserve">‘CAF 508 – Health and Safety Inspection form’ </w:t>
      </w:r>
      <w:r w:rsidR="00576B34">
        <w:rPr>
          <w:rFonts w:ascii="Arial" w:hAnsi="Arial" w:cs="Arial"/>
          <w:color w:val="000000"/>
          <w:sz w:val="24"/>
          <w:szCs w:val="24"/>
          <w:shd w:val="clear" w:color="auto" w:fill="FFFFFF"/>
        </w:rPr>
        <w:t>and ‘</w:t>
      </w:r>
      <w:r w:rsidR="00576B34" w:rsidRPr="00576B34">
        <w:rPr>
          <w:rFonts w:ascii="Arial" w:hAnsi="Arial" w:cs="Arial"/>
          <w:i/>
          <w:color w:val="000000"/>
          <w:sz w:val="24"/>
          <w:szCs w:val="24"/>
          <w:shd w:val="clear" w:color="auto" w:fill="FFFFFF"/>
        </w:rPr>
        <w:t xml:space="preserve">CAF 509 </w:t>
      </w:r>
      <w:r w:rsidR="00576B34">
        <w:rPr>
          <w:rFonts w:ascii="Arial" w:hAnsi="Arial" w:cs="Arial"/>
          <w:i/>
          <w:color w:val="000000"/>
          <w:sz w:val="24"/>
          <w:szCs w:val="24"/>
          <w:shd w:val="clear" w:color="auto" w:fill="FFFFFF"/>
        </w:rPr>
        <w:t>–</w:t>
      </w:r>
      <w:r w:rsidR="00576B34">
        <w:rPr>
          <w:rFonts w:ascii="Arial" w:hAnsi="Arial" w:cs="Arial"/>
          <w:color w:val="000000"/>
          <w:sz w:val="24"/>
          <w:szCs w:val="24"/>
          <w:shd w:val="clear" w:color="auto" w:fill="FFFFFF"/>
        </w:rPr>
        <w:t xml:space="preserve"> </w:t>
      </w:r>
      <w:r w:rsidR="00576B34" w:rsidRPr="00576B34">
        <w:rPr>
          <w:rFonts w:ascii="Arial" w:hAnsi="Arial" w:cs="Arial"/>
          <w:i/>
          <w:color w:val="000000"/>
          <w:sz w:val="24"/>
          <w:szCs w:val="24"/>
          <w:shd w:val="clear" w:color="auto" w:fill="FFFFFF"/>
        </w:rPr>
        <w:t>Hygiene Inspection form’</w:t>
      </w:r>
      <w:r w:rsidR="00576B34">
        <w:rPr>
          <w:rFonts w:ascii="Arial" w:hAnsi="Arial" w:cs="Arial"/>
          <w:color w:val="000000"/>
          <w:sz w:val="24"/>
          <w:szCs w:val="24"/>
          <w:shd w:val="clear" w:color="auto" w:fill="FFFFFF"/>
        </w:rPr>
        <w:t>.</w:t>
      </w: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367563" w:rsidRDefault="00367563" w:rsidP="00367563">
      <w:pPr>
        <w:rPr>
          <w:rFonts w:ascii="Arial" w:hAnsi="Arial" w:cs="Arial"/>
          <w:color w:val="000000"/>
          <w:sz w:val="24"/>
          <w:szCs w:val="24"/>
          <w:shd w:val="clear" w:color="auto" w:fill="FFFFFF"/>
        </w:rPr>
      </w:pPr>
    </w:p>
    <w:p w:rsidR="00BE35FC" w:rsidRDefault="00BE35FC"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4B598F" w:rsidRDefault="004B598F"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3724" w:rsidRDefault="007F3724" w:rsidP="00367563">
      <w:pPr>
        <w:ind w:firstLine="720"/>
        <w:rPr>
          <w:rFonts w:ascii="Arial" w:hAnsi="Arial" w:cs="Arial"/>
          <w:color w:val="000000"/>
          <w:sz w:val="24"/>
          <w:szCs w:val="24"/>
          <w:u w:val="single"/>
          <w:shd w:val="clear" w:color="auto" w:fill="FFFFFF"/>
        </w:rPr>
      </w:pPr>
    </w:p>
    <w:p w:rsidR="007F123B" w:rsidRDefault="007F123B" w:rsidP="007F123B">
      <w:pPr>
        <w:rPr>
          <w:rFonts w:ascii="Arial" w:hAnsi="Arial" w:cs="Arial"/>
          <w:color w:val="000000"/>
          <w:sz w:val="24"/>
          <w:szCs w:val="24"/>
          <w:u w:val="single"/>
          <w:shd w:val="clear" w:color="auto" w:fill="FFFFFF"/>
        </w:rPr>
      </w:pPr>
    </w:p>
    <w:p w:rsidR="00B235BD" w:rsidRDefault="00B235BD" w:rsidP="007F123B">
      <w:pPr>
        <w:ind w:firstLine="720"/>
        <w:rPr>
          <w:rFonts w:ascii="Arial" w:hAnsi="Arial" w:cs="Arial"/>
          <w:color w:val="000000"/>
          <w:sz w:val="24"/>
          <w:szCs w:val="24"/>
          <w:u w:val="single"/>
          <w:shd w:val="clear" w:color="auto" w:fill="FFFFFF"/>
        </w:rPr>
      </w:pPr>
      <w:bookmarkStart w:id="2" w:name="_GoBack"/>
      <w:bookmarkEnd w:id="2"/>
      <w:r>
        <w:rPr>
          <w:rFonts w:ascii="Arial" w:hAnsi="Arial" w:cs="Arial"/>
          <w:color w:val="000000"/>
          <w:sz w:val="24"/>
          <w:szCs w:val="24"/>
          <w:u w:val="single"/>
          <w:shd w:val="clear" w:color="auto" w:fill="FFFFFF"/>
        </w:rPr>
        <w:lastRenderedPageBreak/>
        <w:t>Reference List</w:t>
      </w:r>
    </w:p>
    <w:p w:rsidR="00E4495B" w:rsidRDefault="00E4495B" w:rsidP="00E4495B">
      <w:pPr>
        <w:ind w:firstLine="720"/>
        <w:rPr>
          <w:rFonts w:ascii="Arial" w:hAnsi="Arial" w:cs="Arial"/>
          <w:color w:val="000000"/>
          <w:sz w:val="24"/>
          <w:szCs w:val="24"/>
          <w:u w:val="single"/>
          <w:shd w:val="clear" w:color="auto" w:fill="FFFFFF"/>
        </w:rPr>
      </w:pPr>
    </w:p>
    <w:p w:rsidR="00B235BD" w:rsidRPr="00E4495B" w:rsidRDefault="00E4495B" w:rsidP="00E4495B">
      <w:pPr>
        <w:pStyle w:val="ListParagraph"/>
        <w:numPr>
          <w:ilvl w:val="0"/>
          <w:numId w:val="33"/>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HSE (2020), </w:t>
      </w:r>
      <w:r>
        <w:rPr>
          <w:rFonts w:ascii="Arial" w:hAnsi="Arial" w:cs="Arial"/>
          <w:i/>
          <w:color w:val="000000"/>
          <w:sz w:val="24"/>
          <w:szCs w:val="24"/>
          <w:shd w:val="clear" w:color="auto" w:fill="FFFFFF"/>
        </w:rPr>
        <w:t xml:space="preserve">Corporate Manslaughter, </w:t>
      </w:r>
      <w:hyperlink r:id="rId9" w:history="1">
        <w:r w:rsidRPr="00293EEE">
          <w:rPr>
            <w:rStyle w:val="Hyperlink"/>
            <w:rFonts w:ascii="Arial" w:hAnsi="Arial" w:cs="Arial"/>
            <w:i/>
            <w:sz w:val="24"/>
            <w:szCs w:val="24"/>
            <w:shd w:val="clear" w:color="auto" w:fill="FFFFFF"/>
          </w:rPr>
          <w:t>https://www.hse.gov.uk/corpmanslaughter/index.htm</w:t>
        </w:r>
      </w:hyperlink>
      <w:r>
        <w:rPr>
          <w:rFonts w:ascii="Arial" w:hAnsi="Arial" w:cs="Arial"/>
          <w:i/>
          <w:color w:val="000000"/>
          <w:sz w:val="24"/>
          <w:szCs w:val="24"/>
          <w:shd w:val="clear" w:color="auto" w:fill="FFFFFF"/>
        </w:rPr>
        <w:t xml:space="preserve">, </w:t>
      </w:r>
      <w:r w:rsidR="00FD31C5">
        <w:rPr>
          <w:rFonts w:ascii="Arial" w:hAnsi="Arial" w:cs="Arial"/>
          <w:color w:val="000000"/>
          <w:sz w:val="24"/>
          <w:szCs w:val="24"/>
          <w:shd w:val="clear" w:color="auto" w:fill="FFFFFF"/>
        </w:rPr>
        <w:t>HSE, accessed 09/01/20</w:t>
      </w:r>
    </w:p>
    <w:p w:rsidR="00E4495B" w:rsidRPr="00E4495B" w:rsidRDefault="004353CF" w:rsidP="00E4495B">
      <w:pPr>
        <w:pStyle w:val="ListParagraph"/>
        <w:numPr>
          <w:ilvl w:val="0"/>
          <w:numId w:val="23"/>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Hyndman</w:t>
      </w:r>
      <w:r w:rsidR="00B235BD" w:rsidRPr="00B235BD">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00B235BD" w:rsidRPr="00B235BD">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What is Work-Based Learning and how will it make you </w:t>
      </w:r>
      <w:proofErr w:type="gramStart"/>
      <w:r>
        <w:rPr>
          <w:rFonts w:ascii="Arial" w:hAnsi="Arial" w:cs="Arial"/>
          <w:i/>
          <w:color w:val="000000"/>
          <w:sz w:val="24"/>
          <w:szCs w:val="24"/>
          <w:shd w:val="clear" w:color="auto" w:fill="FFFFFF"/>
        </w:rPr>
        <w:t>successful?,</w:t>
      </w:r>
      <w:proofErr w:type="gramEnd"/>
      <w:r>
        <w:rPr>
          <w:rFonts w:ascii="Arial" w:hAnsi="Arial" w:cs="Arial"/>
          <w:i/>
          <w:color w:val="000000"/>
          <w:sz w:val="24"/>
          <w:szCs w:val="24"/>
          <w:shd w:val="clear" w:color="auto" w:fill="FFFFFF"/>
        </w:rPr>
        <w:t xml:space="preserve"> </w:t>
      </w:r>
      <w:r w:rsidRPr="004353CF">
        <w:rPr>
          <w:rFonts w:ascii="Arial" w:hAnsi="Arial" w:cs="Arial"/>
          <w:color w:val="0070C0"/>
          <w:sz w:val="24"/>
          <w:szCs w:val="24"/>
          <w:u w:val="single"/>
          <w:shd w:val="clear" w:color="auto" w:fill="FFFFFF"/>
        </w:rPr>
        <w:t>https://drivinginnovation.ie.edu/what-is-work-based-learning</w:t>
      </w:r>
      <w:r w:rsidRPr="004353CF">
        <w:rPr>
          <w:rFonts w:ascii="Arial" w:hAnsi="Arial" w:cs="Arial"/>
          <w:i/>
          <w:color w:val="000000"/>
          <w:sz w:val="24"/>
          <w:szCs w:val="24"/>
          <w:shd w:val="clear" w:color="auto" w:fill="FFFFFF"/>
        </w:rPr>
        <w:t>/</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IE University, </w:t>
      </w:r>
      <w:r w:rsidR="00B235BD" w:rsidRPr="00B235BD">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09</w:t>
      </w:r>
      <w:r w:rsidR="00B235BD" w:rsidRPr="00B235BD">
        <w:rPr>
          <w:rFonts w:ascii="Arial" w:hAnsi="Arial" w:cs="Arial"/>
          <w:color w:val="000000"/>
          <w:sz w:val="24"/>
          <w:szCs w:val="24"/>
          <w:shd w:val="clear" w:color="auto" w:fill="FFFFFF"/>
        </w:rPr>
        <w:t>/</w:t>
      </w:r>
      <w:r>
        <w:rPr>
          <w:rFonts w:ascii="Arial" w:hAnsi="Arial" w:cs="Arial"/>
          <w:color w:val="000000"/>
          <w:sz w:val="24"/>
          <w:szCs w:val="24"/>
          <w:shd w:val="clear" w:color="auto" w:fill="FFFFFF"/>
        </w:rPr>
        <w:t>01</w:t>
      </w:r>
      <w:r w:rsidR="00B235BD" w:rsidRPr="00B235BD">
        <w:rPr>
          <w:rFonts w:ascii="Arial" w:hAnsi="Arial" w:cs="Arial"/>
          <w:color w:val="000000"/>
          <w:sz w:val="24"/>
          <w:szCs w:val="24"/>
          <w:shd w:val="clear" w:color="auto" w:fill="FFFFFF"/>
        </w:rPr>
        <w:t>/</w:t>
      </w:r>
      <w:r>
        <w:rPr>
          <w:rFonts w:ascii="Arial" w:hAnsi="Arial" w:cs="Arial"/>
          <w:color w:val="000000"/>
          <w:sz w:val="24"/>
          <w:szCs w:val="24"/>
          <w:shd w:val="clear" w:color="auto" w:fill="FFFFFF"/>
        </w:rPr>
        <w:t>20</w:t>
      </w:r>
    </w:p>
    <w:p w:rsidR="00BE35FC" w:rsidRDefault="00BE35FC" w:rsidP="00BE35FC">
      <w:pPr>
        <w:rPr>
          <w:rFonts w:ascii="Arial" w:hAnsi="Arial" w:cs="Arial"/>
          <w:color w:val="000000"/>
          <w:sz w:val="24"/>
          <w:szCs w:val="24"/>
          <w:shd w:val="clear" w:color="auto" w:fill="FFFFFF"/>
        </w:rPr>
      </w:pPr>
    </w:p>
    <w:p w:rsidR="00BE35FC" w:rsidRDefault="00BE35FC" w:rsidP="00BE35FC">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BE35FC" w:rsidRDefault="00BE35FC" w:rsidP="00BE35FC">
      <w:pPr>
        <w:ind w:left="720"/>
        <w:rPr>
          <w:rFonts w:ascii="Arial" w:hAnsi="Arial" w:cs="Arial"/>
          <w:color w:val="000000"/>
          <w:sz w:val="24"/>
          <w:szCs w:val="24"/>
          <w:u w:val="single"/>
          <w:shd w:val="clear" w:color="auto" w:fill="FFFFFF"/>
        </w:rPr>
      </w:pPr>
    </w:p>
    <w:p w:rsidR="00BE35FC" w:rsidRDefault="007F3724"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Cullen (2019), </w:t>
      </w:r>
      <w:r w:rsidRPr="0011746E">
        <w:rPr>
          <w:rFonts w:ascii="Arial" w:hAnsi="Arial" w:cs="Arial"/>
          <w:i/>
          <w:iCs/>
          <w:color w:val="000000"/>
          <w:sz w:val="24"/>
          <w:szCs w:val="24"/>
          <w:shd w:val="clear" w:color="auto" w:fill="FFFFFF"/>
        </w:rPr>
        <w:t>View of DCWW branded barriers protecting working area</w:t>
      </w:r>
      <w:r>
        <w:rPr>
          <w:rFonts w:ascii="Arial" w:hAnsi="Arial" w:cs="Arial"/>
          <w:i/>
          <w:iCs/>
          <w:color w:val="000000"/>
          <w:sz w:val="24"/>
          <w:szCs w:val="24"/>
          <w:shd w:val="clear" w:color="auto" w:fill="FFFFFF"/>
        </w:rPr>
        <w:t xml:space="preserve"> at Silver Close, Sandfields, Port Talbot</w:t>
      </w:r>
      <w:r>
        <w:rPr>
          <w:rFonts w:ascii="Arial" w:hAnsi="Arial" w:cs="Arial"/>
          <w:color w:val="000000"/>
          <w:sz w:val="24"/>
          <w:szCs w:val="24"/>
          <w:shd w:val="clear" w:color="auto" w:fill="FFFFFF"/>
        </w:rPr>
        <w:t>, authors own collection.</w:t>
      </w:r>
    </w:p>
    <w:p w:rsidR="00BE35FC" w:rsidRPr="00BE35FC" w:rsidRDefault="007F3724"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Spray (2019), </w:t>
      </w:r>
      <w:r>
        <w:rPr>
          <w:rFonts w:ascii="Arial" w:hAnsi="Arial" w:cs="Arial"/>
          <w:i/>
          <w:iCs/>
          <w:color w:val="000000"/>
          <w:sz w:val="24"/>
          <w:szCs w:val="24"/>
          <w:shd w:val="clear" w:color="auto" w:fill="FFFFFF"/>
        </w:rPr>
        <w:t xml:space="preserve">Extent plan of whole scheme, </w:t>
      </w:r>
      <w:proofErr w:type="spellStart"/>
      <w:r>
        <w:rPr>
          <w:rFonts w:ascii="Arial" w:hAnsi="Arial" w:cs="Arial"/>
          <w:iCs/>
          <w:color w:val="000000"/>
          <w:sz w:val="24"/>
          <w:szCs w:val="24"/>
          <w:shd w:val="clear" w:color="auto" w:fill="FFFFFF"/>
        </w:rPr>
        <w:t>Waterco</w:t>
      </w:r>
      <w:proofErr w:type="spellEnd"/>
      <w:r>
        <w:rPr>
          <w:rFonts w:ascii="Arial" w:hAnsi="Arial" w:cs="Arial"/>
          <w:iCs/>
          <w:color w:val="000000"/>
          <w:sz w:val="24"/>
          <w:szCs w:val="24"/>
          <w:shd w:val="clear" w:color="auto" w:fill="FFFFFF"/>
        </w:rPr>
        <w:t>, UK.</w:t>
      </w:r>
    </w:p>
    <w:p w:rsidR="00B235BD" w:rsidRDefault="00B235BD" w:rsidP="009C28A4">
      <w:pPr>
        <w:ind w:left="720"/>
        <w:rPr>
          <w:rFonts w:ascii="Arial" w:hAnsi="Arial" w:cs="Arial"/>
          <w:color w:val="000000"/>
          <w:sz w:val="24"/>
          <w:szCs w:val="24"/>
          <w:shd w:val="clear" w:color="auto" w:fill="FFFFFF"/>
        </w:rPr>
      </w:pPr>
    </w:p>
    <w:p w:rsidR="00B235BD" w:rsidRP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D95D08" w:rsidRDefault="00D95D08"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D95D08" w:rsidRPr="00B810E7" w:rsidRDefault="00D95D08" w:rsidP="00810EBC">
      <w:pPr>
        <w:ind w:left="720"/>
        <w:rPr>
          <w:rFonts w:ascii="Arial" w:hAnsi="Arial" w:cs="Arial"/>
          <w:iCs/>
          <w:color w:val="000000"/>
          <w:sz w:val="24"/>
          <w:szCs w:val="24"/>
          <w:shd w:val="clear" w:color="auto" w:fill="FFFFFF"/>
        </w:rPr>
      </w:pPr>
    </w:p>
    <w:sectPr w:rsidR="00D95D08" w:rsidRPr="00B81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17782"/>
    <w:multiLevelType w:val="hybridMultilevel"/>
    <w:tmpl w:val="288CED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F0672"/>
    <w:multiLevelType w:val="hybridMultilevel"/>
    <w:tmpl w:val="033EC0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A116B2F"/>
    <w:multiLevelType w:val="hybridMultilevel"/>
    <w:tmpl w:val="6792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94622"/>
    <w:multiLevelType w:val="hybridMultilevel"/>
    <w:tmpl w:val="96060C1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EDD7658"/>
    <w:multiLevelType w:val="hybridMultilevel"/>
    <w:tmpl w:val="D63413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9A4D1E"/>
    <w:multiLevelType w:val="hybridMultilevel"/>
    <w:tmpl w:val="67E423A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7375D82"/>
    <w:multiLevelType w:val="hybridMultilevel"/>
    <w:tmpl w:val="03AE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3B1661"/>
    <w:multiLevelType w:val="hybridMultilevel"/>
    <w:tmpl w:val="AC909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CB923E8"/>
    <w:multiLevelType w:val="hybridMultilevel"/>
    <w:tmpl w:val="8430CB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04C362F"/>
    <w:multiLevelType w:val="hybridMultilevel"/>
    <w:tmpl w:val="C2D8551A"/>
    <w:lvl w:ilvl="0" w:tplc="41A844FA">
      <w:start w:val="1"/>
      <w:numFmt w:val="decimal"/>
      <w:lvlText w:val="%1."/>
      <w:lvlJc w:val="left"/>
      <w:pPr>
        <w:ind w:left="1080" w:hanging="360"/>
      </w:pPr>
      <w:rPr>
        <w:rFonts w:ascii="Arial" w:eastAsia="Times New Roman" w:hAnsi="Arial" w:cs="Arial"/>
        <w:b w:val="0"/>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2BE0FFD"/>
    <w:multiLevelType w:val="hybridMultilevel"/>
    <w:tmpl w:val="1F5C5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52D5AEA"/>
    <w:multiLevelType w:val="hybridMultilevel"/>
    <w:tmpl w:val="3586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23AB7"/>
    <w:multiLevelType w:val="hybridMultilevel"/>
    <w:tmpl w:val="E758DE0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A4725E9"/>
    <w:multiLevelType w:val="hybridMultilevel"/>
    <w:tmpl w:val="366AF0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2BA92152"/>
    <w:multiLevelType w:val="hybridMultilevel"/>
    <w:tmpl w:val="DCB6C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51C2E45"/>
    <w:multiLevelType w:val="hybridMultilevel"/>
    <w:tmpl w:val="8F0093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38F016A1"/>
    <w:multiLevelType w:val="hybridMultilevel"/>
    <w:tmpl w:val="B03A2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F8C1341"/>
    <w:multiLevelType w:val="hybridMultilevel"/>
    <w:tmpl w:val="AE8CA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410713"/>
    <w:multiLevelType w:val="hybridMultilevel"/>
    <w:tmpl w:val="2A4ACF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A7A00A0"/>
    <w:multiLevelType w:val="hybridMultilevel"/>
    <w:tmpl w:val="58D44E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4CAD439D"/>
    <w:multiLevelType w:val="hybridMultilevel"/>
    <w:tmpl w:val="51E4E9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0686E5A"/>
    <w:multiLevelType w:val="hybridMultilevel"/>
    <w:tmpl w:val="7EE0D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1840CB0"/>
    <w:multiLevelType w:val="hybridMultilevel"/>
    <w:tmpl w:val="E65051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1993158"/>
    <w:multiLevelType w:val="hybridMultilevel"/>
    <w:tmpl w:val="61927C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7D3733A"/>
    <w:multiLevelType w:val="hybridMultilevel"/>
    <w:tmpl w:val="7918EF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B81B39"/>
    <w:multiLevelType w:val="hybridMultilevel"/>
    <w:tmpl w:val="3F04F76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5FDA7BCA"/>
    <w:multiLevelType w:val="hybridMultilevel"/>
    <w:tmpl w:val="4D563D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61C17A43"/>
    <w:multiLevelType w:val="hybridMultilevel"/>
    <w:tmpl w:val="62642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21A5DF4"/>
    <w:multiLevelType w:val="hybridMultilevel"/>
    <w:tmpl w:val="637604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2B1700F"/>
    <w:multiLevelType w:val="hybridMultilevel"/>
    <w:tmpl w:val="8C6C9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3050AF3"/>
    <w:multiLevelType w:val="hybridMultilevel"/>
    <w:tmpl w:val="933AA2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6A24321D"/>
    <w:multiLevelType w:val="hybridMultilevel"/>
    <w:tmpl w:val="A454C0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8702030"/>
    <w:multiLevelType w:val="hybridMultilevel"/>
    <w:tmpl w:val="FFA06C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2"/>
  </w:num>
  <w:num w:numId="2">
    <w:abstractNumId w:val="9"/>
  </w:num>
  <w:num w:numId="3">
    <w:abstractNumId w:val="17"/>
  </w:num>
  <w:num w:numId="4">
    <w:abstractNumId w:val="5"/>
  </w:num>
  <w:num w:numId="5">
    <w:abstractNumId w:val="26"/>
  </w:num>
  <w:num w:numId="6">
    <w:abstractNumId w:val="16"/>
  </w:num>
  <w:num w:numId="7">
    <w:abstractNumId w:val="3"/>
  </w:num>
  <w:num w:numId="8">
    <w:abstractNumId w:val="4"/>
  </w:num>
  <w:num w:numId="9">
    <w:abstractNumId w:val="28"/>
  </w:num>
  <w:num w:numId="10">
    <w:abstractNumId w:val="0"/>
  </w:num>
  <w:num w:numId="11">
    <w:abstractNumId w:val="11"/>
  </w:num>
  <w:num w:numId="12">
    <w:abstractNumId w:val="2"/>
  </w:num>
  <w:num w:numId="13">
    <w:abstractNumId w:val="6"/>
  </w:num>
  <w:num w:numId="14">
    <w:abstractNumId w:val="25"/>
  </w:num>
  <w:num w:numId="15">
    <w:abstractNumId w:val="22"/>
  </w:num>
  <w:num w:numId="16">
    <w:abstractNumId w:val="23"/>
  </w:num>
  <w:num w:numId="17">
    <w:abstractNumId w:val="14"/>
  </w:num>
  <w:num w:numId="18">
    <w:abstractNumId w:val="15"/>
  </w:num>
  <w:num w:numId="19">
    <w:abstractNumId w:val="8"/>
  </w:num>
  <w:num w:numId="20">
    <w:abstractNumId w:val="1"/>
  </w:num>
  <w:num w:numId="21">
    <w:abstractNumId w:val="13"/>
  </w:num>
  <w:num w:numId="22">
    <w:abstractNumId w:val="19"/>
  </w:num>
  <w:num w:numId="23">
    <w:abstractNumId w:val="10"/>
  </w:num>
  <w:num w:numId="24">
    <w:abstractNumId w:val="31"/>
  </w:num>
  <w:num w:numId="25">
    <w:abstractNumId w:val="20"/>
  </w:num>
  <w:num w:numId="26">
    <w:abstractNumId w:val="21"/>
  </w:num>
  <w:num w:numId="27">
    <w:abstractNumId w:val="29"/>
  </w:num>
  <w:num w:numId="28">
    <w:abstractNumId w:val="18"/>
  </w:num>
  <w:num w:numId="29">
    <w:abstractNumId w:val="27"/>
  </w:num>
  <w:num w:numId="30">
    <w:abstractNumId w:val="30"/>
  </w:num>
  <w:num w:numId="31">
    <w:abstractNumId w:val="12"/>
  </w:num>
  <w:num w:numId="32">
    <w:abstractNumId w:val="7"/>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EBC"/>
    <w:rsid w:val="00010A7E"/>
    <w:rsid w:val="00010C14"/>
    <w:rsid w:val="000427E6"/>
    <w:rsid w:val="00077201"/>
    <w:rsid w:val="0011746E"/>
    <w:rsid w:val="00124F6B"/>
    <w:rsid w:val="00170E4A"/>
    <w:rsid w:val="001D0631"/>
    <w:rsid w:val="001E59E7"/>
    <w:rsid w:val="001F31AF"/>
    <w:rsid w:val="0036708C"/>
    <w:rsid w:val="00367563"/>
    <w:rsid w:val="003A48EE"/>
    <w:rsid w:val="003C4CBD"/>
    <w:rsid w:val="003C6DEC"/>
    <w:rsid w:val="003F1E16"/>
    <w:rsid w:val="003F3A42"/>
    <w:rsid w:val="004353CF"/>
    <w:rsid w:val="0047082A"/>
    <w:rsid w:val="004B598F"/>
    <w:rsid w:val="00576B34"/>
    <w:rsid w:val="00614FA1"/>
    <w:rsid w:val="006879E6"/>
    <w:rsid w:val="007A7AF4"/>
    <w:rsid w:val="007C4ADC"/>
    <w:rsid w:val="007F123B"/>
    <w:rsid w:val="007F3724"/>
    <w:rsid w:val="00810EBC"/>
    <w:rsid w:val="008515C2"/>
    <w:rsid w:val="00950F32"/>
    <w:rsid w:val="009A32F9"/>
    <w:rsid w:val="009C28A4"/>
    <w:rsid w:val="009C3112"/>
    <w:rsid w:val="00A8057F"/>
    <w:rsid w:val="00AE46C1"/>
    <w:rsid w:val="00B235BD"/>
    <w:rsid w:val="00BD1C44"/>
    <w:rsid w:val="00BE35FC"/>
    <w:rsid w:val="00C5509D"/>
    <w:rsid w:val="00C83A2F"/>
    <w:rsid w:val="00C946EF"/>
    <w:rsid w:val="00CB393F"/>
    <w:rsid w:val="00D27EF1"/>
    <w:rsid w:val="00D33F92"/>
    <w:rsid w:val="00D95D08"/>
    <w:rsid w:val="00DB33AA"/>
    <w:rsid w:val="00DD2DD1"/>
    <w:rsid w:val="00E4495B"/>
    <w:rsid w:val="00E613DD"/>
    <w:rsid w:val="00E74379"/>
    <w:rsid w:val="00E92ABC"/>
    <w:rsid w:val="00ED14CC"/>
    <w:rsid w:val="00F46BFC"/>
    <w:rsid w:val="00FD3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759E"/>
  <w15:chartTrackingRefBased/>
  <w15:docId w15:val="{D4BEF4F7-7B37-4DCE-9986-1371DEA56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0EB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0EB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0EBC"/>
    <w:rPr>
      <w:color w:val="0563C1" w:themeColor="hyperlink"/>
      <w:u w:val="single"/>
    </w:rPr>
  </w:style>
  <w:style w:type="character" w:customStyle="1" w:styleId="lrzxr">
    <w:name w:val="lrzxr"/>
    <w:basedOn w:val="DefaultParagraphFont"/>
    <w:rsid w:val="00810EBC"/>
  </w:style>
  <w:style w:type="paragraph" w:styleId="ListParagraph">
    <w:name w:val="List Paragraph"/>
    <w:basedOn w:val="Normal"/>
    <w:uiPriority w:val="34"/>
    <w:qFormat/>
    <w:rsid w:val="003F1E16"/>
    <w:pPr>
      <w:ind w:left="720"/>
      <w:contextualSpacing/>
    </w:pPr>
  </w:style>
  <w:style w:type="character" w:styleId="UnresolvedMention">
    <w:name w:val="Unresolved Mention"/>
    <w:basedOn w:val="DefaultParagraphFont"/>
    <w:uiPriority w:val="99"/>
    <w:semiHidden/>
    <w:unhideWhenUsed/>
    <w:rsid w:val="00E44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se.gov.uk/corpmanslaughter/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1135</Words>
  <Characters>6473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Cullen James</cp:lastModifiedBy>
  <cp:revision>4</cp:revision>
  <dcterms:created xsi:type="dcterms:W3CDTF">2020-01-09T13:12:00Z</dcterms:created>
  <dcterms:modified xsi:type="dcterms:W3CDTF">2020-01-14T09:29:00Z</dcterms:modified>
</cp:coreProperties>
</file>