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DFF9A" w14:textId="21969666" w:rsidR="00D71D84" w:rsidRPr="00481C84" w:rsidRDefault="00930E06" w:rsidP="00481C84">
      <w:pPr>
        <w:tabs>
          <w:tab w:val="left" w:pos="5172"/>
        </w:tabs>
        <w:spacing w:line="360" w:lineRule="auto"/>
        <w:jc w:val="both"/>
        <w:rPr>
          <w:rFonts w:ascii="Century Schoolbook" w:hAnsi="Century Schoolbook" w:cs="Times New Roman"/>
          <w:b/>
          <w:bCs/>
          <w:sz w:val="24"/>
          <w:szCs w:val="24"/>
          <w:u w:val="single"/>
        </w:rPr>
      </w:pPr>
      <w:r w:rsidRPr="00481C84">
        <w:rPr>
          <w:rFonts w:ascii="Century Schoolbook" w:hAnsi="Century Schoolbook" w:cs="Times New Roman"/>
          <w:b/>
          <w:bCs/>
          <w:sz w:val="24"/>
          <w:szCs w:val="24"/>
          <w:u w:val="single"/>
        </w:rPr>
        <w:t>Assignment 2 – Chloe J. Williams</w:t>
      </w:r>
    </w:p>
    <w:p w14:paraId="187F5304" w14:textId="6393A8C6" w:rsidR="00FD675C" w:rsidRPr="00481C84" w:rsidRDefault="00FD675C" w:rsidP="00481C84">
      <w:pPr>
        <w:pStyle w:val="NormalWeb"/>
        <w:spacing w:before="0" w:beforeAutospacing="0" w:after="0" w:afterAutospacing="0" w:line="360" w:lineRule="auto"/>
        <w:rPr>
          <w:rFonts w:ascii="Century Schoolbook" w:hAnsi="Century Schoolbook"/>
          <w:color w:val="0E101A"/>
        </w:rPr>
      </w:pPr>
      <w:r w:rsidRPr="00481C84">
        <w:rPr>
          <w:rFonts w:ascii="Century Schoolbook" w:hAnsi="Century Schoolbook"/>
          <w:color w:val="0E101A"/>
        </w:rPr>
        <w:t>             The Health and Social Care Act 2012 is an act of the United Kingdom Parliament that removed the accountability for the health of British citizens from the Secretary of State for Health as was the previous arrangement of 1948 when the National Health Service was established and expansively restructured the National Health Service (</w:t>
      </w:r>
      <w:proofErr w:type="spellStart"/>
      <w:r w:rsidRPr="00481C84">
        <w:rPr>
          <w:rFonts w:ascii="Century Schoolbook" w:hAnsi="Century Schoolbook"/>
          <w:color w:val="0E101A"/>
        </w:rPr>
        <w:t>Delamothe</w:t>
      </w:r>
      <w:proofErr w:type="spellEnd"/>
      <w:r w:rsidRPr="00481C84">
        <w:rPr>
          <w:rFonts w:ascii="Century Schoolbook" w:hAnsi="Century Schoolbook"/>
          <w:color w:val="0E101A"/>
        </w:rPr>
        <w:t> </w:t>
      </w:r>
      <w:r w:rsidRPr="00481C84">
        <w:rPr>
          <w:rStyle w:val="Emphasis"/>
          <w:rFonts w:ascii="Century Schoolbook" w:hAnsi="Century Schoolbook"/>
          <w:color w:val="0E101A"/>
        </w:rPr>
        <w:t>et al.</w:t>
      </w:r>
      <w:r w:rsidRPr="00481C84">
        <w:rPr>
          <w:rFonts w:ascii="Century Schoolbook" w:hAnsi="Century Schoolbook"/>
          <w:color w:val="0E101A"/>
        </w:rPr>
        <w:t>, 2011). Between £60,000,000,000 and £80,000,000,000 of healthcare funds were transferred from the primary care trusts the act abolished to the National Health Service clinical commissioning groups run partially by general practitioners (</w:t>
      </w:r>
      <w:proofErr w:type="spellStart"/>
      <w:r w:rsidRPr="00481C84">
        <w:rPr>
          <w:rFonts w:ascii="Century Schoolbook" w:hAnsi="Century Schoolbook"/>
          <w:color w:val="0E101A"/>
        </w:rPr>
        <w:t>Triggle</w:t>
      </w:r>
      <w:proofErr w:type="spellEnd"/>
      <w:r w:rsidRPr="00481C84">
        <w:rPr>
          <w:rFonts w:ascii="Century Schoolbook" w:hAnsi="Century Schoolbook"/>
          <w:color w:val="0E101A"/>
        </w:rPr>
        <w:t>, 2011).</w:t>
      </w:r>
    </w:p>
    <w:p w14:paraId="32BEA393" w14:textId="77777777" w:rsidR="00FD675C" w:rsidRPr="00481C84" w:rsidRDefault="00FD675C" w:rsidP="00481C84">
      <w:pPr>
        <w:pStyle w:val="NormalWeb"/>
        <w:spacing w:before="0" w:beforeAutospacing="0" w:after="0" w:afterAutospacing="0" w:line="360" w:lineRule="auto"/>
        <w:rPr>
          <w:rFonts w:ascii="Century Schoolbook" w:hAnsi="Century Schoolbook"/>
          <w:color w:val="0E101A"/>
        </w:rPr>
      </w:pPr>
    </w:p>
    <w:p w14:paraId="67A0920C" w14:textId="56960A9A" w:rsidR="00FD675C" w:rsidRPr="00481C84" w:rsidRDefault="00FD675C" w:rsidP="00481C84">
      <w:pPr>
        <w:pStyle w:val="NormalWeb"/>
        <w:spacing w:before="0" w:beforeAutospacing="0" w:after="0" w:afterAutospacing="0" w:line="360" w:lineRule="auto"/>
        <w:rPr>
          <w:rFonts w:ascii="Century Schoolbook" w:hAnsi="Century Schoolbook"/>
          <w:color w:val="0E101A"/>
        </w:rPr>
      </w:pPr>
      <w:r w:rsidRPr="00481C84">
        <w:rPr>
          <w:rFonts w:ascii="Century Schoolbook" w:hAnsi="Century Schoolbook"/>
          <w:color w:val="0E101A"/>
        </w:rPr>
        <w:t>             The legislation proposed a new and “improved” structure for the healthcare system in the United Kingdom to give general practitioners and other clinicians the principal responsibility for appointing healthcare, offering a higher quality of care for patients, restricting the Ministers’ ability to intervene, while ensuring that they continue to be ultimately responsible, and creating a comprehensible system of regulation for providers, to promote excellence and effectiveness (Health and Social Care Act, 2012).</w:t>
      </w:r>
    </w:p>
    <w:p w14:paraId="5521ABBB" w14:textId="77777777" w:rsidR="00FD675C" w:rsidRPr="00481C84" w:rsidRDefault="00FD675C" w:rsidP="00481C84">
      <w:pPr>
        <w:pStyle w:val="NormalWeb"/>
        <w:spacing w:before="0" w:beforeAutospacing="0" w:after="0" w:afterAutospacing="0" w:line="360" w:lineRule="auto"/>
        <w:rPr>
          <w:rFonts w:ascii="Century Schoolbook" w:hAnsi="Century Schoolbook"/>
          <w:color w:val="0E101A"/>
        </w:rPr>
      </w:pPr>
    </w:p>
    <w:p w14:paraId="160FCF26" w14:textId="07C61375" w:rsidR="00FD675C" w:rsidRPr="00481C84" w:rsidRDefault="00FD675C" w:rsidP="00481C84">
      <w:pPr>
        <w:pStyle w:val="NormalWeb"/>
        <w:spacing w:before="0" w:beforeAutospacing="0" w:after="0" w:afterAutospacing="0" w:line="360" w:lineRule="auto"/>
        <w:rPr>
          <w:rFonts w:ascii="Century Schoolbook" w:hAnsi="Century Schoolbook"/>
          <w:color w:val="0E101A"/>
        </w:rPr>
      </w:pPr>
      <w:r w:rsidRPr="00481C84">
        <w:rPr>
          <w:rFonts w:ascii="Century Schoolbook" w:hAnsi="Century Schoolbook"/>
          <w:color w:val="0E101A"/>
        </w:rPr>
        <w:t>             In summary, the system aimed to alter the way that the National Health Service care was commissioned by giving a large part of the responsibility to clinicians and a new Commissioning Board for the National Health Service with the intent of improving “accountability and patient voice,” to encourage financial and efficient provision through establishing a provider regulator, and to offer National Health Service providers independence to improve quality of care (Legislation Gov, 2012).</w:t>
      </w:r>
    </w:p>
    <w:p w14:paraId="54E51FE8" w14:textId="77777777" w:rsidR="00FD675C" w:rsidRPr="00481C84" w:rsidRDefault="00FD675C" w:rsidP="00481C84">
      <w:pPr>
        <w:pStyle w:val="NormalWeb"/>
        <w:spacing w:before="0" w:beforeAutospacing="0" w:after="0" w:afterAutospacing="0" w:line="360" w:lineRule="auto"/>
        <w:rPr>
          <w:rFonts w:ascii="Century Schoolbook" w:hAnsi="Century Schoolbook"/>
          <w:color w:val="0E101A"/>
        </w:rPr>
      </w:pPr>
    </w:p>
    <w:p w14:paraId="778A90C9" w14:textId="7505EE28" w:rsidR="00FD675C" w:rsidRPr="00481C84" w:rsidRDefault="00FD675C" w:rsidP="00481C84">
      <w:pPr>
        <w:pStyle w:val="NormalWeb"/>
        <w:spacing w:before="0" w:beforeAutospacing="0" w:after="0" w:afterAutospacing="0" w:line="360" w:lineRule="auto"/>
        <w:rPr>
          <w:rFonts w:ascii="Century Schoolbook" w:hAnsi="Century Schoolbook"/>
          <w:color w:val="0E101A"/>
        </w:rPr>
      </w:pPr>
      <w:r w:rsidRPr="00481C84">
        <w:rPr>
          <w:rFonts w:ascii="Century Schoolbook" w:hAnsi="Century Schoolbook"/>
          <w:color w:val="0E101A"/>
        </w:rPr>
        <w:t xml:space="preserve">             Following the announcement of the legislation, the Daily Telegraph (2012) called it the “biggest revolution in the NHS since its foundation” in 1948. There was a considerable amount of resistance and negativity in response to the restructuring of the National Health Service due partly to the National Health Service staff supposedly not having been told of the plans prior and party due to </w:t>
      </w:r>
      <w:r w:rsidRPr="00481C84">
        <w:rPr>
          <w:rFonts w:ascii="Century Schoolbook" w:hAnsi="Century Schoolbook"/>
          <w:color w:val="0E101A"/>
        </w:rPr>
        <w:lastRenderedPageBreak/>
        <w:t>the Conservative party promising “no more top-down reorganisations” of the National Health Service only several weeks prior (The King’s Fund, 2012).</w:t>
      </w:r>
    </w:p>
    <w:p w14:paraId="7F8E5D6D" w14:textId="77777777" w:rsidR="00FD675C" w:rsidRPr="00481C84" w:rsidRDefault="00FD675C" w:rsidP="00481C84">
      <w:pPr>
        <w:pStyle w:val="NormalWeb"/>
        <w:spacing w:before="0" w:beforeAutospacing="0" w:after="0" w:afterAutospacing="0" w:line="360" w:lineRule="auto"/>
        <w:rPr>
          <w:rFonts w:ascii="Century Schoolbook" w:hAnsi="Century Schoolbook"/>
          <w:color w:val="0E101A"/>
        </w:rPr>
      </w:pPr>
    </w:p>
    <w:p w14:paraId="7649E87C" w14:textId="75965C8F" w:rsidR="00FD675C" w:rsidRPr="00481C84" w:rsidRDefault="00FD675C" w:rsidP="00481C84">
      <w:pPr>
        <w:pStyle w:val="NormalWeb"/>
        <w:spacing w:before="0" w:beforeAutospacing="0" w:after="0" w:afterAutospacing="0" w:line="360" w:lineRule="auto"/>
        <w:rPr>
          <w:rFonts w:ascii="Century Schoolbook" w:hAnsi="Century Schoolbook"/>
          <w:color w:val="0E101A"/>
        </w:rPr>
      </w:pPr>
      <w:r w:rsidRPr="00481C84">
        <w:rPr>
          <w:rFonts w:ascii="Century Schoolbook" w:hAnsi="Century Schoolbook"/>
          <w:color w:val="0E101A"/>
        </w:rPr>
        <w:t>             The Health and Social Care Act 2012 has affected various aspects of the health and well-being of British citizens. Mental health services in the United Kingdom are one branch of health and well-being that has been impacted by the legislation and has been discussed in various journals. According to an article published in </w:t>
      </w:r>
      <w:r w:rsidRPr="00481C84">
        <w:rPr>
          <w:rStyle w:val="Emphasis"/>
          <w:rFonts w:ascii="Century Schoolbook" w:hAnsi="Century Schoolbook"/>
          <w:color w:val="0E101A"/>
        </w:rPr>
        <w:t>The Psychiatrist</w:t>
      </w:r>
      <w:r w:rsidRPr="00481C84">
        <w:rPr>
          <w:rFonts w:ascii="Century Schoolbook" w:hAnsi="Century Schoolbook"/>
          <w:color w:val="0E101A"/>
        </w:rPr>
        <w:t xml:space="preserve"> journal in 2012, the changes to the healthcare organisation in the United Kingdom occurred as the National Health Service and social care were undergoing substantial financial cuts due to the global </w:t>
      </w:r>
      <w:proofErr w:type="gramStart"/>
      <w:r w:rsidRPr="00481C84">
        <w:rPr>
          <w:rFonts w:ascii="Century Schoolbook" w:hAnsi="Century Schoolbook"/>
          <w:color w:val="0E101A"/>
        </w:rPr>
        <w:t>recession, and</w:t>
      </w:r>
      <w:proofErr w:type="gramEnd"/>
      <w:r w:rsidRPr="00481C84">
        <w:rPr>
          <w:rFonts w:ascii="Century Schoolbook" w:hAnsi="Century Schoolbook"/>
          <w:color w:val="0E101A"/>
        </w:rPr>
        <w:t xml:space="preserve"> gave psychiatrists the “opportunity to influence the commissioning of mental health services […] and work within the new commissioning structures” (Holloway, 2012). The tensions within the legislation implied that vulnerable citizens may experience more harm and that the new system is less receptive to the “more nuanced needs of patients with chronic conditions,” especially in the cases where health and social care is needed over a longer </w:t>
      </w:r>
      <w:proofErr w:type="gramStart"/>
      <w:r w:rsidRPr="00481C84">
        <w:rPr>
          <w:rFonts w:ascii="Century Schoolbook" w:hAnsi="Century Schoolbook"/>
          <w:color w:val="0E101A"/>
        </w:rPr>
        <w:t>period of time</w:t>
      </w:r>
      <w:proofErr w:type="gramEnd"/>
      <w:r w:rsidRPr="00481C84">
        <w:rPr>
          <w:rFonts w:ascii="Century Schoolbook" w:hAnsi="Century Schoolbook"/>
          <w:color w:val="0E101A"/>
        </w:rPr>
        <w:t xml:space="preserve"> (Glover Thomas, 2013). Glover Thomas (2013) additionally noted that, on the other hand, the Health and Social Care Act 2012 could show an acknowledgement of the equal importance of mental and physical health, and that the legislation presents an opportunity to implement mental health services into the mainstream of the public health.</w:t>
      </w:r>
    </w:p>
    <w:p w14:paraId="2469D416" w14:textId="77777777" w:rsidR="00FD675C" w:rsidRPr="00481C84" w:rsidRDefault="00FD675C" w:rsidP="00481C84">
      <w:pPr>
        <w:pStyle w:val="NormalWeb"/>
        <w:spacing w:before="0" w:beforeAutospacing="0" w:after="0" w:afterAutospacing="0" w:line="360" w:lineRule="auto"/>
        <w:rPr>
          <w:rFonts w:ascii="Century Schoolbook" w:hAnsi="Century Schoolbook"/>
          <w:color w:val="0E101A"/>
        </w:rPr>
      </w:pPr>
    </w:p>
    <w:p w14:paraId="15F7832D" w14:textId="77777777" w:rsidR="00FD675C" w:rsidRPr="00481C84" w:rsidRDefault="00FD675C" w:rsidP="00481C84">
      <w:pPr>
        <w:pStyle w:val="NormalWeb"/>
        <w:spacing w:before="0" w:beforeAutospacing="0" w:after="0" w:afterAutospacing="0" w:line="360" w:lineRule="auto"/>
        <w:rPr>
          <w:rFonts w:ascii="Century Schoolbook" w:hAnsi="Century Schoolbook"/>
          <w:color w:val="0E101A"/>
        </w:rPr>
      </w:pPr>
      <w:r w:rsidRPr="00481C84">
        <w:rPr>
          <w:rFonts w:ascii="Century Schoolbook" w:hAnsi="Century Schoolbook"/>
          <w:color w:val="0E101A"/>
        </w:rPr>
        <w:t>             Seven years after the introduction of the Health and Social Care Act 2012, the </w:t>
      </w:r>
      <w:r w:rsidRPr="00481C84">
        <w:rPr>
          <w:rStyle w:val="Emphasis"/>
          <w:rFonts w:ascii="Century Schoolbook" w:hAnsi="Century Schoolbook"/>
          <w:color w:val="0E101A"/>
        </w:rPr>
        <w:t>British Journal of General Practice</w:t>
      </w:r>
      <w:r w:rsidRPr="00481C84">
        <w:rPr>
          <w:rFonts w:ascii="Century Schoolbook" w:hAnsi="Century Schoolbook"/>
          <w:color w:val="0E101A"/>
        </w:rPr>
        <w:t> examined the effects of the legislation and how it impacted the commissioning of mental health, specifically in England, intending to establish how mental services were affected by sending out over two-hundred Freedom of Information Requests to every clinical commissioning group within England for information on all contracts – including number, length and value – for mental health services requested between 2013 and 2016, and performance and quality data (Patel, 2019). There was a response from one-hundred-and-ninety-six clinical commissioning groups, revealing they had each</w:t>
      </w:r>
      <w:r w:rsidRPr="00481C84">
        <w:rPr>
          <w:rFonts w:ascii="Century Schoolbook" w:hAnsi="Century Schoolbook"/>
          <w:color w:val="0E101A"/>
        </w:rPr>
        <w:t xml:space="preserve"> </w:t>
      </w:r>
      <w:r w:rsidRPr="00481C84">
        <w:rPr>
          <w:rFonts w:ascii="Century Schoolbook" w:hAnsi="Century Schoolbook"/>
          <w:color w:val="0E101A"/>
        </w:rPr>
        <w:t xml:space="preserve">commissioned between one and one-hundred-and-twenty-seven </w:t>
      </w:r>
      <w:r w:rsidRPr="00481C84">
        <w:rPr>
          <w:rFonts w:ascii="Century Schoolbook" w:hAnsi="Century Schoolbook"/>
          <w:color w:val="0E101A"/>
        </w:rPr>
        <w:lastRenderedPageBreak/>
        <w:t>contracts: one-quarter of the contracts were awarded to the National Health Service foundation trusts, amounting to 70% of the overall contract value, while over 63% of the collected contracts were granted to the third sector (non-profit-making and non-governmental organisations or associations) which equivalates to 6% of the complete value of contracts. The study concluded that the low value and high volume of commissioned contracts to organisations within the third sector satisfy the “new duty to arrange but not to integrate,” demonstrating the division of mental health provisions, and the shortage of both performance and quality data presents additional concern regarding the liability and transparency of the National Health Service (Patel, 2019).</w:t>
      </w:r>
      <w:r w:rsidRPr="00481C84">
        <w:rPr>
          <w:rFonts w:ascii="Century Schoolbook" w:hAnsi="Century Schoolbook"/>
          <w:color w:val="0E101A"/>
        </w:rPr>
        <w:t xml:space="preserve"> </w:t>
      </w:r>
    </w:p>
    <w:p w14:paraId="0EC1394A" w14:textId="77777777" w:rsidR="00FD675C" w:rsidRPr="00481C84" w:rsidRDefault="00FD675C" w:rsidP="00481C84">
      <w:pPr>
        <w:pStyle w:val="NormalWeb"/>
        <w:spacing w:before="0" w:beforeAutospacing="0" w:after="0" w:afterAutospacing="0" w:line="360" w:lineRule="auto"/>
        <w:ind w:firstLine="720"/>
        <w:rPr>
          <w:rFonts w:ascii="Century Schoolbook" w:hAnsi="Century Schoolbook"/>
          <w:color w:val="0E101A"/>
        </w:rPr>
      </w:pPr>
    </w:p>
    <w:p w14:paraId="2E784C83" w14:textId="25BF874E" w:rsidR="00FD675C" w:rsidRPr="00481C84" w:rsidRDefault="00FD675C" w:rsidP="00481C84">
      <w:pPr>
        <w:pStyle w:val="NormalWeb"/>
        <w:spacing w:before="0" w:beforeAutospacing="0" w:after="0" w:afterAutospacing="0" w:line="360" w:lineRule="auto"/>
        <w:ind w:firstLine="720"/>
        <w:rPr>
          <w:rFonts w:ascii="Century Schoolbook" w:hAnsi="Century Schoolbook"/>
          <w:color w:val="0E101A"/>
        </w:rPr>
      </w:pPr>
      <w:r w:rsidRPr="00481C84">
        <w:rPr>
          <w:rFonts w:ascii="Century Schoolbook" w:hAnsi="Century Schoolbook"/>
          <w:color w:val="0E101A"/>
        </w:rPr>
        <w:t xml:space="preserve">Another paper explored the impact on the health and well-being of people without homes that the Health and Social Care Act 2012 had. The intent of this was to uncover the extent of the effect that the Health and Social Care Act 2012 had on rough sleepers from the point of view of one support worker who was formerly a homelessness service user in the United Kingdom (Fuller, 2016). Homelessness services are services that are specialised in assisting people without homes which are often government-funded (Berman and West, 1995). The paper touches on subjects such as the enhanced responsibilities of local councils, and the new procedures for patient and public representations. The paper argues that it could be seen that the legislation has – though not intentionally – “[marginalised] the marginalised” </w:t>
      </w:r>
      <w:proofErr w:type="gramStart"/>
      <w:r w:rsidRPr="00481C84">
        <w:rPr>
          <w:rFonts w:ascii="Century Schoolbook" w:hAnsi="Century Schoolbook"/>
          <w:color w:val="0E101A"/>
        </w:rPr>
        <w:t>as a result of</w:t>
      </w:r>
      <w:proofErr w:type="gramEnd"/>
      <w:r w:rsidRPr="00481C84">
        <w:rPr>
          <w:rFonts w:ascii="Century Schoolbook" w:hAnsi="Century Schoolbook"/>
          <w:color w:val="0E101A"/>
        </w:rPr>
        <w:t xml:space="preserve"> the dilution of public participation; the increased responsibility vested in local authorities for public health, and the shifting the focal point to the individual from the communal; as well as the further dissociating of health and social care (Fuller, 2016). This has led to the health and well-being of individuals without homes to be helped by initiatives for rough sleepers; many of these organisations’ funds are struggling due to the withdrawal of government funding. In response to this, Voluntary sector groups have shown cooperation and innovation to assist as they can.</w:t>
      </w:r>
    </w:p>
    <w:p w14:paraId="54D7CDE4" w14:textId="77777777" w:rsidR="00FD675C" w:rsidRPr="00481C84" w:rsidRDefault="00FD675C" w:rsidP="00481C84">
      <w:pPr>
        <w:pStyle w:val="NormalWeb"/>
        <w:spacing w:before="0" w:beforeAutospacing="0" w:after="0" w:afterAutospacing="0" w:line="360" w:lineRule="auto"/>
        <w:rPr>
          <w:rFonts w:ascii="Century Schoolbook" w:hAnsi="Century Schoolbook"/>
          <w:color w:val="0E101A"/>
        </w:rPr>
      </w:pPr>
    </w:p>
    <w:p w14:paraId="581C0D2A" w14:textId="760279EB" w:rsidR="00FD675C" w:rsidRPr="00481C84" w:rsidRDefault="00FD675C" w:rsidP="00481C84">
      <w:pPr>
        <w:pStyle w:val="NormalWeb"/>
        <w:spacing w:before="0" w:beforeAutospacing="0" w:after="0" w:afterAutospacing="0" w:line="360" w:lineRule="auto"/>
        <w:ind w:firstLine="720"/>
        <w:rPr>
          <w:rFonts w:ascii="Century Schoolbook" w:hAnsi="Century Schoolbook"/>
          <w:color w:val="0E101A"/>
        </w:rPr>
      </w:pPr>
      <w:r w:rsidRPr="00481C84">
        <w:rPr>
          <w:rFonts w:ascii="Century Schoolbook" w:hAnsi="Century Schoolbook"/>
          <w:color w:val="0E101A"/>
        </w:rPr>
        <w:lastRenderedPageBreak/>
        <w:t>In conclusion, the Health and Social Act 2012 has had an impact on the well-being and health of children and young people within the United Kingdom. As discussed above, the legislation has had an unintentional impact on the rough sleepers of Britain. According to an article by </w:t>
      </w:r>
      <w:r w:rsidRPr="00481C84">
        <w:rPr>
          <w:rStyle w:val="Emphasis"/>
          <w:rFonts w:ascii="Century Schoolbook" w:hAnsi="Century Schoolbook"/>
          <w:color w:val="0E101A"/>
        </w:rPr>
        <w:t>The Guardian</w:t>
      </w:r>
      <w:r w:rsidRPr="00481C84">
        <w:rPr>
          <w:rFonts w:ascii="Century Schoolbook" w:hAnsi="Century Schoolbook"/>
          <w:color w:val="0E101A"/>
        </w:rPr>
        <w:t xml:space="preserve">, the chief executive of the UK’s most prominent homelessness charity, </w:t>
      </w:r>
      <w:proofErr w:type="spellStart"/>
      <w:r w:rsidRPr="00481C84">
        <w:rPr>
          <w:rFonts w:ascii="Century Schoolbook" w:hAnsi="Century Schoolbook"/>
          <w:color w:val="0E101A"/>
        </w:rPr>
        <w:t>Seyi</w:t>
      </w:r>
      <w:proofErr w:type="spellEnd"/>
      <w:r w:rsidRPr="00481C84">
        <w:rPr>
          <w:rFonts w:ascii="Century Schoolbook" w:hAnsi="Century Schoolbook"/>
          <w:color w:val="0E101A"/>
        </w:rPr>
        <w:t xml:space="preserve"> </w:t>
      </w:r>
      <w:proofErr w:type="spellStart"/>
      <w:r w:rsidRPr="00481C84">
        <w:rPr>
          <w:rFonts w:ascii="Century Schoolbook" w:hAnsi="Century Schoolbook"/>
          <w:color w:val="0E101A"/>
        </w:rPr>
        <w:t>Obakain</w:t>
      </w:r>
      <w:proofErr w:type="spellEnd"/>
      <w:r w:rsidRPr="00481C84">
        <w:rPr>
          <w:rFonts w:ascii="Century Schoolbook" w:hAnsi="Century Schoolbook"/>
          <w:color w:val="0E101A"/>
        </w:rPr>
        <w:t>, declared that Centrepoint’s estimates suggested that a staggering 86,000 young people had been declared at risk or homeless in 2016 and 2017, and “that the figure increased to 121,000 in 2019-20” (</w:t>
      </w:r>
      <w:proofErr w:type="spellStart"/>
      <w:r w:rsidRPr="00481C84">
        <w:rPr>
          <w:rFonts w:ascii="Century Schoolbook" w:hAnsi="Century Schoolbook"/>
          <w:color w:val="0E101A"/>
        </w:rPr>
        <w:t>Mohdin</w:t>
      </w:r>
      <w:proofErr w:type="spellEnd"/>
      <w:r w:rsidRPr="00481C84">
        <w:rPr>
          <w:rFonts w:ascii="Century Schoolbook" w:hAnsi="Century Schoolbook"/>
          <w:color w:val="0E101A"/>
        </w:rPr>
        <w:t>, 2021). Due to the dilution of public ownership, the “inequalities in the provision of health and social care to rich and poor” are likely to rise, especially for those who withstand social exclusions and are without homes (Fuller, 2016). Individuals without homes are regularly forced to endure significant obstacles when trying to access dental surgeries and general practitioners, meaning that general practitioners are likely to have very little understanding of the problems rough sleepers face and what their priorities are in terms of meeting their needs through commissioning services (</w:t>
      </w:r>
      <w:proofErr w:type="spellStart"/>
      <w:r w:rsidRPr="00481C84">
        <w:rPr>
          <w:rFonts w:ascii="Century Schoolbook" w:hAnsi="Century Schoolbook"/>
          <w:color w:val="0E101A"/>
        </w:rPr>
        <w:t>Medcalf</w:t>
      </w:r>
      <w:proofErr w:type="spellEnd"/>
      <w:r w:rsidRPr="00481C84">
        <w:rPr>
          <w:rFonts w:ascii="Century Schoolbook" w:hAnsi="Century Schoolbook"/>
          <w:color w:val="0E101A"/>
        </w:rPr>
        <w:t xml:space="preserve"> and Russell, 2014). As a result, the health and well-being of young people without homes are not being addressed appropriately and will thus likely harm this group’s health and well-being.</w:t>
      </w:r>
    </w:p>
    <w:p w14:paraId="580C2142" w14:textId="77777777" w:rsidR="00FD675C" w:rsidRPr="00481C84" w:rsidRDefault="00FD675C" w:rsidP="00481C84">
      <w:pPr>
        <w:pStyle w:val="NormalWeb"/>
        <w:spacing w:before="0" w:beforeAutospacing="0" w:after="0" w:afterAutospacing="0" w:line="360" w:lineRule="auto"/>
        <w:ind w:firstLine="720"/>
        <w:rPr>
          <w:rFonts w:ascii="Century Schoolbook" w:hAnsi="Century Schoolbook"/>
          <w:color w:val="0E101A"/>
        </w:rPr>
      </w:pPr>
    </w:p>
    <w:p w14:paraId="4731DA5A" w14:textId="6464C89A" w:rsidR="00FD675C" w:rsidRPr="00481C84" w:rsidRDefault="00FD675C" w:rsidP="00481C84">
      <w:pPr>
        <w:pStyle w:val="NormalWeb"/>
        <w:spacing w:before="0" w:beforeAutospacing="0" w:after="0" w:afterAutospacing="0" w:line="360" w:lineRule="auto"/>
        <w:ind w:firstLine="720"/>
        <w:rPr>
          <w:rFonts w:ascii="Century Schoolbook" w:hAnsi="Century Schoolbook"/>
          <w:color w:val="0E101A"/>
        </w:rPr>
      </w:pPr>
      <w:r w:rsidRPr="00481C84">
        <w:rPr>
          <w:rFonts w:ascii="Century Schoolbook" w:hAnsi="Century Schoolbook"/>
          <w:color w:val="0E101A"/>
        </w:rPr>
        <w:t xml:space="preserve">Furthermore, the legislation affects the United Kingdom's mental health services which directly impacts children and young people’s mental health and well-being within Britain. In 2021, research revealed that more than 16% of children between the ages of five and six suffered from some form of mental health (NHS Digital, 2021a). In 2017, a report by the NHS revealed that almost 50% of young people aged seventeen-to-nineteen who had been diagnosed with a mental health disorder had attempted suicide and/or self-harm in some way, increasing to nearly 53% for young </w:t>
      </w:r>
      <w:proofErr w:type="gramStart"/>
      <w:r w:rsidRPr="00481C84">
        <w:rPr>
          <w:rFonts w:ascii="Century Schoolbook" w:hAnsi="Century Schoolbook"/>
          <w:color w:val="0E101A"/>
        </w:rPr>
        <w:t>women in particular</w:t>
      </w:r>
      <w:proofErr w:type="gramEnd"/>
      <w:r w:rsidRPr="00481C84">
        <w:rPr>
          <w:rFonts w:ascii="Century Schoolbook" w:hAnsi="Century Schoolbook"/>
          <w:color w:val="0E101A"/>
        </w:rPr>
        <w:t xml:space="preserve"> (NHS Digital, 2022b). Additionally, studies show that having adverse childhood experiences in childhood are directly connected to one-third of mental health problems experienced in adulthood, so there are proven long-term consequences on the lives of children based on the care they receive in early life (Kessler, 2010). Though the equalisation of physical and mental health is a clear goal set within </w:t>
      </w:r>
      <w:r w:rsidRPr="00481C84">
        <w:rPr>
          <w:rFonts w:ascii="Century Schoolbook" w:hAnsi="Century Schoolbook"/>
          <w:color w:val="0E101A"/>
        </w:rPr>
        <w:lastRenderedPageBreak/>
        <w:t xml:space="preserve">the legislation, efficiency savings will also be facilitated by the introduction of competition principles (Glover-Thomas, 2013). The contribution of various service providers and agencies is often needed when dealing with mental health needs as they are complex and diverse; this is often expensive as well as complicated. The complications and cost of mental health provisions have caused difficulty in the past consistently resulting in unfortunate failures that have been reportedly caused by a “catalogue of challenges surrounding the coordination and adequate funding of care” (Ritchie, 1994). </w:t>
      </w:r>
      <w:proofErr w:type="gramStart"/>
      <w:r w:rsidRPr="00481C84">
        <w:rPr>
          <w:rFonts w:ascii="Century Schoolbook" w:hAnsi="Century Schoolbook"/>
          <w:color w:val="0E101A"/>
        </w:rPr>
        <w:t>Without overarching regional oversight, it</w:t>
      </w:r>
      <w:proofErr w:type="gramEnd"/>
      <w:r w:rsidRPr="00481C84">
        <w:rPr>
          <w:rFonts w:ascii="Century Schoolbook" w:hAnsi="Century Schoolbook"/>
          <w:color w:val="0E101A"/>
        </w:rPr>
        <w:t xml:space="preserve"> is a possibility that the process of commissioning may become “fragmented” and “uncoordinated,” and eventually become difficult to address as the needs of patients may go unrecognised (Miller, </w:t>
      </w:r>
      <w:r w:rsidRPr="00481C84">
        <w:rPr>
          <w:rStyle w:val="Emphasis"/>
          <w:rFonts w:ascii="Century Schoolbook" w:hAnsi="Century Schoolbook"/>
          <w:color w:val="0E101A"/>
        </w:rPr>
        <w:t>et al.</w:t>
      </w:r>
      <w:r w:rsidRPr="00481C84">
        <w:rPr>
          <w:rFonts w:ascii="Century Schoolbook" w:hAnsi="Century Schoolbook"/>
          <w:color w:val="0E101A"/>
        </w:rPr>
        <w:t>, 2011). Ultimately, this will mean the health and well-being of children and young people who face mental health problems will be impacted as their needs will go undiagnosed and unmet.</w:t>
      </w:r>
    </w:p>
    <w:p w14:paraId="09709DCE" w14:textId="77777777" w:rsidR="00FD675C" w:rsidRPr="00481C84" w:rsidRDefault="00FD675C" w:rsidP="00481C84">
      <w:pPr>
        <w:pStyle w:val="NormalWeb"/>
        <w:spacing w:before="0" w:beforeAutospacing="0" w:after="0" w:afterAutospacing="0" w:line="360" w:lineRule="auto"/>
        <w:ind w:firstLine="720"/>
        <w:rPr>
          <w:rFonts w:ascii="Century Schoolbook" w:hAnsi="Century Schoolbook"/>
          <w:color w:val="0E101A"/>
        </w:rPr>
      </w:pPr>
    </w:p>
    <w:p w14:paraId="5E927D38" w14:textId="4062A3DB" w:rsidR="00FD675C" w:rsidRPr="00481C84" w:rsidRDefault="00FD675C" w:rsidP="00481C84">
      <w:pPr>
        <w:pStyle w:val="NormalWeb"/>
        <w:spacing w:before="0" w:beforeAutospacing="0" w:after="0" w:afterAutospacing="0" w:line="360" w:lineRule="auto"/>
        <w:ind w:firstLine="720"/>
        <w:rPr>
          <w:rFonts w:ascii="Century Schoolbook" w:hAnsi="Century Schoolbook"/>
          <w:color w:val="0E101A"/>
        </w:rPr>
      </w:pPr>
      <w:r w:rsidRPr="00481C84">
        <w:rPr>
          <w:rFonts w:ascii="Century Schoolbook" w:hAnsi="Century Schoolbook"/>
          <w:color w:val="0E101A"/>
        </w:rPr>
        <w:t xml:space="preserve">Moving on, the Well-Being of Future Generations (Wales) Act 2015 is a law that was implemented in April 2016. In simple terms, the law states that Welsh public bodies are required to consider people, both in the present and in the future, when coming to decisions (Well-Being of Future Generations Act 2015). Presently, Wales is facing </w:t>
      </w:r>
      <w:proofErr w:type="gramStart"/>
      <w:r w:rsidRPr="00481C84">
        <w:rPr>
          <w:rFonts w:ascii="Century Schoolbook" w:hAnsi="Century Schoolbook"/>
          <w:color w:val="0E101A"/>
        </w:rPr>
        <w:t>a number of</w:t>
      </w:r>
      <w:proofErr w:type="gramEnd"/>
      <w:r w:rsidRPr="00481C84">
        <w:rPr>
          <w:rFonts w:ascii="Century Schoolbook" w:hAnsi="Century Schoolbook"/>
          <w:color w:val="0E101A"/>
        </w:rPr>
        <w:t xml:space="preserve"> challenges, such as poverty, poor health, unemployment, and climate change (https://gov.wales/future-trends-2021-html). In Wales, there are forty-four public bodies, including Fire and Rescue Authorities, Public Health Wales NHS Trust, and The Higher Education Funding Council for Wales. Public bodies provide us with services such as schools and doctor surgeries. Public bodies must consider sustainability and how their decisions will affect Welsh citizens in the future. In the act, sustainable development is a priority and is defined as a “way of doing things rather than as an end in itself” (</w:t>
      </w:r>
      <w:proofErr w:type="spellStart"/>
      <w:r w:rsidRPr="00481C84">
        <w:rPr>
          <w:rFonts w:ascii="Century Schoolbook" w:hAnsi="Century Schoolbook"/>
          <w:color w:val="0E101A"/>
        </w:rPr>
        <w:t>Weatherup</w:t>
      </w:r>
      <w:proofErr w:type="spellEnd"/>
      <w:r w:rsidRPr="00481C84">
        <w:rPr>
          <w:rFonts w:ascii="Century Schoolbook" w:hAnsi="Century Schoolbook"/>
          <w:color w:val="0E101A"/>
        </w:rPr>
        <w:t xml:space="preserve"> et al., 2016). It is the role of the Future Generations Commissioner to ensure that public bodies are striving toward better well-being and to give suggestions for improvement (Jones, 2019). The commissioner annually reports the status of public bodies in Wales.</w:t>
      </w:r>
    </w:p>
    <w:p w14:paraId="2334CEFE" w14:textId="77777777" w:rsidR="00FD675C" w:rsidRPr="00481C84" w:rsidRDefault="00FD675C" w:rsidP="00481C84">
      <w:pPr>
        <w:pStyle w:val="NormalWeb"/>
        <w:spacing w:before="0" w:beforeAutospacing="0" w:after="0" w:afterAutospacing="0" w:line="360" w:lineRule="auto"/>
        <w:ind w:firstLine="720"/>
        <w:rPr>
          <w:rFonts w:ascii="Century Schoolbook" w:hAnsi="Century Schoolbook"/>
          <w:color w:val="0E101A"/>
        </w:rPr>
      </w:pPr>
    </w:p>
    <w:p w14:paraId="34DAB4F8" w14:textId="77777777" w:rsidR="00FD675C" w:rsidRPr="00481C84" w:rsidRDefault="00FD675C" w:rsidP="00481C84">
      <w:pPr>
        <w:pStyle w:val="NormalWeb"/>
        <w:spacing w:before="0" w:beforeAutospacing="0" w:after="0" w:afterAutospacing="0" w:line="360" w:lineRule="auto"/>
        <w:ind w:firstLine="720"/>
        <w:rPr>
          <w:rFonts w:ascii="Century Schoolbook" w:hAnsi="Century Schoolbook"/>
          <w:color w:val="0E101A"/>
        </w:rPr>
      </w:pPr>
      <w:r w:rsidRPr="00481C84">
        <w:rPr>
          <w:rFonts w:ascii="Century Schoolbook" w:hAnsi="Century Schoolbook"/>
          <w:color w:val="0E101A"/>
        </w:rPr>
        <w:lastRenderedPageBreak/>
        <w:t>As the name suggests, the Well-Being of Future Generations (Wales) Act 2015 affects the well-being of the community, both today and in the future. The act ensures that the well-being of future generations is a contributing factor in the decisions made by public bodies in Wales. The act offers a chance to form an enduring, positive change for generations of the future. Public bodies are required to consider the effects of their choices in the long-term, regarding individuals as well as the wider community, and to avoid issues such as health inequalities, climate change and poverty (Future Generations, 2022a). The act was created with seven goals in mind for all public bodies to strive for: a healthier Wales, a resilient Wales, a more equal Wales, a Wales of vibrant culture and thriving Welsh language, a prosperous Wales, a globally responsible Wales, and a Wales of cohesive communities (Davies, 2016). The health and well-being of future generations is a key priority throughout these goals. Well-being is simply defined as “the state of being comfortable, healthy, or happy” (Pinto, S. </w:t>
      </w:r>
      <w:r w:rsidRPr="00481C84">
        <w:rPr>
          <w:rStyle w:val="Emphasis"/>
          <w:rFonts w:ascii="Century Schoolbook" w:hAnsi="Century Schoolbook"/>
          <w:color w:val="0E101A"/>
        </w:rPr>
        <w:t>et al</w:t>
      </w:r>
      <w:r w:rsidRPr="00481C84">
        <w:rPr>
          <w:rFonts w:ascii="Century Schoolbook" w:hAnsi="Century Schoolbook"/>
          <w:color w:val="0E101A"/>
        </w:rPr>
        <w:t xml:space="preserve">, 2017). A ‘more equal </w:t>
      </w:r>
      <w:proofErr w:type="spellStart"/>
      <w:r w:rsidRPr="00481C84">
        <w:rPr>
          <w:rFonts w:ascii="Century Schoolbook" w:hAnsi="Century Schoolbook"/>
          <w:color w:val="0E101A"/>
        </w:rPr>
        <w:t>Wales’</w:t>
      </w:r>
      <w:proofErr w:type="spellEnd"/>
      <w:r w:rsidRPr="00481C84">
        <w:rPr>
          <w:rFonts w:ascii="Century Schoolbook" w:hAnsi="Century Schoolbook"/>
          <w:color w:val="0E101A"/>
        </w:rPr>
        <w:t xml:space="preserve"> may be defined as a Wales where people can achieve their goals regardless of personal circumstances and background (Future Generations, 2022b); this affects the well-being of current and future generations as it focuses on equal opportunities and non-discrimination. A ‘healthier </w:t>
      </w:r>
      <w:proofErr w:type="spellStart"/>
      <w:r w:rsidRPr="00481C84">
        <w:rPr>
          <w:rFonts w:ascii="Century Schoolbook" w:hAnsi="Century Schoolbook"/>
          <w:color w:val="0E101A"/>
        </w:rPr>
        <w:t>Wales’</w:t>
      </w:r>
      <w:proofErr w:type="spellEnd"/>
      <w:r w:rsidRPr="00481C84">
        <w:rPr>
          <w:rFonts w:ascii="Century Schoolbook" w:hAnsi="Century Schoolbook"/>
          <w:color w:val="0E101A"/>
        </w:rPr>
        <w:t xml:space="preserve"> refers to the mental well-being of the people in Wales as well as the physical well-being and aims for the health and well-being of future generations (Future Generations, 2022c). A ’globally responsible </w:t>
      </w:r>
      <w:proofErr w:type="spellStart"/>
      <w:r w:rsidRPr="00481C84">
        <w:rPr>
          <w:rFonts w:ascii="Century Schoolbook" w:hAnsi="Century Schoolbook"/>
          <w:color w:val="0E101A"/>
        </w:rPr>
        <w:t>Wales’</w:t>
      </w:r>
      <w:proofErr w:type="spellEnd"/>
      <w:r w:rsidRPr="00481C84">
        <w:rPr>
          <w:rFonts w:ascii="Century Schoolbook" w:hAnsi="Century Schoolbook"/>
          <w:color w:val="0E101A"/>
        </w:rPr>
        <w:t xml:space="preserve"> affects the well-being of the globe rather than Wales alone; it is the vow to consider the impact of any attempts at improving the social, environmental, cultural, and economic well-being of Wales on the global well-being (Future Generations, 2022d). A ’prosperous </w:t>
      </w:r>
      <w:proofErr w:type="spellStart"/>
      <w:r w:rsidRPr="00481C84">
        <w:rPr>
          <w:rFonts w:ascii="Century Schoolbook" w:hAnsi="Century Schoolbook"/>
          <w:color w:val="0E101A"/>
        </w:rPr>
        <w:t>Wales’</w:t>
      </w:r>
      <w:proofErr w:type="spellEnd"/>
      <w:r w:rsidRPr="00481C84">
        <w:rPr>
          <w:rFonts w:ascii="Century Schoolbook" w:hAnsi="Century Schoolbook"/>
          <w:color w:val="0E101A"/>
        </w:rPr>
        <w:t xml:space="preserve"> can be described as a constructive, inventive, and low carbon society which recognises the “limits of the global environment” (Future Generations, 2022e) and thus utilises its available resources in a way that is efficient and practical, and consequently creates a Welsh population that is both well-educated and skilled in an economic environment thus creating wealth and providing opportunities of employment (Future Generations, 2022e); this enables people in Wales to enjoy the advantages of the generated wealth by way of obtaining adequate work. Maslow’s hierarchy of needs is relevant to well-being </w:t>
      </w:r>
      <w:r w:rsidRPr="00481C84">
        <w:rPr>
          <w:rFonts w:ascii="Century Schoolbook" w:hAnsi="Century Schoolbook"/>
          <w:color w:val="0E101A"/>
        </w:rPr>
        <w:lastRenderedPageBreak/>
        <w:t>here as a prosperous Wales is linked to the ‘esteem’ level which involves accomplishment which can be achieved through securing decent work, and sufficient income from work also allows one to provide physiological needs and safety needs, improving general well-being (</w:t>
      </w:r>
      <w:proofErr w:type="spellStart"/>
      <w:r w:rsidRPr="00481C84">
        <w:rPr>
          <w:rFonts w:ascii="Century Schoolbook" w:hAnsi="Century Schoolbook"/>
          <w:color w:val="0E101A"/>
        </w:rPr>
        <w:t>Pichère</w:t>
      </w:r>
      <w:proofErr w:type="spellEnd"/>
      <w:r w:rsidRPr="00481C84">
        <w:rPr>
          <w:rFonts w:ascii="Century Schoolbook" w:hAnsi="Century Schoolbook"/>
          <w:color w:val="0E101A"/>
        </w:rPr>
        <w:t> </w:t>
      </w:r>
    </w:p>
    <w:p w14:paraId="455D6FF3" w14:textId="77777777" w:rsidR="00FD675C" w:rsidRPr="00481C84" w:rsidRDefault="00FD675C" w:rsidP="00481C84">
      <w:pPr>
        <w:pStyle w:val="NormalWeb"/>
        <w:spacing w:before="0" w:beforeAutospacing="0" w:after="0" w:afterAutospacing="0" w:line="360" w:lineRule="auto"/>
        <w:rPr>
          <w:rFonts w:ascii="Century Schoolbook" w:hAnsi="Century Schoolbook"/>
          <w:color w:val="0E101A"/>
        </w:rPr>
      </w:pPr>
      <w:r w:rsidRPr="00481C84">
        <w:rPr>
          <w:rStyle w:val="Emphasis"/>
          <w:rFonts w:ascii="Century Schoolbook" w:hAnsi="Century Schoolbook"/>
          <w:color w:val="0E101A"/>
        </w:rPr>
        <w:t>et al</w:t>
      </w:r>
      <w:r w:rsidRPr="00481C84">
        <w:rPr>
          <w:rFonts w:ascii="Century Schoolbook" w:hAnsi="Century Schoolbook"/>
          <w:color w:val="0E101A"/>
        </w:rPr>
        <w:t xml:space="preserve">, 2015). A ‘resilient </w:t>
      </w:r>
      <w:proofErr w:type="spellStart"/>
      <w:r w:rsidRPr="00481C84">
        <w:rPr>
          <w:rFonts w:ascii="Century Schoolbook" w:hAnsi="Century Schoolbook"/>
          <w:color w:val="0E101A"/>
        </w:rPr>
        <w:t>Wales’</w:t>
      </w:r>
      <w:proofErr w:type="spellEnd"/>
      <w:r w:rsidRPr="00481C84">
        <w:rPr>
          <w:rFonts w:ascii="Century Schoolbook" w:hAnsi="Century Schoolbook"/>
          <w:color w:val="0E101A"/>
        </w:rPr>
        <w:t xml:space="preserve"> means a Wales that is able to sustain and improve upon a “biodiverse natural environment” including ecosystems with the ability to adapt to change and that will support ecological, economic, and social resilience (Future Generations, 2022f). Typically, the focus of this goal is on areas including cleanliness, recycling, flooding, reducing emissions, and fly-tipping (Future Generations, 2022f). This helps maintain a healthier and more natural environment which causes better health and well-being amongst the population.</w:t>
      </w:r>
    </w:p>
    <w:p w14:paraId="0FA5DCD5" w14:textId="11CA74CD" w:rsidR="00FD675C" w:rsidRPr="00481C84" w:rsidRDefault="00FD675C" w:rsidP="00481C84">
      <w:pPr>
        <w:pStyle w:val="NormalWeb"/>
        <w:spacing w:before="0" w:beforeAutospacing="0" w:after="0" w:afterAutospacing="0" w:line="360" w:lineRule="auto"/>
        <w:rPr>
          <w:rFonts w:ascii="Century Schoolbook" w:hAnsi="Century Schoolbook"/>
          <w:color w:val="0E101A"/>
        </w:rPr>
      </w:pPr>
      <w:r w:rsidRPr="00481C84">
        <w:rPr>
          <w:rFonts w:ascii="Century Schoolbook" w:hAnsi="Century Schoolbook"/>
          <w:color w:val="0E101A"/>
        </w:rPr>
        <w:t>           In conclusion, The Well-Being of Future Generations (Wales) Act 2015 impacts the health and well-being of both individuals in Wales as well as the wider community. The act considers the well-being of Wales in the present as well as the future with sustainability being a clear priority. Furthermore, the act cares for multiple aspects of well-being. Referring back to Maslow’s Hierarchy of Needs, the act has had a positive impact on the physiological well-being of Wales as well as safety needs and self-esteem needs which are necessary for mental well-being (</w:t>
      </w:r>
      <w:proofErr w:type="spellStart"/>
      <w:r w:rsidRPr="00481C84">
        <w:rPr>
          <w:rFonts w:ascii="Century Schoolbook" w:hAnsi="Century Schoolbook"/>
          <w:color w:val="0E101A"/>
        </w:rPr>
        <w:t>Pichère</w:t>
      </w:r>
      <w:proofErr w:type="spellEnd"/>
      <w:r w:rsidRPr="00481C84">
        <w:rPr>
          <w:rFonts w:ascii="Century Schoolbook" w:hAnsi="Century Schoolbook"/>
          <w:color w:val="0E101A"/>
        </w:rPr>
        <w:t> </w:t>
      </w:r>
      <w:r w:rsidRPr="00481C84">
        <w:rPr>
          <w:rStyle w:val="Emphasis"/>
          <w:rFonts w:ascii="Century Schoolbook" w:hAnsi="Century Schoolbook"/>
          <w:color w:val="0E101A"/>
        </w:rPr>
        <w:t>et al</w:t>
      </w:r>
      <w:r w:rsidRPr="00481C84">
        <w:rPr>
          <w:rFonts w:ascii="Century Schoolbook" w:hAnsi="Century Schoolbook"/>
          <w:color w:val="0E101A"/>
        </w:rPr>
        <w:t>, 2015).</w:t>
      </w:r>
    </w:p>
    <w:p w14:paraId="6647ECBB" w14:textId="77777777" w:rsidR="00FD675C" w:rsidRPr="00481C84" w:rsidRDefault="00FD675C" w:rsidP="00481C84">
      <w:pPr>
        <w:spacing w:line="360" w:lineRule="auto"/>
        <w:jc w:val="both"/>
        <w:rPr>
          <w:rFonts w:ascii="Century Schoolbook" w:hAnsi="Century Schoolbook"/>
          <w:b/>
          <w:bCs/>
          <w:sz w:val="24"/>
          <w:szCs w:val="24"/>
          <w:u w:val="single"/>
        </w:rPr>
      </w:pPr>
    </w:p>
    <w:p w14:paraId="6A08325D" w14:textId="6BBDAAA2" w:rsidR="002C6672" w:rsidRPr="00481C84" w:rsidRDefault="002C6672" w:rsidP="00481C84">
      <w:pPr>
        <w:spacing w:line="360" w:lineRule="auto"/>
        <w:jc w:val="both"/>
        <w:rPr>
          <w:rFonts w:ascii="Century Schoolbook" w:hAnsi="Century Schoolbook"/>
          <w:sz w:val="24"/>
          <w:szCs w:val="24"/>
        </w:rPr>
      </w:pPr>
      <w:r w:rsidRPr="00481C84">
        <w:rPr>
          <w:rFonts w:ascii="Century Schoolbook" w:hAnsi="Century Schoolbook"/>
          <w:b/>
          <w:bCs/>
          <w:sz w:val="24"/>
          <w:szCs w:val="24"/>
          <w:u w:val="single"/>
        </w:rPr>
        <w:t>References</w:t>
      </w:r>
    </w:p>
    <w:p w14:paraId="06D45501" w14:textId="77777777" w:rsidR="000E6BA0" w:rsidRPr="00481C84" w:rsidRDefault="000E6BA0" w:rsidP="00481C84">
      <w:pPr>
        <w:pStyle w:val="ListParagraph"/>
        <w:numPr>
          <w:ilvl w:val="0"/>
          <w:numId w:val="2"/>
        </w:numPr>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 xml:space="preserve">Berman, E.M. and West, J.P. (1995) ‘Public-Private Leadership and the Role of </w:t>
      </w:r>
      <w:proofErr w:type="spellStart"/>
      <w:r w:rsidRPr="00481C84">
        <w:rPr>
          <w:rFonts w:ascii="Century Schoolbook" w:hAnsi="Century Schoolbook" w:cstheme="minorHAnsi"/>
          <w:sz w:val="24"/>
          <w:szCs w:val="24"/>
        </w:rPr>
        <w:t>Nonprofit</w:t>
      </w:r>
      <w:proofErr w:type="spellEnd"/>
      <w:r w:rsidRPr="00481C84">
        <w:rPr>
          <w:rFonts w:ascii="Century Schoolbook" w:hAnsi="Century Schoolbook" w:cstheme="minorHAnsi"/>
          <w:sz w:val="24"/>
          <w:szCs w:val="24"/>
        </w:rPr>
        <w:t xml:space="preserve"> Organizations in Local Government: The Case of Social Services’, The Review of policy research, 14(1-2), pp. 235–251. doi:10.1111/j.1541-</w:t>
      </w:r>
      <w:proofErr w:type="gramStart"/>
      <w:r w:rsidRPr="00481C84">
        <w:rPr>
          <w:rFonts w:ascii="Century Schoolbook" w:hAnsi="Century Schoolbook" w:cstheme="minorHAnsi"/>
          <w:sz w:val="24"/>
          <w:szCs w:val="24"/>
        </w:rPr>
        <w:t>1338.1995.tb</w:t>
      </w:r>
      <w:proofErr w:type="gramEnd"/>
      <w:r w:rsidRPr="00481C84">
        <w:rPr>
          <w:rFonts w:ascii="Century Schoolbook" w:hAnsi="Century Schoolbook" w:cstheme="minorHAnsi"/>
          <w:sz w:val="24"/>
          <w:szCs w:val="24"/>
        </w:rPr>
        <w:t>00636.x.</w:t>
      </w:r>
    </w:p>
    <w:p w14:paraId="1ACDAF61" w14:textId="77777777" w:rsidR="000E6BA0" w:rsidRPr="00481C84" w:rsidRDefault="000E6BA0" w:rsidP="00481C84">
      <w:pPr>
        <w:pStyle w:val="ListParagraph"/>
        <w:numPr>
          <w:ilvl w:val="0"/>
          <w:numId w:val="2"/>
        </w:numPr>
        <w:spacing w:after="0" w:line="360" w:lineRule="auto"/>
        <w:rPr>
          <w:rFonts w:ascii="Century Schoolbook" w:hAnsi="Century Schoolbook" w:cstheme="minorHAnsi"/>
          <w:strike/>
          <w:sz w:val="24"/>
          <w:szCs w:val="24"/>
        </w:rPr>
      </w:pPr>
      <w:r w:rsidRPr="00481C84">
        <w:rPr>
          <w:rFonts w:ascii="Century Schoolbook" w:hAnsi="Century Schoolbook" w:cstheme="minorHAnsi"/>
          <w:sz w:val="24"/>
          <w:szCs w:val="24"/>
          <w:shd w:val="clear" w:color="auto" w:fill="FFFFFF"/>
        </w:rPr>
        <w:t xml:space="preserve">Davies, H., 2016. The well-being of future generations (Wales) act 2015: duties or </w:t>
      </w:r>
      <w:proofErr w:type="gramStart"/>
      <w:r w:rsidRPr="00481C84">
        <w:rPr>
          <w:rFonts w:ascii="Century Schoolbook" w:hAnsi="Century Schoolbook" w:cstheme="minorHAnsi"/>
          <w:sz w:val="24"/>
          <w:szCs w:val="24"/>
          <w:shd w:val="clear" w:color="auto" w:fill="FFFFFF"/>
        </w:rPr>
        <w:t>aspirations?.</w:t>
      </w:r>
      <w:proofErr w:type="gramEnd"/>
      <w:r w:rsidRPr="00481C84">
        <w:rPr>
          <w:rFonts w:ascii="Century Schoolbook" w:hAnsi="Century Schoolbook" w:cstheme="minorHAnsi"/>
          <w:sz w:val="24"/>
          <w:szCs w:val="24"/>
          <w:shd w:val="clear" w:color="auto" w:fill="FFFFFF"/>
        </w:rPr>
        <w:t> </w:t>
      </w:r>
      <w:r w:rsidRPr="00481C84">
        <w:rPr>
          <w:rFonts w:ascii="Century Schoolbook" w:hAnsi="Century Schoolbook" w:cstheme="minorHAnsi"/>
          <w:i/>
          <w:iCs/>
          <w:sz w:val="24"/>
          <w:szCs w:val="24"/>
          <w:shd w:val="clear" w:color="auto" w:fill="FFFFFF"/>
        </w:rPr>
        <w:t>Environmental Law Review</w:t>
      </w:r>
      <w:r w:rsidRPr="00481C84">
        <w:rPr>
          <w:rFonts w:ascii="Century Schoolbook" w:hAnsi="Century Schoolbook" w:cstheme="minorHAnsi"/>
          <w:sz w:val="24"/>
          <w:szCs w:val="24"/>
          <w:shd w:val="clear" w:color="auto" w:fill="FFFFFF"/>
        </w:rPr>
        <w:t>, </w:t>
      </w:r>
      <w:r w:rsidRPr="00481C84">
        <w:rPr>
          <w:rFonts w:ascii="Century Schoolbook" w:hAnsi="Century Schoolbook" w:cstheme="minorHAnsi"/>
          <w:i/>
          <w:iCs/>
          <w:sz w:val="24"/>
          <w:szCs w:val="24"/>
          <w:shd w:val="clear" w:color="auto" w:fill="FFFFFF"/>
        </w:rPr>
        <w:t>18</w:t>
      </w:r>
      <w:r w:rsidRPr="00481C84">
        <w:rPr>
          <w:rFonts w:ascii="Century Schoolbook" w:hAnsi="Century Schoolbook" w:cstheme="minorHAnsi"/>
          <w:sz w:val="24"/>
          <w:szCs w:val="24"/>
          <w:shd w:val="clear" w:color="auto" w:fill="FFFFFF"/>
        </w:rPr>
        <w:t>(1), pp.41-56.</w:t>
      </w:r>
    </w:p>
    <w:p w14:paraId="5FCDCF90" w14:textId="77777777" w:rsidR="000E6BA0" w:rsidRPr="00481C84" w:rsidRDefault="000E6BA0" w:rsidP="00481C84">
      <w:pPr>
        <w:pStyle w:val="ListParagraph"/>
        <w:numPr>
          <w:ilvl w:val="0"/>
          <w:numId w:val="2"/>
        </w:numPr>
        <w:tabs>
          <w:tab w:val="left" w:pos="5172"/>
        </w:tabs>
        <w:spacing w:line="360" w:lineRule="auto"/>
        <w:rPr>
          <w:rFonts w:ascii="Century Schoolbook" w:hAnsi="Century Schoolbook" w:cstheme="minorHAnsi"/>
          <w:sz w:val="24"/>
          <w:szCs w:val="24"/>
        </w:rPr>
      </w:pPr>
      <w:proofErr w:type="spellStart"/>
      <w:r w:rsidRPr="00481C84">
        <w:rPr>
          <w:rFonts w:ascii="Century Schoolbook" w:hAnsi="Century Schoolbook" w:cstheme="minorHAnsi"/>
          <w:sz w:val="24"/>
          <w:szCs w:val="24"/>
          <w:shd w:val="clear" w:color="auto" w:fill="FFFFFF"/>
        </w:rPr>
        <w:t>Delamothe</w:t>
      </w:r>
      <w:proofErr w:type="spellEnd"/>
      <w:r w:rsidRPr="00481C84">
        <w:rPr>
          <w:rFonts w:ascii="Century Schoolbook" w:hAnsi="Century Schoolbook" w:cstheme="minorHAnsi"/>
          <w:sz w:val="24"/>
          <w:szCs w:val="24"/>
          <w:shd w:val="clear" w:color="auto" w:fill="FFFFFF"/>
        </w:rPr>
        <w:t xml:space="preserve">, T. and </w:t>
      </w:r>
      <w:proofErr w:type="spellStart"/>
      <w:r w:rsidRPr="00481C84">
        <w:rPr>
          <w:rFonts w:ascii="Century Schoolbook" w:hAnsi="Century Schoolbook" w:cstheme="minorHAnsi"/>
          <w:sz w:val="24"/>
          <w:szCs w:val="24"/>
          <w:shd w:val="clear" w:color="auto" w:fill="FFFFFF"/>
        </w:rPr>
        <w:t>Godlee</w:t>
      </w:r>
      <w:proofErr w:type="spellEnd"/>
      <w:r w:rsidRPr="00481C84">
        <w:rPr>
          <w:rFonts w:ascii="Century Schoolbook" w:hAnsi="Century Schoolbook" w:cstheme="minorHAnsi"/>
          <w:sz w:val="24"/>
          <w:szCs w:val="24"/>
          <w:shd w:val="clear" w:color="auto" w:fill="FFFFFF"/>
        </w:rPr>
        <w:t>, F., 2011. Dr Lansley’s monster. </w:t>
      </w:r>
      <w:r w:rsidRPr="00481C84">
        <w:rPr>
          <w:rFonts w:ascii="Century Schoolbook" w:hAnsi="Century Schoolbook" w:cstheme="minorHAnsi"/>
          <w:i/>
          <w:iCs/>
          <w:sz w:val="24"/>
          <w:szCs w:val="24"/>
          <w:shd w:val="clear" w:color="auto" w:fill="FFFFFF"/>
        </w:rPr>
        <w:t>BMJ</w:t>
      </w:r>
      <w:r w:rsidRPr="00481C84">
        <w:rPr>
          <w:rFonts w:ascii="Century Schoolbook" w:hAnsi="Century Schoolbook" w:cstheme="minorHAnsi"/>
          <w:sz w:val="24"/>
          <w:szCs w:val="24"/>
          <w:shd w:val="clear" w:color="auto" w:fill="FFFFFF"/>
        </w:rPr>
        <w:t>, </w:t>
      </w:r>
      <w:r w:rsidRPr="00481C84">
        <w:rPr>
          <w:rFonts w:ascii="Century Schoolbook" w:hAnsi="Century Schoolbook" w:cstheme="minorHAnsi"/>
          <w:i/>
          <w:iCs/>
          <w:sz w:val="24"/>
          <w:szCs w:val="24"/>
          <w:shd w:val="clear" w:color="auto" w:fill="FFFFFF"/>
        </w:rPr>
        <w:t>342</w:t>
      </w:r>
      <w:r w:rsidRPr="00481C84">
        <w:rPr>
          <w:rFonts w:ascii="Century Schoolbook" w:hAnsi="Century Schoolbook" w:cstheme="minorHAnsi"/>
          <w:sz w:val="24"/>
          <w:szCs w:val="24"/>
          <w:shd w:val="clear" w:color="auto" w:fill="FFFFFF"/>
        </w:rPr>
        <w:t>.</w:t>
      </w:r>
    </w:p>
    <w:p w14:paraId="75A0B168" w14:textId="77777777" w:rsidR="000E6BA0" w:rsidRPr="00481C84" w:rsidRDefault="000E6BA0" w:rsidP="00481C84">
      <w:pPr>
        <w:pStyle w:val="ListParagraph"/>
        <w:numPr>
          <w:ilvl w:val="0"/>
          <w:numId w:val="2"/>
        </w:numPr>
        <w:tabs>
          <w:tab w:val="left" w:pos="5172"/>
        </w:tabs>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 xml:space="preserve">Fuller, J.S. (2016) ‘The Impact of The Health and Social Care Act, 2012 On the Health and Wellbeing </w:t>
      </w:r>
      <w:proofErr w:type="gramStart"/>
      <w:r w:rsidRPr="00481C84">
        <w:rPr>
          <w:rFonts w:ascii="Century Schoolbook" w:hAnsi="Century Schoolbook" w:cstheme="minorHAnsi"/>
          <w:sz w:val="24"/>
          <w:szCs w:val="24"/>
        </w:rPr>
        <w:t>Of</w:t>
      </w:r>
      <w:proofErr w:type="gramEnd"/>
      <w:r w:rsidRPr="00481C84">
        <w:rPr>
          <w:rFonts w:ascii="Century Schoolbook" w:hAnsi="Century Schoolbook" w:cstheme="minorHAnsi"/>
          <w:sz w:val="24"/>
          <w:szCs w:val="24"/>
        </w:rPr>
        <w:t xml:space="preserve"> Rough Sleepers’, Journal Of Integrated Care </w:t>
      </w:r>
      <w:r w:rsidRPr="00481C84">
        <w:rPr>
          <w:rFonts w:ascii="Century Schoolbook" w:hAnsi="Century Schoolbook" w:cstheme="minorHAnsi"/>
          <w:sz w:val="24"/>
          <w:szCs w:val="24"/>
        </w:rPr>
        <w:lastRenderedPageBreak/>
        <w:t>(Brighton, England), 24(5/6), Pp. 249–259. Doi:10.1108/JICA-05-2016-0018.</w:t>
      </w:r>
    </w:p>
    <w:p w14:paraId="30C2EAC7" w14:textId="77777777" w:rsidR="000E6BA0" w:rsidRPr="00481C84" w:rsidRDefault="000E6BA0" w:rsidP="00481C84">
      <w:pPr>
        <w:pStyle w:val="ListParagraph"/>
        <w:numPr>
          <w:ilvl w:val="0"/>
          <w:numId w:val="2"/>
        </w:numPr>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Future Generations (2022</w:t>
      </w:r>
      <w:r w:rsidRPr="00481C84">
        <w:rPr>
          <w:rFonts w:ascii="Century Schoolbook" w:hAnsi="Century Schoolbook" w:cstheme="minorHAnsi"/>
          <w:sz w:val="24"/>
          <w:szCs w:val="24"/>
        </w:rPr>
        <w:t>a</w:t>
      </w:r>
      <w:r w:rsidRPr="00481C84">
        <w:rPr>
          <w:rFonts w:ascii="Century Schoolbook" w:hAnsi="Century Schoolbook" w:cstheme="minorHAnsi"/>
          <w:sz w:val="24"/>
          <w:szCs w:val="24"/>
        </w:rPr>
        <w:t xml:space="preserve">) </w:t>
      </w:r>
      <w:r w:rsidRPr="00481C84">
        <w:rPr>
          <w:rFonts w:ascii="Century Schoolbook" w:hAnsi="Century Schoolbook" w:cstheme="minorHAnsi"/>
          <w:i/>
          <w:iCs/>
          <w:sz w:val="24"/>
          <w:szCs w:val="24"/>
        </w:rPr>
        <w:t>Well-Being of Future Generations (Wales) Act 2015</w:t>
      </w:r>
      <w:r w:rsidRPr="00481C84">
        <w:rPr>
          <w:rFonts w:ascii="Century Schoolbook" w:hAnsi="Century Schoolbook" w:cstheme="minorHAnsi"/>
          <w:sz w:val="24"/>
          <w:szCs w:val="24"/>
        </w:rPr>
        <w:t>. Available at: https://www.futuregenerations.wales/about-us/future-generations-act/ (Accessed: 19 March 2022)</w:t>
      </w:r>
    </w:p>
    <w:p w14:paraId="40B5A1D8" w14:textId="77777777" w:rsidR="000E6BA0" w:rsidRPr="00481C84" w:rsidRDefault="000E6BA0" w:rsidP="00481C84">
      <w:pPr>
        <w:pStyle w:val="ListParagraph"/>
        <w:numPr>
          <w:ilvl w:val="0"/>
          <w:numId w:val="2"/>
        </w:numPr>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Future Generations (2022</w:t>
      </w:r>
      <w:r w:rsidRPr="00481C84">
        <w:rPr>
          <w:rFonts w:ascii="Century Schoolbook" w:hAnsi="Century Schoolbook" w:cstheme="minorHAnsi"/>
          <w:sz w:val="24"/>
          <w:szCs w:val="24"/>
        </w:rPr>
        <w:t>b</w:t>
      </w:r>
      <w:r w:rsidRPr="00481C84">
        <w:rPr>
          <w:rFonts w:ascii="Century Schoolbook" w:hAnsi="Century Schoolbook" w:cstheme="minorHAnsi"/>
          <w:sz w:val="24"/>
          <w:szCs w:val="24"/>
        </w:rPr>
        <w:t xml:space="preserve">) </w:t>
      </w:r>
      <w:r w:rsidRPr="00481C84">
        <w:rPr>
          <w:rFonts w:ascii="Century Schoolbook" w:hAnsi="Century Schoolbook" w:cstheme="minorHAnsi"/>
          <w:i/>
          <w:iCs/>
          <w:sz w:val="24"/>
          <w:szCs w:val="24"/>
        </w:rPr>
        <w:t xml:space="preserve">A </w:t>
      </w:r>
      <w:r w:rsidRPr="00481C84">
        <w:rPr>
          <w:rFonts w:ascii="Century Schoolbook" w:hAnsi="Century Schoolbook" w:cstheme="minorHAnsi"/>
          <w:i/>
          <w:iCs/>
          <w:sz w:val="24"/>
          <w:szCs w:val="24"/>
        </w:rPr>
        <w:t>More Equal</w:t>
      </w:r>
      <w:r w:rsidRPr="00481C84">
        <w:rPr>
          <w:rFonts w:ascii="Century Schoolbook" w:hAnsi="Century Schoolbook" w:cstheme="minorHAnsi"/>
          <w:i/>
          <w:iCs/>
          <w:sz w:val="24"/>
          <w:szCs w:val="24"/>
        </w:rPr>
        <w:t xml:space="preserve"> Wales</w:t>
      </w:r>
      <w:r w:rsidRPr="00481C84">
        <w:rPr>
          <w:rFonts w:ascii="Century Schoolbook" w:hAnsi="Century Schoolbook" w:cstheme="minorHAnsi"/>
          <w:sz w:val="24"/>
          <w:szCs w:val="24"/>
        </w:rPr>
        <w:t>. Available at: https://www.futuregenerations.wales/a-</w:t>
      </w:r>
      <w:r w:rsidRPr="00481C84">
        <w:rPr>
          <w:rFonts w:ascii="Century Schoolbook" w:hAnsi="Century Schoolbook" w:cstheme="minorHAnsi"/>
          <w:sz w:val="24"/>
          <w:szCs w:val="24"/>
        </w:rPr>
        <w:t>more-equal</w:t>
      </w:r>
      <w:r w:rsidRPr="00481C84">
        <w:rPr>
          <w:rFonts w:ascii="Century Schoolbook" w:hAnsi="Century Schoolbook" w:cstheme="minorHAnsi"/>
          <w:sz w:val="24"/>
          <w:szCs w:val="24"/>
        </w:rPr>
        <w:t>-wales/ (Accessed: 19 March 2022)</w:t>
      </w:r>
    </w:p>
    <w:p w14:paraId="130EB53C" w14:textId="77777777" w:rsidR="000E6BA0" w:rsidRPr="00481C84" w:rsidRDefault="000E6BA0" w:rsidP="00481C84">
      <w:pPr>
        <w:pStyle w:val="ListParagraph"/>
        <w:numPr>
          <w:ilvl w:val="0"/>
          <w:numId w:val="2"/>
        </w:numPr>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Future Generations (2022</w:t>
      </w:r>
      <w:r w:rsidRPr="00481C84">
        <w:rPr>
          <w:rFonts w:ascii="Century Schoolbook" w:hAnsi="Century Schoolbook" w:cstheme="minorHAnsi"/>
          <w:sz w:val="24"/>
          <w:szCs w:val="24"/>
        </w:rPr>
        <w:t>c</w:t>
      </w:r>
      <w:r w:rsidRPr="00481C84">
        <w:rPr>
          <w:rFonts w:ascii="Century Schoolbook" w:hAnsi="Century Schoolbook" w:cstheme="minorHAnsi"/>
          <w:sz w:val="24"/>
          <w:szCs w:val="24"/>
        </w:rPr>
        <w:t xml:space="preserve">) </w:t>
      </w:r>
      <w:r w:rsidRPr="00481C84">
        <w:rPr>
          <w:rFonts w:ascii="Century Schoolbook" w:hAnsi="Century Schoolbook" w:cstheme="minorHAnsi"/>
          <w:i/>
          <w:iCs/>
          <w:sz w:val="24"/>
          <w:szCs w:val="24"/>
        </w:rPr>
        <w:t xml:space="preserve">A </w:t>
      </w:r>
      <w:r w:rsidRPr="00481C84">
        <w:rPr>
          <w:rFonts w:ascii="Century Schoolbook" w:hAnsi="Century Schoolbook" w:cstheme="minorHAnsi"/>
          <w:i/>
          <w:iCs/>
          <w:sz w:val="24"/>
          <w:szCs w:val="24"/>
        </w:rPr>
        <w:t>Healthier</w:t>
      </w:r>
      <w:r w:rsidRPr="00481C84">
        <w:rPr>
          <w:rFonts w:ascii="Century Schoolbook" w:hAnsi="Century Schoolbook" w:cstheme="minorHAnsi"/>
          <w:i/>
          <w:iCs/>
          <w:sz w:val="24"/>
          <w:szCs w:val="24"/>
        </w:rPr>
        <w:t xml:space="preserve"> Wales</w:t>
      </w:r>
      <w:r w:rsidRPr="00481C84">
        <w:rPr>
          <w:rFonts w:ascii="Century Schoolbook" w:hAnsi="Century Schoolbook" w:cstheme="minorHAnsi"/>
          <w:sz w:val="24"/>
          <w:szCs w:val="24"/>
        </w:rPr>
        <w:t>. Available at: https://www.futuregenerations.wales/a-</w:t>
      </w:r>
      <w:r w:rsidRPr="00481C84">
        <w:rPr>
          <w:rFonts w:ascii="Century Schoolbook" w:hAnsi="Century Schoolbook" w:cstheme="minorHAnsi"/>
          <w:sz w:val="24"/>
          <w:szCs w:val="24"/>
        </w:rPr>
        <w:t>healthier</w:t>
      </w:r>
      <w:r w:rsidRPr="00481C84">
        <w:rPr>
          <w:rFonts w:ascii="Century Schoolbook" w:hAnsi="Century Schoolbook" w:cstheme="minorHAnsi"/>
          <w:sz w:val="24"/>
          <w:szCs w:val="24"/>
        </w:rPr>
        <w:t>-wales/ (Accessed: 19 March 2022)</w:t>
      </w:r>
    </w:p>
    <w:p w14:paraId="364B8980" w14:textId="77777777" w:rsidR="000E6BA0" w:rsidRPr="00481C84" w:rsidRDefault="000E6BA0" w:rsidP="00481C84">
      <w:pPr>
        <w:pStyle w:val="ListParagraph"/>
        <w:numPr>
          <w:ilvl w:val="0"/>
          <w:numId w:val="2"/>
        </w:numPr>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Future Generations (2022</w:t>
      </w:r>
      <w:r w:rsidRPr="00481C84">
        <w:rPr>
          <w:rFonts w:ascii="Century Schoolbook" w:hAnsi="Century Schoolbook" w:cstheme="minorHAnsi"/>
          <w:sz w:val="24"/>
          <w:szCs w:val="24"/>
        </w:rPr>
        <w:t>d</w:t>
      </w:r>
      <w:r w:rsidRPr="00481C84">
        <w:rPr>
          <w:rFonts w:ascii="Century Schoolbook" w:hAnsi="Century Schoolbook" w:cstheme="minorHAnsi"/>
          <w:sz w:val="24"/>
          <w:szCs w:val="24"/>
        </w:rPr>
        <w:t xml:space="preserve">) </w:t>
      </w:r>
      <w:r w:rsidRPr="00481C84">
        <w:rPr>
          <w:rFonts w:ascii="Century Schoolbook" w:hAnsi="Century Schoolbook" w:cstheme="minorHAnsi"/>
          <w:i/>
          <w:iCs/>
          <w:sz w:val="24"/>
          <w:szCs w:val="24"/>
        </w:rPr>
        <w:t xml:space="preserve">A </w:t>
      </w:r>
      <w:r w:rsidRPr="00481C84">
        <w:rPr>
          <w:rFonts w:ascii="Century Schoolbook" w:hAnsi="Century Schoolbook" w:cstheme="minorHAnsi"/>
          <w:i/>
          <w:iCs/>
          <w:sz w:val="24"/>
          <w:szCs w:val="24"/>
        </w:rPr>
        <w:t>Globally Responsible Wales</w:t>
      </w:r>
      <w:r w:rsidRPr="00481C84">
        <w:rPr>
          <w:rFonts w:ascii="Century Schoolbook" w:hAnsi="Century Schoolbook" w:cstheme="minorHAnsi"/>
          <w:sz w:val="24"/>
          <w:szCs w:val="24"/>
        </w:rPr>
        <w:t>. Available at: https://www.futuregenerations.wales/a-</w:t>
      </w:r>
      <w:r w:rsidRPr="00481C84">
        <w:rPr>
          <w:rFonts w:ascii="Century Schoolbook" w:hAnsi="Century Schoolbook" w:cstheme="minorHAnsi"/>
          <w:sz w:val="24"/>
          <w:szCs w:val="24"/>
        </w:rPr>
        <w:t>globally-responsible</w:t>
      </w:r>
      <w:r w:rsidRPr="00481C84">
        <w:rPr>
          <w:rFonts w:ascii="Century Schoolbook" w:hAnsi="Century Schoolbook" w:cstheme="minorHAnsi"/>
          <w:sz w:val="24"/>
          <w:szCs w:val="24"/>
        </w:rPr>
        <w:t>-wales/ (Accessed: 19 March 2022)</w:t>
      </w:r>
    </w:p>
    <w:p w14:paraId="0AE6D104" w14:textId="77777777" w:rsidR="000E6BA0" w:rsidRPr="00481C84" w:rsidRDefault="000E6BA0" w:rsidP="00481C84">
      <w:pPr>
        <w:pStyle w:val="ListParagraph"/>
        <w:numPr>
          <w:ilvl w:val="0"/>
          <w:numId w:val="2"/>
        </w:numPr>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 xml:space="preserve">Future Generations (2022e) </w:t>
      </w:r>
      <w:r w:rsidRPr="00481C84">
        <w:rPr>
          <w:rFonts w:ascii="Century Schoolbook" w:hAnsi="Century Schoolbook" w:cstheme="minorHAnsi"/>
          <w:i/>
          <w:iCs/>
          <w:sz w:val="24"/>
          <w:szCs w:val="24"/>
        </w:rPr>
        <w:t>A Prosperous Wales</w:t>
      </w:r>
      <w:r w:rsidRPr="00481C84">
        <w:rPr>
          <w:rFonts w:ascii="Century Schoolbook" w:hAnsi="Century Schoolbook" w:cstheme="minorHAnsi"/>
          <w:sz w:val="24"/>
          <w:szCs w:val="24"/>
        </w:rPr>
        <w:t>. Available at: https://www.futuregenerations.wales/a-prosperous-wales/ (Accessed: 19 March 2022)</w:t>
      </w:r>
    </w:p>
    <w:p w14:paraId="53ED2DF0" w14:textId="77777777" w:rsidR="000E6BA0" w:rsidRPr="00481C84" w:rsidRDefault="000E6BA0" w:rsidP="00481C84">
      <w:pPr>
        <w:pStyle w:val="ListParagraph"/>
        <w:numPr>
          <w:ilvl w:val="0"/>
          <w:numId w:val="2"/>
        </w:numPr>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Future Generations (2022</w:t>
      </w:r>
      <w:r w:rsidRPr="00481C84">
        <w:rPr>
          <w:rFonts w:ascii="Century Schoolbook" w:hAnsi="Century Schoolbook" w:cstheme="minorHAnsi"/>
          <w:sz w:val="24"/>
          <w:szCs w:val="24"/>
        </w:rPr>
        <w:t>f</w:t>
      </w:r>
      <w:r w:rsidRPr="00481C84">
        <w:rPr>
          <w:rFonts w:ascii="Century Schoolbook" w:hAnsi="Century Schoolbook" w:cstheme="minorHAnsi"/>
          <w:sz w:val="24"/>
          <w:szCs w:val="24"/>
        </w:rPr>
        <w:t xml:space="preserve">) </w:t>
      </w:r>
      <w:r w:rsidRPr="00481C84">
        <w:rPr>
          <w:rFonts w:ascii="Century Schoolbook" w:hAnsi="Century Schoolbook" w:cstheme="minorHAnsi"/>
          <w:i/>
          <w:iCs/>
          <w:sz w:val="24"/>
          <w:szCs w:val="24"/>
        </w:rPr>
        <w:t>A Resilient Wales</w:t>
      </w:r>
      <w:r w:rsidRPr="00481C84">
        <w:rPr>
          <w:rFonts w:ascii="Century Schoolbook" w:hAnsi="Century Schoolbook" w:cstheme="minorHAnsi"/>
          <w:sz w:val="24"/>
          <w:szCs w:val="24"/>
        </w:rPr>
        <w:t>. Available at: https://www.futuregenerations.wales/a-resilient-wales/ (Accessed: 19 March 2022)</w:t>
      </w:r>
    </w:p>
    <w:p w14:paraId="4D0845D3" w14:textId="77777777" w:rsidR="000E6BA0" w:rsidRPr="00481C84" w:rsidRDefault="000E6BA0" w:rsidP="00481C84">
      <w:pPr>
        <w:pStyle w:val="ListParagraph"/>
        <w:numPr>
          <w:ilvl w:val="0"/>
          <w:numId w:val="2"/>
        </w:numPr>
        <w:tabs>
          <w:tab w:val="left" w:pos="5172"/>
        </w:tabs>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 xml:space="preserve">Glover-Thomas, N. (2013) ‘The Health and Social Care Act 2012: The Emergence </w:t>
      </w:r>
      <w:proofErr w:type="gramStart"/>
      <w:r w:rsidRPr="00481C84">
        <w:rPr>
          <w:rFonts w:ascii="Century Schoolbook" w:hAnsi="Century Schoolbook" w:cstheme="minorHAnsi"/>
          <w:sz w:val="24"/>
          <w:szCs w:val="24"/>
        </w:rPr>
        <w:t>Of</w:t>
      </w:r>
      <w:proofErr w:type="gramEnd"/>
      <w:r w:rsidRPr="00481C84">
        <w:rPr>
          <w:rFonts w:ascii="Century Schoolbook" w:hAnsi="Century Schoolbook" w:cstheme="minorHAnsi"/>
          <w:sz w:val="24"/>
          <w:szCs w:val="24"/>
        </w:rPr>
        <w:t xml:space="preserve"> Equal Treatment For Mental Health Care Or Another False Dawn?’, Medical Law International, 13(4), Pp. 279–297. Doi:10.1177/0968533214521090.</w:t>
      </w:r>
    </w:p>
    <w:p w14:paraId="516B903C" w14:textId="77777777" w:rsidR="000E6BA0" w:rsidRPr="00481C84" w:rsidRDefault="000E6BA0" w:rsidP="00481C84">
      <w:pPr>
        <w:pStyle w:val="ListParagraph"/>
        <w:numPr>
          <w:ilvl w:val="0"/>
          <w:numId w:val="2"/>
        </w:numPr>
        <w:tabs>
          <w:tab w:val="left" w:pos="5172"/>
        </w:tabs>
        <w:spacing w:line="360" w:lineRule="auto"/>
        <w:rPr>
          <w:rFonts w:ascii="Century Schoolbook" w:hAnsi="Century Schoolbook" w:cstheme="minorHAnsi"/>
          <w:sz w:val="24"/>
          <w:szCs w:val="24"/>
        </w:rPr>
      </w:pPr>
      <w:r w:rsidRPr="00481C84">
        <w:rPr>
          <w:rStyle w:val="Emphasis"/>
          <w:rFonts w:ascii="Century Schoolbook" w:hAnsi="Century Schoolbook" w:cstheme="minorHAnsi"/>
          <w:sz w:val="24"/>
          <w:szCs w:val="24"/>
          <w:shd w:val="clear" w:color="auto" w:fill="FFFFFF"/>
        </w:rPr>
        <w:t>Health and Social Care Act 2012, c.7</w:t>
      </w:r>
      <w:r w:rsidRPr="00481C84">
        <w:rPr>
          <w:rFonts w:ascii="Century Schoolbook" w:hAnsi="Century Schoolbook" w:cstheme="minorHAnsi"/>
          <w:sz w:val="24"/>
          <w:szCs w:val="24"/>
          <w:shd w:val="clear" w:color="auto" w:fill="FFFFFF"/>
        </w:rPr>
        <w:t>. Available at: https://www.legislation.gov.uk/ukpga/2012/7/notes/contents (Accessed: 17 September 2018)</w:t>
      </w:r>
    </w:p>
    <w:p w14:paraId="26892CCF" w14:textId="77777777" w:rsidR="000E6BA0" w:rsidRPr="00481C84" w:rsidRDefault="000E6BA0" w:rsidP="00481C84">
      <w:pPr>
        <w:pStyle w:val="ListParagraph"/>
        <w:numPr>
          <w:ilvl w:val="0"/>
          <w:numId w:val="2"/>
        </w:numPr>
        <w:tabs>
          <w:tab w:val="left" w:pos="5172"/>
        </w:tabs>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 xml:space="preserve">Holloway, F. (2012) ‘The Health and Social Care Act 2012: What Will It Mean for Mental Health Services </w:t>
      </w:r>
      <w:proofErr w:type="gramStart"/>
      <w:r w:rsidRPr="00481C84">
        <w:rPr>
          <w:rFonts w:ascii="Century Schoolbook" w:hAnsi="Century Schoolbook" w:cstheme="minorHAnsi"/>
          <w:sz w:val="24"/>
          <w:szCs w:val="24"/>
        </w:rPr>
        <w:t>In</w:t>
      </w:r>
      <w:proofErr w:type="gramEnd"/>
      <w:r w:rsidRPr="00481C84">
        <w:rPr>
          <w:rFonts w:ascii="Century Schoolbook" w:hAnsi="Century Schoolbook" w:cstheme="minorHAnsi"/>
          <w:sz w:val="24"/>
          <w:szCs w:val="24"/>
        </w:rPr>
        <w:t xml:space="preserve"> England?’, The Psychiatrist, 36(11), Pp. 401–403. Doi:10.1192/Pb.Bp.112.040378.</w:t>
      </w:r>
    </w:p>
    <w:p w14:paraId="7788C0F6" w14:textId="77777777" w:rsidR="000E6BA0" w:rsidRPr="00481C84" w:rsidRDefault="000E6BA0" w:rsidP="00481C84">
      <w:pPr>
        <w:pStyle w:val="ListParagraph"/>
        <w:numPr>
          <w:ilvl w:val="0"/>
          <w:numId w:val="2"/>
        </w:numPr>
        <w:spacing w:after="0" w:line="360" w:lineRule="auto"/>
        <w:rPr>
          <w:rFonts w:ascii="Century Schoolbook" w:hAnsi="Century Schoolbook" w:cstheme="minorHAnsi"/>
          <w:sz w:val="24"/>
          <w:szCs w:val="24"/>
        </w:rPr>
      </w:pPr>
      <w:r w:rsidRPr="00481C84">
        <w:rPr>
          <w:rFonts w:ascii="Century Schoolbook" w:hAnsi="Century Schoolbook" w:cstheme="minorHAnsi"/>
          <w:sz w:val="24"/>
          <w:szCs w:val="24"/>
        </w:rPr>
        <w:t>https://gov.wales/future-trends-2021-html</w:t>
      </w:r>
    </w:p>
    <w:p w14:paraId="545F8D4F" w14:textId="77777777" w:rsidR="000E6BA0" w:rsidRPr="00481C84" w:rsidRDefault="000E6BA0" w:rsidP="00481C84">
      <w:pPr>
        <w:pStyle w:val="ListParagraph"/>
        <w:numPr>
          <w:ilvl w:val="0"/>
          <w:numId w:val="2"/>
        </w:numPr>
        <w:spacing w:line="360" w:lineRule="auto"/>
        <w:jc w:val="both"/>
        <w:rPr>
          <w:rFonts w:ascii="Century Schoolbook" w:hAnsi="Century Schoolbook"/>
          <w:sz w:val="24"/>
          <w:szCs w:val="24"/>
        </w:rPr>
      </w:pPr>
      <w:r w:rsidRPr="00481C84">
        <w:rPr>
          <w:rFonts w:ascii="Century Schoolbook" w:hAnsi="Century Schoolbook"/>
          <w:sz w:val="24"/>
          <w:szCs w:val="24"/>
        </w:rPr>
        <w:lastRenderedPageBreak/>
        <w:t xml:space="preserve">J. Ritchie, The Report of the Inquiry </w:t>
      </w:r>
      <w:proofErr w:type="gramStart"/>
      <w:r w:rsidRPr="00481C84">
        <w:rPr>
          <w:rFonts w:ascii="Century Schoolbook" w:hAnsi="Century Schoolbook"/>
          <w:sz w:val="24"/>
          <w:szCs w:val="24"/>
        </w:rPr>
        <w:t>Into</w:t>
      </w:r>
      <w:proofErr w:type="gramEnd"/>
      <w:r w:rsidRPr="00481C84">
        <w:rPr>
          <w:rFonts w:ascii="Century Schoolbook" w:hAnsi="Century Schoolbook"/>
          <w:sz w:val="24"/>
          <w:szCs w:val="24"/>
        </w:rPr>
        <w:t xml:space="preserve"> the Care and Treatment of Christopher </w:t>
      </w:r>
      <w:proofErr w:type="spellStart"/>
      <w:r w:rsidRPr="00481C84">
        <w:rPr>
          <w:rFonts w:ascii="Century Schoolbook" w:hAnsi="Century Schoolbook"/>
          <w:sz w:val="24"/>
          <w:szCs w:val="24"/>
        </w:rPr>
        <w:t>Clunis</w:t>
      </w:r>
      <w:proofErr w:type="spellEnd"/>
      <w:r w:rsidRPr="00481C84">
        <w:rPr>
          <w:rFonts w:ascii="Century Schoolbook" w:hAnsi="Century Schoolbook"/>
          <w:sz w:val="24"/>
          <w:szCs w:val="24"/>
        </w:rPr>
        <w:t xml:space="preserve"> (London, UK: Stationary Office, 1994)</w:t>
      </w:r>
    </w:p>
    <w:p w14:paraId="70BCF7EC" w14:textId="77777777" w:rsidR="000E6BA0" w:rsidRPr="00481C84" w:rsidRDefault="000E6BA0" w:rsidP="00481C84">
      <w:pPr>
        <w:pStyle w:val="ListParagraph"/>
        <w:numPr>
          <w:ilvl w:val="0"/>
          <w:numId w:val="2"/>
        </w:numPr>
        <w:spacing w:after="0" w:line="360" w:lineRule="auto"/>
        <w:rPr>
          <w:rFonts w:ascii="Century Schoolbook" w:hAnsi="Century Schoolbook" w:cstheme="minorHAnsi"/>
          <w:strike/>
          <w:sz w:val="24"/>
          <w:szCs w:val="24"/>
        </w:rPr>
      </w:pPr>
      <w:r w:rsidRPr="00481C84">
        <w:rPr>
          <w:rFonts w:ascii="Century Schoolbook" w:hAnsi="Century Schoolbook" w:cstheme="minorHAnsi"/>
          <w:sz w:val="24"/>
          <w:szCs w:val="24"/>
          <w:shd w:val="clear" w:color="auto" w:fill="FFFFFF"/>
        </w:rPr>
        <w:t xml:space="preserve">Jones, R., 2019. Governing the future and the search for spatial justice: </w:t>
      </w:r>
      <w:proofErr w:type="spellStart"/>
      <w:r w:rsidRPr="00481C84">
        <w:rPr>
          <w:rFonts w:ascii="Century Schoolbook" w:hAnsi="Century Schoolbook" w:cstheme="minorHAnsi"/>
          <w:sz w:val="24"/>
          <w:szCs w:val="24"/>
          <w:shd w:val="clear" w:color="auto" w:fill="FFFFFF"/>
        </w:rPr>
        <w:t>Wales’</w:t>
      </w:r>
      <w:proofErr w:type="spellEnd"/>
      <w:r w:rsidRPr="00481C84">
        <w:rPr>
          <w:rFonts w:ascii="Century Schoolbook" w:hAnsi="Century Schoolbook" w:cstheme="minorHAnsi"/>
          <w:sz w:val="24"/>
          <w:szCs w:val="24"/>
          <w:shd w:val="clear" w:color="auto" w:fill="FFFFFF"/>
        </w:rPr>
        <w:t xml:space="preserve"> Well-being of Future Generations Act. </w:t>
      </w:r>
      <w:proofErr w:type="spellStart"/>
      <w:r w:rsidRPr="00481C84">
        <w:rPr>
          <w:rFonts w:ascii="Century Schoolbook" w:hAnsi="Century Schoolbook" w:cstheme="minorHAnsi"/>
          <w:i/>
          <w:iCs/>
          <w:sz w:val="24"/>
          <w:szCs w:val="24"/>
          <w:shd w:val="clear" w:color="auto" w:fill="FFFFFF"/>
        </w:rPr>
        <w:t>Fennia</w:t>
      </w:r>
      <w:proofErr w:type="spellEnd"/>
      <w:r w:rsidRPr="00481C84">
        <w:rPr>
          <w:rFonts w:ascii="Century Schoolbook" w:hAnsi="Century Schoolbook" w:cstheme="minorHAnsi"/>
          <w:i/>
          <w:iCs/>
          <w:sz w:val="24"/>
          <w:szCs w:val="24"/>
          <w:shd w:val="clear" w:color="auto" w:fill="FFFFFF"/>
        </w:rPr>
        <w:t>-International Journal of Geography</w:t>
      </w:r>
      <w:r w:rsidRPr="00481C84">
        <w:rPr>
          <w:rFonts w:ascii="Century Schoolbook" w:hAnsi="Century Schoolbook" w:cstheme="minorHAnsi"/>
          <w:sz w:val="24"/>
          <w:szCs w:val="24"/>
          <w:shd w:val="clear" w:color="auto" w:fill="FFFFFF"/>
        </w:rPr>
        <w:t>, </w:t>
      </w:r>
      <w:r w:rsidRPr="00481C84">
        <w:rPr>
          <w:rFonts w:ascii="Century Schoolbook" w:hAnsi="Century Schoolbook" w:cstheme="minorHAnsi"/>
          <w:i/>
          <w:iCs/>
          <w:sz w:val="24"/>
          <w:szCs w:val="24"/>
          <w:shd w:val="clear" w:color="auto" w:fill="FFFFFF"/>
        </w:rPr>
        <w:t>197</w:t>
      </w:r>
      <w:r w:rsidRPr="00481C84">
        <w:rPr>
          <w:rFonts w:ascii="Century Schoolbook" w:hAnsi="Century Schoolbook" w:cstheme="minorHAnsi"/>
          <w:sz w:val="24"/>
          <w:szCs w:val="24"/>
          <w:shd w:val="clear" w:color="auto" w:fill="FFFFFF"/>
        </w:rPr>
        <w:t>(1), pp.8-24.</w:t>
      </w:r>
    </w:p>
    <w:p w14:paraId="1C800BFA" w14:textId="77777777" w:rsidR="000E6BA0" w:rsidRPr="00481C84" w:rsidRDefault="000E6BA0" w:rsidP="00481C84">
      <w:pPr>
        <w:pStyle w:val="ListParagraph"/>
        <w:numPr>
          <w:ilvl w:val="0"/>
          <w:numId w:val="2"/>
        </w:numPr>
        <w:tabs>
          <w:tab w:val="left" w:pos="5172"/>
        </w:tabs>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 xml:space="preserve">Kessler, R. (2010) ‘Childhood Adversities and Adult Psychopathology in the WHO World Mental Health Surveys’, </w:t>
      </w:r>
      <w:r w:rsidRPr="00481C84">
        <w:rPr>
          <w:rFonts w:ascii="Century Schoolbook" w:hAnsi="Century Schoolbook" w:cstheme="minorHAnsi"/>
          <w:i/>
          <w:iCs/>
          <w:sz w:val="24"/>
          <w:szCs w:val="24"/>
        </w:rPr>
        <w:t>British Journal of Psychiatry,</w:t>
      </w:r>
      <w:r w:rsidRPr="00481C84">
        <w:rPr>
          <w:rFonts w:ascii="Century Schoolbook" w:hAnsi="Century Schoolbook" w:cstheme="minorHAnsi"/>
          <w:sz w:val="24"/>
          <w:szCs w:val="24"/>
        </w:rPr>
        <w:t xml:space="preserve"> 197(5)</w:t>
      </w:r>
    </w:p>
    <w:p w14:paraId="77583761" w14:textId="77777777" w:rsidR="000E6BA0" w:rsidRPr="00481C84" w:rsidRDefault="000E6BA0" w:rsidP="00481C84">
      <w:pPr>
        <w:pStyle w:val="ListParagraph"/>
        <w:numPr>
          <w:ilvl w:val="0"/>
          <w:numId w:val="2"/>
        </w:numPr>
        <w:tabs>
          <w:tab w:val="left" w:pos="5172"/>
        </w:tabs>
        <w:spacing w:line="360" w:lineRule="auto"/>
        <w:rPr>
          <w:rStyle w:val="Emphasis"/>
          <w:rFonts w:ascii="Century Schoolbook" w:hAnsi="Century Schoolbook" w:cstheme="minorHAnsi"/>
          <w:i w:val="0"/>
          <w:iCs w:val="0"/>
          <w:sz w:val="24"/>
          <w:szCs w:val="24"/>
        </w:rPr>
      </w:pPr>
      <w:r w:rsidRPr="00481C84">
        <w:rPr>
          <w:rStyle w:val="Emphasis"/>
          <w:rFonts w:ascii="Century Schoolbook" w:hAnsi="Century Schoolbook" w:cstheme="minorHAnsi"/>
          <w:i w:val="0"/>
          <w:iCs w:val="0"/>
          <w:sz w:val="24"/>
          <w:szCs w:val="24"/>
          <w:shd w:val="clear" w:color="auto" w:fill="FFFFFF"/>
        </w:rPr>
        <w:t xml:space="preserve">Legislation (2012) </w:t>
      </w:r>
      <w:r w:rsidRPr="00481C84">
        <w:rPr>
          <w:rStyle w:val="Emphasis"/>
          <w:rFonts w:ascii="Century Schoolbook" w:hAnsi="Century Schoolbook" w:cstheme="minorHAnsi"/>
          <w:sz w:val="24"/>
          <w:szCs w:val="24"/>
          <w:shd w:val="clear" w:color="auto" w:fill="FFFFFF"/>
        </w:rPr>
        <w:t>Health and Social Care Act Explanatory Notes</w:t>
      </w:r>
      <w:r w:rsidRPr="00481C84">
        <w:rPr>
          <w:rStyle w:val="Emphasis"/>
          <w:rFonts w:ascii="Century Schoolbook" w:hAnsi="Century Schoolbook" w:cstheme="minorHAnsi"/>
          <w:i w:val="0"/>
          <w:iCs w:val="0"/>
          <w:sz w:val="24"/>
          <w:szCs w:val="24"/>
          <w:shd w:val="clear" w:color="auto" w:fill="FFFFFF"/>
        </w:rPr>
        <w:t>. Available at: https://www.legislation.gov.uk/ukpga/2012/7/notes#:~:text=The%20main%20aims%20of%20the,provider%20regulator%20to%20promote%20economic%2C (Accessed: 16 January 2022)</w:t>
      </w:r>
    </w:p>
    <w:p w14:paraId="0E5181F9" w14:textId="77777777" w:rsidR="000E6BA0" w:rsidRPr="00481C84" w:rsidRDefault="000E6BA0" w:rsidP="00481C84">
      <w:pPr>
        <w:pStyle w:val="ListParagraph"/>
        <w:numPr>
          <w:ilvl w:val="0"/>
          <w:numId w:val="2"/>
        </w:numPr>
        <w:tabs>
          <w:tab w:val="left" w:pos="5172"/>
        </w:tabs>
        <w:spacing w:line="360" w:lineRule="auto"/>
        <w:rPr>
          <w:rFonts w:ascii="Century Schoolbook" w:hAnsi="Century Schoolbook" w:cstheme="minorHAnsi"/>
          <w:sz w:val="24"/>
          <w:szCs w:val="24"/>
        </w:rPr>
      </w:pPr>
      <w:proofErr w:type="spellStart"/>
      <w:r w:rsidRPr="00481C84">
        <w:rPr>
          <w:rFonts w:ascii="Century Schoolbook" w:hAnsi="Century Schoolbook" w:cstheme="minorHAnsi"/>
          <w:sz w:val="24"/>
          <w:szCs w:val="24"/>
          <w:shd w:val="clear" w:color="auto" w:fill="FFFFFF"/>
        </w:rPr>
        <w:t>Medcalf</w:t>
      </w:r>
      <w:proofErr w:type="spellEnd"/>
      <w:r w:rsidRPr="00481C84">
        <w:rPr>
          <w:rFonts w:ascii="Century Schoolbook" w:hAnsi="Century Schoolbook" w:cstheme="minorHAnsi"/>
          <w:sz w:val="24"/>
          <w:szCs w:val="24"/>
          <w:shd w:val="clear" w:color="auto" w:fill="FFFFFF"/>
        </w:rPr>
        <w:t>, P. and Russell, G.K., 2014. Homeless healthcare: raising the standards. </w:t>
      </w:r>
      <w:r w:rsidRPr="00481C84">
        <w:rPr>
          <w:rFonts w:ascii="Century Schoolbook" w:hAnsi="Century Schoolbook" w:cstheme="minorHAnsi"/>
          <w:i/>
          <w:iCs/>
          <w:sz w:val="24"/>
          <w:szCs w:val="24"/>
          <w:shd w:val="clear" w:color="auto" w:fill="FFFFFF"/>
        </w:rPr>
        <w:t>Clinical Medicine, </w:t>
      </w:r>
      <w:r w:rsidRPr="00481C84">
        <w:rPr>
          <w:rFonts w:ascii="Century Schoolbook" w:hAnsi="Century Schoolbook" w:cstheme="minorHAnsi"/>
          <w:sz w:val="24"/>
          <w:szCs w:val="24"/>
          <w:shd w:val="clear" w:color="auto" w:fill="FFFFFF"/>
        </w:rPr>
        <w:t>14(4), pp. 349-353.</w:t>
      </w:r>
    </w:p>
    <w:p w14:paraId="67F3D923" w14:textId="77777777" w:rsidR="000E6BA0" w:rsidRPr="00481C84" w:rsidRDefault="000E6BA0" w:rsidP="00481C84">
      <w:pPr>
        <w:pStyle w:val="ListParagraph"/>
        <w:numPr>
          <w:ilvl w:val="0"/>
          <w:numId w:val="2"/>
        </w:numPr>
        <w:tabs>
          <w:tab w:val="left" w:pos="5172"/>
        </w:tabs>
        <w:spacing w:line="360" w:lineRule="auto"/>
        <w:rPr>
          <w:rFonts w:ascii="Century Schoolbook" w:hAnsi="Century Schoolbook" w:cstheme="minorHAnsi"/>
          <w:sz w:val="24"/>
          <w:szCs w:val="24"/>
        </w:rPr>
      </w:pPr>
      <w:proofErr w:type="spellStart"/>
      <w:r w:rsidRPr="00481C84">
        <w:rPr>
          <w:rFonts w:ascii="Century Schoolbook" w:hAnsi="Century Schoolbook" w:cstheme="minorHAnsi"/>
          <w:sz w:val="24"/>
          <w:szCs w:val="24"/>
        </w:rPr>
        <w:t>Mohdin</w:t>
      </w:r>
      <w:proofErr w:type="spellEnd"/>
      <w:r w:rsidRPr="00481C84">
        <w:rPr>
          <w:rFonts w:ascii="Century Schoolbook" w:hAnsi="Century Schoolbook" w:cstheme="minorHAnsi"/>
          <w:sz w:val="24"/>
          <w:szCs w:val="24"/>
        </w:rPr>
        <w:t xml:space="preserve">, A. (2021) </w:t>
      </w:r>
      <w:r w:rsidRPr="00481C84">
        <w:rPr>
          <w:rFonts w:ascii="Century Schoolbook" w:hAnsi="Century Schoolbook" w:cstheme="minorHAnsi"/>
          <w:i/>
          <w:iCs/>
          <w:sz w:val="24"/>
          <w:szCs w:val="24"/>
        </w:rPr>
        <w:t>Youth Homelessness Has Risen 40% in Five Years, Says UK Charity</w:t>
      </w:r>
      <w:r w:rsidRPr="00481C84">
        <w:rPr>
          <w:rFonts w:ascii="Century Schoolbook" w:hAnsi="Century Schoolbook" w:cstheme="minorHAnsi"/>
          <w:sz w:val="24"/>
          <w:szCs w:val="24"/>
        </w:rPr>
        <w:t xml:space="preserve"> Available at: https://www.theguardian.com/society/2021/oct/18/youth-homelessness-up-40-per-cent-in-five-years-says-uk-charity-centrepoint#:~:text=Seyi%20Obakin%2C%20the%20chief%20executive,to%20121%2C000%20in%202019%2D20. (Accessed 14 January 2022)</w:t>
      </w:r>
    </w:p>
    <w:p w14:paraId="10DE0FF3" w14:textId="77777777" w:rsidR="000E6BA0" w:rsidRPr="00481C84" w:rsidRDefault="000E6BA0" w:rsidP="00481C84">
      <w:pPr>
        <w:pStyle w:val="ListParagraph"/>
        <w:numPr>
          <w:ilvl w:val="0"/>
          <w:numId w:val="2"/>
        </w:numPr>
        <w:tabs>
          <w:tab w:val="left" w:pos="5172"/>
        </w:tabs>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 xml:space="preserve">NHS Digital (2021a) </w:t>
      </w:r>
      <w:r w:rsidRPr="00481C84">
        <w:rPr>
          <w:rFonts w:ascii="Century Schoolbook" w:hAnsi="Century Schoolbook" w:cstheme="minorHAnsi"/>
          <w:i/>
          <w:iCs/>
          <w:sz w:val="24"/>
          <w:szCs w:val="24"/>
        </w:rPr>
        <w:t>Mental Health of Children and Young People in England 2021</w:t>
      </w:r>
      <w:r w:rsidRPr="00481C84">
        <w:rPr>
          <w:rFonts w:ascii="Century Schoolbook" w:hAnsi="Century Schoolbook" w:cstheme="minorHAnsi"/>
          <w:sz w:val="24"/>
          <w:szCs w:val="24"/>
        </w:rPr>
        <w:t>. Available at:</w:t>
      </w:r>
      <w:r w:rsidRPr="00481C84">
        <w:rPr>
          <w:rFonts w:ascii="Century Schoolbook" w:hAnsi="Century Schoolbook"/>
          <w:sz w:val="24"/>
          <w:szCs w:val="24"/>
        </w:rPr>
        <w:t xml:space="preserve"> </w:t>
      </w:r>
      <w:r w:rsidRPr="00481C84">
        <w:rPr>
          <w:rFonts w:ascii="Century Schoolbook" w:hAnsi="Century Schoolbook" w:cstheme="minorHAnsi"/>
          <w:sz w:val="24"/>
          <w:szCs w:val="24"/>
        </w:rPr>
        <w:t>https://digital.nhs.uk/data-and-information/publications/statistical/mental-health-of-children-and-young-people-in-england/2021-follow-up-to-the-2017-survey (Accessed 19 January 2022)</w:t>
      </w:r>
    </w:p>
    <w:p w14:paraId="321696E6" w14:textId="77777777" w:rsidR="000E6BA0" w:rsidRPr="00481C84" w:rsidRDefault="000E6BA0" w:rsidP="00481C84">
      <w:pPr>
        <w:pStyle w:val="ListParagraph"/>
        <w:numPr>
          <w:ilvl w:val="0"/>
          <w:numId w:val="2"/>
        </w:numPr>
        <w:tabs>
          <w:tab w:val="left" w:pos="5172"/>
        </w:tabs>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 xml:space="preserve">NHS Digital (2021b) </w:t>
      </w:r>
      <w:r w:rsidRPr="00481C84">
        <w:rPr>
          <w:rFonts w:ascii="Century Schoolbook" w:hAnsi="Century Schoolbook" w:cstheme="minorHAnsi"/>
          <w:i/>
          <w:iCs/>
          <w:sz w:val="24"/>
          <w:szCs w:val="24"/>
        </w:rPr>
        <w:t>Mental Health of Children and Young People in England, 2017</w:t>
      </w:r>
      <w:r w:rsidRPr="00481C84">
        <w:rPr>
          <w:rFonts w:ascii="Century Schoolbook" w:hAnsi="Century Schoolbook" w:cstheme="minorHAnsi"/>
          <w:sz w:val="24"/>
          <w:szCs w:val="24"/>
        </w:rPr>
        <w:t>. Available at:</w:t>
      </w:r>
      <w:r w:rsidRPr="00481C84">
        <w:rPr>
          <w:rFonts w:ascii="Century Schoolbook" w:hAnsi="Century Schoolbook"/>
          <w:sz w:val="24"/>
          <w:szCs w:val="24"/>
        </w:rPr>
        <w:t xml:space="preserve"> </w:t>
      </w:r>
      <w:r w:rsidRPr="00481C84">
        <w:rPr>
          <w:rFonts w:ascii="Century Schoolbook" w:hAnsi="Century Schoolbook" w:cstheme="minorHAnsi"/>
          <w:sz w:val="24"/>
          <w:szCs w:val="24"/>
        </w:rPr>
        <w:t>https://digital.nhs.uk/data-and-information/publications/statistical/mental-health-of-children-and-young-people-in-england/2017/2017 (Accessed 19 January 2022)</w:t>
      </w:r>
    </w:p>
    <w:p w14:paraId="27A7C32F" w14:textId="77777777" w:rsidR="000E6BA0" w:rsidRPr="00481C84" w:rsidRDefault="000E6BA0" w:rsidP="00481C84">
      <w:pPr>
        <w:pStyle w:val="ListParagraph"/>
        <w:numPr>
          <w:ilvl w:val="0"/>
          <w:numId w:val="2"/>
        </w:numPr>
        <w:tabs>
          <w:tab w:val="left" w:pos="5172"/>
        </w:tabs>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 xml:space="preserve">Patel, A. (2019) ‘How the Health and Social Care Act 2012 Has Affected Commissioning of Mental Health in England’, </w:t>
      </w:r>
      <w:r w:rsidRPr="00481C84">
        <w:rPr>
          <w:rFonts w:ascii="Century Schoolbook" w:hAnsi="Century Schoolbook" w:cstheme="minorHAnsi"/>
          <w:i/>
          <w:iCs/>
          <w:sz w:val="24"/>
          <w:szCs w:val="24"/>
        </w:rPr>
        <w:t xml:space="preserve">British Journal of General </w:t>
      </w:r>
      <w:r w:rsidRPr="00481C84">
        <w:rPr>
          <w:rFonts w:ascii="Century Schoolbook" w:hAnsi="Century Schoolbook" w:cstheme="minorHAnsi"/>
          <w:i/>
          <w:iCs/>
          <w:sz w:val="24"/>
          <w:szCs w:val="24"/>
        </w:rPr>
        <w:lastRenderedPageBreak/>
        <w:t>Practice</w:t>
      </w:r>
      <w:r w:rsidRPr="00481C84">
        <w:rPr>
          <w:rFonts w:ascii="Century Schoolbook" w:hAnsi="Century Schoolbook" w:cstheme="minorHAnsi"/>
          <w:sz w:val="24"/>
          <w:szCs w:val="24"/>
        </w:rPr>
        <w:t xml:space="preserve">, 69(1), Available at: </w:t>
      </w:r>
      <w:hyperlink r:id="rId5" w:history="1">
        <w:r w:rsidRPr="00481C84">
          <w:rPr>
            <w:rStyle w:val="Hyperlink"/>
            <w:rFonts w:ascii="Century Schoolbook" w:hAnsi="Century Schoolbook" w:cstheme="minorHAnsi"/>
            <w:color w:val="auto"/>
            <w:sz w:val="24"/>
            <w:szCs w:val="24"/>
          </w:rPr>
          <w:t>https://bjgp.org/content/69/suppl_1/bjgp19X703373</w:t>
        </w:r>
      </w:hyperlink>
      <w:r w:rsidRPr="00481C84">
        <w:rPr>
          <w:rFonts w:ascii="Century Schoolbook" w:hAnsi="Century Schoolbook" w:cstheme="minorHAnsi"/>
          <w:sz w:val="24"/>
          <w:szCs w:val="24"/>
        </w:rPr>
        <w:t xml:space="preserve"> (Accessed 31 December 2021)</w:t>
      </w:r>
    </w:p>
    <w:p w14:paraId="69F79C71" w14:textId="77777777" w:rsidR="000E6BA0" w:rsidRPr="00481C84" w:rsidRDefault="000E6BA0" w:rsidP="00481C84">
      <w:pPr>
        <w:pStyle w:val="ListParagraph"/>
        <w:numPr>
          <w:ilvl w:val="0"/>
          <w:numId w:val="2"/>
        </w:numPr>
        <w:spacing w:line="360" w:lineRule="auto"/>
        <w:rPr>
          <w:rFonts w:ascii="Century Schoolbook" w:hAnsi="Century Schoolbook" w:cstheme="minorHAnsi"/>
          <w:sz w:val="24"/>
          <w:szCs w:val="24"/>
        </w:rPr>
      </w:pPr>
      <w:proofErr w:type="spellStart"/>
      <w:r w:rsidRPr="00481C84">
        <w:rPr>
          <w:rFonts w:ascii="Century Schoolbook" w:hAnsi="Century Schoolbook" w:cstheme="minorHAnsi"/>
          <w:sz w:val="24"/>
          <w:szCs w:val="24"/>
        </w:rPr>
        <w:t>Pichère</w:t>
      </w:r>
      <w:proofErr w:type="spellEnd"/>
      <w:r w:rsidRPr="00481C84">
        <w:rPr>
          <w:rFonts w:ascii="Century Schoolbook" w:hAnsi="Century Schoolbook" w:cstheme="minorHAnsi"/>
          <w:sz w:val="24"/>
          <w:szCs w:val="24"/>
        </w:rPr>
        <w:t xml:space="preserve">, P., </w:t>
      </w:r>
      <w:proofErr w:type="spellStart"/>
      <w:r w:rsidRPr="00481C84">
        <w:rPr>
          <w:rFonts w:ascii="Century Schoolbook" w:hAnsi="Century Schoolbook" w:cstheme="minorHAnsi"/>
          <w:sz w:val="24"/>
          <w:szCs w:val="24"/>
        </w:rPr>
        <w:t>Cadiat</w:t>
      </w:r>
      <w:proofErr w:type="spellEnd"/>
      <w:r w:rsidRPr="00481C84">
        <w:rPr>
          <w:rFonts w:ascii="Century Schoolbook" w:hAnsi="Century Schoolbook" w:cstheme="minorHAnsi"/>
          <w:sz w:val="24"/>
          <w:szCs w:val="24"/>
        </w:rPr>
        <w:t>, A.-C. and Probert, C. (2015) Maslow’s hierarchy of needs. Namur: Lemaitre Publishing.</w:t>
      </w:r>
    </w:p>
    <w:p w14:paraId="5B3987FF" w14:textId="77777777" w:rsidR="000E6BA0" w:rsidRPr="00481C84" w:rsidRDefault="000E6BA0" w:rsidP="00481C84">
      <w:pPr>
        <w:pStyle w:val="ListParagraph"/>
        <w:numPr>
          <w:ilvl w:val="0"/>
          <w:numId w:val="2"/>
        </w:numPr>
        <w:spacing w:line="360" w:lineRule="auto"/>
        <w:rPr>
          <w:rFonts w:ascii="Century Schoolbook" w:hAnsi="Century Schoolbook" w:cstheme="minorHAnsi"/>
          <w:sz w:val="24"/>
          <w:szCs w:val="24"/>
        </w:rPr>
      </w:pPr>
      <w:bookmarkStart w:id="0" w:name="_Hlk100000737"/>
      <w:r w:rsidRPr="00481C84">
        <w:rPr>
          <w:rFonts w:ascii="Century Schoolbook" w:hAnsi="Century Schoolbook" w:cstheme="minorHAnsi"/>
          <w:color w:val="222222"/>
          <w:sz w:val="24"/>
          <w:szCs w:val="24"/>
          <w:shd w:val="clear" w:color="auto" w:fill="FFFFFF"/>
        </w:rPr>
        <w:t xml:space="preserve">Pinto, S. </w:t>
      </w:r>
      <w:r w:rsidRPr="00481C84">
        <w:rPr>
          <w:rFonts w:ascii="Century Schoolbook" w:hAnsi="Century Schoolbook" w:cstheme="minorHAnsi"/>
          <w:i/>
          <w:iCs/>
          <w:color w:val="222222"/>
          <w:sz w:val="24"/>
          <w:szCs w:val="24"/>
          <w:shd w:val="clear" w:color="auto" w:fill="FFFFFF"/>
        </w:rPr>
        <w:t xml:space="preserve">et </w:t>
      </w:r>
      <w:proofErr w:type="gramStart"/>
      <w:r w:rsidRPr="00481C84">
        <w:rPr>
          <w:rFonts w:ascii="Century Schoolbook" w:hAnsi="Century Schoolbook" w:cstheme="minorHAnsi"/>
          <w:i/>
          <w:iCs/>
          <w:color w:val="222222"/>
          <w:sz w:val="24"/>
          <w:szCs w:val="24"/>
          <w:shd w:val="clear" w:color="auto" w:fill="FFFFFF"/>
        </w:rPr>
        <w:t>al,</w:t>
      </w:r>
      <w:r w:rsidRPr="00481C84">
        <w:rPr>
          <w:rFonts w:ascii="Century Schoolbook" w:hAnsi="Century Schoolbook" w:cstheme="minorHAnsi"/>
          <w:color w:val="222222"/>
          <w:sz w:val="24"/>
          <w:szCs w:val="24"/>
          <w:shd w:val="clear" w:color="auto" w:fill="FFFFFF"/>
        </w:rPr>
        <w:t>,</w:t>
      </w:r>
      <w:proofErr w:type="gramEnd"/>
      <w:r w:rsidRPr="00481C84">
        <w:rPr>
          <w:rFonts w:ascii="Century Schoolbook" w:hAnsi="Century Schoolbook" w:cstheme="minorHAnsi"/>
          <w:color w:val="222222"/>
          <w:sz w:val="24"/>
          <w:szCs w:val="24"/>
          <w:shd w:val="clear" w:color="auto" w:fill="FFFFFF"/>
        </w:rPr>
        <w:t xml:space="preserve"> 2017</w:t>
      </w:r>
      <w:bookmarkEnd w:id="0"/>
      <w:r w:rsidRPr="00481C84">
        <w:rPr>
          <w:rFonts w:ascii="Century Schoolbook" w:hAnsi="Century Schoolbook" w:cstheme="minorHAnsi"/>
          <w:color w:val="222222"/>
          <w:sz w:val="24"/>
          <w:szCs w:val="24"/>
          <w:shd w:val="clear" w:color="auto" w:fill="FFFFFF"/>
        </w:rPr>
        <w:t xml:space="preserve">. Comfort, </w:t>
      </w:r>
      <w:proofErr w:type="gramStart"/>
      <w:r w:rsidRPr="00481C84">
        <w:rPr>
          <w:rFonts w:ascii="Century Schoolbook" w:hAnsi="Century Schoolbook" w:cstheme="minorHAnsi"/>
          <w:color w:val="222222"/>
          <w:sz w:val="24"/>
          <w:szCs w:val="24"/>
          <w:shd w:val="clear" w:color="auto" w:fill="FFFFFF"/>
        </w:rPr>
        <w:t>well-being</w:t>
      </w:r>
      <w:proofErr w:type="gramEnd"/>
      <w:r w:rsidRPr="00481C84">
        <w:rPr>
          <w:rFonts w:ascii="Century Schoolbook" w:hAnsi="Century Schoolbook" w:cstheme="minorHAnsi"/>
          <w:color w:val="222222"/>
          <w:sz w:val="24"/>
          <w:szCs w:val="24"/>
          <w:shd w:val="clear" w:color="auto" w:fill="FFFFFF"/>
        </w:rPr>
        <w:t xml:space="preserve"> and quality of life: Discussion of the differences and similarities among the concepts. </w:t>
      </w:r>
      <w:r w:rsidRPr="00481C84">
        <w:rPr>
          <w:rFonts w:ascii="Century Schoolbook" w:hAnsi="Century Schoolbook" w:cstheme="minorHAnsi"/>
          <w:i/>
          <w:iCs/>
          <w:color w:val="222222"/>
          <w:sz w:val="24"/>
          <w:szCs w:val="24"/>
          <w:shd w:val="clear" w:color="auto" w:fill="FFFFFF"/>
        </w:rPr>
        <w:t>Porto Biomedical Journal</w:t>
      </w:r>
      <w:r w:rsidRPr="00481C84">
        <w:rPr>
          <w:rFonts w:ascii="Century Schoolbook" w:hAnsi="Century Schoolbook" w:cstheme="minorHAnsi"/>
          <w:color w:val="222222"/>
          <w:sz w:val="24"/>
          <w:szCs w:val="24"/>
          <w:shd w:val="clear" w:color="auto" w:fill="FFFFFF"/>
        </w:rPr>
        <w:t>, </w:t>
      </w:r>
      <w:r w:rsidRPr="00481C84">
        <w:rPr>
          <w:rFonts w:ascii="Century Schoolbook" w:hAnsi="Century Schoolbook" w:cstheme="minorHAnsi"/>
          <w:i/>
          <w:iCs/>
          <w:color w:val="222222"/>
          <w:sz w:val="24"/>
          <w:szCs w:val="24"/>
          <w:shd w:val="clear" w:color="auto" w:fill="FFFFFF"/>
        </w:rPr>
        <w:t>2</w:t>
      </w:r>
      <w:r w:rsidRPr="00481C84">
        <w:rPr>
          <w:rFonts w:ascii="Century Schoolbook" w:hAnsi="Century Schoolbook" w:cstheme="minorHAnsi"/>
          <w:color w:val="222222"/>
          <w:sz w:val="24"/>
          <w:szCs w:val="24"/>
          <w:shd w:val="clear" w:color="auto" w:fill="FFFFFF"/>
        </w:rPr>
        <w:t>(1), pp.6-12.</w:t>
      </w:r>
    </w:p>
    <w:p w14:paraId="49231F86" w14:textId="77777777" w:rsidR="000E6BA0" w:rsidRPr="00481C84" w:rsidRDefault="000E6BA0" w:rsidP="00481C84">
      <w:pPr>
        <w:pStyle w:val="ListParagraph"/>
        <w:numPr>
          <w:ilvl w:val="0"/>
          <w:numId w:val="2"/>
        </w:numPr>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 xml:space="preserve">Porter, A. (2010) </w:t>
      </w:r>
      <w:r w:rsidRPr="00481C84">
        <w:rPr>
          <w:rFonts w:ascii="Century Schoolbook" w:hAnsi="Century Schoolbook" w:cstheme="minorHAnsi"/>
          <w:i/>
          <w:iCs/>
          <w:sz w:val="24"/>
          <w:szCs w:val="24"/>
        </w:rPr>
        <w:t>Biggest revolution in the NHS for 60 years.</w:t>
      </w:r>
      <w:r w:rsidRPr="00481C84">
        <w:rPr>
          <w:rFonts w:ascii="Century Schoolbook" w:hAnsi="Century Schoolbook" w:cstheme="minorHAnsi"/>
          <w:sz w:val="24"/>
          <w:szCs w:val="24"/>
        </w:rPr>
        <w:t xml:space="preserve"> Available at: </w:t>
      </w:r>
      <w:r w:rsidRPr="00481C84">
        <w:rPr>
          <w:rFonts w:ascii="Century Schoolbook" w:hAnsi="Century Schoolbook" w:cstheme="minorHAnsi"/>
          <w:sz w:val="24"/>
          <w:szCs w:val="24"/>
        </w:rPr>
        <w:t>https://web.archive.org/web/20100710172634/http://www.telegraph.co.uk/health/healthnews/7880592/Biggest-revolution-in-the-NHS-for-60-years.html</w:t>
      </w:r>
      <w:r w:rsidRPr="00481C84">
        <w:rPr>
          <w:rFonts w:ascii="Century Schoolbook" w:hAnsi="Century Schoolbook" w:cstheme="minorHAnsi"/>
          <w:sz w:val="24"/>
          <w:szCs w:val="24"/>
        </w:rPr>
        <w:t xml:space="preserve"> (Accessed: 29 January 2022)</w:t>
      </w:r>
    </w:p>
    <w:p w14:paraId="637D2202" w14:textId="77777777" w:rsidR="000E6BA0" w:rsidRPr="00481C84" w:rsidRDefault="000E6BA0" w:rsidP="00481C84">
      <w:pPr>
        <w:pStyle w:val="ListParagraph"/>
        <w:numPr>
          <w:ilvl w:val="0"/>
          <w:numId w:val="2"/>
        </w:numPr>
        <w:spacing w:line="360" w:lineRule="auto"/>
        <w:jc w:val="both"/>
        <w:rPr>
          <w:rFonts w:ascii="Century Schoolbook" w:hAnsi="Century Schoolbook"/>
          <w:sz w:val="24"/>
          <w:szCs w:val="24"/>
        </w:rPr>
      </w:pPr>
      <w:r w:rsidRPr="00481C84">
        <w:rPr>
          <w:rFonts w:ascii="Century Schoolbook" w:hAnsi="Century Schoolbook"/>
          <w:sz w:val="24"/>
          <w:szCs w:val="24"/>
        </w:rPr>
        <w:t xml:space="preserve">R. Millar, I. Snelling and H. Brown, Liberating the NHS: Orders of Change? Policy paper 11, Birmingham, UK: Health Services Management Centre, University of Birmingham, 2011. </w:t>
      </w:r>
    </w:p>
    <w:p w14:paraId="528E87C2" w14:textId="77777777" w:rsidR="000E6BA0" w:rsidRPr="00481C84" w:rsidRDefault="000E6BA0" w:rsidP="00481C84">
      <w:pPr>
        <w:pStyle w:val="ListParagraph"/>
        <w:numPr>
          <w:ilvl w:val="0"/>
          <w:numId w:val="2"/>
        </w:numPr>
        <w:tabs>
          <w:tab w:val="left" w:pos="5172"/>
        </w:tabs>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 xml:space="preserve">The King’s Fund (2012) </w:t>
      </w:r>
      <w:r w:rsidRPr="00481C84">
        <w:rPr>
          <w:rFonts w:ascii="Century Schoolbook" w:hAnsi="Century Schoolbook" w:cstheme="minorHAnsi"/>
          <w:i/>
          <w:iCs/>
          <w:sz w:val="24"/>
          <w:szCs w:val="24"/>
        </w:rPr>
        <w:t xml:space="preserve">Never Again? The Story of the Health and Social Care Act </w:t>
      </w:r>
      <w:proofErr w:type="gramStart"/>
      <w:r w:rsidRPr="00481C84">
        <w:rPr>
          <w:rFonts w:ascii="Century Schoolbook" w:hAnsi="Century Schoolbook" w:cstheme="minorHAnsi"/>
          <w:i/>
          <w:iCs/>
          <w:sz w:val="24"/>
          <w:szCs w:val="24"/>
        </w:rPr>
        <w:t xml:space="preserve">2012 </w:t>
      </w:r>
      <w:r w:rsidRPr="00481C84">
        <w:rPr>
          <w:rFonts w:ascii="Century Schoolbook" w:hAnsi="Century Schoolbook" w:cstheme="minorHAnsi"/>
          <w:sz w:val="24"/>
          <w:szCs w:val="24"/>
        </w:rPr>
        <w:t xml:space="preserve"> Available</w:t>
      </w:r>
      <w:proofErr w:type="gramEnd"/>
      <w:r w:rsidRPr="00481C84">
        <w:rPr>
          <w:rFonts w:ascii="Century Schoolbook" w:hAnsi="Century Schoolbook" w:cstheme="minorHAnsi"/>
          <w:sz w:val="24"/>
          <w:szCs w:val="24"/>
        </w:rPr>
        <w:t xml:space="preserve"> at: https://www.kingsfund.org.uk/publications/never-again (Accessed: 31 December 2021)</w:t>
      </w:r>
    </w:p>
    <w:p w14:paraId="40FAFFEF" w14:textId="77777777" w:rsidR="000E6BA0" w:rsidRPr="00481C84" w:rsidRDefault="000E6BA0" w:rsidP="00481C84">
      <w:pPr>
        <w:pStyle w:val="ListParagraph"/>
        <w:numPr>
          <w:ilvl w:val="0"/>
          <w:numId w:val="2"/>
        </w:numPr>
        <w:tabs>
          <w:tab w:val="left" w:pos="5172"/>
        </w:tabs>
        <w:spacing w:line="360" w:lineRule="auto"/>
        <w:rPr>
          <w:rFonts w:ascii="Century Schoolbook" w:hAnsi="Century Schoolbook" w:cstheme="minorHAnsi"/>
          <w:sz w:val="24"/>
          <w:szCs w:val="24"/>
        </w:rPr>
      </w:pPr>
      <w:proofErr w:type="spellStart"/>
      <w:r w:rsidRPr="00481C84">
        <w:rPr>
          <w:rFonts w:ascii="Century Schoolbook" w:hAnsi="Century Schoolbook" w:cstheme="minorHAnsi"/>
          <w:sz w:val="24"/>
          <w:szCs w:val="24"/>
          <w:shd w:val="clear" w:color="auto" w:fill="FFFFFF"/>
        </w:rPr>
        <w:t>Triggle</w:t>
      </w:r>
      <w:proofErr w:type="spellEnd"/>
      <w:r w:rsidRPr="00481C84">
        <w:rPr>
          <w:rFonts w:ascii="Century Schoolbook" w:hAnsi="Century Schoolbook" w:cstheme="minorHAnsi"/>
          <w:sz w:val="24"/>
          <w:szCs w:val="24"/>
          <w:shd w:val="clear" w:color="auto" w:fill="FFFFFF"/>
        </w:rPr>
        <w:t xml:space="preserve">, N. (2012) </w:t>
      </w:r>
      <w:r w:rsidRPr="00481C84">
        <w:rPr>
          <w:rFonts w:ascii="Century Schoolbook" w:hAnsi="Century Schoolbook" w:cstheme="minorHAnsi"/>
          <w:i/>
          <w:iCs/>
          <w:sz w:val="24"/>
          <w:szCs w:val="24"/>
          <w:shd w:val="clear" w:color="auto" w:fill="FFFFFF"/>
        </w:rPr>
        <w:t>Analysis: What Next For the NHS?</w:t>
      </w:r>
      <w:r w:rsidRPr="00481C84">
        <w:rPr>
          <w:rFonts w:ascii="Century Schoolbook" w:hAnsi="Century Schoolbook" w:cstheme="minorHAnsi"/>
          <w:sz w:val="24"/>
          <w:szCs w:val="24"/>
          <w:shd w:val="clear" w:color="auto" w:fill="FFFFFF"/>
        </w:rPr>
        <w:t xml:space="preserve"> Available at: https://www.bbc.co.uk/news/health-17448838 (Accessed: 14 January 2022)</w:t>
      </w:r>
    </w:p>
    <w:p w14:paraId="78394139" w14:textId="77777777" w:rsidR="000E6BA0" w:rsidRPr="00481C84" w:rsidRDefault="000E6BA0" w:rsidP="00481C84">
      <w:pPr>
        <w:pStyle w:val="ListParagraph"/>
        <w:numPr>
          <w:ilvl w:val="0"/>
          <w:numId w:val="2"/>
        </w:numPr>
        <w:spacing w:line="360" w:lineRule="auto"/>
        <w:rPr>
          <w:rFonts w:ascii="Century Schoolbook" w:hAnsi="Century Schoolbook" w:cstheme="minorHAnsi"/>
          <w:sz w:val="24"/>
          <w:szCs w:val="24"/>
        </w:rPr>
      </w:pPr>
      <w:r w:rsidRPr="00481C84">
        <w:rPr>
          <w:rFonts w:ascii="Century Schoolbook" w:hAnsi="Century Schoolbook" w:cstheme="minorHAnsi"/>
          <w:sz w:val="24"/>
          <w:szCs w:val="24"/>
        </w:rPr>
        <w:t xml:space="preserve">  </w:t>
      </w:r>
      <w:proofErr w:type="spellStart"/>
      <w:r w:rsidRPr="00481C84">
        <w:rPr>
          <w:rFonts w:ascii="Century Schoolbook" w:hAnsi="Century Schoolbook" w:cstheme="minorHAnsi"/>
          <w:sz w:val="24"/>
          <w:szCs w:val="24"/>
        </w:rPr>
        <w:t>Weatherup</w:t>
      </w:r>
      <w:proofErr w:type="spellEnd"/>
      <w:r w:rsidRPr="00481C84">
        <w:rPr>
          <w:rFonts w:ascii="Century Schoolbook" w:hAnsi="Century Schoolbook" w:cstheme="minorHAnsi"/>
          <w:sz w:val="24"/>
          <w:szCs w:val="24"/>
        </w:rPr>
        <w:t xml:space="preserve">, C., </w:t>
      </w:r>
      <w:proofErr w:type="spellStart"/>
      <w:r w:rsidRPr="00481C84">
        <w:rPr>
          <w:rFonts w:ascii="Century Schoolbook" w:hAnsi="Century Schoolbook" w:cstheme="minorHAnsi"/>
          <w:sz w:val="24"/>
          <w:szCs w:val="24"/>
        </w:rPr>
        <w:t>Dyakova</w:t>
      </w:r>
      <w:proofErr w:type="spellEnd"/>
      <w:r w:rsidRPr="00481C84">
        <w:rPr>
          <w:rFonts w:ascii="Century Schoolbook" w:hAnsi="Century Schoolbook" w:cstheme="minorHAnsi"/>
          <w:sz w:val="24"/>
          <w:szCs w:val="24"/>
        </w:rPr>
        <w:t>, M. And Bellis, M. (2016) ‘The Welsh Experience: Well-Being of Future Generations (Wales) Act 2015’, European Journal of Public Health, 26(1). doi:10.1093/</w:t>
      </w:r>
      <w:proofErr w:type="spellStart"/>
      <w:r w:rsidRPr="00481C84">
        <w:rPr>
          <w:rFonts w:ascii="Century Schoolbook" w:hAnsi="Century Schoolbook" w:cstheme="minorHAnsi"/>
          <w:sz w:val="24"/>
          <w:szCs w:val="24"/>
        </w:rPr>
        <w:t>eurpub</w:t>
      </w:r>
      <w:proofErr w:type="spellEnd"/>
      <w:r w:rsidRPr="00481C84">
        <w:rPr>
          <w:rFonts w:ascii="Century Schoolbook" w:hAnsi="Century Schoolbook" w:cstheme="minorHAnsi"/>
          <w:sz w:val="24"/>
          <w:szCs w:val="24"/>
        </w:rPr>
        <w:t>/ckw171.012.</w:t>
      </w:r>
    </w:p>
    <w:p w14:paraId="478819E6" w14:textId="77777777" w:rsidR="000E6BA0" w:rsidRPr="00481C84" w:rsidRDefault="000E6BA0" w:rsidP="00481C84">
      <w:pPr>
        <w:pStyle w:val="ListParagraph"/>
        <w:numPr>
          <w:ilvl w:val="0"/>
          <w:numId w:val="2"/>
        </w:numPr>
        <w:spacing w:after="0" w:line="360" w:lineRule="auto"/>
        <w:rPr>
          <w:rFonts w:ascii="Century Schoolbook" w:hAnsi="Century Schoolbook" w:cstheme="minorHAnsi"/>
          <w:sz w:val="24"/>
          <w:szCs w:val="24"/>
        </w:rPr>
      </w:pPr>
      <w:r w:rsidRPr="00481C84">
        <w:rPr>
          <w:rFonts w:ascii="Century Schoolbook" w:hAnsi="Century Schoolbook" w:cstheme="minorHAnsi"/>
          <w:i/>
          <w:iCs/>
          <w:sz w:val="24"/>
          <w:szCs w:val="24"/>
        </w:rPr>
        <w:t xml:space="preserve">Well-being of Future Generations (Wales) Act 2015.  </w:t>
      </w:r>
      <w:r w:rsidRPr="00481C84">
        <w:rPr>
          <w:rFonts w:ascii="Century Schoolbook" w:hAnsi="Century Schoolbook" w:cstheme="minorHAnsi"/>
          <w:sz w:val="24"/>
          <w:szCs w:val="24"/>
        </w:rPr>
        <w:t xml:space="preserve">[Online].   London: The Stationery Office.  Available at: </w:t>
      </w:r>
      <w:proofErr w:type="gramStart"/>
      <w:r w:rsidRPr="00481C84">
        <w:rPr>
          <w:rFonts w:ascii="Century Schoolbook" w:hAnsi="Century Schoolbook" w:cstheme="minorHAnsi"/>
          <w:sz w:val="24"/>
          <w:szCs w:val="24"/>
        </w:rPr>
        <w:t>https://www.futuregenerations.wales/wp-content/uploads/2017/01/WFGAct-English.pdf  (</w:t>
      </w:r>
      <w:proofErr w:type="gramEnd"/>
      <w:r w:rsidRPr="00481C84">
        <w:rPr>
          <w:rFonts w:ascii="Century Schoolbook" w:hAnsi="Century Schoolbook" w:cstheme="minorHAnsi"/>
          <w:sz w:val="24"/>
          <w:szCs w:val="24"/>
        </w:rPr>
        <w:t>Accessed: 20</w:t>
      </w:r>
      <w:r w:rsidRPr="00481C84">
        <w:rPr>
          <w:rFonts w:ascii="Century Schoolbook" w:hAnsi="Century Schoolbook" w:cstheme="minorHAnsi"/>
          <w:sz w:val="24"/>
          <w:szCs w:val="24"/>
          <w:vertAlign w:val="superscript"/>
        </w:rPr>
        <w:t>th</w:t>
      </w:r>
      <w:r w:rsidRPr="00481C84">
        <w:rPr>
          <w:rFonts w:ascii="Century Schoolbook" w:hAnsi="Century Schoolbook" w:cstheme="minorHAnsi"/>
          <w:sz w:val="24"/>
          <w:szCs w:val="24"/>
        </w:rPr>
        <w:t xml:space="preserve"> October, 2021)</w:t>
      </w:r>
    </w:p>
    <w:sectPr w:rsidR="000E6BA0" w:rsidRPr="00481C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7F5CF6"/>
    <w:multiLevelType w:val="hybridMultilevel"/>
    <w:tmpl w:val="7AA487BC"/>
    <w:lvl w:ilvl="0" w:tplc="C3007270">
      <w:start w:val="1"/>
      <w:numFmt w:val="decimal"/>
      <w:lvlText w:val="%1."/>
      <w:lvlJc w:val="left"/>
      <w:rPr>
        <w:b w:val="0"/>
        <w:bCs w:val="0"/>
        <w:sz w:val="22"/>
        <w:szCs w:val="2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9F5ADA"/>
    <w:multiLevelType w:val="hybridMultilevel"/>
    <w:tmpl w:val="B9F68622"/>
    <w:lvl w:ilvl="0" w:tplc="2CE48FB6">
      <w:start w:val="1"/>
      <w:numFmt w:val="decimal"/>
      <w:lvlText w:val="%1."/>
      <w:lvlJc w:val="left"/>
      <w:pPr>
        <w:ind w:left="720" w:hanging="360"/>
      </w:pPr>
      <w:rPr>
        <w:rFonts w:hint="default"/>
        <w:strike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8650437">
    <w:abstractNumId w:val="0"/>
  </w:num>
  <w:num w:numId="2" w16cid:durableId="11230395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D84"/>
    <w:rsid w:val="00020B89"/>
    <w:rsid w:val="000A6C02"/>
    <w:rsid w:val="000E10F8"/>
    <w:rsid w:val="000E6BA0"/>
    <w:rsid w:val="00143059"/>
    <w:rsid w:val="00213D0F"/>
    <w:rsid w:val="002A08C1"/>
    <w:rsid w:val="002C6672"/>
    <w:rsid w:val="002D32BC"/>
    <w:rsid w:val="0035339F"/>
    <w:rsid w:val="003B06F1"/>
    <w:rsid w:val="00434A63"/>
    <w:rsid w:val="0045331E"/>
    <w:rsid w:val="004615A8"/>
    <w:rsid w:val="00481C84"/>
    <w:rsid w:val="00494A7C"/>
    <w:rsid w:val="00496D3D"/>
    <w:rsid w:val="00511F3A"/>
    <w:rsid w:val="00532AE6"/>
    <w:rsid w:val="00561405"/>
    <w:rsid w:val="00664F58"/>
    <w:rsid w:val="00703FC1"/>
    <w:rsid w:val="007D1FA4"/>
    <w:rsid w:val="007D5DF4"/>
    <w:rsid w:val="00812590"/>
    <w:rsid w:val="00930E06"/>
    <w:rsid w:val="00936B95"/>
    <w:rsid w:val="009931D9"/>
    <w:rsid w:val="009E746D"/>
    <w:rsid w:val="009F4CD1"/>
    <w:rsid w:val="00A07C3E"/>
    <w:rsid w:val="00A07FD1"/>
    <w:rsid w:val="00AA7EBD"/>
    <w:rsid w:val="00AB2587"/>
    <w:rsid w:val="00C04A11"/>
    <w:rsid w:val="00CB36F2"/>
    <w:rsid w:val="00D11F2C"/>
    <w:rsid w:val="00D71D84"/>
    <w:rsid w:val="00D806F1"/>
    <w:rsid w:val="00DC62D1"/>
    <w:rsid w:val="00DF3E96"/>
    <w:rsid w:val="00E05CBB"/>
    <w:rsid w:val="00E80A17"/>
    <w:rsid w:val="00EF1E57"/>
    <w:rsid w:val="00FD6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E0389"/>
  <w15:chartTrackingRefBased/>
  <w15:docId w15:val="{0C16F6D9-F486-4A8A-A3DC-AA2781261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D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31D9"/>
    <w:pPr>
      <w:ind w:left="720"/>
      <w:contextualSpacing/>
    </w:pPr>
  </w:style>
  <w:style w:type="character" w:styleId="Hyperlink">
    <w:name w:val="Hyperlink"/>
    <w:basedOn w:val="DefaultParagraphFont"/>
    <w:uiPriority w:val="99"/>
    <w:unhideWhenUsed/>
    <w:rsid w:val="009931D9"/>
    <w:rPr>
      <w:color w:val="0563C1" w:themeColor="hyperlink"/>
      <w:u w:val="single"/>
    </w:rPr>
  </w:style>
  <w:style w:type="character" w:styleId="Emphasis">
    <w:name w:val="Emphasis"/>
    <w:basedOn w:val="DefaultParagraphFont"/>
    <w:uiPriority w:val="20"/>
    <w:qFormat/>
    <w:rsid w:val="009931D9"/>
    <w:rPr>
      <w:i/>
      <w:iCs/>
    </w:rPr>
  </w:style>
  <w:style w:type="character" w:styleId="UnresolvedMention">
    <w:name w:val="Unresolved Mention"/>
    <w:basedOn w:val="DefaultParagraphFont"/>
    <w:uiPriority w:val="99"/>
    <w:semiHidden/>
    <w:unhideWhenUsed/>
    <w:rsid w:val="002A08C1"/>
    <w:rPr>
      <w:color w:val="605E5C"/>
      <w:shd w:val="clear" w:color="auto" w:fill="E1DFDD"/>
    </w:rPr>
  </w:style>
  <w:style w:type="paragraph" w:styleId="NormalWeb">
    <w:name w:val="Normal (Web)"/>
    <w:basedOn w:val="Normal"/>
    <w:uiPriority w:val="99"/>
    <w:semiHidden/>
    <w:unhideWhenUsed/>
    <w:rsid w:val="00FD675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271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bjgp.org/content/69/suppl_1/bjgp19X70337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3093</Words>
  <Characters>17634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dc:creator>
  <cp:keywords/>
  <dc:description/>
  <cp:lastModifiedBy>Chloe Williams</cp:lastModifiedBy>
  <cp:revision>2</cp:revision>
  <dcterms:created xsi:type="dcterms:W3CDTF">2022-04-05T22:49:00Z</dcterms:created>
  <dcterms:modified xsi:type="dcterms:W3CDTF">2022-04-05T22:49:00Z</dcterms:modified>
</cp:coreProperties>
</file>