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89E7B5A">
      <w:pPr>
        <w:spacing w:line="360" w:lineRule="auto"/>
        <w:jc w:val="center"/>
        <w:rPr>
          <w:rFonts w:ascii="Times New Roman" w:hAnsi="Times New Roman" w:cs="Times New Roman"/>
          <w:sz w:val="30"/>
          <w:szCs w:val="30"/>
        </w:rPr>
      </w:pPr>
      <w:bookmarkStart w:id="0" w:name="_GoBack"/>
      <w:r>
        <w:rPr>
          <w:rFonts w:ascii="Times New Roman" w:hAnsi="Times New Roman" w:cs="Times New Roman"/>
          <w:b/>
          <w:sz w:val="30"/>
          <w:szCs w:val="30"/>
        </w:rPr>
        <w:t>A Critical Review of EIA Process Quality for the Craig y Perthi Solar Farm in Wales</w:t>
      </w:r>
    </w:p>
    <w:p w14:paraId="48835ACA">
      <w:pPr>
        <w:pStyle w:val="2"/>
        <w:spacing w:line="360" w:lineRule="auto"/>
        <w:jc w:val="both"/>
        <w:rPr>
          <w:rFonts w:ascii="Times New Roman" w:hAnsi="Times New Roman" w:cs="Times New Roman"/>
        </w:rPr>
      </w:pPr>
      <w:r>
        <w:rPr>
          <w:rFonts w:ascii="Times New Roman" w:hAnsi="Times New Roman" w:cs="Times New Roman"/>
        </w:rPr>
        <w:t>Executive summary</w:t>
      </w:r>
    </w:p>
    <w:p w14:paraId="228D28B5">
      <w:pPr>
        <w:spacing w:line="360" w:lineRule="auto"/>
        <w:jc w:val="both"/>
        <w:rPr>
          <w:rFonts w:ascii="Times New Roman" w:hAnsi="Times New Roman" w:cs="Times New Roman"/>
        </w:rPr>
      </w:pPr>
      <w:r>
        <w:rPr>
          <w:rFonts w:hint="eastAsia" w:ascii="Times New Roman" w:hAnsi="Times New Roman" w:cs="Times New Roman"/>
        </w:rPr>
        <w:t>The quality of the processes of the Environmental Impact Assessment (EIA) drafted to the Craig y Perthi Solar Farm near Newport, South Wales is critically reviewed in this paper as a Development of National Significance (DNS) application. The discussion does not make the case as to whether the project is justified or not. Rather, it assesses the credibility of the EIA process and ensuing Environmental Statement (ES) to present, offer, transparent and significant opportunities of questioning and involvement as is the sustainability-focused intention of EIA.</w:t>
      </w:r>
    </w:p>
    <w:p w14:paraId="1C5F7F59">
      <w:pPr>
        <w:spacing w:line="360" w:lineRule="auto"/>
        <w:jc w:val="both"/>
        <w:rPr>
          <w:rFonts w:ascii="Times New Roman" w:hAnsi="Times New Roman" w:cs="Times New Roman"/>
        </w:rPr>
      </w:pPr>
      <w:r>
        <w:rPr>
          <w:rFonts w:hint="eastAsia" w:ascii="Times New Roman" w:hAnsi="Times New Roman" w:cs="Times New Roman"/>
        </w:rPr>
        <w:t>The review complies with the Lee and Colley Environmental Statement Review Package (Lee and Colley, 1992) and also compares the significant requirements of the Town and Country Planning (Environmental Impact Assessment) (Wales) Regulations 2017 (Welsh Government, 2017) with the evidence available through the ES Non-Technical summary, the Alternatives chapter, the ES summary of effects, management plans (CEMP/LEMP), the statutory pre-application notice and the formal scoping direction.</w:t>
      </w:r>
    </w:p>
    <w:p w14:paraId="16A539C6">
      <w:pPr>
        <w:spacing w:line="360" w:lineRule="auto"/>
        <w:jc w:val="both"/>
        <w:rPr>
          <w:rFonts w:ascii="Times New Roman" w:hAnsi="Times New Roman" w:cs="Times New Roman"/>
        </w:rPr>
      </w:pPr>
      <w:r>
        <w:rPr>
          <w:rFonts w:hint="eastAsia" w:ascii="Times New Roman" w:hAnsi="Times New Roman" w:cs="Times New Roman"/>
        </w:rPr>
        <w:t>The ES has various strengths: documented scoping outcome with scoped out and in topics (PEDW, 2023), substantial ecology evidence base (with specific survey like eDNA on great crested newt) summarised in the ES conclusions (Axis P.E.D. Ltd, 2023c), the presence of implementation tools to implement mitigation to construction and operation (Axis P.E.D. Ltd, 2023e, p.3; Axis P.E.D. Ltd, The key areas of weakness include: how the reasonable alternatives are being formulated and demonstrated (Axis P.E.D. Ltd, 2023b), lack of public traceability in the transition of consultation to project design development (Axis P.E.D. Ltd, 2023d), and post-award undertakings which are not gathered in a non-malleable record of commitments.</w:t>
      </w:r>
    </w:p>
    <w:p w14:paraId="0753BD38">
      <w:pPr>
        <w:spacing w:line="360" w:lineRule="auto"/>
        <w:jc w:val="both"/>
        <w:rPr>
          <w:rFonts w:ascii="Times New Roman" w:hAnsi="Times New Roman" w:cs="Times New Roman"/>
        </w:rPr>
      </w:pPr>
      <w:r>
        <w:rPr>
          <w:rFonts w:hint="eastAsia" w:ascii="Times New Roman" w:hAnsi="Times New Roman" w:cs="Times New Roman"/>
        </w:rPr>
        <w:t>In general, it is implied by this case that modern-day EIA practice never truly becomes inept at the existing functions of identifying impact and mitigating the plan but might fail to achieve adequacy in performing on upstream decision shaping, legitimacy and learning. Recommendations that can be undertaken are: issue a transparent alternatives appraisal matrix, whether including vibrant exchanges, construct open EIA commitments register which links effects with monitoring markers and duties, and include a consultation traceability report to convince and establish trust.</w:t>
      </w:r>
    </w:p>
    <w:p w14:paraId="328ED1E7">
      <w:pPr>
        <w:pStyle w:val="2"/>
        <w:spacing w:line="360" w:lineRule="auto"/>
        <w:jc w:val="both"/>
        <w:rPr>
          <w:rFonts w:ascii="Times New Roman" w:hAnsi="Times New Roman" w:cs="Times New Roman"/>
        </w:rPr>
      </w:pPr>
      <w:r>
        <w:rPr>
          <w:rFonts w:ascii="Times New Roman" w:hAnsi="Times New Roman" w:cs="Times New Roman"/>
        </w:rPr>
        <w:t>1. Introduction</w:t>
      </w:r>
    </w:p>
    <w:p w14:paraId="09208662">
      <w:pPr>
        <w:spacing w:line="360" w:lineRule="auto"/>
        <w:jc w:val="both"/>
        <w:rPr>
          <w:rFonts w:ascii="Times New Roman" w:hAnsi="Times New Roman" w:cs="Times New Roman"/>
        </w:rPr>
      </w:pPr>
      <w:r>
        <w:rPr>
          <w:rFonts w:hint="eastAsia" w:ascii="Times New Roman" w:hAnsi="Times New Roman" w:cs="Times New Roman"/>
        </w:rPr>
        <w:t xml:space="preserve">Environmental impact assessments were created to make sure that environmental and social matters are thought about early in development planning, rather than being added later on. Over the years, many places have set up detailed rules and content needs, but studies keep finding big differences in how good these assessments are </w:t>
      </w:r>
      <w:r>
        <w:rPr>
          <w:rFonts w:ascii="Times New Roman" w:hAnsi="Times New Roman" w:cs="Times New Roman"/>
        </w:rPr>
        <w:t>(Sadler, 1996; Jay et al., 2007; Morgan, 2012)</w:t>
      </w:r>
      <w:r>
        <w:rPr>
          <w:rFonts w:hint="eastAsia" w:ascii="Times New Roman" w:hAnsi="Times New Roman" w:cs="Times New Roman"/>
        </w:rPr>
        <w:t>. Some reports allow for careful checking and design improvements, while others mainly serve as paperwork showing decisions that were already made (Lee and Colley, 1992;</w:t>
      </w:r>
      <w:r>
        <w:t xml:space="preserve"> </w:t>
      </w:r>
      <w:r>
        <w:rPr>
          <w:rFonts w:ascii="Times New Roman" w:hAnsi="Times New Roman" w:cs="Times New Roman"/>
        </w:rPr>
        <w:t>Cashmore, 2004; Jay et al., 2007</w:t>
      </w:r>
      <w:r>
        <w:rPr>
          <w:rFonts w:hint="eastAsia" w:ascii="Times New Roman" w:hAnsi="Times New Roman" w:cs="Times New Roman"/>
        </w:rPr>
        <w:t>). Recent writings look at EIA usefulness beyond just following steps, putting more weight on things like trustworthiness, learning, and the ability to shape choices earlier in the process (Caro-Gonzalez et al., 2023;</w:t>
      </w:r>
      <w:r>
        <w:t xml:space="preserve"> </w:t>
      </w:r>
      <w:r>
        <w:rPr>
          <w:rFonts w:ascii="Times New Roman" w:hAnsi="Times New Roman" w:cs="Times New Roman"/>
        </w:rPr>
        <w:t>Morgan, 2012; Jay et al., 2007</w:t>
      </w:r>
      <w:r>
        <w:rPr>
          <w:rFonts w:hint="eastAsia" w:ascii="Times New Roman" w:hAnsi="Times New Roman" w:cs="Times New Roman"/>
        </w:rPr>
        <w:t xml:space="preserve">).  </w:t>
      </w:r>
    </w:p>
    <w:p w14:paraId="3FD0017E">
      <w:pPr>
        <w:spacing w:line="360" w:lineRule="auto"/>
        <w:jc w:val="both"/>
        <w:rPr>
          <w:rFonts w:ascii="Times New Roman" w:hAnsi="Times New Roman" w:cs="Times New Roman"/>
        </w:rPr>
      </w:pPr>
    </w:p>
    <w:p w14:paraId="29D618D7">
      <w:pPr>
        <w:spacing w:line="360" w:lineRule="auto"/>
        <w:jc w:val="both"/>
        <w:rPr>
          <w:rFonts w:ascii="Times New Roman" w:hAnsi="Times New Roman" w:cs="Times New Roman"/>
        </w:rPr>
      </w:pPr>
      <w:r>
        <w:rPr>
          <w:rFonts w:hint="eastAsia" w:ascii="Times New Roman" w:hAnsi="Times New Roman" w:cs="Times New Roman"/>
        </w:rPr>
        <w:t>This paper looks at the Craig y Perthi Solar Farm report as a current example from Wales, that is to say. The document contains a Non-Technical Summary, which explains it gives a short overview of the plans and possible environmental effects using simpler language (Axis P.E.D. Ltd, 2023g). There's also a part about different choices, noting that reports should describe other reasonable options looked at and why the chosen one was picked (Axis P.E.D. Ltd, 2023b). The development consent system also provides official guidance listing topics to include and those left out (PEDW, 2023), plus required paperwork before applying that talks about consultation plans (Axis P.E.D. Ltd, 2023d). Put simply, all these pieces make Craig y Perthi a helpful case for seeing how legal rules translate into actual process quality, meaning how well things work in practice.</w:t>
      </w:r>
    </w:p>
    <w:p w14:paraId="1583B052">
      <w:pPr>
        <w:spacing w:line="360" w:lineRule="auto"/>
        <w:jc w:val="both"/>
        <w:rPr>
          <w:rFonts w:ascii="Times New Roman" w:hAnsi="Times New Roman" w:cs="Times New Roman"/>
        </w:rPr>
      </w:pPr>
    </w:p>
    <w:p w14:paraId="0EA87DF0">
      <w:pPr>
        <w:spacing w:line="360" w:lineRule="auto"/>
        <w:jc w:val="both"/>
        <w:rPr>
          <w:rFonts w:ascii="Times New Roman" w:hAnsi="Times New Roman" w:cs="Times New Roman"/>
        </w:rPr>
      </w:pPr>
      <w:r>
        <w:rPr>
          <w:rFonts w:hint="eastAsia" w:ascii="Times New Roman" w:hAnsi="Times New Roman" w:cs="Times New Roman"/>
        </w:rPr>
        <w:t>The aim is to look at the EIA process quality features, that is to say, not the project itself as good or bad. The paper explores several questions: (1) How much does the EIA meets the legal requirements and best practice features, specifically for things like scoping, baseline information, alternatives, impact prediction information and significance, mitigation and monitoring, plus consultation, and reporting? (2) Where in this case does it show differences between EIA theory and the intention of sustainability, as well as legal expectations and then what actually happens in practice? (3) What improvements features can realistically be made within the existing regulatory context in Wales, and also, how can a structured review method support them to put it simply?</w:t>
      </w:r>
    </w:p>
    <w:p w14:paraId="70F40845">
      <w:pPr>
        <w:pStyle w:val="2"/>
        <w:spacing w:line="360" w:lineRule="auto"/>
        <w:jc w:val="both"/>
        <w:rPr>
          <w:rFonts w:ascii="Times New Roman" w:hAnsi="Times New Roman" w:cs="Times New Roman"/>
        </w:rPr>
      </w:pPr>
      <w:r>
        <w:rPr>
          <w:rFonts w:ascii="Times New Roman" w:hAnsi="Times New Roman" w:cs="Times New Roman"/>
        </w:rPr>
        <w:t>2. Context and regulatory framework</w:t>
      </w:r>
    </w:p>
    <w:p w14:paraId="5A5A8273">
      <w:pPr>
        <w:pStyle w:val="3"/>
        <w:spacing w:line="360" w:lineRule="auto"/>
        <w:jc w:val="both"/>
      </w:pPr>
      <w:r>
        <w:t>2.1 Case context</w:t>
      </w:r>
    </w:p>
    <w:p w14:paraId="5CEE4616">
      <w:pPr>
        <w:spacing w:line="360" w:lineRule="auto"/>
        <w:jc w:val="both"/>
        <w:rPr>
          <w:rFonts w:ascii="Times New Roman" w:hAnsi="Times New Roman" w:cs="Times New Roman"/>
        </w:rPr>
      </w:pPr>
      <w:r>
        <w:rPr>
          <w:rFonts w:hint="eastAsia" w:ascii="Times New Roman" w:hAnsi="Times New Roman" w:cs="Times New Roman"/>
        </w:rPr>
        <w:t>Craig y Perthi is planned as a solar photovoltaic generating facility including battery storage on land near Newport, South Wales. The NTS indicates that the Environmental Statement assesses likely important effects connected with construction, operation and the decommissioning phase (Axis P.E.D. Ltd, 2023g). Solar energy projects are frequently presented as infrastructure which is low-carbon, but they can have significant effects locally concerning landscape character and biodiversity and water environment matters and community amenity, that is to say. This renders the quality of the Environmental Statement very important: a project might be considered beneficial for society in a general sense while simultaneously requiring robust proof locally and also accountability mechanisms, to put it simply.</w:t>
      </w:r>
    </w:p>
    <w:p w14:paraId="61AD5B26">
      <w:pPr>
        <w:pStyle w:val="3"/>
        <w:spacing w:line="360" w:lineRule="auto"/>
        <w:jc w:val="both"/>
      </w:pPr>
      <w:r>
        <w:t>2.2 Supporting legislation</w:t>
      </w:r>
    </w:p>
    <w:p w14:paraId="7BB1DF75">
      <w:pPr>
        <w:spacing w:line="360" w:lineRule="auto"/>
        <w:jc w:val="both"/>
        <w:rPr>
          <w:rFonts w:ascii="Times New Roman" w:hAnsi="Times New Roman" w:cs="Times New Roman"/>
        </w:rPr>
      </w:pPr>
      <w:r>
        <w:rPr>
          <w:rFonts w:hint="eastAsia" w:ascii="Times New Roman" w:hAnsi="Times New Roman" w:cs="Times New Roman"/>
        </w:rPr>
        <w:t>The Town and Country Planning (Environmental Impact Assessment) (Wales) Regulations 2017 provide the project EIA content requirements in Wales. Among other things, the Regulations require the description of the development, the probable considerable effects, description of the reasonable alternatives and the primary reasons why it is chosen, non-technical summary and the reference list of sources (Welsh Government, 2017). This duty is specifically mentioned in the Craig y Perthi Alternatives chapter (Axis P.E.D. Ltd, 2023b), and offers a straight peg to assess the treatment of alternatives as a meaningful appraisal or the minimal description of it.</w:t>
      </w:r>
    </w:p>
    <w:p w14:paraId="72228ED7">
      <w:pPr>
        <w:spacing w:line="360" w:lineRule="auto"/>
        <w:jc w:val="both"/>
        <w:rPr>
          <w:rFonts w:ascii="Times New Roman" w:hAnsi="Times New Roman" w:cs="Times New Roman"/>
        </w:rPr>
      </w:pPr>
      <w:r>
        <w:rPr>
          <w:rFonts w:hint="eastAsia" w:ascii="Times New Roman" w:hAnsi="Times New Roman" w:cs="Times New Roman"/>
        </w:rPr>
        <w:t>The Developments of National Significance (DNS) regime is used to promote Craig y Perthi. The process of the DNS procedure establishes the expectations in the pre-application consultation and publicity. As it is mentioned in the public notice regarding Craig y Perthi, the consultation was conducted in accordance with Articles 8 and 9(2) (Axis P.E.D. Ltd, 2023d). This offers a definite legal point of engagement, though the quality issue is was there effective and influential engagement but procedurally done.</w:t>
      </w:r>
    </w:p>
    <w:p w14:paraId="0CFAB841">
      <w:pPr>
        <w:pStyle w:val="3"/>
        <w:spacing w:line="360" w:lineRule="auto"/>
        <w:jc w:val="both"/>
        <w:rPr>
          <w:rFonts w:cs="Times New Roman"/>
        </w:rPr>
      </w:pPr>
      <w:r>
        <w:t>2.3 Sustainability context and intent</w:t>
      </w:r>
    </w:p>
    <w:p w14:paraId="32CEB62F">
      <w:pPr>
        <w:spacing w:line="360" w:lineRule="auto"/>
        <w:jc w:val="both"/>
        <w:rPr>
          <w:rFonts w:ascii="Times New Roman" w:hAnsi="Times New Roman" w:cs="Times New Roman"/>
        </w:rPr>
      </w:pPr>
      <w:r>
        <w:rPr>
          <w:rFonts w:hint="eastAsia" w:ascii="Times New Roman" w:hAnsi="Times New Roman" w:cs="Times New Roman"/>
        </w:rPr>
        <w:t xml:space="preserve">There are also general sustainable development responsibilities of Wales. Sustainable development according to the definition of the Well-being of Future Generations (Wales) Act 2015 involves enhancing economic, social, environmental and cultural well-being in keeping with the principle of sustainable development (Welsh Government, 2015). The Environment (Wales) Act of 2016 establishes the responsibility of biodiversity and ecosystem resilience (Welsh Government, 2016a). These laws present a normative framework that argues EIAs should help in achieving sustainability and resilience of ecosystems, rather than prevent the existence of illegality. In the real world, nevertheless, EIA systems may continue to be biased towards compliance and litigation-defensibility interests </w:t>
      </w:r>
      <w:r>
        <w:rPr>
          <w:rFonts w:ascii="Times New Roman" w:hAnsi="Times New Roman" w:cs="Times New Roman"/>
        </w:rPr>
        <w:t>(Cashmore, 2004; Jay et al., 2007; Morgan, 2012)</w:t>
      </w:r>
      <w:r>
        <w:rPr>
          <w:rFonts w:hint="eastAsia" w:ascii="Times New Roman" w:hAnsi="Times New Roman" w:cs="Times New Roman"/>
        </w:rPr>
        <w:t>. So, the paper considers legal compliance as a benchmark and measures the quality of decision support: transparency, auditability, traceability, and the possibility of decision influence.</w:t>
      </w:r>
    </w:p>
    <w:p w14:paraId="3F2FE817">
      <w:pPr>
        <w:pStyle w:val="2"/>
        <w:spacing w:line="360" w:lineRule="auto"/>
        <w:jc w:val="both"/>
        <w:rPr>
          <w:rFonts w:ascii="Times New Roman" w:hAnsi="Times New Roman" w:cs="Times New Roman"/>
        </w:rPr>
      </w:pPr>
      <w:r>
        <w:rPr>
          <w:rFonts w:ascii="Times New Roman" w:hAnsi="Times New Roman" w:cs="Times New Roman"/>
        </w:rPr>
        <w:t>3. Methodology</w:t>
      </w:r>
    </w:p>
    <w:p w14:paraId="3D140409">
      <w:pPr>
        <w:spacing w:line="360" w:lineRule="auto"/>
        <w:jc w:val="both"/>
        <w:rPr>
          <w:rFonts w:ascii="Times New Roman" w:hAnsi="Times New Roman" w:cs="Times New Roman"/>
        </w:rPr>
      </w:pPr>
      <w:r>
        <w:rPr>
          <w:rFonts w:hint="eastAsia" w:ascii="Times New Roman" w:hAnsi="Times New Roman" w:cs="Times New Roman"/>
        </w:rPr>
        <w:t>Lee and Colley Environmental Statement Review Package is the main structured approach adopted in the review (Lee and Colley, 1992;</w:t>
      </w:r>
      <w:r>
        <w:t xml:space="preserve"> </w:t>
      </w:r>
      <w:r>
        <w:rPr>
          <w:rFonts w:ascii="Times New Roman" w:hAnsi="Times New Roman" w:cs="Times New Roman"/>
        </w:rPr>
        <w:t>Glasson, Therivel and Chadwick, 2012</w:t>
      </w:r>
      <w:r>
        <w:rPr>
          <w:rFonts w:hint="eastAsia" w:ascii="Times New Roman" w:hAnsi="Times New Roman" w:cs="Times New Roman"/>
        </w:rPr>
        <w:t>). The ES quality quality is grouped by Lee and Colley into the following review areas, which include: (i) description of the development and environment; (ii) identification and assessment of impacts; (iii) alternatives and mitigation; and (iv) communication of results. This approach fits the current case since it assesses the standard of EIA reports in a systematic, audit oriented manner, and not based on personal perceptions.</w:t>
      </w:r>
    </w:p>
    <w:p w14:paraId="43EB9C18">
      <w:pPr>
        <w:spacing w:line="360" w:lineRule="auto"/>
        <w:jc w:val="both"/>
        <w:rPr>
          <w:rFonts w:ascii="Times New Roman" w:hAnsi="Times New Roman" w:cs="Times New Roman"/>
        </w:rPr>
      </w:pPr>
      <w:r>
        <w:rPr>
          <w:rFonts w:hint="eastAsia" w:ascii="Times New Roman" w:hAnsi="Times New Roman" w:cs="Times New Roman"/>
        </w:rPr>
        <w:t>Lee and Colley framework was modified to six dimensions, which were in line with assignment requirements: scoping and baseline quality, alternatives, identification of impacts, prediction, and significance reasoning, mitigation and monitoring (EIA follow-up), consultation, stakeholder engagement, and quality and accessibility of reporting. The information was obtained out of the Alternatives chapter, NTS, ES summary of effects, CEMP and LEMP appendices as well as the statutory notice and the scoping direction. Each dimension was rated with A to F on Lee and Colley conventions with A suggesting excellence in the performance and D or less implying the performance that compromise acceptability without changes (Lee and Colley, 1992).</w:t>
      </w:r>
    </w:p>
    <w:p w14:paraId="40D021DB">
      <w:pPr>
        <w:spacing w:line="360" w:lineRule="auto"/>
        <w:jc w:val="both"/>
        <w:rPr>
          <w:rFonts w:ascii="Times New Roman" w:hAnsi="Times New Roman" w:cs="Times New Roman"/>
        </w:rPr>
      </w:pPr>
      <w:r>
        <w:rPr>
          <w:rFonts w:hint="eastAsia" w:ascii="Times New Roman" w:hAnsi="Times New Roman" w:cs="Times New Roman"/>
        </w:rPr>
        <w:t>Best practice discussions in the literature along with cross-checking Lee and Colley criteria with related legal requirements (Welsh Government, 2017) and grading in a vacuum were to be avoided. The benchmark criteria of participation expectations were made in line with the IAIA best practice principles and main participation scholarship that focuses on legitimacy and influence (Andre et al., 2006; Glucker et al., 2013). A more recent review of the literature provided system-level expectations regarding the shift toward transformative effectiveness ideology over procedural ones (Caro-Gonzalez et al., 2023).</w:t>
      </w:r>
    </w:p>
    <w:p w14:paraId="0505A7CA">
      <w:pPr>
        <w:spacing w:line="360" w:lineRule="auto"/>
        <w:jc w:val="both"/>
        <w:rPr>
          <w:rFonts w:ascii="Times New Roman" w:hAnsi="Times New Roman" w:cs="Times New Roman"/>
        </w:rPr>
      </w:pPr>
      <w:r>
        <w:rPr>
          <w:rFonts w:hint="eastAsia" w:ascii="Times New Roman" w:hAnsi="Times New Roman" w:cs="Times New Roman"/>
        </w:rPr>
        <w:t xml:space="preserve">Nevertheless, the current review is founded on publicly accessible contents and is not able to follow internal design processes, deliberations of regulators or modelling documents. These measures are then rated as conditions one to a score of six: with documentation being so transparent, traceable and auditable to the extent that scrutiny and, plausibly, influence of decisions can occur. This goes in line with the purpose of ES review techniques as quality-controlling instruments (Lee and Colley, 1992; </w:t>
      </w:r>
      <w:r>
        <w:rPr>
          <w:rFonts w:ascii="Times New Roman" w:hAnsi="Times New Roman" w:cs="Times New Roman"/>
        </w:rPr>
        <w:t>Sadler, 1996; Glasson, Therivel and Chadwick, 2012</w:t>
      </w:r>
      <w:r>
        <w:rPr>
          <w:rFonts w:hint="eastAsia" w:ascii="Times New Roman" w:hAnsi="Times New Roman" w:cs="Times New Roman"/>
        </w:rPr>
        <w:t>).</w:t>
      </w:r>
    </w:p>
    <w:p w14:paraId="4E56CA2D">
      <w:pPr>
        <w:spacing w:line="360" w:lineRule="auto"/>
        <w:jc w:val="both"/>
        <w:rPr>
          <w:rFonts w:hint="eastAsia"/>
        </w:rPr>
      </w:pPr>
      <w:r>
        <w:rPr>
          <w:rFonts w:ascii="Times New Roman" w:hAnsi="Times New Roman" w:cs="Times New Roman"/>
        </w:rPr>
        <w:t>The review workflow applied in this paper is summarised schematically (see Figure 1).</w:t>
      </w:r>
    </w:p>
    <w:p w14:paraId="12FB8D96">
      <w:pPr>
        <w:spacing w:line="360" w:lineRule="auto"/>
        <w:jc w:val="both"/>
        <w:rPr>
          <w:rFonts w:ascii="Times New Roman" w:hAnsi="Times New Roman" w:cs="Times New Roman"/>
          <w:b/>
          <w:bCs/>
        </w:rPr>
      </w:pPr>
      <w:r>
        <w:rPr>
          <w:rFonts w:ascii="Times New Roman" w:hAnsi="Times New Roman" w:cs="Times New Roman"/>
        </w:rPr>
        <w:drawing>
          <wp:inline distT="0" distB="0" distL="0" distR="0">
            <wp:extent cx="5274310" cy="2411095"/>
            <wp:effectExtent l="0" t="0" r="2540" b="8255"/>
            <wp:docPr id="2139736296" name="图片 2" descr="图示&#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9736296" name="图片 2" descr="图示&#10;&#10;AI 生成的内容可能不正确。"/>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a:xfrm>
                      <a:off x="0" y="0"/>
                      <a:ext cx="5274310" cy="2411095"/>
                    </a:xfrm>
                    <a:prstGeom prst="rect">
                      <a:avLst/>
                    </a:prstGeom>
                    <a:noFill/>
                    <a:ln>
                      <a:noFill/>
                    </a:ln>
                  </pic:spPr>
                </pic:pic>
              </a:graphicData>
            </a:graphic>
          </wp:inline>
        </w:drawing>
      </w:r>
      <w:r>
        <w:rPr>
          <w:rFonts w:ascii="Times New Roman" w:hAnsi="Times New Roman" w:cs="Times New Roman"/>
          <w:b/>
          <w:bCs/>
        </w:rPr>
        <w:t xml:space="preserve"> Figure 1. Review workflow used in this paper</w:t>
      </w:r>
    </w:p>
    <w:p w14:paraId="57736E89">
      <w:pPr>
        <w:spacing w:line="360" w:lineRule="auto"/>
        <w:jc w:val="both"/>
        <w:rPr>
          <w:rFonts w:ascii="Times New Roman" w:hAnsi="Times New Roman" w:cs="Times New Roman"/>
        </w:rPr>
      </w:pPr>
      <w:r>
        <w:rPr>
          <w:rFonts w:ascii="Times New Roman" w:hAnsi="Times New Roman" w:cs="Times New Roman"/>
        </w:rPr>
        <w:t>Figure 1 shows how project documents were translated into Lee and Colley-style quality grades and actionable recommendations.</w:t>
      </w:r>
    </w:p>
    <w:p w14:paraId="02645CB5">
      <w:pPr>
        <w:pStyle w:val="2"/>
        <w:spacing w:line="360" w:lineRule="auto"/>
        <w:jc w:val="both"/>
        <w:rPr>
          <w:rFonts w:ascii="Times New Roman" w:hAnsi="Times New Roman" w:cs="Times New Roman"/>
        </w:rPr>
      </w:pPr>
      <w:r>
        <w:rPr>
          <w:rFonts w:ascii="Times New Roman" w:hAnsi="Times New Roman" w:cs="Times New Roman"/>
        </w:rPr>
        <w:t>4. EIA process quality (dimension-by-dimension)</w:t>
      </w:r>
    </w:p>
    <w:p w14:paraId="5F45448C">
      <w:pPr>
        <w:pStyle w:val="3"/>
        <w:spacing w:line="360" w:lineRule="auto"/>
        <w:jc w:val="both"/>
      </w:pPr>
      <w:r>
        <w:t>4.1 Scoping and baseline data quality</w:t>
      </w:r>
    </w:p>
    <w:p w14:paraId="0C96A1A3">
      <w:pPr>
        <w:spacing w:line="360" w:lineRule="auto"/>
        <w:jc w:val="both"/>
        <w:rPr>
          <w:rFonts w:ascii="Times New Roman" w:hAnsi="Times New Roman" w:cs="Times New Roman"/>
        </w:rPr>
      </w:pPr>
      <w:r>
        <w:rPr>
          <w:rFonts w:hint="eastAsia" w:ascii="Times New Roman" w:hAnsi="Times New Roman" w:cs="Times New Roman"/>
        </w:rPr>
        <w:t xml:space="preserve">This section evaluates whether scoping choices and baseline information are sufficiently balanced, properly reasoned and clear enough to support review and decision processes (overall rating: B/C).  </w:t>
      </w:r>
    </w:p>
    <w:p w14:paraId="09C38F02">
      <w:pPr>
        <w:spacing w:line="360" w:lineRule="auto"/>
        <w:jc w:val="both"/>
        <w:rPr>
          <w:rFonts w:ascii="Times New Roman" w:hAnsi="Times New Roman" w:cs="Times New Roman"/>
        </w:rPr>
      </w:pPr>
      <w:r>
        <w:rPr>
          <w:rFonts w:hint="eastAsia" w:ascii="Times New Roman" w:hAnsi="Times New Roman" w:cs="Times New Roman"/>
        </w:rPr>
        <w:t xml:space="preserve">The scoping approach sets out a specific list of topics to be covered and those to be excluded. It includes landscape and visual matters, cultural heritage features, biodiversity or ecology, water resources and cumulative effects, while noting that air quality, noise and vibration issues, plus population and human health are left out (with a note that health might be mentioned if needed) (PEDW, 2023). This shows a formal scoping stage with input from authorities, which is what you would expect for good practice where scoping should concentrate effort on effects likely to be important.  </w:t>
      </w:r>
    </w:p>
    <w:p w14:paraId="19FCF747">
      <w:pPr>
        <w:spacing w:line="360" w:lineRule="auto"/>
        <w:jc w:val="both"/>
        <w:rPr>
          <w:rFonts w:ascii="Times New Roman" w:hAnsi="Times New Roman" w:cs="Times New Roman"/>
        </w:rPr>
      </w:pPr>
      <w:r>
        <w:rPr>
          <w:rFonts w:hint="eastAsia" w:ascii="Times New Roman" w:hAnsi="Times New Roman" w:cs="Times New Roman"/>
        </w:rPr>
        <w:t xml:space="preserve">The outcome of scoping seems about right for a solar farm project. However, two concerns about quality follow from how the scoping is explained. First, the main report for the public gives little reason for why things were scoped out. People can see what is in or out, but not the thresholds or thinking that justify leaving things out, nor how comments from groups or the public changed what was included. Second, leaving out "human health" can create issues with acceptance because worries from communities about local impacts or wellbeing might be seen as "not looked at" even if they are sort of covered under other topics. Studies about public involvement stress that being clear about what is included and excluded is key for trust and acceptance, to put it simply (Glucker et al., 2013).  </w:t>
      </w:r>
    </w:p>
    <w:p w14:paraId="663D425E">
      <w:pPr>
        <w:spacing w:line="360" w:lineRule="auto"/>
        <w:jc w:val="both"/>
        <w:rPr>
          <w:rFonts w:ascii="Times New Roman" w:hAnsi="Times New Roman" w:cs="Times New Roman"/>
        </w:rPr>
      </w:pPr>
      <w:r>
        <w:rPr>
          <w:rFonts w:hint="eastAsia" w:ascii="Times New Roman" w:hAnsi="Times New Roman" w:cs="Times New Roman"/>
        </w:rPr>
        <w:t>This part is generally okay because the scoping is clearly written down and seems balanced, yet the limited public explanation for scoping choices and how others influenced it reduces openness. A B/C rating reflects work that is done well enough but needs clear improvements in showing how decisions were made and why.</w:t>
      </w:r>
    </w:p>
    <w:p w14:paraId="5727F91F">
      <w:pPr>
        <w:pStyle w:val="3"/>
        <w:spacing w:line="360" w:lineRule="auto"/>
        <w:jc w:val="both"/>
      </w:pPr>
      <w:r>
        <w:t>4.2 Alternatives assessment</w:t>
      </w:r>
    </w:p>
    <w:p w14:paraId="6FC9065F">
      <w:pPr>
        <w:spacing w:line="360" w:lineRule="auto"/>
        <w:jc w:val="both"/>
        <w:rPr>
          <w:rFonts w:ascii="Times New Roman" w:hAnsi="Times New Roman" w:cs="Times New Roman"/>
        </w:rPr>
      </w:pPr>
      <w:r>
        <w:rPr>
          <w:rFonts w:hint="eastAsia" w:ascii="Times New Roman" w:hAnsi="Times New Roman" w:cs="Times New Roman"/>
        </w:rPr>
        <w:t>The subsection is a critical discussion of how the ES deals with the topic of reasonable alternatives, which involves whether the alternatives are, in fact, comparative and decision-making as opposed to descriptive (overall grade: D/C).</w:t>
      </w:r>
    </w:p>
    <w:p w14:paraId="0E06706A">
      <w:pPr>
        <w:spacing w:line="360" w:lineRule="auto"/>
        <w:jc w:val="both"/>
        <w:rPr>
          <w:rFonts w:ascii="Times New Roman" w:hAnsi="Times New Roman" w:cs="Times New Roman"/>
        </w:rPr>
      </w:pPr>
      <w:r>
        <w:rPr>
          <w:rFonts w:hint="eastAsia" w:ascii="Times New Roman" w:hAnsi="Times New Roman" w:cs="Times New Roman"/>
        </w:rPr>
        <w:t>The Alternatives chapter rightly mentions that an ES must cover the description of the reasonable alternatives that have been studied and reasons as to why a certain option was picked (Axis P.E.D. Ltd, 2023b). Nevertheless, it also mentions that the EIA Regulations impose no particular duty of a developer to examine the alternatives and only necessitate that alternatives would be described in those cases where it is deemed necessary (Axis P.E.D. Ltd, 2023b). The narrative of the site selection used in the chapter is highly framed by the viability and grid connection, and it reveals the limitation of the space to the grid capacity, and the availability of land (Axis P.E.D.Ltd, 2023b).</w:t>
      </w:r>
    </w:p>
    <w:p w14:paraId="28134D54">
      <w:pPr>
        <w:spacing w:line="360" w:lineRule="auto"/>
        <w:jc w:val="both"/>
        <w:rPr>
          <w:rFonts w:ascii="Times New Roman" w:hAnsi="Times New Roman" w:cs="Times New Roman"/>
        </w:rPr>
      </w:pPr>
      <w:r>
        <w:rPr>
          <w:rFonts w:hint="eastAsia" w:ascii="Times New Roman" w:hAnsi="Times New Roman" w:cs="Times New Roman"/>
        </w:rPr>
        <w:t xml:space="preserve">One of the most significant mechanisms of sustainability intent provision in EIA is alternatives </w:t>
      </w:r>
      <w:r>
        <w:rPr>
          <w:rFonts w:ascii="Times New Roman" w:hAnsi="Times New Roman" w:cs="Times New Roman"/>
        </w:rPr>
        <w:t>(Pope, Annandale and Morrison-Saunders, 2004; Glasson, Therivel and Chadwick, 2012; European Parliament and Council, 2014)</w:t>
      </w:r>
      <w:r>
        <w:rPr>
          <w:rFonts w:hint="eastAsia" w:ascii="Times New Roman" w:hAnsi="Times New Roman" w:cs="Times New Roman"/>
        </w:rPr>
        <w:t>. In a place that the law is intended to be stated as the follow-up to describe alternatives as alternatives that are put into consideration, best practice anticipates that the ES should be able to prove the desire that the space of options is influenced by environmental constraints and trade-offs, instead of just commercial feasibility. The authors, Lee and Colley, consider the option of alternatives which are key in ES quality since otherwise EIA may turn into a post-design justification document (Lee and Colley, 1992;</w:t>
      </w:r>
      <w:r>
        <w:t xml:space="preserve"> </w:t>
      </w:r>
      <w:r>
        <w:rPr>
          <w:rFonts w:ascii="Times New Roman" w:hAnsi="Times New Roman" w:cs="Times New Roman"/>
        </w:rPr>
        <w:t>Jay et al., 2007; Glasson, Therivel and Chadwick, 2012</w:t>
      </w:r>
      <w:r>
        <w:rPr>
          <w:rFonts w:hint="eastAsia" w:ascii="Times New Roman" w:hAnsi="Times New Roman" w:cs="Times New Roman"/>
        </w:rPr>
        <w:t>).</w:t>
      </w:r>
    </w:p>
    <w:p w14:paraId="078A598C">
      <w:pPr>
        <w:spacing w:line="360" w:lineRule="auto"/>
        <w:jc w:val="both"/>
        <w:rPr>
          <w:rFonts w:ascii="Times New Roman" w:hAnsi="Times New Roman" w:cs="Times New Roman"/>
        </w:rPr>
      </w:pPr>
      <w:r>
        <w:rPr>
          <w:rFonts w:hint="eastAsia" w:ascii="Times New Roman" w:hAnsi="Times New Roman" w:cs="Times New Roman"/>
        </w:rPr>
        <w:t>Alternatives reasoning indeed exists in this ES, which is not designed in a manner that allows the independent examination of the environmental trade-offs. The documentation could have been further improved by demonstrating clear comparative matrix among possibilities of realistic site, layout and design options including environmental factors like approved sites, sensitive areas, heritage environments, flood risk and cumulative landscape capacity. In the absence of that, the reader cannot readily confirm whether an alternative feasible option would produce key local impacts that are materially less. The flaw lies not in the fact that the developer (not) ought to select an alternate location, but in the fact that the ES lacks a strong, demonstrable rationale as to why the option selected is sensible, in environmental regards, as opposed to others.</w:t>
      </w:r>
    </w:p>
    <w:p w14:paraId="44CC2B54">
      <w:pPr>
        <w:spacing w:line="360" w:lineRule="auto"/>
        <w:jc w:val="both"/>
        <w:rPr>
          <w:rFonts w:ascii="Times New Roman" w:hAnsi="Times New Roman" w:cs="Times New Roman"/>
        </w:rPr>
      </w:pPr>
      <w:r>
        <w:rPr>
          <w:rFonts w:hint="eastAsia" w:ascii="Times New Roman" w:hAnsi="Times New Roman" w:cs="Times New Roman"/>
        </w:rPr>
        <w:t>In the case, this is the poorest point because it considers the importance of alternatives in law and in the EIA theory. The ES recognizes the need but does not give much comparative analysis. D/C grade is an indicator of a marginal performance that can diminish the value of decision-shaping.</w:t>
      </w:r>
    </w:p>
    <w:p w14:paraId="67A71127">
      <w:pPr>
        <w:pStyle w:val="3"/>
        <w:spacing w:line="360" w:lineRule="auto"/>
        <w:jc w:val="both"/>
      </w:pPr>
      <w:r>
        <w:t>4.3 Impact identification, prediction and significance reasoning</w:t>
      </w:r>
    </w:p>
    <w:p w14:paraId="187D1ED9">
      <w:pPr>
        <w:spacing w:line="360" w:lineRule="auto"/>
        <w:jc w:val="both"/>
        <w:rPr>
          <w:rFonts w:ascii="Times New Roman" w:hAnsi="Times New Roman" w:cs="Times New Roman"/>
        </w:rPr>
      </w:pPr>
      <w:r>
        <w:rPr>
          <w:rFonts w:hint="eastAsia" w:ascii="Times New Roman" w:hAnsi="Times New Roman" w:cs="Times New Roman"/>
        </w:rPr>
        <w:t>In this subsection, the reviews were on the transparency and auditability of impact identification, prediction and significance reasoning, the communication of uncertainty and cumulative effects (overall grade: B).</w:t>
      </w:r>
    </w:p>
    <w:p w14:paraId="13151A90">
      <w:pPr>
        <w:spacing w:line="360" w:lineRule="auto"/>
        <w:jc w:val="both"/>
        <w:rPr>
          <w:rFonts w:ascii="Times New Roman" w:hAnsi="Times New Roman" w:cs="Times New Roman"/>
        </w:rPr>
      </w:pPr>
      <w:r>
        <w:rPr>
          <w:rFonts w:hint="eastAsia" w:ascii="Times New Roman" w:hAnsi="Times New Roman" w:cs="Times New Roman"/>
        </w:rPr>
        <w:t>According to the ES summary, some negative effects may happen but with mitigation measures it is possible to prevent large negative effects (Axis P.E.D. Ltd, 2023c, p.5). It also records targeted ecology survey endeavor such as surveys on great crested newt (eDNA), dormouse, water vole, aquatic invertebrates, shrill carder bee and water plants (Axis P.E.D. Ltd, 2023c). The NTS contains the statement according to which no major cumulative effects are determined (Axis P.E.D. Ltd, 2023g).</w:t>
      </w:r>
    </w:p>
    <w:p w14:paraId="2BA8D4D7">
      <w:pPr>
        <w:spacing w:line="360" w:lineRule="auto"/>
        <w:jc w:val="both"/>
        <w:rPr>
          <w:rFonts w:ascii="Times New Roman" w:hAnsi="Times New Roman" w:cs="Times New Roman"/>
        </w:rPr>
      </w:pPr>
      <w:r>
        <w:rPr>
          <w:rFonts w:hint="eastAsia" w:ascii="Times New Roman" w:hAnsi="Times New Roman" w:cs="Times New Roman"/>
        </w:rPr>
        <w:t>The evidence base of ecological surveys is wide enough and indicates a plausible foundation of baseline. In the process-quality, the most important test would be whether the ES itself is transparent regarding pathways of impact, level of significance, uncertainties and the rationale that would lead from evidence to conclusions (Lee and Colley, 1992). This summary chapter gives a very helpful summary, though practice of high quality must also involve the fact that significance claims can be reliably traced through topic chapters and that uncertainty is not ignored. As an example, any assumptions regarding mitigation effectiveness, as well as any monitoring to verify performance should be identified in claims regarding residual effects after mitigation.</w:t>
      </w:r>
    </w:p>
    <w:p w14:paraId="06F9FD5F">
      <w:pPr>
        <w:spacing w:line="360" w:lineRule="auto"/>
        <w:jc w:val="both"/>
        <w:rPr>
          <w:rFonts w:ascii="Times New Roman" w:hAnsi="Times New Roman" w:cs="Times New Roman"/>
        </w:rPr>
      </w:pPr>
      <w:r>
        <w:rPr>
          <w:rFonts w:hint="eastAsia" w:ascii="Times New Roman" w:hAnsi="Times New Roman" w:cs="Times New Roman"/>
        </w:rPr>
        <w:t>A good example of transparency issues in the NTS is the cumulative effects conclusion. A statement that there are not significant cumulative effects might be true but that should be backed up with a clear description of the extent and scope of cumulative evaluation, what developments have been factored in, and the rationale behind finding significance important. Otherwise, the cumulative findings may appear to be more of a statement than a document to be audited.</w:t>
      </w:r>
    </w:p>
    <w:p w14:paraId="56BC4601">
      <w:pPr>
        <w:spacing w:line="360" w:lineRule="auto"/>
        <w:jc w:val="both"/>
        <w:rPr>
          <w:rFonts w:ascii="Times New Roman" w:hAnsi="Times New Roman" w:cs="Times New Roman"/>
        </w:rPr>
      </w:pPr>
      <w:r>
        <w:rPr>
          <w:rFonts w:hint="eastAsia" w:ascii="Times New Roman" w:hAnsi="Times New Roman" w:cs="Times New Roman"/>
        </w:rPr>
        <w:t>All in all this dimension turns out to be generally satisfactory as ES shows a lot of baseline work and offers clear mitigating narratives. The enhancements concern mostly cross-topic synthesis and express uncertainty and cumulative reasoning. A B grade is appropriate.</w:t>
      </w:r>
    </w:p>
    <w:p w14:paraId="0FD67BD8">
      <w:pPr>
        <w:pStyle w:val="3"/>
        <w:spacing w:line="360" w:lineRule="auto"/>
        <w:jc w:val="both"/>
      </w:pPr>
      <w:r>
        <w:t>4.4 Mitigation, monitoring and EIA follow-up</w:t>
      </w:r>
    </w:p>
    <w:p w14:paraId="1D8288ED">
      <w:pPr>
        <w:spacing w:line="360" w:lineRule="auto"/>
        <w:jc w:val="both"/>
        <w:rPr>
          <w:rFonts w:ascii="Times New Roman" w:hAnsi="Times New Roman" w:cs="Times New Roman"/>
        </w:rPr>
      </w:pPr>
      <w:r>
        <w:rPr>
          <w:rFonts w:hint="eastAsia" w:ascii="Times New Roman" w:hAnsi="Times New Roman" w:cs="Times New Roman"/>
        </w:rPr>
        <w:t>In this sub section, the degree of specification of mitigation and monitoring in an implementable, auditable manner, and the presence or absence of follow up in closing the loop between prediction and delivery (overall grade: C) are assessed.</w:t>
      </w:r>
    </w:p>
    <w:p w14:paraId="33CBAC3D">
      <w:pPr>
        <w:spacing w:line="360" w:lineRule="auto"/>
        <w:jc w:val="both"/>
        <w:rPr>
          <w:rFonts w:ascii="Times New Roman" w:hAnsi="Times New Roman" w:cs="Times New Roman"/>
        </w:rPr>
      </w:pPr>
      <w:r>
        <w:rPr>
          <w:rFonts w:hint="eastAsia" w:ascii="Times New Roman" w:hAnsi="Times New Roman" w:cs="Times New Roman"/>
        </w:rPr>
        <w:t>According to the outline Construction Environmental Management Plan (CEMP), it shows how the mitigation measures and monitoring requirements noted during the EIA would be executed and that there would be an elaborate CEMP prepared by the contractor which would be secured through condition (Axis P.E.D. Ltd, 2023e). LEMP contains mitigation and enhancement actions; it has a review cycle every five years (Axis P.E.D. Ltd, 2023f).</w:t>
      </w:r>
    </w:p>
    <w:p w14:paraId="279B6638">
      <w:pPr>
        <w:spacing w:line="360" w:lineRule="auto"/>
        <w:jc w:val="both"/>
        <w:rPr>
          <w:rFonts w:ascii="Times New Roman" w:hAnsi="Times New Roman" w:cs="Times New Roman"/>
        </w:rPr>
      </w:pPr>
      <w:r>
        <w:rPr>
          <w:rFonts w:hint="eastAsia" w:ascii="Times New Roman" w:hAnsi="Times New Roman" w:cs="Times New Roman"/>
        </w:rPr>
        <w:t xml:space="preserve">CEMP and LEMP are good practices since the provision of these will bridge the gap between EIA deliverables and delivery mechanisms. The primary process-quality risk is deferral: the critical monitoring information and tasks may be postponed to the subsequent documents that are unavailable during the decision-making </w:t>
      </w:r>
      <w:r>
        <w:rPr>
          <w:rFonts w:ascii="Times New Roman" w:hAnsi="Times New Roman" w:cs="Times New Roman"/>
        </w:rPr>
        <w:t>(Arts, Caldwell and Morrison-Saunders, 2001; Marshall, Arts and Morrison-Saunders, 2005)</w:t>
      </w:r>
      <w:r>
        <w:rPr>
          <w:rFonts w:hint="eastAsia" w:ascii="Times New Roman" w:hAnsi="Times New Roman" w:cs="Times New Roman"/>
        </w:rPr>
        <w:t xml:space="preserve">. Lee and Colley underline that the arrangements of mitigation and follow-up must be well explained and sufficient to deal with the expected effects (Lee and Colley, 1992; </w:t>
      </w:r>
      <w:r>
        <w:rPr>
          <w:rFonts w:ascii="Times New Roman" w:hAnsi="Times New Roman" w:cs="Times New Roman"/>
        </w:rPr>
        <w:t>Marshall, Arts and Morrison-Saunders, 2005; Glasson, Therivel and Chadwick, 2012</w:t>
      </w:r>
      <w:r>
        <w:rPr>
          <w:rFonts w:hint="eastAsia" w:ascii="Times New Roman" w:hAnsi="Times New Roman" w:cs="Times New Roman"/>
        </w:rPr>
        <w:t>). In the given case, a reader is able to note that management plans are in place, yet it is more challenging to single out one auditable list of commitments, indicators, responsible parties and reporting channels. This lessens accountability and it becomes hard to have communities ensure that mitigation is provided and efficient.</w:t>
      </w:r>
    </w:p>
    <w:p w14:paraId="4B94504F">
      <w:pPr>
        <w:spacing w:line="360" w:lineRule="auto"/>
        <w:jc w:val="both"/>
        <w:rPr>
          <w:rFonts w:ascii="Times New Roman" w:hAnsi="Times New Roman" w:cs="Times New Roman"/>
        </w:rPr>
      </w:pPr>
      <w:r>
        <w:rPr>
          <w:rFonts w:hint="eastAsia" w:ascii="Times New Roman" w:hAnsi="Times New Roman" w:cs="Times New Roman"/>
        </w:rPr>
        <w:t>This aspect is only satisfactory. The intent is shown in the plans, but the follow-up accountability could be enhanced once the commitments were centralized into a register of commitments having indicators, which are measurable and well governed. C grade is that the approach is workable but requires reinforcing so as to minimize the deferral and auditability risks.</w:t>
      </w:r>
    </w:p>
    <w:p w14:paraId="13D9BC1F">
      <w:pPr>
        <w:pStyle w:val="3"/>
        <w:spacing w:line="360" w:lineRule="auto"/>
        <w:jc w:val="both"/>
      </w:pPr>
      <w:r>
        <w:t>4.5 Consultation and stakeholder engagement</w:t>
      </w:r>
    </w:p>
    <w:p w14:paraId="1B81C85E">
      <w:pPr>
        <w:spacing w:line="360" w:lineRule="auto"/>
        <w:jc w:val="both"/>
        <w:rPr>
          <w:rFonts w:ascii="Times New Roman" w:hAnsi="Times New Roman" w:cs="Times New Roman"/>
        </w:rPr>
      </w:pPr>
      <w:r>
        <w:rPr>
          <w:rFonts w:hint="eastAsia" w:ascii="Times New Roman" w:hAnsi="Times New Roman" w:cs="Times New Roman"/>
        </w:rPr>
        <w:t>This part looks at how consultation and stakeholder engagement was done, against how well it worked—things like how easy it was to take part, who was included, when it happened, and if you can see how it changed the proposal (overall, it gets a C/D grade). To put it simply, the statutory notice gives the basic rules about the consultation process, showing how and when people could have their say (Axis P.E.D. Ltd, 2023d). The scoping direction, that is to say, the document setting the boundaries, talks about talking to the required consultees and what the assessment would cover (PEDW, 2023). The NTS also has information about the applicant’s past work and their relationship with local people (Axis P.E.D. Ltd, 2023g).</w:t>
      </w:r>
    </w:p>
    <w:p w14:paraId="1161B4F1">
      <w:pPr>
        <w:spacing w:line="360" w:lineRule="auto"/>
        <w:jc w:val="both"/>
        <w:rPr>
          <w:rFonts w:ascii="Times New Roman" w:hAnsi="Times New Roman" w:cs="Times New Roman"/>
        </w:rPr>
      </w:pPr>
      <w:r>
        <w:rPr>
          <w:rFonts w:hint="eastAsia" w:ascii="Times New Roman" w:hAnsi="Times New Roman" w:cs="Times New Roman"/>
        </w:rPr>
        <w:t xml:space="preserve">Best practice, for instance, makes a difference between consultation, which is a legal step you have to do, and participation, which is more about bringing in knowledge, making things seem fair, and actually having influence </w:t>
      </w:r>
      <w:r>
        <w:rPr>
          <w:rFonts w:ascii="Times New Roman" w:hAnsi="Times New Roman" w:cs="Times New Roman"/>
        </w:rPr>
        <w:t>(Arnstein, 1969; Rowe and Frewer, 2000)</w:t>
      </w:r>
      <w:r>
        <w:rPr>
          <w:rFonts w:hint="eastAsia" w:ascii="Times New Roman" w:hAnsi="Times New Roman" w:cs="Times New Roman"/>
        </w:rPr>
        <w:t>. The best ways of doing things, like the IAIA principles, stress starting early and keeping talking, making it easy to join in, and listening to what people say (André et al., 2006). Studies on participation argue that how well it works depends on whether it was set up to be fair and democratic, and whether the people involved can actually see how what they said changed things (Glucker et al., 2013;</w:t>
      </w:r>
      <w:r>
        <w:t xml:space="preserve"> </w:t>
      </w:r>
      <w:r>
        <w:rPr>
          <w:rFonts w:ascii="Times New Roman" w:hAnsi="Times New Roman" w:cs="Times New Roman"/>
        </w:rPr>
        <w:t>Arnstein, 1969; Rowe and Frewer, 2000</w:t>
      </w:r>
      <w:r>
        <w:rPr>
          <w:rFonts w:hint="eastAsia" w:ascii="Times New Roman" w:hAnsi="Times New Roman" w:cs="Times New Roman"/>
        </w:rPr>
        <w:t>).</w:t>
      </w:r>
    </w:p>
    <w:p w14:paraId="6C673FE4">
      <w:pPr>
        <w:spacing w:line="360" w:lineRule="auto"/>
        <w:jc w:val="both"/>
        <w:rPr>
          <w:rFonts w:ascii="Times New Roman" w:hAnsi="Times New Roman" w:cs="Times New Roman"/>
        </w:rPr>
      </w:pPr>
      <w:r>
        <w:rPr>
          <w:rFonts w:hint="eastAsia" w:ascii="Times New Roman" w:hAnsi="Times New Roman" w:cs="Times New Roman"/>
        </w:rPr>
        <w:t>Looking at the Craig y Perthi documents that were reviewed, the engagement is shown happened in the right way procedurally, but it's hard to see clearly from what the public said to how the project design changed. A really good environmental statement package would normally include something like an “issue log” or a report showing how concerns were tracked, linking worries to answers and actions taken, for example, changing the layout, adjusting buffer zones, or promising to monitor things. Without this kind of information, people might think the participation was just for show, even if a lot of talking happened.</w:t>
      </w:r>
    </w:p>
    <w:p w14:paraId="5F932148">
      <w:pPr>
        <w:spacing w:line="360" w:lineRule="auto"/>
        <w:jc w:val="both"/>
        <w:rPr>
          <w:rFonts w:ascii="Times New Roman" w:hAnsi="Times New Roman" w:cs="Times New Roman"/>
        </w:rPr>
      </w:pPr>
      <w:r>
        <w:rPr>
          <w:rFonts w:hint="eastAsia" w:ascii="Times New Roman" w:hAnsi="Times New Roman" w:cs="Times New Roman"/>
        </w:rPr>
        <w:t>The process seems to follow the rules, but proof that the participation was really effective and had influence is limited in the story told by the publicly available environmental statement. Because being seen as fair and legitimate is more and more important for EIA to work well (Caro-Gonzalez et al., 2023), this is a big shortcoming. A C/D grade reflects performance that is just okay but needs getting better.</w:t>
      </w:r>
    </w:p>
    <w:p w14:paraId="2A70AC9C">
      <w:pPr>
        <w:pStyle w:val="3"/>
        <w:spacing w:line="360" w:lineRule="auto"/>
        <w:jc w:val="both"/>
      </w:pPr>
      <w:r>
        <w:t>4.6 Reporting quality and accessibility</w:t>
      </w:r>
    </w:p>
    <w:p w14:paraId="4625A46A">
      <w:pPr>
        <w:spacing w:line="360" w:lineRule="auto"/>
        <w:jc w:val="both"/>
        <w:rPr>
          <w:rFonts w:ascii="Times New Roman" w:hAnsi="Times New Roman" w:cs="Times New Roman"/>
        </w:rPr>
      </w:pPr>
      <w:r>
        <w:rPr>
          <w:rFonts w:ascii="Times New Roman" w:hAnsi="Times New Roman" w:cs="Times New Roman"/>
        </w:rPr>
        <w:t>The subsection is an evaluation of the reporting quality, such as the level of neutrality, accessibility and how well the ES works to offer clear synthesis and traceability (overall grade: B).</w:t>
      </w:r>
    </w:p>
    <w:p w14:paraId="2D214782">
      <w:pPr>
        <w:spacing w:line="360" w:lineRule="auto"/>
        <w:jc w:val="both"/>
        <w:rPr>
          <w:rFonts w:ascii="Times New Roman" w:hAnsi="Times New Roman" w:cs="Times New Roman"/>
        </w:rPr>
      </w:pPr>
      <w:r>
        <w:rPr>
          <w:rFonts w:hint="eastAsia" w:ascii="Times New Roman" w:hAnsi="Times New Roman" w:cs="Times New Roman"/>
        </w:rPr>
        <w:t>The ES offers a standalone NTS, which is supposed to convey the proposals and impacts non-technically (Axis P.E.D. Ltd, 2023g). Among the essential concluding points summarised by NTS are cumulative effects (Axis P.E.D. Ltd, 2023g). The ES package package at large relies on standard topic-by-topic arrangement with the aid of appendices.</w:t>
      </w:r>
    </w:p>
    <w:p w14:paraId="70C10743">
      <w:pPr>
        <w:spacing w:line="360" w:lineRule="auto"/>
        <w:jc w:val="both"/>
        <w:rPr>
          <w:rFonts w:ascii="Times New Roman" w:hAnsi="Times New Roman" w:cs="Times New Roman"/>
        </w:rPr>
      </w:pPr>
      <w:r>
        <w:rPr>
          <w:rFonts w:hint="eastAsia" w:ascii="Times New Roman" w:hAnsi="Times New Roman" w:cs="Times New Roman"/>
        </w:rPr>
        <w:t>Quality in reporting is important since a good technical piece would not work, as the stakeholders and decision makers would not be able to comprehend the evidence, or confirm reasoning. It has the strength of having an NTS. Nevertheless, there are also sections of the NTS about corporate profile statements and success-rate claims (Axis P.E.D. Ltd, 2023g). Although context is not necessarily unacceptable, best practice would dictate NTS tone should be neutral and evidence-based, since NTS is usually the most read document and influences the general awareness. Italian synthesis tools of a table of residual effects and consolidated commitments register would also facilitate the ES package with regard to transparency and usability as it could be expected that Lee and Colley proposed (Lee and Colley, 1992).</w:t>
      </w:r>
    </w:p>
    <w:p w14:paraId="21D0BE14">
      <w:pPr>
        <w:spacing w:line="360" w:lineRule="auto"/>
        <w:jc w:val="both"/>
        <w:rPr>
          <w:rFonts w:ascii="Times New Roman" w:hAnsi="Times New Roman" w:cs="Times New Roman"/>
        </w:rPr>
      </w:pPr>
      <w:r>
        <w:rPr>
          <w:rFonts w:hint="eastAsia" w:ascii="Times New Roman" w:hAnsi="Times New Roman" w:cs="Times New Roman"/>
        </w:rPr>
        <w:t>Professional structure In general, reporting is done in a professional way and it is accessible; however, the aspects of neutrality and synthesis may be enhanced. A B result indicates a relatively positive reporting and unambiguous possibilities of enhancing traceability.</w:t>
      </w:r>
    </w:p>
    <w:p w14:paraId="476F660E">
      <w:pPr>
        <w:spacing w:line="360" w:lineRule="auto"/>
        <w:jc w:val="both"/>
        <w:rPr>
          <w:rFonts w:ascii="Times New Roman" w:hAnsi="Times New Roman" w:cs="Times New Roman"/>
        </w:rPr>
      </w:pPr>
      <w:r>
        <w:rPr>
          <w:rFonts w:ascii="Times New Roman" w:hAnsi="Times New Roman" w:cs="Times New Roman"/>
        </w:rPr>
        <w:t>A consolidated view of the Lee &amp; Colley-style grades and priority improvements is provided below (see Table 1).</w:t>
      </w:r>
    </w:p>
    <w:p w14:paraId="6018C793">
      <w:pPr>
        <w:spacing w:line="360" w:lineRule="auto"/>
        <w:jc w:val="both"/>
        <w:rPr>
          <w:rFonts w:ascii="Times New Roman" w:hAnsi="Times New Roman" w:cs="Times New Roman"/>
          <w:b/>
          <w:bCs/>
        </w:rPr>
      </w:pPr>
      <w:r>
        <w:rPr>
          <w:rFonts w:ascii="Times New Roman" w:hAnsi="Times New Roman" w:cs="Times New Roman"/>
          <w:b/>
          <w:bCs/>
        </w:rPr>
        <w:t>Table 1. Summary grades and priority improvements</w:t>
      </w:r>
    </w:p>
    <w:tbl>
      <w:tblPr>
        <w:tblStyle w:val="1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18"/>
        <w:gridCol w:w="1728"/>
        <w:gridCol w:w="1493"/>
        <w:gridCol w:w="1764"/>
        <w:gridCol w:w="1819"/>
      </w:tblGrid>
      <w:tr w14:paraId="391A1162">
        <w:tc>
          <w:tcPr>
            <w:tcW w:w="1008" w:type="pct"/>
          </w:tcPr>
          <w:p w14:paraId="31AD4917">
            <w:pPr>
              <w:spacing w:line="276" w:lineRule="auto"/>
              <w:rPr>
                <w:rFonts w:ascii="Times New Roman" w:hAnsi="Times New Roman" w:cs="Times New Roman"/>
              </w:rPr>
            </w:pPr>
            <w:r>
              <w:rPr>
                <w:rFonts w:ascii="Times New Roman" w:hAnsi="Times New Roman" w:cs="Times New Roman"/>
              </w:rPr>
              <w:t>Dimension</w:t>
            </w:r>
          </w:p>
        </w:tc>
        <w:tc>
          <w:tcPr>
            <w:tcW w:w="1014" w:type="pct"/>
          </w:tcPr>
          <w:p w14:paraId="5FD9C667">
            <w:pPr>
              <w:spacing w:line="276" w:lineRule="auto"/>
              <w:rPr>
                <w:rFonts w:ascii="Times New Roman" w:hAnsi="Times New Roman" w:cs="Times New Roman"/>
              </w:rPr>
            </w:pPr>
            <w:r>
              <w:rPr>
                <w:rFonts w:ascii="Times New Roman" w:hAnsi="Times New Roman" w:cs="Times New Roman"/>
              </w:rPr>
              <w:t>Key evidence (examples)</w:t>
            </w:r>
          </w:p>
        </w:tc>
        <w:tc>
          <w:tcPr>
            <w:tcW w:w="876" w:type="pct"/>
          </w:tcPr>
          <w:p w14:paraId="409D4F76">
            <w:pPr>
              <w:spacing w:line="276" w:lineRule="auto"/>
              <w:rPr>
                <w:rFonts w:ascii="Times New Roman" w:hAnsi="Times New Roman" w:cs="Times New Roman"/>
              </w:rPr>
            </w:pPr>
            <w:r>
              <w:rPr>
                <w:rFonts w:ascii="Times New Roman" w:hAnsi="Times New Roman" w:cs="Times New Roman"/>
              </w:rPr>
              <w:t>Grade</w:t>
            </w:r>
          </w:p>
        </w:tc>
        <w:tc>
          <w:tcPr>
            <w:tcW w:w="1035" w:type="pct"/>
          </w:tcPr>
          <w:p w14:paraId="6DFE26E0">
            <w:pPr>
              <w:spacing w:line="276" w:lineRule="auto"/>
              <w:rPr>
                <w:rFonts w:ascii="Times New Roman" w:hAnsi="Times New Roman" w:cs="Times New Roman"/>
              </w:rPr>
            </w:pPr>
            <w:r>
              <w:rPr>
                <w:rFonts w:ascii="Times New Roman" w:hAnsi="Times New Roman" w:cs="Times New Roman"/>
              </w:rPr>
              <w:t>Main gap</w:t>
            </w:r>
          </w:p>
        </w:tc>
        <w:tc>
          <w:tcPr>
            <w:tcW w:w="1067" w:type="pct"/>
          </w:tcPr>
          <w:p w14:paraId="4A264461">
            <w:pPr>
              <w:spacing w:line="276" w:lineRule="auto"/>
              <w:rPr>
                <w:rFonts w:ascii="Times New Roman" w:hAnsi="Times New Roman" w:cs="Times New Roman"/>
              </w:rPr>
            </w:pPr>
            <w:r>
              <w:rPr>
                <w:rFonts w:ascii="Times New Roman" w:hAnsi="Times New Roman" w:cs="Times New Roman"/>
              </w:rPr>
              <w:t>Priority improvement</w:t>
            </w:r>
          </w:p>
        </w:tc>
      </w:tr>
      <w:tr w14:paraId="555A7D75">
        <w:tc>
          <w:tcPr>
            <w:tcW w:w="1008" w:type="pct"/>
          </w:tcPr>
          <w:p w14:paraId="3819B5C4">
            <w:pPr>
              <w:spacing w:line="276" w:lineRule="auto"/>
              <w:rPr>
                <w:rFonts w:ascii="Times New Roman" w:hAnsi="Times New Roman" w:cs="Times New Roman"/>
              </w:rPr>
            </w:pPr>
            <w:r>
              <w:rPr>
                <w:rFonts w:ascii="Times New Roman" w:hAnsi="Times New Roman" w:cs="Times New Roman"/>
              </w:rPr>
              <w:t>Scoping &amp; baseline</w:t>
            </w:r>
          </w:p>
        </w:tc>
        <w:tc>
          <w:tcPr>
            <w:tcW w:w="1014" w:type="pct"/>
          </w:tcPr>
          <w:p w14:paraId="4D5EFFE3">
            <w:pPr>
              <w:spacing w:line="276" w:lineRule="auto"/>
              <w:rPr>
                <w:rFonts w:ascii="Times New Roman" w:hAnsi="Times New Roman" w:cs="Times New Roman"/>
              </w:rPr>
            </w:pPr>
            <w:r>
              <w:rPr>
                <w:rFonts w:ascii="Times New Roman" w:hAnsi="Times New Roman" w:cs="Times New Roman"/>
              </w:rPr>
              <w:t>Topics scoped in/out (PEDW, 2023).</w:t>
            </w:r>
          </w:p>
        </w:tc>
        <w:tc>
          <w:tcPr>
            <w:tcW w:w="876" w:type="pct"/>
          </w:tcPr>
          <w:p w14:paraId="508B7F94">
            <w:pPr>
              <w:spacing w:line="276" w:lineRule="auto"/>
              <w:rPr>
                <w:rFonts w:ascii="Times New Roman" w:hAnsi="Times New Roman" w:cs="Times New Roman"/>
              </w:rPr>
            </w:pPr>
            <w:r>
              <w:rPr>
                <w:rFonts w:ascii="Times New Roman" w:hAnsi="Times New Roman" w:cs="Times New Roman"/>
              </w:rPr>
              <w:t>B/C</w:t>
            </w:r>
          </w:p>
        </w:tc>
        <w:tc>
          <w:tcPr>
            <w:tcW w:w="1035" w:type="pct"/>
          </w:tcPr>
          <w:p w14:paraId="12AA41FC">
            <w:pPr>
              <w:spacing w:line="276" w:lineRule="auto"/>
              <w:rPr>
                <w:rFonts w:ascii="Times New Roman" w:hAnsi="Times New Roman" w:cs="Times New Roman"/>
              </w:rPr>
            </w:pPr>
            <w:r>
              <w:rPr>
                <w:rFonts w:ascii="Times New Roman" w:hAnsi="Times New Roman" w:cs="Times New Roman"/>
              </w:rPr>
              <w:t>Limited rationale visibility and stakeholder influence traceability</w:t>
            </w:r>
          </w:p>
        </w:tc>
        <w:tc>
          <w:tcPr>
            <w:tcW w:w="1067" w:type="pct"/>
          </w:tcPr>
          <w:p w14:paraId="28B225A2">
            <w:pPr>
              <w:spacing w:line="276" w:lineRule="auto"/>
              <w:rPr>
                <w:rFonts w:ascii="Times New Roman" w:hAnsi="Times New Roman" w:cs="Times New Roman"/>
              </w:rPr>
            </w:pPr>
            <w:r>
              <w:rPr>
                <w:rFonts w:ascii="Times New Roman" w:hAnsi="Times New Roman" w:cs="Times New Roman"/>
              </w:rPr>
              <w:t>Add scoping rationale and stakeholder input summary in main ES/NTS</w:t>
            </w:r>
          </w:p>
        </w:tc>
      </w:tr>
      <w:tr w14:paraId="051D68D5">
        <w:tc>
          <w:tcPr>
            <w:tcW w:w="1008" w:type="pct"/>
          </w:tcPr>
          <w:p w14:paraId="0B8BE7E5">
            <w:pPr>
              <w:spacing w:line="276" w:lineRule="auto"/>
              <w:rPr>
                <w:rFonts w:ascii="Times New Roman" w:hAnsi="Times New Roman" w:cs="Times New Roman"/>
              </w:rPr>
            </w:pPr>
            <w:r>
              <w:rPr>
                <w:rFonts w:ascii="Times New Roman" w:hAnsi="Times New Roman" w:cs="Times New Roman"/>
              </w:rPr>
              <w:t>Alternatives</w:t>
            </w:r>
          </w:p>
        </w:tc>
        <w:tc>
          <w:tcPr>
            <w:tcW w:w="1014" w:type="pct"/>
          </w:tcPr>
          <w:p w14:paraId="114BEF5F">
            <w:pPr>
              <w:spacing w:line="276" w:lineRule="auto"/>
              <w:rPr>
                <w:rFonts w:ascii="Times New Roman" w:hAnsi="Times New Roman" w:cs="Times New Roman"/>
              </w:rPr>
            </w:pPr>
            <w:r>
              <w:rPr>
                <w:rFonts w:ascii="Times New Roman" w:hAnsi="Times New Roman" w:cs="Times New Roman"/>
              </w:rPr>
              <w:t>Alternatives framed as optional analysis; viability/grid emphasis (Axis P.E.D. Ltd, 2023b).</w:t>
            </w:r>
          </w:p>
        </w:tc>
        <w:tc>
          <w:tcPr>
            <w:tcW w:w="876" w:type="pct"/>
          </w:tcPr>
          <w:p w14:paraId="292AC550">
            <w:pPr>
              <w:spacing w:line="276" w:lineRule="auto"/>
              <w:rPr>
                <w:rFonts w:ascii="Times New Roman" w:hAnsi="Times New Roman" w:cs="Times New Roman"/>
              </w:rPr>
            </w:pPr>
            <w:r>
              <w:rPr>
                <w:rFonts w:ascii="Times New Roman" w:hAnsi="Times New Roman" w:cs="Times New Roman"/>
              </w:rPr>
              <w:t>D/C</w:t>
            </w:r>
          </w:p>
        </w:tc>
        <w:tc>
          <w:tcPr>
            <w:tcW w:w="1035" w:type="pct"/>
          </w:tcPr>
          <w:p w14:paraId="68E05192">
            <w:pPr>
              <w:spacing w:line="276" w:lineRule="auto"/>
              <w:rPr>
                <w:rFonts w:ascii="Times New Roman" w:hAnsi="Times New Roman" w:cs="Times New Roman"/>
              </w:rPr>
            </w:pPr>
            <w:r>
              <w:rPr>
                <w:rFonts w:ascii="Times New Roman" w:hAnsi="Times New Roman" w:cs="Times New Roman"/>
              </w:rPr>
              <w:t>Weak comparative trade-off analysis</w:t>
            </w:r>
          </w:p>
        </w:tc>
        <w:tc>
          <w:tcPr>
            <w:tcW w:w="1067" w:type="pct"/>
          </w:tcPr>
          <w:p w14:paraId="00A64122">
            <w:pPr>
              <w:spacing w:line="276" w:lineRule="auto"/>
              <w:rPr>
                <w:rFonts w:ascii="Times New Roman" w:hAnsi="Times New Roman" w:cs="Times New Roman"/>
              </w:rPr>
            </w:pPr>
            <w:r>
              <w:rPr>
                <w:rFonts w:ascii="Times New Roman" w:hAnsi="Times New Roman" w:cs="Times New Roman"/>
              </w:rPr>
              <w:t>Publish alternatives appraisal matrix including environmental constraints</w:t>
            </w:r>
          </w:p>
        </w:tc>
      </w:tr>
      <w:tr w14:paraId="491173B1">
        <w:tc>
          <w:tcPr>
            <w:tcW w:w="1008" w:type="pct"/>
          </w:tcPr>
          <w:p w14:paraId="544B5EB0">
            <w:pPr>
              <w:spacing w:line="276" w:lineRule="auto"/>
              <w:rPr>
                <w:rFonts w:ascii="Times New Roman" w:hAnsi="Times New Roman" w:cs="Times New Roman"/>
              </w:rPr>
            </w:pPr>
            <w:r>
              <w:rPr>
                <w:rFonts w:ascii="Times New Roman" w:hAnsi="Times New Roman" w:cs="Times New Roman"/>
              </w:rPr>
              <w:t>Impact prediction &amp; significance</w:t>
            </w:r>
          </w:p>
        </w:tc>
        <w:tc>
          <w:tcPr>
            <w:tcW w:w="1014" w:type="pct"/>
          </w:tcPr>
          <w:p w14:paraId="6A7C6AD2">
            <w:pPr>
              <w:spacing w:line="276" w:lineRule="auto"/>
              <w:rPr>
                <w:rFonts w:ascii="Times New Roman" w:hAnsi="Times New Roman" w:cs="Times New Roman"/>
              </w:rPr>
            </w:pPr>
            <w:r>
              <w:rPr>
                <w:rFonts w:ascii="Times New Roman" w:hAnsi="Times New Roman" w:cs="Times New Roman"/>
              </w:rPr>
              <w:t>Ecology surveys; mitigation-led significance claim (Axis P.E.D. Ltd, 2023c).</w:t>
            </w:r>
          </w:p>
        </w:tc>
        <w:tc>
          <w:tcPr>
            <w:tcW w:w="876" w:type="pct"/>
          </w:tcPr>
          <w:p w14:paraId="421AF5EC">
            <w:pPr>
              <w:spacing w:line="276" w:lineRule="auto"/>
              <w:rPr>
                <w:rFonts w:ascii="Times New Roman" w:hAnsi="Times New Roman" w:cs="Times New Roman"/>
              </w:rPr>
            </w:pPr>
            <w:r>
              <w:rPr>
                <w:rFonts w:ascii="Times New Roman" w:hAnsi="Times New Roman" w:cs="Times New Roman"/>
              </w:rPr>
              <w:t>B</w:t>
            </w:r>
          </w:p>
        </w:tc>
        <w:tc>
          <w:tcPr>
            <w:tcW w:w="1035" w:type="pct"/>
          </w:tcPr>
          <w:p w14:paraId="1F592D56">
            <w:pPr>
              <w:spacing w:line="276" w:lineRule="auto"/>
              <w:rPr>
                <w:rFonts w:ascii="Times New Roman" w:hAnsi="Times New Roman" w:cs="Times New Roman"/>
              </w:rPr>
            </w:pPr>
            <w:r>
              <w:rPr>
                <w:rFonts w:ascii="Times New Roman" w:hAnsi="Times New Roman" w:cs="Times New Roman"/>
              </w:rPr>
              <w:t>Uncertainty and cumulative logic not consistently transparent</w:t>
            </w:r>
          </w:p>
        </w:tc>
        <w:tc>
          <w:tcPr>
            <w:tcW w:w="1067" w:type="pct"/>
          </w:tcPr>
          <w:p w14:paraId="3B2D0479">
            <w:pPr>
              <w:spacing w:line="276" w:lineRule="auto"/>
              <w:rPr>
                <w:rFonts w:ascii="Times New Roman" w:hAnsi="Times New Roman" w:cs="Times New Roman"/>
              </w:rPr>
            </w:pPr>
            <w:r>
              <w:rPr>
                <w:rFonts w:ascii="Times New Roman" w:hAnsi="Times New Roman" w:cs="Times New Roman"/>
              </w:rPr>
              <w:t>Standardise significance statements; clarify cumulative assessment scope</w:t>
            </w:r>
          </w:p>
        </w:tc>
      </w:tr>
      <w:tr w14:paraId="1E8FBB34">
        <w:tc>
          <w:tcPr>
            <w:tcW w:w="1008" w:type="pct"/>
          </w:tcPr>
          <w:p w14:paraId="3D90300F">
            <w:pPr>
              <w:spacing w:line="276" w:lineRule="auto"/>
              <w:rPr>
                <w:rFonts w:ascii="Times New Roman" w:hAnsi="Times New Roman" w:cs="Times New Roman"/>
              </w:rPr>
            </w:pPr>
            <w:r>
              <w:rPr>
                <w:rFonts w:ascii="Times New Roman" w:hAnsi="Times New Roman" w:cs="Times New Roman"/>
              </w:rPr>
              <w:t>Mitigation &amp; monitoring</w:t>
            </w:r>
          </w:p>
        </w:tc>
        <w:tc>
          <w:tcPr>
            <w:tcW w:w="1014" w:type="pct"/>
          </w:tcPr>
          <w:p w14:paraId="5F90725C">
            <w:pPr>
              <w:spacing w:line="276" w:lineRule="auto"/>
              <w:rPr>
                <w:rFonts w:ascii="Times New Roman" w:hAnsi="Times New Roman" w:cs="Times New Roman"/>
              </w:rPr>
            </w:pPr>
            <w:r>
              <w:rPr>
                <w:rFonts w:ascii="Times New Roman" w:hAnsi="Times New Roman" w:cs="Times New Roman"/>
              </w:rPr>
              <w:t>Outline CEMP; LEMP review cycle (Axis P.E.D. Ltd, 2023e; 2023f,).</w:t>
            </w:r>
          </w:p>
        </w:tc>
        <w:tc>
          <w:tcPr>
            <w:tcW w:w="876" w:type="pct"/>
          </w:tcPr>
          <w:p w14:paraId="43801521">
            <w:pPr>
              <w:spacing w:line="276" w:lineRule="auto"/>
              <w:rPr>
                <w:rFonts w:ascii="Times New Roman" w:hAnsi="Times New Roman" w:cs="Times New Roman"/>
              </w:rPr>
            </w:pPr>
            <w:r>
              <w:rPr>
                <w:rFonts w:ascii="Times New Roman" w:hAnsi="Times New Roman" w:cs="Times New Roman"/>
              </w:rPr>
              <w:t>C</w:t>
            </w:r>
          </w:p>
        </w:tc>
        <w:tc>
          <w:tcPr>
            <w:tcW w:w="1035" w:type="pct"/>
          </w:tcPr>
          <w:p w14:paraId="23B7676F">
            <w:pPr>
              <w:spacing w:line="276" w:lineRule="auto"/>
              <w:rPr>
                <w:rFonts w:ascii="Times New Roman" w:hAnsi="Times New Roman" w:cs="Times New Roman"/>
              </w:rPr>
            </w:pPr>
            <w:r>
              <w:rPr>
                <w:rFonts w:ascii="Times New Roman" w:hAnsi="Times New Roman" w:cs="Times New Roman"/>
              </w:rPr>
              <w:t>Commitments dispersed and partly deferred</w:t>
            </w:r>
          </w:p>
        </w:tc>
        <w:tc>
          <w:tcPr>
            <w:tcW w:w="1067" w:type="pct"/>
          </w:tcPr>
          <w:p w14:paraId="4E07DC00">
            <w:pPr>
              <w:spacing w:line="276" w:lineRule="auto"/>
              <w:rPr>
                <w:rFonts w:ascii="Times New Roman" w:hAnsi="Times New Roman" w:cs="Times New Roman"/>
              </w:rPr>
            </w:pPr>
            <w:r>
              <w:rPr>
                <w:rFonts w:ascii="Times New Roman" w:hAnsi="Times New Roman" w:cs="Times New Roman"/>
              </w:rPr>
              <w:t>Create commitments register with indicators, responsibilities, reporting and triggers</w:t>
            </w:r>
          </w:p>
        </w:tc>
      </w:tr>
      <w:tr w14:paraId="4FCC744F">
        <w:tc>
          <w:tcPr>
            <w:tcW w:w="1008" w:type="pct"/>
          </w:tcPr>
          <w:p w14:paraId="0B0D6D25">
            <w:pPr>
              <w:spacing w:line="276" w:lineRule="auto"/>
              <w:rPr>
                <w:rFonts w:ascii="Times New Roman" w:hAnsi="Times New Roman" w:cs="Times New Roman"/>
              </w:rPr>
            </w:pPr>
            <w:r>
              <w:rPr>
                <w:rFonts w:ascii="Times New Roman" w:hAnsi="Times New Roman" w:cs="Times New Roman"/>
              </w:rPr>
              <w:t>Consultation &amp; engagement</w:t>
            </w:r>
          </w:p>
        </w:tc>
        <w:tc>
          <w:tcPr>
            <w:tcW w:w="1014" w:type="pct"/>
          </w:tcPr>
          <w:p w14:paraId="1D20E136">
            <w:pPr>
              <w:spacing w:line="276" w:lineRule="auto"/>
              <w:rPr>
                <w:rFonts w:ascii="Times New Roman" w:hAnsi="Times New Roman" w:cs="Times New Roman"/>
              </w:rPr>
            </w:pPr>
            <w:r>
              <w:rPr>
                <w:rFonts w:ascii="Times New Roman" w:hAnsi="Times New Roman" w:cs="Times New Roman"/>
              </w:rPr>
              <w:t>Consultation notice; scoping engagement (Axis P.E.D. Ltd, 2023d, p.10; PEDW, 2023).</w:t>
            </w:r>
          </w:p>
        </w:tc>
        <w:tc>
          <w:tcPr>
            <w:tcW w:w="876" w:type="pct"/>
          </w:tcPr>
          <w:p w14:paraId="116C9402">
            <w:pPr>
              <w:spacing w:line="276" w:lineRule="auto"/>
              <w:rPr>
                <w:rFonts w:ascii="Times New Roman" w:hAnsi="Times New Roman" w:cs="Times New Roman"/>
              </w:rPr>
            </w:pPr>
            <w:r>
              <w:rPr>
                <w:rFonts w:ascii="Times New Roman" w:hAnsi="Times New Roman" w:cs="Times New Roman"/>
              </w:rPr>
              <w:t>C/D</w:t>
            </w:r>
          </w:p>
        </w:tc>
        <w:tc>
          <w:tcPr>
            <w:tcW w:w="1035" w:type="pct"/>
          </w:tcPr>
          <w:p w14:paraId="0D76DDD5">
            <w:pPr>
              <w:spacing w:line="276" w:lineRule="auto"/>
              <w:rPr>
                <w:rFonts w:ascii="Times New Roman" w:hAnsi="Times New Roman" w:cs="Times New Roman"/>
              </w:rPr>
            </w:pPr>
            <w:r>
              <w:rPr>
                <w:rFonts w:ascii="Times New Roman" w:hAnsi="Times New Roman" w:cs="Times New Roman"/>
              </w:rPr>
              <w:t>Influence not visible in public narrative</w:t>
            </w:r>
          </w:p>
        </w:tc>
        <w:tc>
          <w:tcPr>
            <w:tcW w:w="1067" w:type="pct"/>
          </w:tcPr>
          <w:p w14:paraId="2428E456">
            <w:pPr>
              <w:spacing w:line="276" w:lineRule="auto"/>
              <w:rPr>
                <w:rFonts w:ascii="Times New Roman" w:hAnsi="Times New Roman" w:cs="Times New Roman"/>
              </w:rPr>
            </w:pPr>
            <w:r>
              <w:rPr>
                <w:rFonts w:ascii="Times New Roman" w:hAnsi="Times New Roman" w:cs="Times New Roman"/>
              </w:rPr>
              <w:t>Publish “you said/we did” log and design evolution narrative</w:t>
            </w:r>
          </w:p>
        </w:tc>
      </w:tr>
      <w:tr w14:paraId="2CC35830">
        <w:tc>
          <w:tcPr>
            <w:tcW w:w="1008" w:type="pct"/>
          </w:tcPr>
          <w:p w14:paraId="7196D5F6">
            <w:pPr>
              <w:spacing w:line="276" w:lineRule="auto"/>
              <w:rPr>
                <w:rFonts w:ascii="Times New Roman" w:hAnsi="Times New Roman" w:cs="Times New Roman"/>
              </w:rPr>
            </w:pPr>
            <w:r>
              <w:rPr>
                <w:rFonts w:ascii="Times New Roman" w:hAnsi="Times New Roman" w:cs="Times New Roman"/>
              </w:rPr>
              <w:t>Reporting quality</w:t>
            </w:r>
          </w:p>
        </w:tc>
        <w:tc>
          <w:tcPr>
            <w:tcW w:w="1014" w:type="pct"/>
          </w:tcPr>
          <w:p w14:paraId="429B2159">
            <w:pPr>
              <w:spacing w:line="276" w:lineRule="auto"/>
              <w:rPr>
                <w:rFonts w:ascii="Times New Roman" w:hAnsi="Times New Roman" w:cs="Times New Roman"/>
              </w:rPr>
            </w:pPr>
            <w:r>
              <w:rPr>
                <w:rFonts w:ascii="Times New Roman" w:hAnsi="Times New Roman" w:cs="Times New Roman"/>
              </w:rPr>
              <w:t>NTS provided; cumulative summary (Axis P.E.D. Ltd, 2023g).</w:t>
            </w:r>
          </w:p>
        </w:tc>
        <w:tc>
          <w:tcPr>
            <w:tcW w:w="876" w:type="pct"/>
          </w:tcPr>
          <w:p w14:paraId="545B2B39">
            <w:pPr>
              <w:spacing w:line="276" w:lineRule="auto"/>
              <w:rPr>
                <w:rFonts w:ascii="Times New Roman" w:hAnsi="Times New Roman" w:cs="Times New Roman"/>
              </w:rPr>
            </w:pPr>
            <w:r>
              <w:rPr>
                <w:rFonts w:ascii="Times New Roman" w:hAnsi="Times New Roman" w:cs="Times New Roman"/>
              </w:rPr>
              <w:t>B</w:t>
            </w:r>
          </w:p>
        </w:tc>
        <w:tc>
          <w:tcPr>
            <w:tcW w:w="1035" w:type="pct"/>
          </w:tcPr>
          <w:p w14:paraId="48960605">
            <w:pPr>
              <w:spacing w:line="276" w:lineRule="auto"/>
              <w:rPr>
                <w:rFonts w:ascii="Times New Roman" w:hAnsi="Times New Roman" w:cs="Times New Roman"/>
              </w:rPr>
            </w:pPr>
            <w:r>
              <w:rPr>
                <w:rFonts w:ascii="Times New Roman" w:hAnsi="Times New Roman" w:cs="Times New Roman"/>
              </w:rPr>
              <w:t>Neutrality and synthesis tools</w:t>
            </w:r>
          </w:p>
        </w:tc>
        <w:tc>
          <w:tcPr>
            <w:tcW w:w="1067" w:type="pct"/>
          </w:tcPr>
          <w:p w14:paraId="3E71BF44">
            <w:pPr>
              <w:spacing w:line="276" w:lineRule="auto"/>
              <w:rPr>
                <w:rFonts w:ascii="Times New Roman" w:hAnsi="Times New Roman" w:cs="Times New Roman"/>
              </w:rPr>
            </w:pPr>
            <w:r>
              <w:rPr>
                <w:rFonts w:ascii="Times New Roman" w:hAnsi="Times New Roman" w:cs="Times New Roman"/>
              </w:rPr>
              <w:t>Neutral NTS tone; add residual effects table and commitments register</w:t>
            </w:r>
          </w:p>
        </w:tc>
      </w:tr>
    </w:tbl>
    <w:p w14:paraId="5D1B0406">
      <w:pPr>
        <w:pStyle w:val="2"/>
        <w:spacing w:line="360" w:lineRule="auto"/>
        <w:jc w:val="both"/>
        <w:rPr>
          <w:rFonts w:ascii="Times New Roman" w:hAnsi="Times New Roman" w:cs="Times New Roman"/>
        </w:rPr>
      </w:pPr>
      <w:r>
        <w:rPr>
          <w:rFonts w:ascii="Times New Roman" w:hAnsi="Times New Roman" w:cs="Times New Roman"/>
        </w:rPr>
        <w:t>5. Theory/law versus practice: gap analysis</w:t>
      </w:r>
    </w:p>
    <w:p w14:paraId="43B0C469">
      <w:pPr>
        <w:spacing w:after="120" w:line="360" w:lineRule="auto"/>
        <w:jc w:val="both"/>
        <w:rPr>
          <w:rFonts w:ascii="Times New Roman" w:hAnsi="Times New Roman" w:cs="Times New Roman"/>
        </w:rPr>
      </w:pPr>
      <w:r>
        <w:rPr>
          <w:rFonts w:hint="eastAsia" w:ascii="Times New Roman" w:hAnsi="Times New Roman" w:cs="Times New Roman"/>
        </w:rPr>
        <w:t>This part brings together the key differences between theory and legal expectations in environmental assessment, and how the Craign y Perthi project shows real practice, and tells why these gaps are so important for the sustainability goals</w:t>
      </w:r>
      <w:r>
        <w:rPr>
          <w:rFonts w:ascii="Times New Roman" w:hAnsi="Times New Roman" w:cs="Times New Roman"/>
        </w:rPr>
        <w:t>.</w:t>
      </w:r>
    </w:p>
    <w:p w14:paraId="12612DE5">
      <w:pPr>
        <w:pStyle w:val="3"/>
        <w:spacing w:line="360" w:lineRule="auto"/>
        <w:jc w:val="both"/>
      </w:pPr>
      <w:r>
        <w:rPr>
          <w:rFonts w:hint="eastAsia"/>
        </w:rPr>
        <w:t xml:space="preserve">5.1 </w:t>
      </w:r>
      <w:r>
        <w:t>Alternatives as description rather than decision shaping</w:t>
      </w:r>
    </w:p>
    <w:p w14:paraId="052EAD88">
      <w:pPr>
        <w:spacing w:line="360" w:lineRule="auto"/>
        <w:jc w:val="both"/>
        <w:rPr>
          <w:rFonts w:ascii="Times New Roman" w:hAnsi="Times New Roman" w:cs="Times New Roman"/>
        </w:rPr>
      </w:pPr>
      <w:r>
        <w:rPr>
          <w:rFonts w:ascii="Times New Roman" w:hAnsi="Times New Roman" w:cs="Times New Roman"/>
        </w:rPr>
        <w:t>The report mentions needing alternatives but presents studying them as more optional and stresses that the duty is only really to describe alternatives if they were looked at previously. This shows how legal wording can sometimes be understood in a more limited manner that doesn't really help the sustainability intentions. In assessment thinking, alternatives are supposed to help shape early choices with environmental thinking. To put it simply, in real situations, developer-led work can treat alternatives as just explaining why something is chosen rather than a proper review, especially when certain decisions about locations and infrastructure have already been mostly made.</w:t>
      </w:r>
    </w:p>
    <w:p w14:paraId="1E87DFD4">
      <w:pPr>
        <w:pStyle w:val="3"/>
        <w:spacing w:line="360" w:lineRule="auto"/>
        <w:jc w:val="both"/>
      </w:pPr>
      <w:r>
        <w:rPr>
          <w:rFonts w:hint="eastAsia"/>
        </w:rPr>
        <w:t xml:space="preserve">5.2 </w:t>
      </w:r>
      <w:r>
        <w:t>Procedural consultation versus legitimacy and learning</w:t>
      </w:r>
    </w:p>
    <w:p w14:paraId="6AC3E616">
      <w:pPr>
        <w:spacing w:line="360" w:lineRule="auto"/>
        <w:jc w:val="both"/>
        <w:rPr>
          <w:rFonts w:ascii="Times New Roman" w:hAnsi="Times New Roman" w:cs="Times New Roman"/>
        </w:rPr>
      </w:pPr>
      <w:r>
        <w:rPr>
          <w:rFonts w:ascii="Times New Roman" w:hAnsi="Times New Roman" w:cs="Times New Roman"/>
        </w:rPr>
        <w:t>The formal process has consultation steps, which the Craign y Perthi notice shows as well. Yet true effectiveness based on trust requires seeing how input matters. That is to say, research on public involvement points out that people need to notice their contributions changed plans or the assessment itself, and that clear responses build trust basically. In this project, the lack of a public story showing how consultation impacted design makes it harder for reviewers to judge effectiveness properly.</w:t>
      </w:r>
    </w:p>
    <w:p w14:paraId="0B6D237E">
      <w:pPr>
        <w:pStyle w:val="3"/>
        <w:spacing w:line="360" w:lineRule="auto"/>
        <w:jc w:val="both"/>
      </w:pPr>
      <w:r>
        <w:rPr>
          <w:rFonts w:hint="eastAsia"/>
        </w:rPr>
        <w:t>5.3</w:t>
      </w:r>
      <w:r>
        <w:t xml:space="preserve"> Management plans exist but commitments are not fully auditable at decision time</w:t>
      </w:r>
    </w:p>
    <w:p w14:paraId="348C9BCD">
      <w:pPr>
        <w:spacing w:line="360" w:lineRule="auto"/>
        <w:jc w:val="both"/>
        <w:rPr>
          <w:rFonts w:ascii="Times New Roman" w:hAnsi="Times New Roman" w:cs="Times New Roman"/>
        </w:rPr>
      </w:pPr>
      <w:r>
        <w:rPr>
          <w:rFonts w:hint="eastAsia" w:ascii="Times New Roman" w:hAnsi="Times New Roman" w:cs="Times New Roman"/>
        </w:rPr>
        <w:t>CEMP and LEMP instruments are positive in nature (Axis P.E.D. Ltd, 2023e; Axis P.E.D. Ltd, 2023f), but it is important to note that some details are actually left for later stages, that is to say, deferred to conditions after consent is given and also to documents prepared by the contractor. Without having a single, unified register for tracking commitments, one that includes things like indicators for monitoring, who is responsible, and how reporting should happen, the follow-up process can become just a form for compliance rather than a proper loop for learning and improvement (Lee and Colley, 1992).</w:t>
      </w:r>
    </w:p>
    <w:p w14:paraId="694D28B0">
      <w:pPr>
        <w:spacing w:line="360" w:lineRule="auto"/>
        <w:jc w:val="both"/>
        <w:rPr>
          <w:rFonts w:ascii="Times New Roman" w:hAnsi="Times New Roman" w:cs="Times New Roman"/>
        </w:rPr>
      </w:pPr>
      <w:r>
        <w:rPr>
          <w:rFonts w:hint="eastAsia" w:ascii="Times New Roman" w:hAnsi="Times New Roman" w:cs="Times New Roman"/>
        </w:rPr>
        <w:t>Caro-Gonzalez and colleagues (2023) put forward the argument that EIA effectiveness is now more often judged based on expectations related to transformation and legitimacy, not only on whether the procedural steps were finished. The case from Craig y Perthi, for instance, suggests a key point: even when the technical assessment part is done competently, the EIA process might still not fully meet its original goal of promoting sustainability. This happens, to put it simply, if the earlier choices made, how much influence participation really had, and whether follow-up actions are held accountable are not transparently evidenced and clearly shown</w:t>
      </w:r>
      <w:r>
        <w:rPr>
          <w:rFonts w:ascii="Times New Roman" w:hAnsi="Times New Roman" w:cs="Times New Roman"/>
        </w:rPr>
        <w:t>.</w:t>
      </w:r>
    </w:p>
    <w:p w14:paraId="501EDC00">
      <w:pPr>
        <w:pStyle w:val="2"/>
        <w:spacing w:line="360" w:lineRule="auto"/>
        <w:jc w:val="both"/>
        <w:rPr>
          <w:rFonts w:ascii="Times New Roman" w:hAnsi="Times New Roman" w:cs="Times New Roman"/>
        </w:rPr>
      </w:pPr>
      <w:r>
        <w:rPr>
          <w:rFonts w:ascii="Times New Roman" w:hAnsi="Times New Roman" w:cs="Times New Roman"/>
        </w:rPr>
        <w:t>6. Recommendations</w:t>
      </w:r>
    </w:p>
    <w:p w14:paraId="50547004">
      <w:pPr>
        <w:spacing w:after="120" w:line="360" w:lineRule="auto"/>
        <w:jc w:val="both"/>
        <w:rPr>
          <w:rFonts w:ascii="Times New Roman" w:hAnsi="Times New Roman" w:cs="Times New Roman"/>
        </w:rPr>
      </w:pPr>
      <w:r>
        <w:rPr>
          <w:rFonts w:ascii="Times New Roman" w:hAnsi="Times New Roman" w:cs="Times New Roman"/>
        </w:rPr>
        <w:t>This part of the report provides recommendations that are practical in nature so as to enhance effective EIA procedures in subsequent cases of DNS that include the identification of who ought to act (competent authority, consultants and developer), what ought to change.</w:t>
      </w:r>
    </w:p>
    <w:p w14:paraId="712420E9">
      <w:pPr>
        <w:pStyle w:val="3"/>
        <w:spacing w:line="360" w:lineRule="auto"/>
        <w:jc w:val="both"/>
      </w:pPr>
      <w:r>
        <w:rPr>
          <w:rFonts w:hint="eastAsia"/>
        </w:rPr>
        <w:t xml:space="preserve">6.1 </w:t>
      </w:r>
      <w:r>
        <w:t xml:space="preserve">For the competent authority </w:t>
      </w:r>
    </w:p>
    <w:p w14:paraId="2DC862DA">
      <w:pPr>
        <w:spacing w:line="360" w:lineRule="auto"/>
        <w:jc w:val="both"/>
        <w:rPr>
          <w:rFonts w:ascii="Times New Roman" w:hAnsi="Times New Roman" w:cs="Times New Roman"/>
        </w:rPr>
      </w:pPr>
      <w:r>
        <w:rPr>
          <w:rFonts w:ascii="Times New Roman" w:hAnsi="Times New Roman" w:cs="Times New Roman"/>
        </w:rPr>
        <w:t>1) ES acceptance checks strengthen alternatives expectations: an alternatives appraisal matrix accommodate site, layout and design parameters require an explicit document on environmental trade-off not just commercial criteria (Welsh Government, 2017).</w:t>
      </w:r>
      <w:r>
        <w:rPr>
          <w:rFonts w:ascii="Times New Roman" w:hAnsi="Times New Roman" w:cs="Times New Roman"/>
        </w:rPr>
        <w:br w:type="textWrapping"/>
      </w:r>
      <w:r>
        <w:rPr>
          <w:rFonts w:ascii="Times New Roman" w:hAnsi="Times New Roman" w:cs="Times New Roman"/>
        </w:rPr>
        <w:t>2) DN case Pilot independent ES quality audit of the cases through a Lee and Colley summary sheet with the result posted along the transparency and quality control (Lee and Colley, 1992).</w:t>
      </w:r>
    </w:p>
    <w:p w14:paraId="1DC98ADC">
      <w:pPr>
        <w:pStyle w:val="3"/>
        <w:spacing w:line="360" w:lineRule="auto"/>
        <w:jc w:val="both"/>
        <w:rPr>
          <w:rFonts w:cs="Times New Roman"/>
        </w:rPr>
      </w:pPr>
      <w:r>
        <w:rPr>
          <w:rFonts w:hint="eastAsia"/>
        </w:rPr>
        <w:t xml:space="preserve">6.2 </w:t>
      </w:r>
      <w:r>
        <w:t xml:space="preserve">For the EIA consultant </w:t>
      </w:r>
    </w:p>
    <w:p w14:paraId="7B852374">
      <w:pPr>
        <w:spacing w:line="360" w:lineRule="auto"/>
        <w:jc w:val="both"/>
        <w:rPr>
          <w:rFonts w:ascii="Times New Roman" w:hAnsi="Times New Roman" w:cs="Times New Roman"/>
        </w:rPr>
      </w:pPr>
      <w:r>
        <w:rPr>
          <w:rFonts w:ascii="Times New Roman" w:hAnsi="Times New Roman" w:cs="Times New Roman"/>
        </w:rPr>
        <w:t>3) Cross-link significance and uncertainty links in topic chapters to enhance auditability and decrease inconsistency on communication of residual effects.</w:t>
      </w:r>
      <w:r>
        <w:rPr>
          <w:rFonts w:ascii="Times New Roman" w:hAnsi="Times New Roman" w:cs="Times New Roman"/>
        </w:rPr>
        <w:br w:type="textWrapping"/>
      </w:r>
      <w:r>
        <w:rPr>
          <w:rFonts w:ascii="Times New Roman" w:hAnsi="Times New Roman" w:cs="Times New Roman"/>
        </w:rPr>
        <w:t>4) Publish one EIA commitments register on the primary ES volume between the predictable significant impacts and mitigation, indicators of monitoring, frequency, responsibility, reporting path and triggers of the adaptive management, eliminating the deferral risks of outline plans.</w:t>
      </w:r>
    </w:p>
    <w:p w14:paraId="160FA34C">
      <w:pPr>
        <w:pStyle w:val="3"/>
        <w:spacing w:line="360" w:lineRule="auto"/>
        <w:jc w:val="both"/>
      </w:pPr>
      <w:r>
        <w:rPr>
          <w:rFonts w:hint="eastAsia"/>
        </w:rPr>
        <w:t xml:space="preserve">6.3 </w:t>
      </w:r>
      <w:r>
        <w:t>For the developer/applicant</w:t>
      </w:r>
    </w:p>
    <w:p w14:paraId="3DAE0650">
      <w:pPr>
        <w:spacing w:line="360" w:lineRule="auto"/>
        <w:jc w:val="both"/>
        <w:rPr>
          <w:rFonts w:ascii="Times New Roman" w:hAnsi="Times New Roman" w:cs="Times New Roman"/>
        </w:rPr>
      </w:pPr>
      <w:r>
        <w:rPr>
          <w:rFonts w:ascii="Times New Roman" w:hAnsi="Times New Roman" w:cs="Times New Roman"/>
        </w:rPr>
        <w:t>5) Provide a consultation traceability report (“you said/we did”) providing connections between issues reported and responses/actions (design changes, mitigation commitments or monitoring commitments) to enhance legitimacy and risk of conflict (Glucker et al., 2013).</w:t>
      </w:r>
      <w:r>
        <w:rPr>
          <w:rFonts w:ascii="Times New Roman" w:hAnsi="Times New Roman" w:cs="Times New Roman"/>
        </w:rPr>
        <w:br w:type="textWrapping"/>
      </w:r>
      <w:r>
        <w:rPr>
          <w:rFonts w:ascii="Times New Roman" w:hAnsi="Times New Roman" w:cs="Times New Roman"/>
        </w:rPr>
        <w:t>6) Publicly report on monitoring in accordance with LEMP review cycle (Axis P.E.D. Ltd, 2023f), and provide definite triggers of adaptive management in the case of underperformance in monitoring.</w:t>
      </w:r>
    </w:p>
    <w:p w14:paraId="5834F790">
      <w:pPr>
        <w:pStyle w:val="2"/>
        <w:spacing w:line="360" w:lineRule="auto"/>
        <w:jc w:val="both"/>
        <w:rPr>
          <w:rFonts w:ascii="Times New Roman" w:hAnsi="Times New Roman" w:cs="Times New Roman"/>
        </w:rPr>
      </w:pPr>
      <w:r>
        <w:rPr>
          <w:rFonts w:ascii="Times New Roman" w:hAnsi="Times New Roman" w:cs="Times New Roman"/>
        </w:rPr>
        <w:t>7. Conclusion</w:t>
      </w:r>
    </w:p>
    <w:p w14:paraId="0E600806">
      <w:pPr>
        <w:spacing w:line="360" w:lineRule="auto"/>
        <w:jc w:val="both"/>
        <w:rPr>
          <w:rFonts w:ascii="Times New Roman" w:hAnsi="Times New Roman" w:cs="Times New Roman"/>
        </w:rPr>
      </w:pPr>
      <w:r>
        <w:rPr>
          <w:rFonts w:ascii="Times New Roman" w:hAnsi="Times New Roman" w:cs="Times New Roman"/>
        </w:rPr>
        <w:t>The paper has considered Craig y Perthi Solar farm EIA as a process and document structure as opposed to an assessment of whether or not the project should proceed. The ES shows strong base and mitigation planning on key scoped-in areas, such as substantial evidence of ecological survey and implementation instruments use (Axis P.E.D. Ltd, 2023f). These advantages suggest that current EIA may continue to provide fundamental operations of identification and mitigation planning of impact.</w:t>
      </w:r>
      <w:r>
        <w:rPr>
          <w:rFonts w:ascii="Times New Roman" w:hAnsi="Times New Roman" w:cs="Times New Roman"/>
        </w:rPr>
        <w:br w:type="textWrapping"/>
      </w:r>
      <w:r>
        <w:rPr>
          <w:rFonts w:ascii="Times New Roman" w:hAnsi="Times New Roman" w:cs="Times New Roman"/>
        </w:rPr>
        <w:t>Nevertheless, the case also demonstrates that the over-Missing of modern practice can take place in terms of the sustainability-focused purpose of EIA. The most crucial weakness is the alternatives discussion, which confines a circumstance of independent questioning about the availability of environmentally preferable feasible alternatives (Axis P.E.D. Ltd, 2023b). The participation has been shown to be procedurally and not keenly influential in the public ES story (Axis P.E.D. Ltd, 2023d; Andre et al., 2006; Glucker et al., 2013). Follow-up tools are available but should be stronger in case commitments were centralized and governing monitoring made transparent.</w:t>
      </w:r>
      <w:r>
        <w:rPr>
          <w:rFonts w:ascii="Times New Roman" w:hAnsi="Times New Roman" w:cs="Times New Roman"/>
        </w:rPr>
        <w:br w:type="textWrapping"/>
      </w:r>
      <w:r>
        <w:rPr>
          <w:rFonts w:ascii="Times New Roman" w:hAnsi="Times New Roman" w:cs="Times New Roman"/>
        </w:rPr>
        <w:t>In general, Craig y Perthi EIA can be described as procedurally competent, but not always decision-making. The presented recommendations would enhance transparency, legitimacy and learning, bringing the practice closer to the sustainability purpose, which guides EIA and Welsh sustainable development governance ( Welsh Government, 2015).</w:t>
      </w:r>
    </w:p>
    <w:p w14:paraId="75E38088">
      <w:pPr>
        <w:spacing w:line="360" w:lineRule="auto"/>
        <w:jc w:val="both"/>
        <w:rPr>
          <w:rFonts w:ascii="Times New Roman" w:hAnsi="Times New Roman" w:cs="Times New Roman"/>
          <w:b/>
          <w:bCs/>
        </w:rPr>
      </w:pPr>
    </w:p>
    <w:p w14:paraId="709EA5D9">
      <w:pPr>
        <w:spacing w:line="360" w:lineRule="auto"/>
        <w:jc w:val="both"/>
        <w:rPr>
          <w:rFonts w:ascii="Times New Roman" w:hAnsi="Times New Roman" w:cs="Times New Roman"/>
          <w:b/>
          <w:bCs/>
        </w:rPr>
      </w:pPr>
    </w:p>
    <w:p w14:paraId="5F3B1C8A">
      <w:pPr>
        <w:spacing w:line="360" w:lineRule="auto"/>
        <w:jc w:val="both"/>
        <w:rPr>
          <w:rFonts w:ascii="Times New Roman" w:hAnsi="Times New Roman" w:cs="Times New Roman"/>
          <w:b/>
          <w:bCs/>
        </w:rPr>
      </w:pPr>
    </w:p>
    <w:p w14:paraId="426190DF">
      <w:pPr>
        <w:spacing w:line="360" w:lineRule="auto"/>
        <w:jc w:val="both"/>
        <w:rPr>
          <w:rFonts w:ascii="Times New Roman" w:hAnsi="Times New Roman" w:cs="Times New Roman"/>
          <w:b/>
          <w:bCs/>
        </w:rPr>
      </w:pPr>
    </w:p>
    <w:p w14:paraId="3740DFC8">
      <w:pPr>
        <w:spacing w:line="360" w:lineRule="auto"/>
        <w:jc w:val="both"/>
        <w:rPr>
          <w:rFonts w:ascii="Times New Roman" w:hAnsi="Times New Roman" w:cs="Times New Roman"/>
          <w:b/>
          <w:bCs/>
        </w:rPr>
      </w:pPr>
    </w:p>
    <w:p w14:paraId="1FA7CF0D">
      <w:pPr>
        <w:spacing w:line="360" w:lineRule="auto"/>
        <w:jc w:val="both"/>
        <w:rPr>
          <w:rFonts w:ascii="Times New Roman" w:hAnsi="Times New Roman" w:cs="Times New Roman"/>
          <w:b/>
          <w:bCs/>
        </w:rPr>
      </w:pPr>
    </w:p>
    <w:p w14:paraId="138D0D72">
      <w:pPr>
        <w:spacing w:line="360" w:lineRule="auto"/>
        <w:jc w:val="both"/>
        <w:rPr>
          <w:rFonts w:ascii="Times New Roman" w:hAnsi="Times New Roman" w:cs="Times New Roman"/>
          <w:b/>
          <w:bCs/>
        </w:rPr>
      </w:pPr>
    </w:p>
    <w:p w14:paraId="1520979D">
      <w:pPr>
        <w:spacing w:line="360" w:lineRule="auto"/>
        <w:jc w:val="both"/>
        <w:rPr>
          <w:rFonts w:ascii="Times New Roman" w:hAnsi="Times New Roman" w:cs="Times New Roman"/>
          <w:b/>
          <w:bCs/>
        </w:rPr>
      </w:pPr>
      <w:r>
        <w:rPr>
          <w:rFonts w:ascii="Times New Roman" w:hAnsi="Times New Roman" w:cs="Times New Roman"/>
          <w:b/>
          <w:bCs/>
        </w:rPr>
        <w:t xml:space="preserve">Reference </w:t>
      </w:r>
    </w:p>
    <w:p w14:paraId="09BFB23E">
      <w:pPr>
        <w:spacing w:line="276" w:lineRule="auto"/>
        <w:ind w:left="720" w:hanging="720"/>
        <w:jc w:val="both"/>
        <w:rPr>
          <w:rFonts w:ascii="Times New Roman" w:hAnsi="Times New Roman" w:cs="Times New Roman"/>
        </w:rPr>
      </w:pPr>
      <w:r>
        <w:rPr>
          <w:rFonts w:ascii="Times New Roman" w:hAnsi="Times New Roman" w:cs="Times New Roman"/>
        </w:rPr>
        <w:t xml:space="preserve">André, P., Enserink, B., Conner, D. and Croal, P. (2006) </w:t>
      </w:r>
      <w:r>
        <w:rPr>
          <w:rFonts w:ascii="Times New Roman" w:hAnsi="Times New Roman" w:cs="Times New Roman"/>
          <w:i/>
          <w:iCs/>
        </w:rPr>
        <w:t>Public participation international best practice principles</w:t>
      </w:r>
      <w:r>
        <w:rPr>
          <w:rFonts w:ascii="Times New Roman" w:hAnsi="Times New Roman" w:cs="Times New Roman"/>
        </w:rPr>
        <w:t xml:space="preserve">. Fargo, ND: International Association for Impact Assessment (IAIA). Available at: </w:t>
      </w:r>
      <w:r>
        <w:fldChar w:fldCharType="begin"/>
      </w:r>
      <w:r>
        <w:instrText xml:space="preserve"> HYPERLINK "https://www.iaia.org/wp-content/uploads/2025/02/BEST-PRACTICE-Public-Participation.pdf" </w:instrText>
      </w:r>
      <w:r>
        <w:fldChar w:fldCharType="separate"/>
      </w:r>
      <w:r>
        <w:rPr>
          <w:rStyle w:val="20"/>
          <w:rFonts w:ascii="Times New Roman" w:hAnsi="Times New Roman" w:cs="Times New Roman"/>
        </w:rPr>
        <w:t>SP4 web.indd</w:t>
      </w:r>
      <w:r>
        <w:rPr>
          <w:rStyle w:val="20"/>
          <w:rFonts w:ascii="Times New Roman" w:hAnsi="Times New Roman" w:cs="Times New Roman"/>
        </w:rPr>
        <w:fldChar w:fldCharType="end"/>
      </w:r>
      <w:r>
        <w:rPr>
          <w:rFonts w:ascii="Times New Roman" w:hAnsi="Times New Roman" w:cs="Times New Roman"/>
        </w:rPr>
        <w:t xml:space="preserve"> (Accessed: 3 January 2026).</w:t>
      </w:r>
    </w:p>
    <w:p w14:paraId="52F0872D">
      <w:pPr>
        <w:spacing w:line="276" w:lineRule="auto"/>
        <w:ind w:left="720" w:hanging="720"/>
        <w:jc w:val="both"/>
        <w:rPr>
          <w:rFonts w:ascii="Times New Roman" w:hAnsi="Times New Roman" w:cs="Times New Roman"/>
        </w:rPr>
      </w:pPr>
      <w:r>
        <w:rPr>
          <w:rFonts w:ascii="Times New Roman" w:hAnsi="Times New Roman" w:cs="Times New Roman"/>
        </w:rPr>
        <w:t xml:space="preserve">Arnstein, S.R. (1969) ‘A ladder of citizen participation’, </w:t>
      </w:r>
      <w:r>
        <w:rPr>
          <w:rFonts w:ascii="Times New Roman" w:hAnsi="Times New Roman" w:cs="Times New Roman"/>
          <w:i/>
          <w:iCs/>
        </w:rPr>
        <w:t>Journal of the American Institute of Planners</w:t>
      </w:r>
      <w:r>
        <w:rPr>
          <w:rFonts w:ascii="Times New Roman" w:hAnsi="Times New Roman" w:cs="Times New Roman"/>
        </w:rPr>
        <w:t xml:space="preserve">, 35(4), pp. 216–224. Available at: </w:t>
      </w:r>
      <w:r>
        <w:fldChar w:fldCharType="begin"/>
      </w:r>
      <w:r>
        <w:instrText xml:space="preserve"> HYPERLINK "https://www.tandfonline.com/doi/abs/10.1080/01944366908977225" </w:instrText>
      </w:r>
      <w:r>
        <w:fldChar w:fldCharType="separate"/>
      </w:r>
      <w:r>
        <w:rPr>
          <w:rStyle w:val="20"/>
          <w:rFonts w:ascii="Times New Roman" w:hAnsi="Times New Roman" w:cs="Times New Roman"/>
        </w:rPr>
        <w:t>A Ladder Of Citizen Participation: Journal of the American Institute of Planners: Vol 35, No 4</w:t>
      </w:r>
      <w:r>
        <w:rPr>
          <w:rStyle w:val="20"/>
          <w:rFonts w:ascii="Times New Roman" w:hAnsi="Times New Roman" w:cs="Times New Roman"/>
        </w:rPr>
        <w:fldChar w:fldCharType="end"/>
      </w:r>
      <w:r>
        <w:rPr>
          <w:rFonts w:ascii="Times New Roman" w:hAnsi="Times New Roman" w:cs="Times New Roman"/>
        </w:rPr>
        <w:t xml:space="preserve"> (Accessed: 3 January 2026).</w:t>
      </w:r>
    </w:p>
    <w:p w14:paraId="37873A6B">
      <w:pPr>
        <w:spacing w:line="276" w:lineRule="auto"/>
        <w:ind w:left="720" w:hanging="720"/>
        <w:jc w:val="both"/>
        <w:rPr>
          <w:rFonts w:ascii="Times New Roman" w:hAnsi="Times New Roman" w:cs="Times New Roman"/>
        </w:rPr>
      </w:pPr>
      <w:r>
        <w:rPr>
          <w:rFonts w:ascii="Times New Roman" w:hAnsi="Times New Roman" w:cs="Times New Roman"/>
        </w:rPr>
        <w:t xml:space="preserve">Arts, J., Caldwell, P. and Morrison-Saunders, A. (2001) ‘Environmental impact assessment follow-up: good practice and future directions—findings from a workshop at the IAIA 2000 conference’, </w:t>
      </w:r>
      <w:r>
        <w:rPr>
          <w:rFonts w:ascii="Times New Roman" w:hAnsi="Times New Roman" w:cs="Times New Roman"/>
          <w:i/>
          <w:iCs/>
        </w:rPr>
        <w:t>Impact Assessment and Project Appraisal</w:t>
      </w:r>
      <w:r>
        <w:rPr>
          <w:rFonts w:ascii="Times New Roman" w:hAnsi="Times New Roman" w:cs="Times New Roman"/>
        </w:rPr>
        <w:t xml:space="preserve">, 19(3), pp. 175–185. Available at: </w:t>
      </w:r>
      <w:r>
        <w:fldChar w:fldCharType="begin"/>
      </w:r>
      <w:r>
        <w:instrText xml:space="preserve"> HYPERLINK "https://www.tandfonline.com/doi/abs/10.3152/147154601781767014" </w:instrText>
      </w:r>
      <w:r>
        <w:fldChar w:fldCharType="separate"/>
      </w:r>
      <w:r>
        <w:rPr>
          <w:rStyle w:val="20"/>
          <w:rFonts w:ascii="Times New Roman" w:hAnsi="Times New Roman" w:cs="Times New Roman"/>
        </w:rPr>
        <w:t>Environmental impact assessment follow-up: good practice and future directions — findings from a workshop at the IAIA 2000 conference: Impact Assessment and Project Appraisal: Vol 19, No 3</w:t>
      </w:r>
      <w:r>
        <w:rPr>
          <w:rStyle w:val="20"/>
          <w:rFonts w:ascii="Times New Roman" w:hAnsi="Times New Roman" w:cs="Times New Roman"/>
        </w:rPr>
        <w:fldChar w:fldCharType="end"/>
      </w:r>
      <w:r>
        <w:rPr>
          <w:rFonts w:hint="eastAsia" w:ascii="Times New Roman" w:hAnsi="Times New Roman" w:cs="Times New Roman"/>
        </w:rPr>
        <w:t xml:space="preserve"> </w:t>
      </w:r>
      <w:r>
        <w:rPr>
          <w:rFonts w:ascii="Times New Roman" w:hAnsi="Times New Roman" w:cs="Times New Roman"/>
        </w:rPr>
        <w:t>(Accessed: 3 January 2026).</w:t>
      </w:r>
    </w:p>
    <w:p w14:paraId="1A25BB42">
      <w:pPr>
        <w:spacing w:line="276" w:lineRule="auto"/>
        <w:ind w:left="720" w:hanging="720"/>
        <w:jc w:val="both"/>
        <w:rPr>
          <w:rFonts w:ascii="Times New Roman" w:hAnsi="Times New Roman" w:cs="Times New Roman"/>
        </w:rPr>
      </w:pPr>
      <w:r>
        <w:rPr>
          <w:rFonts w:ascii="Times New Roman" w:hAnsi="Times New Roman" w:cs="Times New Roman"/>
        </w:rPr>
        <w:t xml:space="preserve">Axis P.E.D. Ltd (2023b) </w:t>
      </w:r>
      <w:r>
        <w:rPr>
          <w:rFonts w:ascii="Times New Roman" w:hAnsi="Times New Roman" w:cs="Times New Roman"/>
          <w:i/>
          <w:iCs/>
        </w:rPr>
        <w:t>Craig y Perthi Solar Farm Environmental Statement: Chapter 03 – Alternatives</w:t>
      </w:r>
      <w:r>
        <w:rPr>
          <w:rFonts w:ascii="Times New Roman" w:hAnsi="Times New Roman" w:cs="Times New Roman"/>
        </w:rPr>
        <w:t xml:space="preserve">. Prepared for JBM Solar Projects 25 Limited, July 2023. Available at: </w:t>
      </w:r>
      <w:r>
        <w:fldChar w:fldCharType="begin"/>
      </w:r>
      <w:r>
        <w:instrText xml:space="preserve"> HYPERLINK "https://craigyperthisolarfarm.co.uk/wp-content/uploads/sites/10/2023/07/ES-Chapter-03-Alternatives.pdf" </w:instrText>
      </w:r>
      <w:r>
        <w:fldChar w:fldCharType="separate"/>
      </w:r>
      <w:r>
        <w:rPr>
          <w:rStyle w:val="20"/>
          <w:rFonts w:ascii="Times New Roman" w:hAnsi="Times New Roman" w:cs="Times New Roman"/>
        </w:rPr>
        <w:t>ES-Chapter-03-Alternatives.pdf</w:t>
      </w:r>
      <w:r>
        <w:rPr>
          <w:rStyle w:val="20"/>
          <w:rFonts w:ascii="Times New Roman" w:hAnsi="Times New Roman" w:cs="Times New Roman"/>
        </w:rPr>
        <w:fldChar w:fldCharType="end"/>
      </w:r>
      <w:r>
        <w:rPr>
          <w:rFonts w:ascii="Times New Roman" w:hAnsi="Times New Roman" w:cs="Times New Roman"/>
        </w:rPr>
        <w:t xml:space="preserve"> (Accessed: 3 January 2026).</w:t>
      </w:r>
    </w:p>
    <w:p w14:paraId="348D9870">
      <w:pPr>
        <w:spacing w:line="276" w:lineRule="auto"/>
        <w:ind w:left="720" w:hanging="720"/>
        <w:jc w:val="both"/>
        <w:rPr>
          <w:rFonts w:ascii="Times New Roman" w:hAnsi="Times New Roman" w:cs="Times New Roman"/>
        </w:rPr>
      </w:pPr>
      <w:r>
        <w:rPr>
          <w:rFonts w:ascii="Times New Roman" w:hAnsi="Times New Roman" w:cs="Times New Roman"/>
        </w:rPr>
        <w:t xml:space="preserve">Axis P.E.D. Ltd (2023c) </w:t>
      </w:r>
      <w:r>
        <w:rPr>
          <w:rFonts w:ascii="Times New Roman" w:hAnsi="Times New Roman" w:cs="Times New Roman"/>
          <w:i/>
          <w:iCs/>
        </w:rPr>
        <w:t>Craig y Perthi Solar Farm Environmental Statement: Chapter 10 – Summary of Effects and Mitigation</w:t>
      </w:r>
      <w:r>
        <w:rPr>
          <w:rFonts w:ascii="Times New Roman" w:hAnsi="Times New Roman" w:cs="Times New Roman"/>
        </w:rPr>
        <w:t xml:space="preserve">. Prepared for JBM Solar Projects 25 Limited, July 2023. Available at: </w:t>
      </w:r>
      <w:r>
        <w:fldChar w:fldCharType="begin"/>
      </w:r>
      <w:r>
        <w:instrText xml:space="preserve"> HYPERLINK "https://craigyperthisolarfarm.co.uk/wp-content/uploads/sites/10/2023/07/ES-Chapter-10-Summary-of-Effects-and-Mitgation.pdf" </w:instrText>
      </w:r>
      <w:r>
        <w:fldChar w:fldCharType="separate"/>
      </w:r>
      <w:r>
        <w:rPr>
          <w:rStyle w:val="20"/>
          <w:rFonts w:ascii="Times New Roman" w:hAnsi="Times New Roman" w:cs="Times New Roman"/>
        </w:rPr>
        <w:t>ES-Chapter-10-Summary-of-Effects-and-Mitgation.pdf</w:t>
      </w:r>
      <w:r>
        <w:rPr>
          <w:rStyle w:val="20"/>
          <w:rFonts w:ascii="Times New Roman" w:hAnsi="Times New Roman" w:cs="Times New Roman"/>
        </w:rPr>
        <w:fldChar w:fldCharType="end"/>
      </w:r>
      <w:r>
        <w:rPr>
          <w:rFonts w:ascii="Times New Roman" w:hAnsi="Times New Roman" w:cs="Times New Roman"/>
        </w:rPr>
        <w:t xml:space="preserve"> (Accessed: 3 January 2026).</w:t>
      </w:r>
    </w:p>
    <w:p w14:paraId="371DC2C6">
      <w:pPr>
        <w:spacing w:line="276" w:lineRule="auto"/>
        <w:ind w:left="720" w:hanging="720"/>
        <w:jc w:val="both"/>
        <w:rPr>
          <w:rFonts w:ascii="Times New Roman" w:hAnsi="Times New Roman" w:cs="Times New Roman"/>
        </w:rPr>
      </w:pPr>
      <w:r>
        <w:rPr>
          <w:rFonts w:ascii="Times New Roman" w:hAnsi="Times New Roman" w:cs="Times New Roman"/>
        </w:rPr>
        <w:t xml:space="preserve">Axis P.E.D. Ltd (2023d) </w:t>
      </w:r>
      <w:r>
        <w:rPr>
          <w:rFonts w:ascii="Times New Roman" w:hAnsi="Times New Roman" w:cs="Times New Roman"/>
          <w:i/>
          <w:iCs/>
        </w:rPr>
        <w:t>Craig y Perthi Solar Farm: Notices (1 of 3)</w:t>
      </w:r>
      <w:r>
        <w:rPr>
          <w:rFonts w:ascii="Times New Roman" w:hAnsi="Times New Roman" w:cs="Times New Roman"/>
        </w:rPr>
        <w:t xml:space="preserve"> (includes “Publicity and Consultation before Applying for Planning Permission – Notice under Articles 8 and 9(2)”, dated 17 July 2023). Available at: </w:t>
      </w:r>
      <w:r>
        <w:fldChar w:fldCharType="begin"/>
      </w:r>
      <w:r>
        <w:instrText xml:space="preserve"> HYPERLINK "https://craigyperthisolarfarm.co.uk/wp-content/uploads/sites/10/2023/07/Notices-1.pdf" </w:instrText>
      </w:r>
      <w:r>
        <w:fldChar w:fldCharType="separate"/>
      </w:r>
      <w:r>
        <w:rPr>
          <w:rStyle w:val="20"/>
          <w:rFonts w:ascii="Times New Roman" w:hAnsi="Times New Roman" w:cs="Times New Roman"/>
        </w:rPr>
        <w:t>Notices-1.pdf</w:t>
      </w:r>
      <w:r>
        <w:rPr>
          <w:rStyle w:val="20"/>
          <w:rFonts w:ascii="Times New Roman" w:hAnsi="Times New Roman" w:cs="Times New Roman"/>
        </w:rPr>
        <w:fldChar w:fldCharType="end"/>
      </w:r>
      <w:r>
        <w:rPr>
          <w:rFonts w:ascii="Times New Roman" w:hAnsi="Times New Roman" w:cs="Times New Roman"/>
        </w:rPr>
        <w:t xml:space="preserve"> (Accessed: 3 January 2026).</w:t>
      </w:r>
    </w:p>
    <w:p w14:paraId="0BC607B7">
      <w:pPr>
        <w:spacing w:line="276" w:lineRule="auto"/>
        <w:ind w:left="720" w:hanging="720"/>
        <w:jc w:val="both"/>
        <w:rPr>
          <w:rFonts w:ascii="Times New Roman" w:hAnsi="Times New Roman" w:cs="Times New Roman"/>
        </w:rPr>
      </w:pPr>
      <w:r>
        <w:rPr>
          <w:rFonts w:ascii="Times New Roman" w:hAnsi="Times New Roman" w:cs="Times New Roman"/>
        </w:rPr>
        <w:t xml:space="preserve">Axis P.E.D. Ltd (2023e) </w:t>
      </w:r>
      <w:r>
        <w:rPr>
          <w:rFonts w:ascii="Times New Roman" w:hAnsi="Times New Roman" w:cs="Times New Roman"/>
          <w:i/>
          <w:iCs/>
        </w:rPr>
        <w:t>Craig y Perthi Solar Farm Environmental Statement Appendix 4.1: Draft Outline Construction Environmental Management Plan (CEMP/OCEMP)</w:t>
      </w:r>
      <w:r>
        <w:rPr>
          <w:rFonts w:ascii="Times New Roman" w:hAnsi="Times New Roman" w:cs="Times New Roman"/>
        </w:rPr>
        <w:t xml:space="preserve">. Prepared for JBM Solar Projects 25 Limited, July 2023. Available at: </w:t>
      </w:r>
      <w:r>
        <w:fldChar w:fldCharType="begin"/>
      </w:r>
      <w:r>
        <w:instrText xml:space="preserve"> HYPERLINK "https://craigyperthisolarfarm.co.uk/wp-content/uploads/sites/10/2023/07/AP292F1-1.pdf" </w:instrText>
      </w:r>
      <w:r>
        <w:fldChar w:fldCharType="separate"/>
      </w:r>
      <w:r>
        <w:rPr>
          <w:rStyle w:val="20"/>
          <w:rFonts w:ascii="Times New Roman" w:hAnsi="Times New Roman" w:cs="Times New Roman"/>
        </w:rPr>
        <w:t>AP292F1-1.pdf</w:t>
      </w:r>
      <w:r>
        <w:rPr>
          <w:rStyle w:val="20"/>
          <w:rFonts w:ascii="Times New Roman" w:hAnsi="Times New Roman" w:cs="Times New Roman"/>
        </w:rPr>
        <w:fldChar w:fldCharType="end"/>
      </w:r>
      <w:r>
        <w:rPr>
          <w:rFonts w:ascii="Times New Roman" w:hAnsi="Times New Roman" w:cs="Times New Roman"/>
        </w:rPr>
        <w:t xml:space="preserve"> (Accessed: 3 January 2026).</w:t>
      </w:r>
    </w:p>
    <w:p w14:paraId="4722AC88">
      <w:pPr>
        <w:spacing w:line="276" w:lineRule="auto"/>
        <w:ind w:left="720" w:hanging="720"/>
        <w:jc w:val="both"/>
        <w:rPr>
          <w:rFonts w:ascii="Times New Roman" w:hAnsi="Times New Roman" w:cs="Times New Roman"/>
        </w:rPr>
      </w:pPr>
      <w:r>
        <w:rPr>
          <w:rFonts w:ascii="Times New Roman" w:hAnsi="Times New Roman" w:cs="Times New Roman"/>
        </w:rPr>
        <w:t xml:space="preserve">Axis P.E.D. Ltd (2023f) </w:t>
      </w:r>
      <w:r>
        <w:rPr>
          <w:rFonts w:ascii="Times New Roman" w:hAnsi="Times New Roman" w:cs="Times New Roman"/>
          <w:i/>
          <w:iCs/>
        </w:rPr>
        <w:t>Craig y Perthi Solar Farm Environmental Statement Appendix 4.3: Draft Landscape and Environmental Management Plan (LEMP)</w:t>
      </w:r>
      <w:r>
        <w:rPr>
          <w:rFonts w:ascii="Times New Roman" w:hAnsi="Times New Roman" w:cs="Times New Roman"/>
        </w:rPr>
        <w:t xml:space="preserve">. Prepared for JBM Solar Projects 25 Limited, July 2023. Available at: </w:t>
      </w:r>
      <w:r>
        <w:fldChar w:fldCharType="begin"/>
      </w:r>
      <w:r>
        <w:instrText xml:space="preserve"> HYPERLINK "https://craigyperthisolarfarm.co.uk/wp-content/uploads/sites/10/2023/07/Appendix-4.3-Draft-LEMP.pdf" </w:instrText>
      </w:r>
      <w:r>
        <w:fldChar w:fldCharType="separate"/>
      </w:r>
      <w:r>
        <w:rPr>
          <w:rStyle w:val="20"/>
          <w:rFonts w:ascii="Times New Roman" w:hAnsi="Times New Roman" w:cs="Times New Roman"/>
        </w:rPr>
        <w:t>Appendix-4.3-Draft-LEMP.pdf</w:t>
      </w:r>
      <w:r>
        <w:rPr>
          <w:rStyle w:val="20"/>
          <w:rFonts w:ascii="Times New Roman" w:hAnsi="Times New Roman" w:cs="Times New Roman"/>
        </w:rPr>
        <w:fldChar w:fldCharType="end"/>
      </w:r>
      <w:r>
        <w:rPr>
          <w:rFonts w:ascii="Times New Roman" w:hAnsi="Times New Roman" w:cs="Times New Roman"/>
        </w:rPr>
        <w:t xml:space="preserve"> (Accessed: 3 January 2026).</w:t>
      </w:r>
    </w:p>
    <w:p w14:paraId="1841A7F6">
      <w:pPr>
        <w:spacing w:line="276" w:lineRule="auto"/>
        <w:ind w:left="720" w:hanging="720"/>
        <w:jc w:val="both"/>
        <w:rPr>
          <w:rFonts w:ascii="Times New Roman" w:hAnsi="Times New Roman" w:cs="Times New Roman"/>
        </w:rPr>
      </w:pPr>
      <w:r>
        <w:rPr>
          <w:rFonts w:ascii="Times New Roman" w:hAnsi="Times New Roman" w:cs="Times New Roman"/>
        </w:rPr>
        <w:t xml:space="preserve">Axis P.E.D. Ltd (2023g) </w:t>
      </w:r>
      <w:r>
        <w:rPr>
          <w:rFonts w:ascii="Times New Roman" w:hAnsi="Times New Roman" w:cs="Times New Roman"/>
          <w:i/>
          <w:iCs/>
        </w:rPr>
        <w:t>Craig y Perthi Solar Farm Environmental Impact Assessment – Non-Technical Summary</w:t>
      </w:r>
      <w:r>
        <w:rPr>
          <w:rFonts w:ascii="Times New Roman" w:hAnsi="Times New Roman" w:cs="Times New Roman"/>
        </w:rPr>
        <w:t xml:space="preserve">. Prepared for JBM Solar Projects 25 Limited, July 2023. Available at: </w:t>
      </w:r>
      <w:r>
        <w:fldChar w:fldCharType="begin"/>
      </w:r>
      <w:r>
        <w:instrText xml:space="preserve"> HYPERLINK "https://craigyperthisolarfarm.co.uk/wp-content/uploads/sites/10/2023/07/Craig-Y-Perthi-ES-Non-Technical-Summary.pdf" </w:instrText>
      </w:r>
      <w:r>
        <w:fldChar w:fldCharType="separate"/>
      </w:r>
      <w:r>
        <w:rPr>
          <w:rStyle w:val="20"/>
          <w:rFonts w:ascii="Times New Roman" w:hAnsi="Times New Roman" w:cs="Times New Roman"/>
        </w:rPr>
        <w:t>A3 Figure (Landscape)</w:t>
      </w:r>
      <w:r>
        <w:rPr>
          <w:rStyle w:val="20"/>
          <w:rFonts w:ascii="Times New Roman" w:hAnsi="Times New Roman" w:cs="Times New Roman"/>
        </w:rPr>
        <w:fldChar w:fldCharType="end"/>
      </w:r>
      <w:r>
        <w:rPr>
          <w:rFonts w:ascii="Times New Roman" w:hAnsi="Times New Roman" w:cs="Times New Roman"/>
        </w:rPr>
        <w:t xml:space="preserve"> (Accessed: 3 January 2026).</w:t>
      </w:r>
    </w:p>
    <w:p w14:paraId="77FB2928">
      <w:pPr>
        <w:spacing w:line="276" w:lineRule="auto"/>
        <w:ind w:left="720" w:hanging="720"/>
        <w:jc w:val="both"/>
        <w:rPr>
          <w:rFonts w:ascii="Times New Roman" w:hAnsi="Times New Roman" w:cs="Times New Roman"/>
        </w:rPr>
      </w:pPr>
      <w:r>
        <w:rPr>
          <w:rFonts w:ascii="Times New Roman" w:hAnsi="Times New Roman" w:cs="Times New Roman"/>
        </w:rPr>
        <w:t xml:space="preserve">Cashmore, M. (2004) ‘The role of science in environmental impact assessment: process and procedure versus purpose in the development of theory’, </w:t>
      </w:r>
      <w:r>
        <w:rPr>
          <w:rFonts w:ascii="Times New Roman" w:hAnsi="Times New Roman" w:cs="Times New Roman"/>
          <w:i/>
          <w:iCs/>
        </w:rPr>
        <w:t>Environmental Impact Assessment Review</w:t>
      </w:r>
      <w:r>
        <w:rPr>
          <w:rFonts w:ascii="Times New Roman" w:hAnsi="Times New Roman" w:cs="Times New Roman"/>
        </w:rPr>
        <w:t xml:space="preserve">, 24(4), pp. 403–426. Available at: </w:t>
      </w:r>
      <w:r>
        <w:fldChar w:fldCharType="begin"/>
      </w:r>
      <w:r>
        <w:instrText xml:space="preserve"> HYPERLINK "https://www.sciencedirect.com/science/article/abs/pii/S0195925503002075?via%3Dihub" </w:instrText>
      </w:r>
      <w:r>
        <w:fldChar w:fldCharType="separate"/>
      </w:r>
      <w:r>
        <w:rPr>
          <w:rStyle w:val="20"/>
          <w:rFonts w:ascii="Times New Roman" w:hAnsi="Times New Roman" w:cs="Times New Roman"/>
        </w:rPr>
        <w:t>The role of science in environmental impact assessment: process and procedure versus purpose in the development of theory - ScienceDirect</w:t>
      </w:r>
      <w:r>
        <w:rPr>
          <w:rStyle w:val="20"/>
          <w:rFonts w:ascii="Times New Roman" w:hAnsi="Times New Roman" w:cs="Times New Roman"/>
        </w:rPr>
        <w:fldChar w:fldCharType="end"/>
      </w:r>
      <w:r>
        <w:rPr>
          <w:rFonts w:ascii="Times New Roman" w:hAnsi="Times New Roman" w:cs="Times New Roman"/>
        </w:rPr>
        <w:t xml:space="preserve"> (Accessed: 3 January 2026).</w:t>
      </w:r>
    </w:p>
    <w:p w14:paraId="29D557F1">
      <w:pPr>
        <w:spacing w:line="276" w:lineRule="auto"/>
        <w:ind w:left="720" w:hanging="720"/>
        <w:jc w:val="both"/>
        <w:rPr>
          <w:rFonts w:ascii="Times New Roman" w:hAnsi="Times New Roman" w:cs="Times New Roman"/>
        </w:rPr>
      </w:pPr>
      <w:r>
        <w:rPr>
          <w:rFonts w:ascii="Times New Roman" w:hAnsi="Times New Roman" w:cs="Times New Roman"/>
        </w:rPr>
        <w:t xml:space="preserve">Caro-González, A.L., Niță, A., Toro, J. and Zamorano, M. (2023) ‘From procedural to transformative: A review of the evolution of effectiveness in EIA’, </w:t>
      </w:r>
      <w:r>
        <w:rPr>
          <w:rFonts w:ascii="Times New Roman" w:hAnsi="Times New Roman" w:cs="Times New Roman"/>
          <w:i/>
          <w:iCs/>
        </w:rPr>
        <w:t>Environmental Impact Assessment Review</w:t>
      </w:r>
      <w:r>
        <w:rPr>
          <w:rFonts w:ascii="Times New Roman" w:hAnsi="Times New Roman" w:cs="Times New Roman"/>
        </w:rPr>
        <w:t>, 103, 107256. Available at: https://doi.org/10.1016/j.eiar.2023.107256</w:t>
      </w:r>
      <w:r>
        <w:rPr>
          <w:rFonts w:hint="eastAsia"/>
        </w:rPr>
        <w:t xml:space="preserve"> </w:t>
      </w:r>
      <w:r>
        <w:fldChar w:fldCharType="begin"/>
      </w:r>
      <w:r>
        <w:instrText xml:space="preserve"> HYPERLINK "https://www.sciencedirect.com/science/article/pii/S0195925523002226?via%3Dihub&amp;__cf_chl_tk=dRwjAH_uunFi1CWNEqZ_qnBR7sHx4B1rIiQKv.Zuyx8-1767427011-1.0.1.1-gsXoHLr70n1H19iPH4Vj0lBATvO_w1EHBoAlBEWbGPE" </w:instrText>
      </w:r>
      <w:r>
        <w:fldChar w:fldCharType="separate"/>
      </w:r>
      <w:r>
        <w:rPr>
          <w:rStyle w:val="20"/>
          <w:rFonts w:ascii="Times New Roman" w:hAnsi="Times New Roman" w:cs="Times New Roman"/>
        </w:rPr>
        <w:t>From procedural to transformative: A review of the evolution of effectiveness in EIA - ScienceDirect</w:t>
      </w:r>
      <w:r>
        <w:rPr>
          <w:rStyle w:val="20"/>
          <w:rFonts w:ascii="Times New Roman" w:hAnsi="Times New Roman" w:cs="Times New Roman"/>
        </w:rPr>
        <w:fldChar w:fldCharType="end"/>
      </w:r>
      <w:r>
        <w:rPr>
          <w:rFonts w:ascii="Times New Roman" w:hAnsi="Times New Roman" w:cs="Times New Roman"/>
        </w:rPr>
        <w:t xml:space="preserve"> (Accessed: 3 January 2026).</w:t>
      </w:r>
    </w:p>
    <w:p w14:paraId="1CC62563">
      <w:pPr>
        <w:spacing w:line="276" w:lineRule="auto"/>
        <w:ind w:left="720" w:hanging="720"/>
        <w:jc w:val="both"/>
        <w:rPr>
          <w:rFonts w:ascii="Times New Roman" w:hAnsi="Times New Roman" w:cs="Times New Roman"/>
        </w:rPr>
      </w:pPr>
      <w:r>
        <w:rPr>
          <w:rFonts w:ascii="Times New Roman" w:hAnsi="Times New Roman" w:cs="Times New Roman"/>
        </w:rPr>
        <w:t xml:space="preserve">European Parliament and Council (2014) </w:t>
      </w:r>
      <w:r>
        <w:rPr>
          <w:rFonts w:ascii="Times New Roman" w:hAnsi="Times New Roman" w:cs="Times New Roman"/>
          <w:i/>
          <w:iCs/>
        </w:rPr>
        <w:t>Directive 2014/52/EU of the European Parliament and of the Council of 16 April 2014 amending Directive 2011/92/EU on the assessment of the effects of certain public and private projects on the environment</w:t>
      </w:r>
      <w:r>
        <w:rPr>
          <w:rFonts w:ascii="Times New Roman" w:hAnsi="Times New Roman" w:cs="Times New Roman"/>
        </w:rPr>
        <w:t xml:space="preserve">. </w:t>
      </w:r>
      <w:r>
        <w:rPr>
          <w:rFonts w:ascii="Times New Roman" w:hAnsi="Times New Roman" w:cs="Times New Roman"/>
          <w:i/>
          <w:iCs/>
        </w:rPr>
        <w:t>Official Journal of the European Union</w:t>
      </w:r>
      <w:r>
        <w:rPr>
          <w:rFonts w:ascii="Times New Roman" w:hAnsi="Times New Roman" w:cs="Times New Roman"/>
        </w:rPr>
        <w:t>, L124, pp. 1–18.</w:t>
      </w:r>
      <w:r>
        <w:t xml:space="preserve"> </w:t>
      </w:r>
      <w:r>
        <w:rPr>
          <w:rFonts w:ascii="Times New Roman" w:hAnsi="Times New Roman" w:cs="Times New Roman"/>
        </w:rPr>
        <w:t>Available at:</w:t>
      </w:r>
      <w:r>
        <w:rPr>
          <w:rFonts w:hint="eastAsia"/>
        </w:rPr>
        <w:t xml:space="preserve"> </w:t>
      </w:r>
      <w:r>
        <w:fldChar w:fldCharType="begin"/>
      </w:r>
      <w:r>
        <w:instrText xml:space="preserve"> HYPERLINK "https://eur-lex.europa.eu/eli/dir/2014/52/oj/eng" </w:instrText>
      </w:r>
      <w:r>
        <w:fldChar w:fldCharType="separate"/>
      </w:r>
      <w:r>
        <w:rPr>
          <w:rStyle w:val="20"/>
          <w:rFonts w:ascii="Times New Roman" w:hAnsi="Times New Roman" w:cs="Times New Roman"/>
        </w:rPr>
        <w:t>Directive - 2014/52 - EN - EIA - EUR-Lex</w:t>
      </w:r>
      <w:r>
        <w:rPr>
          <w:rStyle w:val="20"/>
          <w:rFonts w:ascii="Times New Roman" w:hAnsi="Times New Roman" w:cs="Times New Roman"/>
        </w:rPr>
        <w:fldChar w:fldCharType="end"/>
      </w:r>
      <w:r>
        <w:rPr>
          <w:rFonts w:ascii="Times New Roman" w:hAnsi="Times New Roman" w:cs="Times New Roman"/>
        </w:rPr>
        <w:t xml:space="preserve"> (Accessed: 3 January 2026).</w:t>
      </w:r>
    </w:p>
    <w:p w14:paraId="3E2EA6C9">
      <w:pPr>
        <w:spacing w:line="276" w:lineRule="auto"/>
        <w:ind w:left="720" w:hanging="720"/>
        <w:jc w:val="both"/>
        <w:rPr>
          <w:rFonts w:ascii="Times New Roman" w:hAnsi="Times New Roman" w:cs="Times New Roman"/>
        </w:rPr>
      </w:pPr>
      <w:r>
        <w:rPr>
          <w:rFonts w:ascii="Times New Roman" w:hAnsi="Times New Roman" w:cs="Times New Roman"/>
        </w:rPr>
        <w:t xml:space="preserve">Glasson, J., Therivel, R. and Chadwick, A. (2012) </w:t>
      </w:r>
      <w:r>
        <w:rPr>
          <w:rFonts w:ascii="Times New Roman" w:hAnsi="Times New Roman" w:cs="Times New Roman"/>
          <w:i/>
          <w:iCs/>
        </w:rPr>
        <w:t>Introduction to Environmental Impact Assessment</w:t>
      </w:r>
      <w:r>
        <w:rPr>
          <w:rFonts w:ascii="Times New Roman" w:hAnsi="Times New Roman" w:cs="Times New Roman"/>
        </w:rPr>
        <w:t>. 4th edn. Abingdon: Routledge.</w:t>
      </w:r>
      <w:r>
        <w:t xml:space="preserve"> </w:t>
      </w:r>
      <w:r>
        <w:rPr>
          <w:rFonts w:ascii="Times New Roman" w:hAnsi="Times New Roman" w:cs="Times New Roman"/>
        </w:rPr>
        <w:t xml:space="preserve">Available at: </w:t>
      </w:r>
      <w:r>
        <w:fldChar w:fldCharType="begin"/>
      </w:r>
      <w:r>
        <w:instrText xml:space="preserve"> HYPERLINK "https://www.taylorfrancis.com/books/mono/10.4324/9781315881218/introduction-environmental-impact-assessment-john-glasson-riki-therivel" </w:instrText>
      </w:r>
      <w:r>
        <w:fldChar w:fldCharType="separate"/>
      </w:r>
      <w:r>
        <w:rPr>
          <w:rStyle w:val="20"/>
          <w:rFonts w:ascii="Times New Roman" w:hAnsi="Times New Roman" w:cs="Times New Roman"/>
        </w:rPr>
        <w:t>Introduction To Environmental Impact Assessment | John Glasson, Riki T</w:t>
      </w:r>
      <w:r>
        <w:rPr>
          <w:rStyle w:val="20"/>
          <w:rFonts w:ascii="Times New Roman" w:hAnsi="Times New Roman" w:cs="Times New Roman"/>
        </w:rPr>
        <w:fldChar w:fldCharType="end"/>
      </w:r>
      <w:r>
        <w:rPr>
          <w:rFonts w:ascii="Times New Roman" w:hAnsi="Times New Roman" w:cs="Times New Roman"/>
        </w:rPr>
        <w:t xml:space="preserve"> (Accessed: 3 January 2026).</w:t>
      </w:r>
    </w:p>
    <w:p w14:paraId="789B8EA4">
      <w:pPr>
        <w:spacing w:line="276" w:lineRule="auto"/>
        <w:ind w:left="720" w:hanging="720"/>
        <w:jc w:val="both"/>
        <w:rPr>
          <w:rFonts w:ascii="Times New Roman" w:hAnsi="Times New Roman" w:cs="Times New Roman"/>
        </w:rPr>
      </w:pPr>
      <w:r>
        <w:rPr>
          <w:rFonts w:ascii="Times New Roman" w:hAnsi="Times New Roman" w:cs="Times New Roman"/>
        </w:rPr>
        <w:t xml:space="preserve">Glucker, A.N., Driessen, P.P.J., Kolhoff, A. and Runhaar, H.A.C. (2013) ‘Public participation in environmental impact assessment: why, who and how?’, </w:t>
      </w:r>
      <w:r>
        <w:rPr>
          <w:rFonts w:ascii="Times New Roman" w:hAnsi="Times New Roman" w:cs="Times New Roman"/>
          <w:i/>
          <w:iCs/>
        </w:rPr>
        <w:t>Environmental Impact Assessment Review</w:t>
      </w:r>
      <w:r>
        <w:rPr>
          <w:rFonts w:ascii="Times New Roman" w:hAnsi="Times New Roman" w:cs="Times New Roman"/>
        </w:rPr>
        <w:t xml:space="preserve">, 43, pp. 104–111. Available at: https://doi.org/10.1016/j.eiar.2013.06.003 </w:t>
      </w:r>
      <w:r>
        <w:fldChar w:fldCharType="begin"/>
      </w:r>
      <w:r>
        <w:instrText xml:space="preserve"> HYPERLINK "https://www.sciencedirect.com/science/article/abs/pii/S0195925513000711?via%3Dihub" </w:instrText>
      </w:r>
      <w:r>
        <w:fldChar w:fldCharType="separate"/>
      </w:r>
      <w:r>
        <w:rPr>
          <w:rStyle w:val="20"/>
          <w:rFonts w:ascii="Times New Roman" w:hAnsi="Times New Roman" w:cs="Times New Roman"/>
        </w:rPr>
        <w:t>Public participation in environmental impact assessment: why, who and how? - ScienceDirect</w:t>
      </w:r>
      <w:r>
        <w:rPr>
          <w:rStyle w:val="20"/>
          <w:rFonts w:ascii="Times New Roman" w:hAnsi="Times New Roman" w:cs="Times New Roman"/>
        </w:rPr>
        <w:fldChar w:fldCharType="end"/>
      </w:r>
      <w:r>
        <w:rPr>
          <w:rFonts w:ascii="Times New Roman" w:hAnsi="Times New Roman" w:cs="Times New Roman"/>
        </w:rPr>
        <w:t xml:space="preserve"> (Accessed: 3 January 2026).</w:t>
      </w:r>
    </w:p>
    <w:p w14:paraId="576E4B26">
      <w:pPr>
        <w:spacing w:line="276" w:lineRule="auto"/>
        <w:ind w:left="720" w:hanging="720"/>
        <w:jc w:val="both"/>
        <w:rPr>
          <w:rFonts w:ascii="Times New Roman" w:hAnsi="Times New Roman" w:cs="Times New Roman"/>
        </w:rPr>
      </w:pPr>
      <w:r>
        <w:rPr>
          <w:rFonts w:ascii="Times New Roman" w:hAnsi="Times New Roman" w:cs="Times New Roman"/>
        </w:rPr>
        <w:t xml:space="preserve">Jay, S., Jones, C., Slinn, P. and Wood, C. (2007) ‘Environmental impact assessment: retrospect and prospect’, </w:t>
      </w:r>
      <w:r>
        <w:rPr>
          <w:rFonts w:ascii="Times New Roman" w:hAnsi="Times New Roman" w:cs="Times New Roman"/>
          <w:i/>
          <w:iCs/>
        </w:rPr>
        <w:t>Environmental Impact Assessment Review</w:t>
      </w:r>
      <w:r>
        <w:rPr>
          <w:rFonts w:ascii="Times New Roman" w:hAnsi="Times New Roman" w:cs="Times New Roman"/>
        </w:rPr>
        <w:t xml:space="preserve">, 27(4), pp. 287–300. Available at: </w:t>
      </w:r>
      <w:r>
        <w:rPr>
          <w:rFonts w:hint="eastAsia" w:ascii="Times New Roman" w:hAnsi="Times New Roman" w:cs="Times New Roman"/>
        </w:rPr>
        <w:t xml:space="preserve"> </w:t>
      </w:r>
      <w:r>
        <w:fldChar w:fldCharType="begin"/>
      </w:r>
      <w:r>
        <w:instrText xml:space="preserve"> HYPERLINK "https://www.sciencedirect.com/science/article/abs/pii/S0195925506001338?via%3Dihub" </w:instrText>
      </w:r>
      <w:r>
        <w:fldChar w:fldCharType="separate"/>
      </w:r>
      <w:r>
        <w:rPr>
          <w:rStyle w:val="20"/>
          <w:rFonts w:ascii="Times New Roman" w:hAnsi="Times New Roman" w:cs="Times New Roman"/>
        </w:rPr>
        <w:t>Environmental impact assessment: Retrospect and prospect</w:t>
      </w:r>
      <w:r>
        <w:rPr>
          <w:rStyle w:val="20"/>
          <w:rFonts w:ascii="Times New Roman" w:hAnsi="Times New Roman" w:cs="Times New Roman"/>
        </w:rPr>
        <w:fldChar w:fldCharType="end"/>
      </w:r>
      <w:r>
        <w:rPr>
          <w:rFonts w:ascii="Times New Roman" w:hAnsi="Times New Roman" w:cs="Times New Roman"/>
        </w:rPr>
        <w:t xml:space="preserve"> (Accessed: 3 January 2026).</w:t>
      </w:r>
    </w:p>
    <w:p w14:paraId="02BC1E78">
      <w:pPr>
        <w:spacing w:line="276" w:lineRule="auto"/>
        <w:ind w:left="720" w:hanging="720"/>
        <w:jc w:val="both"/>
        <w:rPr>
          <w:rFonts w:ascii="Times New Roman" w:hAnsi="Times New Roman" w:cs="Times New Roman"/>
        </w:rPr>
      </w:pPr>
      <w:r>
        <w:rPr>
          <w:rFonts w:ascii="Times New Roman" w:hAnsi="Times New Roman" w:cs="Times New Roman"/>
        </w:rPr>
        <w:t xml:space="preserve">Lee, N. and Colley, R. (1992) </w:t>
      </w:r>
      <w:r>
        <w:rPr>
          <w:rFonts w:ascii="Times New Roman" w:hAnsi="Times New Roman" w:cs="Times New Roman"/>
          <w:i/>
          <w:iCs/>
        </w:rPr>
        <w:t>Reviewing the quality of environmental statements</w:t>
      </w:r>
      <w:r>
        <w:rPr>
          <w:rFonts w:ascii="Times New Roman" w:hAnsi="Times New Roman" w:cs="Times New Roman"/>
        </w:rPr>
        <w:t xml:space="preserve">. Occasional Paper No. 24 (2nd edn). Manchester: EIA Centre, Department of Planning and Landscape, University of Manchester. Available at: </w:t>
      </w:r>
      <w:r>
        <w:fldChar w:fldCharType="begin"/>
      </w:r>
      <w:r>
        <w:instrText xml:space="preserve"> HYPERLINK "https://www.researchgate.net/profile/Raymond-Colley/publication/279740485_Reviewing_the_quality_of_environmental_statements_review_methods_and_findings/links/5a7dbc21aca272341af0c209/Reviewing-the-quality-of-environmental-statements-review-methods-and-findings.pdf" </w:instrText>
      </w:r>
      <w:r>
        <w:fldChar w:fldCharType="separate"/>
      </w:r>
      <w:r>
        <w:rPr>
          <w:rStyle w:val="20"/>
          <w:rFonts w:ascii="Times New Roman" w:hAnsi="Times New Roman" w:cs="Times New Roman"/>
        </w:rPr>
        <w:t>Reviewing-the-quality-of-environmental-statements-review-methods-and-findings.pdf</w:t>
      </w:r>
      <w:r>
        <w:rPr>
          <w:rStyle w:val="20"/>
          <w:rFonts w:ascii="Times New Roman" w:hAnsi="Times New Roman" w:cs="Times New Roman"/>
        </w:rPr>
        <w:fldChar w:fldCharType="end"/>
      </w:r>
      <w:r>
        <w:rPr>
          <w:rFonts w:ascii="Times New Roman" w:hAnsi="Times New Roman" w:cs="Times New Roman"/>
        </w:rPr>
        <w:t xml:space="preserve"> (Accessed: 3 January 2026).</w:t>
      </w:r>
    </w:p>
    <w:p w14:paraId="48AD0358">
      <w:pPr>
        <w:spacing w:line="276" w:lineRule="auto"/>
        <w:ind w:left="720" w:hanging="720"/>
        <w:jc w:val="both"/>
        <w:rPr>
          <w:rFonts w:ascii="Times New Roman" w:hAnsi="Times New Roman" w:cs="Times New Roman"/>
        </w:rPr>
      </w:pPr>
      <w:r>
        <w:rPr>
          <w:rFonts w:ascii="Times New Roman" w:hAnsi="Times New Roman" w:cs="Times New Roman"/>
        </w:rPr>
        <w:t xml:space="preserve">Marshall, R., Arts, J. and Morrison-Saunders, A. (2005) ‘International principles for best practice EIA follow-up’, </w:t>
      </w:r>
      <w:r>
        <w:rPr>
          <w:rFonts w:ascii="Times New Roman" w:hAnsi="Times New Roman" w:cs="Times New Roman"/>
          <w:i/>
          <w:iCs/>
        </w:rPr>
        <w:t>Impact Assessment and Project Appraisal</w:t>
      </w:r>
      <w:r>
        <w:rPr>
          <w:rFonts w:ascii="Times New Roman" w:hAnsi="Times New Roman" w:cs="Times New Roman"/>
        </w:rPr>
        <w:t xml:space="preserve">, 23(3), pp. 175–181. Available at: </w:t>
      </w:r>
      <w:r>
        <w:fldChar w:fldCharType="begin"/>
      </w:r>
      <w:r>
        <w:instrText xml:space="preserve"> HYPERLINK "https://www.tandfonline.com/doi/abs/10.3152/147154605781765490" </w:instrText>
      </w:r>
      <w:r>
        <w:fldChar w:fldCharType="separate"/>
      </w:r>
      <w:r>
        <w:rPr>
          <w:rStyle w:val="20"/>
          <w:rFonts w:ascii="Times New Roman" w:hAnsi="Times New Roman" w:cs="Times New Roman"/>
        </w:rPr>
        <w:t>International principles for best practice EIA follow-up: Impact Assessment and Project Appraisal: Vol 23, No 3</w:t>
      </w:r>
      <w:r>
        <w:rPr>
          <w:rStyle w:val="20"/>
          <w:rFonts w:ascii="Times New Roman" w:hAnsi="Times New Roman" w:cs="Times New Roman"/>
        </w:rPr>
        <w:fldChar w:fldCharType="end"/>
      </w:r>
      <w:r>
        <w:rPr>
          <w:rFonts w:ascii="Times New Roman" w:hAnsi="Times New Roman" w:cs="Times New Roman"/>
        </w:rPr>
        <w:t xml:space="preserve"> (Accessed: 3 January 2026).</w:t>
      </w:r>
    </w:p>
    <w:p w14:paraId="593D46AC">
      <w:pPr>
        <w:spacing w:line="276" w:lineRule="auto"/>
        <w:ind w:left="720" w:hanging="720"/>
        <w:jc w:val="both"/>
        <w:rPr>
          <w:rFonts w:ascii="Times New Roman" w:hAnsi="Times New Roman" w:cs="Times New Roman"/>
        </w:rPr>
      </w:pPr>
      <w:r>
        <w:rPr>
          <w:rFonts w:ascii="Times New Roman" w:hAnsi="Times New Roman" w:cs="Times New Roman"/>
        </w:rPr>
        <w:t xml:space="preserve">Morgan, R.K. (2012) ‘Environmental impact assessment: the state of the art’, </w:t>
      </w:r>
      <w:r>
        <w:rPr>
          <w:rFonts w:ascii="Times New Roman" w:hAnsi="Times New Roman" w:cs="Times New Roman"/>
          <w:i/>
          <w:iCs/>
        </w:rPr>
        <w:t>Impact Assessment and Project Appraisal</w:t>
      </w:r>
      <w:r>
        <w:rPr>
          <w:rFonts w:ascii="Times New Roman" w:hAnsi="Times New Roman" w:cs="Times New Roman"/>
        </w:rPr>
        <w:t xml:space="preserve">, 30(1), pp. 5–14. Available at: </w:t>
      </w:r>
      <w:r>
        <w:fldChar w:fldCharType="begin"/>
      </w:r>
      <w:r>
        <w:instrText xml:space="preserve"> HYPERLINK "https://www.tandfonline.com/doi/full/10.1080/14615517.2012.661557" </w:instrText>
      </w:r>
      <w:r>
        <w:fldChar w:fldCharType="separate"/>
      </w:r>
      <w:r>
        <w:rPr>
          <w:rFonts w:hint="eastAsia" w:ascii="Times New Roman" w:hAnsi="Times New Roman" w:cs="Times New Roman"/>
        </w:rPr>
        <w:t xml:space="preserve"> </w:t>
      </w:r>
      <w:r>
        <w:rPr>
          <w:rStyle w:val="20"/>
          <w:rFonts w:ascii="Times New Roman" w:hAnsi="Times New Roman" w:cs="Times New Roman"/>
        </w:rPr>
        <w:t>Environmental impact assessment: the state of the art</w:t>
      </w:r>
      <w:r>
        <w:rPr>
          <w:rStyle w:val="20"/>
          <w:rFonts w:ascii="Times New Roman" w:hAnsi="Times New Roman" w:cs="Times New Roman"/>
        </w:rPr>
        <w:fldChar w:fldCharType="end"/>
      </w:r>
      <w:r>
        <w:rPr>
          <w:rFonts w:ascii="Times New Roman" w:hAnsi="Times New Roman" w:cs="Times New Roman"/>
        </w:rPr>
        <w:t xml:space="preserve"> </w:t>
      </w:r>
      <w:r>
        <w:rPr>
          <w:rFonts w:hint="eastAsia" w:ascii="Times New Roman" w:hAnsi="Times New Roman" w:cs="Times New Roman"/>
        </w:rPr>
        <w:t xml:space="preserve"> </w:t>
      </w:r>
      <w:r>
        <w:rPr>
          <w:rFonts w:ascii="Times New Roman" w:hAnsi="Times New Roman" w:cs="Times New Roman"/>
        </w:rPr>
        <w:t>(Accessed: 3 January 2026).</w:t>
      </w:r>
    </w:p>
    <w:p w14:paraId="05E9A2DC">
      <w:pPr>
        <w:spacing w:line="276" w:lineRule="auto"/>
        <w:ind w:left="720" w:hanging="720"/>
        <w:jc w:val="both"/>
        <w:rPr>
          <w:rFonts w:ascii="Times New Roman" w:hAnsi="Times New Roman" w:cs="Times New Roman"/>
        </w:rPr>
      </w:pPr>
      <w:r>
        <w:rPr>
          <w:rFonts w:ascii="Times New Roman" w:hAnsi="Times New Roman" w:cs="Times New Roman"/>
        </w:rPr>
        <w:t xml:space="preserve">Planning and Environment Decisions Wales (PEDW) (2023) </w:t>
      </w:r>
      <w:r>
        <w:rPr>
          <w:rFonts w:ascii="Times New Roman" w:hAnsi="Times New Roman" w:cs="Times New Roman"/>
          <w:i/>
          <w:iCs/>
        </w:rPr>
        <w:t>EIA Scoping Direction: Craig y Perthi Solar, Newport</w:t>
      </w:r>
      <w:r>
        <w:rPr>
          <w:rFonts w:ascii="Times New Roman" w:hAnsi="Times New Roman" w:cs="Times New Roman"/>
        </w:rPr>
        <w:t xml:space="preserve"> (Appendix 2.2). Available at: </w:t>
      </w:r>
      <w:r>
        <w:fldChar w:fldCharType="begin"/>
      </w:r>
      <w:r>
        <w:instrText xml:space="preserve"> HYPERLINK "https://craigyperthisolarfarm.co.uk/wp-content/uploads/sites/10/2023/07/Appendix-2.2-PEDW-EIA-Scoping-Direction.pdf" </w:instrText>
      </w:r>
      <w:r>
        <w:fldChar w:fldCharType="separate"/>
      </w:r>
      <w:r>
        <w:rPr>
          <w:rStyle w:val="20"/>
          <w:rFonts w:ascii="Times New Roman" w:hAnsi="Times New Roman" w:cs="Times New Roman"/>
        </w:rPr>
        <w:t>Appendix-2.2-PEDW-EIA-Scoping-Direction.pdf</w:t>
      </w:r>
      <w:r>
        <w:rPr>
          <w:rStyle w:val="20"/>
          <w:rFonts w:ascii="Times New Roman" w:hAnsi="Times New Roman" w:cs="Times New Roman"/>
        </w:rPr>
        <w:fldChar w:fldCharType="end"/>
      </w:r>
      <w:r>
        <w:rPr>
          <w:rFonts w:ascii="Times New Roman" w:hAnsi="Times New Roman" w:cs="Times New Roman"/>
        </w:rPr>
        <w:t xml:space="preserve"> (Accessed: 3 January 2026).</w:t>
      </w:r>
    </w:p>
    <w:p w14:paraId="03A917B2">
      <w:pPr>
        <w:spacing w:line="276" w:lineRule="auto"/>
        <w:ind w:left="720" w:hanging="720"/>
        <w:jc w:val="both"/>
        <w:rPr>
          <w:rFonts w:ascii="Times New Roman" w:hAnsi="Times New Roman" w:cs="Times New Roman"/>
        </w:rPr>
      </w:pPr>
      <w:r>
        <w:rPr>
          <w:rFonts w:ascii="Times New Roman" w:hAnsi="Times New Roman" w:cs="Times New Roman"/>
        </w:rPr>
        <w:t xml:space="preserve">Pope, J., Annandale, D. and Morrison-Saunders, A. (2004) ‘Conceptualising sustainability assessment’, </w:t>
      </w:r>
      <w:r>
        <w:rPr>
          <w:rFonts w:ascii="Times New Roman" w:hAnsi="Times New Roman" w:cs="Times New Roman"/>
          <w:i/>
          <w:iCs/>
        </w:rPr>
        <w:t>Environmental Impact Assessment Review</w:t>
      </w:r>
      <w:r>
        <w:rPr>
          <w:rFonts w:ascii="Times New Roman" w:hAnsi="Times New Roman" w:cs="Times New Roman"/>
        </w:rPr>
        <w:t xml:space="preserve">, 24(6), pp. 595–616. Available at: </w:t>
      </w:r>
      <w:r>
        <w:fldChar w:fldCharType="begin"/>
      </w:r>
      <w:r>
        <w:instrText xml:space="preserve"> HYPERLINK "https://www.sciencedirect.com/science/article/abs/pii/S0195925504000447?via%3Dihub" </w:instrText>
      </w:r>
      <w:r>
        <w:fldChar w:fldCharType="separate"/>
      </w:r>
      <w:r>
        <w:rPr>
          <w:rStyle w:val="20"/>
          <w:rFonts w:ascii="Times New Roman" w:hAnsi="Times New Roman" w:cs="Times New Roman"/>
        </w:rPr>
        <w:t>Conceptualising sustainability assessment</w:t>
      </w:r>
      <w:r>
        <w:rPr>
          <w:rStyle w:val="20"/>
          <w:rFonts w:ascii="Times New Roman" w:hAnsi="Times New Roman" w:cs="Times New Roman"/>
        </w:rPr>
        <w:fldChar w:fldCharType="end"/>
      </w:r>
      <w:r>
        <w:rPr>
          <w:rFonts w:ascii="Times New Roman" w:hAnsi="Times New Roman" w:cs="Times New Roman"/>
        </w:rPr>
        <w:t xml:space="preserve"> (Accessed: 3 January 2026).</w:t>
      </w:r>
    </w:p>
    <w:p w14:paraId="03BCCBB4">
      <w:pPr>
        <w:spacing w:line="276" w:lineRule="auto"/>
        <w:ind w:left="720" w:hanging="720"/>
        <w:jc w:val="both"/>
        <w:rPr>
          <w:rFonts w:ascii="Times New Roman" w:hAnsi="Times New Roman" w:cs="Times New Roman"/>
        </w:rPr>
      </w:pPr>
      <w:r>
        <w:rPr>
          <w:rFonts w:ascii="Times New Roman" w:hAnsi="Times New Roman" w:cs="Times New Roman"/>
        </w:rPr>
        <w:t xml:space="preserve">Rowe, G. and Frewer, L.J. (2000) ‘Public participation methods: a framework for evaluation’, </w:t>
      </w:r>
      <w:r>
        <w:rPr>
          <w:rFonts w:ascii="Times New Roman" w:hAnsi="Times New Roman" w:cs="Times New Roman"/>
          <w:i/>
          <w:iCs/>
        </w:rPr>
        <w:t>Science, Technology, &amp; Human Values</w:t>
      </w:r>
      <w:r>
        <w:rPr>
          <w:rFonts w:ascii="Times New Roman" w:hAnsi="Times New Roman" w:cs="Times New Roman"/>
        </w:rPr>
        <w:t>, 25(1), pp. 3–29.</w:t>
      </w:r>
      <w:r>
        <w:t xml:space="preserve"> </w:t>
      </w:r>
      <w:r>
        <w:rPr>
          <w:rFonts w:ascii="Times New Roman" w:hAnsi="Times New Roman" w:cs="Times New Roman"/>
        </w:rPr>
        <w:t xml:space="preserve">Available at: </w:t>
      </w:r>
      <w:r>
        <w:fldChar w:fldCharType="begin"/>
      </w:r>
      <w:r>
        <w:instrText xml:space="preserve"> HYPERLINK "https://journals.sagepub.com/doi/10.1177/016224390002500101" </w:instrText>
      </w:r>
      <w:r>
        <w:fldChar w:fldCharType="separate"/>
      </w:r>
      <w:r>
        <w:rPr>
          <w:rStyle w:val="20"/>
          <w:rFonts w:ascii="Times New Roman" w:hAnsi="Times New Roman" w:cs="Times New Roman"/>
        </w:rPr>
        <w:t xml:space="preserve">Public Participation Methods: A Framework for Evaluation </w:t>
      </w:r>
      <w:r>
        <w:rPr>
          <w:rStyle w:val="20"/>
          <w:rFonts w:ascii="Times New Roman" w:hAnsi="Times New Roman" w:cs="Times New Roman"/>
        </w:rPr>
        <w:fldChar w:fldCharType="end"/>
      </w:r>
      <w:r>
        <w:rPr>
          <w:rFonts w:ascii="Times New Roman" w:hAnsi="Times New Roman" w:cs="Times New Roman"/>
        </w:rPr>
        <w:t xml:space="preserve"> (Accessed: 3 January 2026).</w:t>
      </w:r>
    </w:p>
    <w:p w14:paraId="66C7BC9A">
      <w:pPr>
        <w:spacing w:line="276" w:lineRule="auto"/>
        <w:ind w:left="720" w:hanging="720"/>
        <w:jc w:val="both"/>
        <w:rPr>
          <w:rFonts w:ascii="Times New Roman" w:hAnsi="Times New Roman" w:cs="Times New Roman"/>
        </w:rPr>
      </w:pPr>
      <w:r>
        <w:rPr>
          <w:rFonts w:ascii="Times New Roman" w:hAnsi="Times New Roman" w:cs="Times New Roman"/>
        </w:rPr>
        <w:t xml:space="preserve">Sadler, B. (1996) </w:t>
      </w:r>
      <w:r>
        <w:rPr>
          <w:rFonts w:ascii="Times New Roman" w:hAnsi="Times New Roman" w:cs="Times New Roman"/>
          <w:i/>
          <w:iCs/>
        </w:rPr>
        <w:t>Environmental Assessment in a Changing World: Evaluating Practice to Improve Performance</w:t>
      </w:r>
      <w:r>
        <w:rPr>
          <w:rFonts w:ascii="Times New Roman" w:hAnsi="Times New Roman" w:cs="Times New Roman"/>
        </w:rPr>
        <w:t xml:space="preserve"> (International Study of the Effectiveness of Environmental Assessment—Final Report). Ottawa: Canadian Environmental Assessment Agency and International Association for Impact Assessment.</w:t>
      </w:r>
      <w:r>
        <w:t xml:space="preserve"> </w:t>
      </w:r>
      <w:r>
        <w:rPr>
          <w:rFonts w:ascii="Times New Roman" w:hAnsi="Times New Roman" w:cs="Times New Roman"/>
        </w:rPr>
        <w:t xml:space="preserve">Available at: </w:t>
      </w:r>
      <w:r>
        <w:fldChar w:fldCharType="begin"/>
      </w:r>
      <w:r>
        <w:instrText xml:space="preserve"> HYPERLINK "https://publications.gc.ca/site/eng/9.834209/publication.html" </w:instrText>
      </w:r>
      <w:r>
        <w:fldChar w:fldCharType="separate"/>
      </w:r>
      <w:r>
        <w:rPr>
          <w:rStyle w:val="20"/>
          <w:rFonts w:ascii="Times New Roman" w:hAnsi="Times New Roman" w:cs="Times New Roman"/>
        </w:rPr>
        <w:t xml:space="preserve">International study of the effectiveness of environmental assessment : final report : environmental assessment in a changing world : evaluating practice to improve performance </w:t>
      </w:r>
      <w:r>
        <w:rPr>
          <w:rStyle w:val="20"/>
          <w:rFonts w:ascii="Times New Roman" w:hAnsi="Times New Roman" w:cs="Times New Roman"/>
        </w:rPr>
        <w:fldChar w:fldCharType="end"/>
      </w:r>
      <w:r>
        <w:rPr>
          <w:rFonts w:ascii="Times New Roman" w:hAnsi="Times New Roman" w:cs="Times New Roman"/>
        </w:rPr>
        <w:t xml:space="preserve"> (Accessed: 3 January 2026).</w:t>
      </w:r>
    </w:p>
    <w:p w14:paraId="6F198D6A">
      <w:pPr>
        <w:spacing w:line="276" w:lineRule="auto"/>
        <w:ind w:left="720" w:hanging="720"/>
        <w:jc w:val="both"/>
        <w:rPr>
          <w:rFonts w:ascii="Times New Roman" w:hAnsi="Times New Roman" w:cs="Times New Roman"/>
        </w:rPr>
      </w:pPr>
      <w:r>
        <w:rPr>
          <w:rFonts w:ascii="Times New Roman" w:hAnsi="Times New Roman" w:cs="Times New Roman"/>
        </w:rPr>
        <w:t xml:space="preserve">Wales (2015) </w:t>
      </w:r>
      <w:r>
        <w:rPr>
          <w:rFonts w:ascii="Times New Roman" w:hAnsi="Times New Roman" w:cs="Times New Roman"/>
          <w:i/>
          <w:iCs/>
        </w:rPr>
        <w:t>Well-being of Future Generations (Wales) Act 2015</w:t>
      </w:r>
      <w:r>
        <w:rPr>
          <w:rFonts w:ascii="Times New Roman" w:hAnsi="Times New Roman" w:cs="Times New Roman"/>
        </w:rPr>
        <w:t xml:space="preserve"> (anaw 2). Available at: </w:t>
      </w:r>
      <w:r>
        <w:fldChar w:fldCharType="begin"/>
      </w:r>
      <w:r>
        <w:instrText xml:space="preserve"> HYPERLINK "https://www.legislation.gov.uk/anaw/2015/2/contents" </w:instrText>
      </w:r>
      <w:r>
        <w:fldChar w:fldCharType="separate"/>
      </w:r>
      <w:r>
        <w:rPr>
          <w:rStyle w:val="20"/>
          <w:rFonts w:ascii="Times New Roman" w:hAnsi="Times New Roman" w:cs="Times New Roman"/>
        </w:rPr>
        <w:t>Well-being of Future Generations (Wales) Act 2015</w:t>
      </w:r>
      <w:r>
        <w:rPr>
          <w:rStyle w:val="20"/>
          <w:rFonts w:ascii="Times New Roman" w:hAnsi="Times New Roman" w:cs="Times New Roman"/>
        </w:rPr>
        <w:fldChar w:fldCharType="end"/>
      </w:r>
      <w:r>
        <w:rPr>
          <w:rFonts w:ascii="Times New Roman" w:hAnsi="Times New Roman" w:cs="Times New Roman"/>
        </w:rPr>
        <w:t xml:space="preserve"> (Accessed: 3 January 2026).</w:t>
      </w:r>
    </w:p>
    <w:p w14:paraId="425314E2">
      <w:pPr>
        <w:spacing w:line="276" w:lineRule="auto"/>
        <w:ind w:left="720" w:hanging="720"/>
        <w:jc w:val="both"/>
        <w:rPr>
          <w:rFonts w:ascii="Times New Roman" w:hAnsi="Times New Roman" w:cs="Times New Roman"/>
        </w:rPr>
      </w:pPr>
      <w:r>
        <w:rPr>
          <w:rFonts w:ascii="Times New Roman" w:hAnsi="Times New Roman" w:cs="Times New Roman"/>
        </w:rPr>
        <w:t xml:space="preserve">Wales (2016) </w:t>
      </w:r>
      <w:r>
        <w:rPr>
          <w:rFonts w:ascii="Times New Roman" w:hAnsi="Times New Roman" w:cs="Times New Roman"/>
          <w:i/>
          <w:iCs/>
        </w:rPr>
        <w:t>The Developments of National Significance (Procedure) (Wales) Order 2016</w:t>
      </w:r>
      <w:r>
        <w:rPr>
          <w:rFonts w:ascii="Times New Roman" w:hAnsi="Times New Roman" w:cs="Times New Roman"/>
        </w:rPr>
        <w:t xml:space="preserve"> (WSI 2016/55). Available at: </w:t>
      </w:r>
      <w:r>
        <w:fldChar w:fldCharType="begin"/>
      </w:r>
      <w:r>
        <w:instrText xml:space="preserve"> HYPERLINK "https://www.legislation.gov.uk/wsi/2016/55/contents" </w:instrText>
      </w:r>
      <w:r>
        <w:fldChar w:fldCharType="separate"/>
      </w:r>
      <w:r>
        <w:rPr>
          <w:rStyle w:val="20"/>
          <w:rFonts w:ascii="Times New Roman" w:hAnsi="Times New Roman" w:cs="Times New Roman"/>
        </w:rPr>
        <w:t>The Developments of National Significance (Procedure) (Wales) Order 2016</w:t>
      </w:r>
      <w:r>
        <w:rPr>
          <w:rStyle w:val="20"/>
          <w:rFonts w:ascii="Times New Roman" w:hAnsi="Times New Roman" w:cs="Times New Roman"/>
        </w:rPr>
        <w:fldChar w:fldCharType="end"/>
      </w:r>
      <w:r>
        <w:rPr>
          <w:rFonts w:ascii="Times New Roman" w:hAnsi="Times New Roman" w:cs="Times New Roman"/>
        </w:rPr>
        <w:t xml:space="preserve"> (Accessed: 3 January 2026).</w:t>
      </w:r>
    </w:p>
    <w:p w14:paraId="0854F6B3">
      <w:pPr>
        <w:spacing w:line="276" w:lineRule="auto"/>
        <w:ind w:left="720" w:hanging="720"/>
        <w:jc w:val="both"/>
        <w:rPr>
          <w:rFonts w:ascii="Times New Roman" w:hAnsi="Times New Roman" w:cs="Times New Roman"/>
        </w:rPr>
      </w:pPr>
      <w:r>
        <w:rPr>
          <w:rFonts w:ascii="Times New Roman" w:hAnsi="Times New Roman" w:cs="Times New Roman"/>
        </w:rPr>
        <w:t xml:space="preserve">Wales (2016a) </w:t>
      </w:r>
      <w:r>
        <w:rPr>
          <w:rFonts w:ascii="Times New Roman" w:hAnsi="Times New Roman" w:cs="Times New Roman"/>
          <w:i/>
          <w:iCs/>
        </w:rPr>
        <w:t>Environment (Wales) Act 2016</w:t>
      </w:r>
      <w:r>
        <w:rPr>
          <w:rFonts w:ascii="Times New Roman" w:hAnsi="Times New Roman" w:cs="Times New Roman"/>
        </w:rPr>
        <w:t xml:space="preserve"> (anaw 3). Available at: </w:t>
      </w:r>
      <w:r>
        <w:fldChar w:fldCharType="begin"/>
      </w:r>
      <w:r>
        <w:instrText xml:space="preserve"> HYPERLINK "https://www.legislation.gov.uk/anaw/2016/3/contents" </w:instrText>
      </w:r>
      <w:r>
        <w:fldChar w:fldCharType="separate"/>
      </w:r>
      <w:r>
        <w:rPr>
          <w:rStyle w:val="20"/>
          <w:rFonts w:ascii="Times New Roman" w:hAnsi="Times New Roman" w:cs="Times New Roman"/>
        </w:rPr>
        <w:t>Environment (Wales) Act 2016</w:t>
      </w:r>
      <w:r>
        <w:rPr>
          <w:rStyle w:val="20"/>
          <w:rFonts w:ascii="Times New Roman" w:hAnsi="Times New Roman" w:cs="Times New Roman"/>
        </w:rPr>
        <w:fldChar w:fldCharType="end"/>
      </w:r>
      <w:r>
        <w:rPr>
          <w:rFonts w:ascii="Times New Roman" w:hAnsi="Times New Roman" w:cs="Times New Roman"/>
        </w:rPr>
        <w:t xml:space="preserve"> (Accessed: 3 January 2026).</w:t>
      </w:r>
    </w:p>
    <w:p w14:paraId="3E88E747">
      <w:pPr>
        <w:spacing w:line="276" w:lineRule="auto"/>
        <w:ind w:left="720" w:hanging="720"/>
        <w:jc w:val="both"/>
        <w:rPr>
          <w:rFonts w:ascii="Times New Roman" w:hAnsi="Times New Roman" w:cs="Times New Roman"/>
        </w:rPr>
      </w:pPr>
      <w:r>
        <w:rPr>
          <w:rFonts w:ascii="Times New Roman" w:hAnsi="Times New Roman" w:cs="Times New Roman"/>
        </w:rPr>
        <w:t xml:space="preserve">Wales (2017) </w:t>
      </w:r>
      <w:r>
        <w:rPr>
          <w:rFonts w:ascii="Times New Roman" w:hAnsi="Times New Roman" w:cs="Times New Roman"/>
          <w:i/>
          <w:iCs/>
        </w:rPr>
        <w:t>The Town and Country Planning (Environmental Impact Assessment) (Wales) Regulations 2017</w:t>
      </w:r>
      <w:r>
        <w:rPr>
          <w:rFonts w:ascii="Times New Roman" w:hAnsi="Times New Roman" w:cs="Times New Roman"/>
        </w:rPr>
        <w:t xml:space="preserve"> (WSI 2017/567). Available at: </w:t>
      </w:r>
      <w:r>
        <w:fldChar w:fldCharType="begin"/>
      </w:r>
      <w:r>
        <w:instrText xml:space="preserve"> HYPERLINK "https://www.legislation.gov.uk/wsi/2017/567/contents" </w:instrText>
      </w:r>
      <w:r>
        <w:fldChar w:fldCharType="separate"/>
      </w:r>
      <w:r>
        <w:rPr>
          <w:rStyle w:val="20"/>
          <w:rFonts w:ascii="Times New Roman" w:hAnsi="Times New Roman" w:cs="Times New Roman"/>
        </w:rPr>
        <w:t>The Town and Country Planning (Environmental Impact Assessment) (Wales) Regulations 2017</w:t>
      </w:r>
      <w:r>
        <w:rPr>
          <w:rStyle w:val="20"/>
          <w:rFonts w:ascii="Times New Roman" w:hAnsi="Times New Roman" w:cs="Times New Roman"/>
        </w:rPr>
        <w:fldChar w:fldCharType="end"/>
      </w:r>
      <w:r>
        <w:rPr>
          <w:rFonts w:ascii="Times New Roman" w:hAnsi="Times New Roman" w:cs="Times New Roman"/>
        </w:rPr>
        <w:t xml:space="preserve"> (Accessed: 3 January 2026).</w:t>
      </w:r>
    </w:p>
    <w:p w14:paraId="010E8C58">
      <w:pPr>
        <w:spacing w:line="360" w:lineRule="auto"/>
        <w:jc w:val="both"/>
        <w:rPr>
          <w:rFonts w:ascii="Times New Roman" w:hAnsi="Times New Roman" w:cs="Times New Roman"/>
        </w:rPr>
      </w:pPr>
    </w:p>
    <w:p w14:paraId="51EDDF5A">
      <w:pPr>
        <w:spacing w:line="360" w:lineRule="auto"/>
        <w:jc w:val="both"/>
        <w:rPr>
          <w:rFonts w:ascii="Times New Roman" w:hAnsi="Times New Roman" w:cs="Times New Roman"/>
        </w:rPr>
      </w:pPr>
    </w:p>
    <w:p w14:paraId="310145C5">
      <w:pPr>
        <w:spacing w:line="360" w:lineRule="auto"/>
        <w:jc w:val="both"/>
        <w:rPr>
          <w:rFonts w:ascii="Times New Roman" w:hAnsi="Times New Roman" w:cs="Times New Roman"/>
        </w:rPr>
      </w:pPr>
    </w:p>
    <w:p w14:paraId="25497CF6">
      <w:pPr>
        <w:spacing w:line="360" w:lineRule="auto"/>
        <w:jc w:val="both"/>
        <w:rPr>
          <w:rFonts w:ascii="Times New Roman" w:hAnsi="Times New Roman" w:cs="Times New Roman"/>
        </w:rPr>
      </w:pPr>
    </w:p>
    <w:p w14:paraId="639BD2D4">
      <w:pPr>
        <w:spacing w:line="360" w:lineRule="auto"/>
        <w:jc w:val="both"/>
        <w:rPr>
          <w:rFonts w:ascii="Times New Roman" w:hAnsi="Times New Roman" w:cs="Times New Roman"/>
        </w:rPr>
      </w:pPr>
    </w:p>
    <w:p w14:paraId="3A8399E4">
      <w:pPr>
        <w:spacing w:line="360" w:lineRule="auto"/>
        <w:jc w:val="both"/>
        <w:rPr>
          <w:rFonts w:ascii="Times New Roman" w:hAnsi="Times New Roman" w:cs="Times New Roman"/>
        </w:rPr>
      </w:pPr>
    </w:p>
    <w:p w14:paraId="33B6C257">
      <w:pPr>
        <w:spacing w:line="360" w:lineRule="auto"/>
        <w:jc w:val="both"/>
        <w:rPr>
          <w:rFonts w:ascii="Times New Roman" w:hAnsi="Times New Roman" w:cs="Times New Roman"/>
        </w:rPr>
      </w:pPr>
    </w:p>
    <w:p w14:paraId="628F8CAE">
      <w:pPr>
        <w:spacing w:line="360" w:lineRule="auto"/>
        <w:jc w:val="both"/>
        <w:rPr>
          <w:rFonts w:ascii="Times New Roman" w:hAnsi="Times New Roman" w:cs="Times New Roman"/>
        </w:rPr>
      </w:pPr>
    </w:p>
    <w:p w14:paraId="31EA4E9D">
      <w:pPr>
        <w:spacing w:line="360" w:lineRule="auto"/>
        <w:jc w:val="both"/>
        <w:rPr>
          <w:rFonts w:ascii="Times New Roman" w:hAnsi="Times New Roman" w:cs="Times New Roman"/>
          <w:b/>
          <w:bCs/>
        </w:rPr>
      </w:pPr>
      <w:r>
        <w:rPr>
          <w:rFonts w:ascii="Times New Roman" w:hAnsi="Times New Roman" w:cs="Times New Roman"/>
          <w:b/>
          <w:bCs/>
        </w:rPr>
        <w:t>Appendix A. Lee &amp; Colley grading legend (abridged)</w:t>
      </w:r>
    </w:p>
    <w:p w14:paraId="04D6BE25">
      <w:pPr>
        <w:spacing w:line="360" w:lineRule="auto"/>
        <w:jc w:val="both"/>
        <w:rPr>
          <w:rFonts w:ascii="Times New Roman" w:hAnsi="Times New Roman" w:cs="Times New Roman"/>
        </w:rPr>
      </w:pPr>
      <w:r>
        <w:rPr>
          <w:rFonts w:ascii="Times New Roman" w:hAnsi="Times New Roman" w:cs="Times New Roman"/>
        </w:rPr>
        <w:t>A – Generally well performed; no important tasks left incomplete.</w:t>
      </w:r>
      <w:r>
        <w:rPr>
          <w:rFonts w:ascii="Times New Roman" w:hAnsi="Times New Roman" w:cs="Times New Roman"/>
        </w:rPr>
        <w:br w:type="textWrapping"/>
      </w:r>
      <w:r>
        <w:rPr>
          <w:rFonts w:ascii="Times New Roman" w:hAnsi="Times New Roman" w:cs="Times New Roman"/>
        </w:rPr>
        <w:t>B – Generally satisfactory; only minor omissions or inadequacies.</w:t>
      </w:r>
      <w:r>
        <w:rPr>
          <w:rFonts w:ascii="Times New Roman" w:hAnsi="Times New Roman" w:cs="Times New Roman"/>
        </w:rPr>
        <w:br w:type="textWrapping"/>
      </w:r>
      <w:r>
        <w:rPr>
          <w:rFonts w:ascii="Times New Roman" w:hAnsi="Times New Roman" w:cs="Times New Roman"/>
        </w:rPr>
        <w:t>C – Just satisfactory; some omissions/inadequacies but not sufficient to prevent overall acceptability.</w:t>
      </w:r>
      <w:r>
        <w:rPr>
          <w:rFonts w:ascii="Times New Roman" w:hAnsi="Times New Roman" w:cs="Times New Roman"/>
        </w:rPr>
        <w:br w:type="textWrapping"/>
      </w:r>
      <w:r>
        <w:rPr>
          <w:rFonts w:ascii="Times New Roman" w:hAnsi="Times New Roman" w:cs="Times New Roman"/>
        </w:rPr>
        <w:t>D – Just unsatisfactory; omissions/inadequacies significant enough to undermine acceptability without revision.</w:t>
      </w:r>
      <w:r>
        <w:rPr>
          <w:rFonts w:ascii="Times New Roman" w:hAnsi="Times New Roman" w:cs="Times New Roman"/>
        </w:rPr>
        <w:br w:type="textWrapping"/>
      </w:r>
      <w:r>
        <w:rPr>
          <w:rFonts w:ascii="Times New Roman" w:hAnsi="Times New Roman" w:cs="Times New Roman"/>
        </w:rPr>
        <w:t>E/F – Poor; major tasks incomplete or seriously inadequate.</w:t>
      </w:r>
    </w:p>
    <w:p w14:paraId="3D495481">
      <w:pPr>
        <w:spacing w:line="360" w:lineRule="auto"/>
        <w:jc w:val="both"/>
        <w:rPr>
          <w:rFonts w:ascii="Times New Roman" w:hAnsi="Times New Roman" w:cs="Times New Roman"/>
        </w:rPr>
      </w:pPr>
      <w:r>
        <w:rPr>
          <w:rFonts w:ascii="Times New Roman" w:hAnsi="Times New Roman" w:cs="Times New Roman"/>
        </w:rPr>
        <w:t>In applied practice, “C or above” is commonly treated as a minimum acceptable threshold and “D or below” as requiring substantive revision (Lee and Colley, 1992).</w:t>
      </w:r>
    </w:p>
    <w:bookmarkEnd w:id="0"/>
    <w:p w14:paraId="02CBF44B">
      <w:pPr>
        <w:spacing w:line="360" w:lineRule="auto"/>
        <w:jc w:val="both"/>
        <w:rPr>
          <w:rFonts w:ascii="Times New Roman" w:hAnsi="Times New Roman" w:cs="Times New Roman"/>
        </w:rPr>
      </w:pP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86"/>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panose1 w:val="020B0604020202090204"/>
    <w:charset w:val="01"/>
    <w:family w:val="swiss"/>
    <w:pitch w:val="default"/>
    <w:sig w:usb0="E0000AFF" w:usb1="00007843" w:usb2="00000001" w:usb3="00000000" w:csb0="400001BF" w:csb1="DFF70000"/>
  </w:font>
  <w:font w:name="黑体">
    <w:altName w:val="汉仪中黑KW"/>
    <w:panose1 w:val="02010609060101010101"/>
    <w:charset w:val="86"/>
    <w:family w:val="auto"/>
    <w:pitch w:val="default"/>
    <w:sig w:usb0="800002BF" w:usb1="38CF7CFA" w:usb2="00000016" w:usb3="00000000" w:csb0="00040001" w:csb1="00000000"/>
  </w:font>
  <w:font w:name="Courier New">
    <w:panose1 w:val="02070409020205090404"/>
    <w:charset w:val="01"/>
    <w:family w:val="modern"/>
    <w:pitch w:val="default"/>
    <w:sig w:usb0="E0000AFF" w:usb1="40007843" w:usb2="00000001" w:usb3="00000000" w:csb0="400001BF" w:csb1="DFF70000"/>
  </w:font>
  <w:font w:name="Symbol">
    <w:altName w:val="Kingsoft Sign"/>
    <w:panose1 w:val="05050102010706020507"/>
    <w:charset w:val="02"/>
    <w:family w:val="roman"/>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等线">
    <w:altName w:val="汉仪中等线KW"/>
    <w:panose1 w:val="02010600030101010101"/>
    <w:charset w:val="86"/>
    <w:family w:val="auto"/>
    <w:pitch w:val="default"/>
    <w:sig w:usb0="00000000" w:usb1="00000000" w:usb2="00000016" w:usb3="00000000" w:csb0="0004000F" w:csb1="00000000"/>
  </w:font>
  <w:font w:name="等线">
    <w:altName w:val="汉仪中等线KW"/>
    <w:panose1 w:val="00000000000000000000"/>
    <w:charset w:val="86"/>
    <w:family w:val="auto"/>
    <w:pitch w:val="default"/>
    <w:sig w:usb0="00000000" w:usb1="00000000" w:usb2="00000000" w:usb3="00000000" w:csb0="00000000" w:csb1="00000000"/>
  </w:font>
  <w:font w:name="等线">
    <w:altName w:val="汉仪中等线KW"/>
    <w:panose1 w:val="00000000000000000000"/>
    <w:charset w:val="00"/>
    <w:family w:val="auto"/>
    <w:pitch w:val="default"/>
    <w:sig w:usb0="00000000" w:usb1="00000000" w:usb2="00000000" w:usb3="00000000" w:csb0="00000000" w:csb1="00000000"/>
  </w:font>
  <w:font w:name="等线 Light">
    <w:altName w:val="汉仪中等线KW"/>
    <w:panose1 w:val="02010600030101010101"/>
    <w:charset w:val="86"/>
    <w:family w:val="auto"/>
    <w:pitch w:val="default"/>
    <w:sig w:usb0="00000000" w:usb1="00000000" w:usb2="00000016" w:usb3="00000000" w:csb0="0004000F" w:csb1="00000000"/>
  </w:font>
  <w:font w:name="汉仪中等线KW">
    <w:panose1 w:val="01010104010101010101"/>
    <w:charset w:val="86"/>
    <w:family w:val="auto"/>
    <w:pitch w:val="default"/>
    <w:sig w:usb0="800002BF" w:usb1="004F7CFA" w:usb2="00000000" w:usb3="00000000" w:csb0="00040001" w:csb1="00000000"/>
  </w:font>
  <w:font w:name="等线 Light">
    <w:altName w:val="汉仪中等线KW"/>
    <w:panose1 w:val="00000000000000000000"/>
    <w:charset w:val="00"/>
    <w:family w:val="auto"/>
    <w:pitch w:val="default"/>
    <w:sig w:usb0="00000000" w:usb1="00000000" w:usb2="00000000" w:usb3="00000000" w:csb0="00000000" w:csb1="00000000"/>
  </w:font>
  <w:font w:name="汉仪中黑KW">
    <w:panose1 w:val="00020600040101010101"/>
    <w:charset w:val="86"/>
    <w:family w:val="auto"/>
    <w:pitch w:val="default"/>
    <w:sig w:usb0="A00002BF" w:usb1="18EF7CFA" w:usb2="00000016" w:usb3="00000000" w:csb0="00040000" w:csb1="00000000"/>
  </w:font>
  <w:font w:name="汉仪书宋二KW">
    <w:panose1 w:val="00020600040101010101"/>
    <w:charset w:val="86"/>
    <w:family w:val="auto"/>
    <w:pitch w:val="default"/>
    <w:sig w:usb0="A00002BF" w:usb1="18EF7CFA" w:usb2="00000016" w:usb3="00000000" w:csb0="00040000" w:csb1="00000000"/>
  </w:font>
  <w:font w:name="Kingsoft Sign">
    <w:panose1 w:val="05050102010706020507"/>
    <w:charset w:val="00"/>
    <w:family w:val="auto"/>
    <w:pitch w:val="default"/>
    <w:sig w:usb0="00000000" w:usb1="10000000" w:usb2="00000000" w:usb3="00000000" w:csb0="00000001" w:csb1="00000000"/>
  </w:font>
  <w:font w:name="Helvetica Neue">
    <w:panose1 w:val="02000503000000020004"/>
    <w:charset w:val="00"/>
    <w:family w:val="auto"/>
    <w:pitch w:val="default"/>
    <w:sig w:usb0="E50002FF" w:usb1="500079DB" w:usb2="00000010" w:usb3="00000000" w:csb0="00000000" w:csb1="00000000"/>
  </w:font>
  <w:font w:name="宋体-简">
    <w:panose1 w:val="02010800040101010101"/>
    <w:charset w:val="86"/>
    <w:family w:val="auto"/>
    <w:pitch w:val="default"/>
    <w:sig w:usb0="00000001" w:usb1="080F0000" w:usb2="00000000" w:usb3="00000000" w:csb0="0004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8" w:lineRule="auto"/>
      </w:pPr>
      <w:r>
        <w:separator/>
      </w:r>
    </w:p>
  </w:footnote>
  <w:footnote w:type="continuationSeparator" w:id="1">
    <w:p>
      <w:pPr>
        <w:spacing w:before="0" w:after="0" w:line="278"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57"/>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5330"/>
    <w:rsid w:val="00012A3E"/>
    <w:rsid w:val="00040FB0"/>
    <w:rsid w:val="00095984"/>
    <w:rsid w:val="000C567D"/>
    <w:rsid w:val="001001E9"/>
    <w:rsid w:val="00141725"/>
    <w:rsid w:val="001E7884"/>
    <w:rsid w:val="00275C26"/>
    <w:rsid w:val="002E2960"/>
    <w:rsid w:val="00302778"/>
    <w:rsid w:val="00303644"/>
    <w:rsid w:val="00361992"/>
    <w:rsid w:val="00376F2A"/>
    <w:rsid w:val="00381526"/>
    <w:rsid w:val="00391A45"/>
    <w:rsid w:val="003B462F"/>
    <w:rsid w:val="003F0962"/>
    <w:rsid w:val="00440F72"/>
    <w:rsid w:val="004B7731"/>
    <w:rsid w:val="004C52BF"/>
    <w:rsid w:val="004E13C2"/>
    <w:rsid w:val="00591EE9"/>
    <w:rsid w:val="005A4669"/>
    <w:rsid w:val="005A49C8"/>
    <w:rsid w:val="005C7ED0"/>
    <w:rsid w:val="00665330"/>
    <w:rsid w:val="0069542B"/>
    <w:rsid w:val="00792A73"/>
    <w:rsid w:val="007B50CA"/>
    <w:rsid w:val="007C1783"/>
    <w:rsid w:val="007F41FE"/>
    <w:rsid w:val="0083616A"/>
    <w:rsid w:val="008606D9"/>
    <w:rsid w:val="008A513A"/>
    <w:rsid w:val="008C4A11"/>
    <w:rsid w:val="008D27D0"/>
    <w:rsid w:val="008F4427"/>
    <w:rsid w:val="008F5D72"/>
    <w:rsid w:val="00916B36"/>
    <w:rsid w:val="00922500"/>
    <w:rsid w:val="009244FB"/>
    <w:rsid w:val="00A27BB5"/>
    <w:rsid w:val="00A53271"/>
    <w:rsid w:val="00A70958"/>
    <w:rsid w:val="00AA69E2"/>
    <w:rsid w:val="00B16360"/>
    <w:rsid w:val="00B20377"/>
    <w:rsid w:val="00B21519"/>
    <w:rsid w:val="00B95482"/>
    <w:rsid w:val="00C20C78"/>
    <w:rsid w:val="00C6496E"/>
    <w:rsid w:val="00C64B9A"/>
    <w:rsid w:val="00CB678E"/>
    <w:rsid w:val="00D136AE"/>
    <w:rsid w:val="00D16AC7"/>
    <w:rsid w:val="00D5217D"/>
    <w:rsid w:val="00DD4848"/>
    <w:rsid w:val="00E02933"/>
    <w:rsid w:val="00E17DB4"/>
    <w:rsid w:val="00E21633"/>
    <w:rsid w:val="00E25E96"/>
    <w:rsid w:val="00E70AE5"/>
    <w:rsid w:val="00E71184"/>
    <w:rsid w:val="00EF0408"/>
    <w:rsid w:val="00FA4699"/>
    <w:rsid w:val="00FD6946"/>
    <w:rsid w:val="6FFBF3D0"/>
    <w:rsid w:val="7FF8FE10"/>
    <w:rsid w:val="F67F21F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after="160" w:line="278" w:lineRule="auto"/>
    </w:pPr>
    <w:rPr>
      <w:rFonts w:asciiTheme="minorHAnsi" w:hAnsiTheme="minorHAnsi" w:eastAsiaTheme="minorEastAsia" w:cstheme="minorBidi"/>
      <w:kern w:val="2"/>
      <w:sz w:val="22"/>
      <w:szCs w:val="24"/>
      <w:lang w:val="en-US" w:eastAsia="zh-CN" w:bidi="ar-SA"/>
      <w14:ligatures w14:val="standardContextual"/>
    </w:rPr>
  </w:style>
  <w:style w:type="paragraph" w:styleId="2">
    <w:name w:val="heading 1"/>
    <w:basedOn w:val="1"/>
    <w:next w:val="1"/>
    <w:link w:val="22"/>
    <w:qFormat/>
    <w:uiPriority w:val="9"/>
    <w:pPr>
      <w:keepNext/>
      <w:keepLines/>
      <w:spacing w:before="480" w:after="80"/>
      <w:outlineLvl w:val="0"/>
    </w:pPr>
    <w:rPr>
      <w:rFonts w:eastAsia="Times New Roman" w:asciiTheme="majorHAnsi" w:hAnsiTheme="majorHAnsi" w:cstheme="majorBidi"/>
      <w:color w:val="000000" w:themeColor="text1"/>
      <w:sz w:val="30"/>
      <w:szCs w:val="48"/>
      <w14:textFill>
        <w14:solidFill>
          <w14:schemeClr w14:val="tx1"/>
        </w14:solidFill>
      </w14:textFill>
    </w:rPr>
  </w:style>
  <w:style w:type="paragraph" w:styleId="3">
    <w:name w:val="heading 2"/>
    <w:basedOn w:val="1"/>
    <w:next w:val="1"/>
    <w:link w:val="23"/>
    <w:unhideWhenUsed/>
    <w:qFormat/>
    <w:uiPriority w:val="9"/>
    <w:pPr>
      <w:keepNext/>
      <w:keepLines/>
      <w:spacing w:before="160" w:after="80"/>
      <w:outlineLvl w:val="1"/>
    </w:pPr>
    <w:rPr>
      <w:rFonts w:ascii="Times New Roman" w:hAnsi="Times New Roman" w:eastAsia="Times New Roman" w:cstheme="majorBidi"/>
      <w:color w:val="000000" w:themeColor="text1"/>
      <w:sz w:val="26"/>
      <w:szCs w:val="40"/>
      <w14:textFill>
        <w14:solidFill>
          <w14:schemeClr w14:val="tx1"/>
        </w14:solidFill>
      </w14:textFill>
    </w:rPr>
  </w:style>
  <w:style w:type="paragraph" w:styleId="4">
    <w:name w:val="heading 3"/>
    <w:basedOn w:val="1"/>
    <w:next w:val="1"/>
    <w:link w:val="24"/>
    <w:semiHidden/>
    <w:unhideWhenUsed/>
    <w:qFormat/>
    <w:uiPriority w:val="9"/>
    <w:pPr>
      <w:keepNext/>
      <w:keepLines/>
      <w:spacing w:before="160" w:after="80"/>
      <w:outlineLvl w:val="2"/>
    </w:pPr>
    <w:rPr>
      <w:rFonts w:asciiTheme="majorHAnsi" w:hAnsiTheme="majorHAnsi" w:eastAsiaTheme="majorEastAsia" w:cstheme="majorBidi"/>
      <w:color w:val="104862" w:themeColor="accent1" w:themeShade="BF"/>
      <w:sz w:val="32"/>
      <w:szCs w:val="32"/>
    </w:rPr>
  </w:style>
  <w:style w:type="paragraph" w:styleId="5">
    <w:name w:val="heading 4"/>
    <w:basedOn w:val="1"/>
    <w:next w:val="1"/>
    <w:link w:val="25"/>
    <w:semiHidden/>
    <w:unhideWhenUsed/>
    <w:qFormat/>
    <w:uiPriority w:val="9"/>
    <w:pPr>
      <w:keepNext/>
      <w:keepLines/>
      <w:spacing w:before="80" w:after="40"/>
      <w:outlineLvl w:val="3"/>
    </w:pPr>
    <w:rPr>
      <w:rFonts w:cstheme="majorBidi"/>
      <w:color w:val="104862" w:themeColor="accent1" w:themeShade="BF"/>
      <w:sz w:val="28"/>
      <w:szCs w:val="28"/>
    </w:rPr>
  </w:style>
  <w:style w:type="paragraph" w:styleId="6">
    <w:name w:val="heading 5"/>
    <w:basedOn w:val="1"/>
    <w:next w:val="1"/>
    <w:link w:val="26"/>
    <w:semiHidden/>
    <w:unhideWhenUsed/>
    <w:qFormat/>
    <w:uiPriority w:val="9"/>
    <w:pPr>
      <w:keepNext/>
      <w:keepLines/>
      <w:spacing w:before="80" w:after="40"/>
      <w:outlineLvl w:val="4"/>
    </w:pPr>
    <w:rPr>
      <w:rFonts w:cstheme="majorBidi"/>
      <w:color w:val="104862" w:themeColor="accent1" w:themeShade="BF"/>
      <w:sz w:val="24"/>
    </w:rPr>
  </w:style>
  <w:style w:type="paragraph" w:styleId="7">
    <w:name w:val="heading 6"/>
    <w:basedOn w:val="1"/>
    <w:next w:val="1"/>
    <w:link w:val="27"/>
    <w:semiHidden/>
    <w:unhideWhenUsed/>
    <w:qFormat/>
    <w:uiPriority w:val="9"/>
    <w:pPr>
      <w:keepNext/>
      <w:keepLines/>
      <w:spacing w:before="40" w:after="0"/>
      <w:outlineLvl w:val="5"/>
    </w:pPr>
    <w:rPr>
      <w:rFonts w:cstheme="majorBidi"/>
      <w:b/>
      <w:bCs/>
      <w:color w:val="104862" w:themeColor="accent1" w:themeShade="BF"/>
    </w:rPr>
  </w:style>
  <w:style w:type="paragraph" w:styleId="8">
    <w:name w:val="heading 7"/>
    <w:basedOn w:val="1"/>
    <w:next w:val="1"/>
    <w:link w:val="28"/>
    <w:semiHidden/>
    <w:unhideWhenUsed/>
    <w:qFormat/>
    <w:uiPriority w:val="9"/>
    <w:pPr>
      <w:keepNext/>
      <w:keepLines/>
      <w:spacing w:before="40" w:after="0"/>
      <w:outlineLvl w:val="6"/>
    </w:pPr>
    <w:rPr>
      <w:rFonts w:cstheme="majorBidi"/>
      <w:b/>
      <w:bCs/>
      <w:color w:val="595959" w:themeColor="text1" w:themeTint="A6"/>
      <w14:textFill>
        <w14:solidFill>
          <w14:schemeClr w14:val="tx1">
            <w14:lumMod w14:val="65000"/>
            <w14:lumOff w14:val="35000"/>
          </w14:schemeClr>
        </w14:solidFill>
      </w14:textFill>
    </w:rPr>
  </w:style>
  <w:style w:type="paragraph" w:styleId="9">
    <w:name w:val="heading 8"/>
    <w:basedOn w:val="1"/>
    <w:next w:val="1"/>
    <w:link w:val="29"/>
    <w:semiHidden/>
    <w:unhideWhenUsed/>
    <w:qFormat/>
    <w:uiPriority w:val="9"/>
    <w:pPr>
      <w:keepNext/>
      <w:keepLines/>
      <w:spacing w:after="0"/>
      <w:outlineLvl w:val="7"/>
    </w:pPr>
    <w:rPr>
      <w:rFonts w:cstheme="majorBidi"/>
      <w:color w:val="595959" w:themeColor="text1" w:themeTint="A6"/>
      <w14:textFill>
        <w14:solidFill>
          <w14:schemeClr w14:val="tx1">
            <w14:lumMod w14:val="65000"/>
            <w14:lumOff w14:val="35000"/>
          </w14:schemeClr>
        </w14:solidFill>
      </w14:textFill>
    </w:rPr>
  </w:style>
  <w:style w:type="paragraph" w:styleId="10">
    <w:name w:val="heading 9"/>
    <w:basedOn w:val="1"/>
    <w:next w:val="1"/>
    <w:link w:val="30"/>
    <w:semiHidden/>
    <w:unhideWhenUsed/>
    <w:qFormat/>
    <w:uiPriority w:val="9"/>
    <w:pPr>
      <w:keepNext/>
      <w:keepLines/>
      <w:spacing w:after="0"/>
      <w:outlineLvl w:val="8"/>
    </w:pPr>
    <w:rPr>
      <w:rFonts w:eastAsiaTheme="majorEastAsia" w:cstheme="majorBidi"/>
      <w:color w:val="595959" w:themeColor="text1" w:themeTint="A6"/>
      <w14:textFill>
        <w14:solidFill>
          <w14:schemeClr w14:val="tx1">
            <w14:lumMod w14:val="65000"/>
            <w14:lumOff w14:val="35000"/>
          </w14:schemeClr>
        </w14:solidFill>
      </w14:textFill>
    </w:rPr>
  </w:style>
  <w:style w:type="character" w:default="1" w:styleId="18">
    <w:name w:val="Default Paragraph Font"/>
    <w:semiHidden/>
    <w:unhideWhenUsed/>
    <w:uiPriority w:val="1"/>
  </w:style>
  <w:style w:type="table" w:default="1" w:styleId="17">
    <w:name w:val="Normal Table"/>
    <w:semiHidden/>
    <w:unhideWhenUsed/>
    <w:uiPriority w:val="99"/>
    <w:tblPr>
      <w:tblCellMar>
        <w:top w:w="0" w:type="dxa"/>
        <w:left w:w="108" w:type="dxa"/>
        <w:bottom w:w="0" w:type="dxa"/>
        <w:right w:w="108" w:type="dxa"/>
      </w:tblCellMar>
    </w:tblPr>
  </w:style>
  <w:style w:type="paragraph" w:styleId="11">
    <w:name w:val="annotation text"/>
    <w:basedOn w:val="1"/>
    <w:link w:val="40"/>
    <w:semiHidden/>
    <w:unhideWhenUsed/>
    <w:uiPriority w:val="99"/>
  </w:style>
  <w:style w:type="paragraph" w:styleId="12">
    <w:name w:val="footer"/>
    <w:basedOn w:val="1"/>
    <w:link w:val="43"/>
    <w:unhideWhenUsed/>
    <w:uiPriority w:val="99"/>
    <w:pPr>
      <w:tabs>
        <w:tab w:val="center" w:pos="4153"/>
        <w:tab w:val="right" w:pos="8306"/>
      </w:tabs>
      <w:snapToGrid w:val="0"/>
      <w:spacing w:line="240" w:lineRule="auto"/>
    </w:pPr>
    <w:rPr>
      <w:sz w:val="18"/>
      <w:szCs w:val="18"/>
    </w:rPr>
  </w:style>
  <w:style w:type="paragraph" w:styleId="13">
    <w:name w:val="header"/>
    <w:basedOn w:val="1"/>
    <w:link w:val="42"/>
    <w:unhideWhenUsed/>
    <w:uiPriority w:val="99"/>
    <w:pPr>
      <w:tabs>
        <w:tab w:val="center" w:pos="4153"/>
        <w:tab w:val="right" w:pos="8306"/>
      </w:tabs>
      <w:snapToGrid w:val="0"/>
      <w:spacing w:line="240" w:lineRule="auto"/>
      <w:jc w:val="center"/>
    </w:pPr>
    <w:rPr>
      <w:sz w:val="18"/>
      <w:szCs w:val="18"/>
    </w:rPr>
  </w:style>
  <w:style w:type="paragraph" w:styleId="14">
    <w:name w:val="Subtitle"/>
    <w:basedOn w:val="1"/>
    <w:next w:val="1"/>
    <w:link w:val="32"/>
    <w:qFormat/>
    <w:uiPriority w:val="11"/>
    <w:pPr>
      <w:jc w:val="center"/>
    </w:pPr>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15">
    <w:name w:val="Title"/>
    <w:basedOn w:val="1"/>
    <w:next w:val="1"/>
    <w:link w:val="31"/>
    <w:qFormat/>
    <w:uiPriority w:val="10"/>
    <w:pPr>
      <w:spacing w:after="80" w:line="240" w:lineRule="auto"/>
      <w:contextualSpacing/>
      <w:jc w:val="center"/>
    </w:pPr>
    <w:rPr>
      <w:rFonts w:asciiTheme="majorHAnsi" w:hAnsiTheme="majorHAnsi" w:eastAsiaTheme="majorEastAsia" w:cstheme="majorBidi"/>
      <w:spacing w:val="-10"/>
      <w:kern w:val="28"/>
      <w:sz w:val="56"/>
      <w:szCs w:val="56"/>
    </w:rPr>
  </w:style>
  <w:style w:type="paragraph" w:styleId="16">
    <w:name w:val="annotation subject"/>
    <w:basedOn w:val="11"/>
    <w:next w:val="11"/>
    <w:link w:val="41"/>
    <w:semiHidden/>
    <w:unhideWhenUsed/>
    <w:uiPriority w:val="99"/>
    <w:rPr>
      <w:b/>
      <w:bCs/>
    </w:rPr>
  </w:style>
  <w:style w:type="character" w:styleId="19">
    <w:name w:val="FollowedHyperlink"/>
    <w:basedOn w:val="18"/>
    <w:semiHidden/>
    <w:unhideWhenUsed/>
    <w:uiPriority w:val="99"/>
    <w:rPr>
      <w:color w:val="96607D" w:themeColor="followedHyperlink"/>
      <w:u w:val="single"/>
      <w14:textFill>
        <w14:solidFill>
          <w14:schemeClr w14:val="folHlink"/>
        </w14:solidFill>
      </w14:textFill>
    </w:rPr>
  </w:style>
  <w:style w:type="character" w:styleId="20">
    <w:name w:val="Hyperlink"/>
    <w:basedOn w:val="18"/>
    <w:unhideWhenUsed/>
    <w:uiPriority w:val="99"/>
    <w:rPr>
      <w:color w:val="467886" w:themeColor="hyperlink"/>
      <w:u w:val="single"/>
      <w14:textFill>
        <w14:solidFill>
          <w14:schemeClr w14:val="hlink"/>
        </w14:solidFill>
      </w14:textFill>
    </w:rPr>
  </w:style>
  <w:style w:type="character" w:styleId="21">
    <w:name w:val="annotation reference"/>
    <w:basedOn w:val="18"/>
    <w:semiHidden/>
    <w:unhideWhenUsed/>
    <w:uiPriority w:val="99"/>
    <w:rPr>
      <w:sz w:val="21"/>
      <w:szCs w:val="21"/>
    </w:rPr>
  </w:style>
  <w:style w:type="character" w:customStyle="1" w:styleId="22">
    <w:name w:val="标题 1 字符"/>
    <w:basedOn w:val="18"/>
    <w:link w:val="2"/>
    <w:uiPriority w:val="9"/>
    <w:rPr>
      <w:rFonts w:eastAsia="Times New Roman" w:asciiTheme="majorHAnsi" w:hAnsiTheme="majorHAnsi" w:cstheme="majorBidi"/>
      <w:color w:val="000000" w:themeColor="text1"/>
      <w:sz w:val="30"/>
      <w:szCs w:val="48"/>
      <w14:textFill>
        <w14:solidFill>
          <w14:schemeClr w14:val="tx1"/>
        </w14:solidFill>
      </w14:textFill>
    </w:rPr>
  </w:style>
  <w:style w:type="character" w:customStyle="1" w:styleId="23">
    <w:name w:val="标题 2 字符"/>
    <w:basedOn w:val="18"/>
    <w:link w:val="3"/>
    <w:uiPriority w:val="9"/>
    <w:rPr>
      <w:rFonts w:ascii="Times New Roman" w:hAnsi="Times New Roman" w:eastAsia="Times New Roman" w:cstheme="majorBidi"/>
      <w:color w:val="000000" w:themeColor="text1"/>
      <w:sz w:val="26"/>
      <w:szCs w:val="40"/>
      <w14:textFill>
        <w14:solidFill>
          <w14:schemeClr w14:val="tx1"/>
        </w14:solidFill>
      </w14:textFill>
    </w:rPr>
  </w:style>
  <w:style w:type="character" w:customStyle="1" w:styleId="24">
    <w:name w:val="标题 3 字符"/>
    <w:basedOn w:val="18"/>
    <w:link w:val="4"/>
    <w:semiHidden/>
    <w:uiPriority w:val="9"/>
    <w:rPr>
      <w:rFonts w:asciiTheme="majorHAnsi" w:hAnsiTheme="majorHAnsi" w:eastAsiaTheme="majorEastAsia" w:cstheme="majorBidi"/>
      <w:color w:val="104862" w:themeColor="accent1" w:themeShade="BF"/>
      <w:sz w:val="32"/>
      <w:szCs w:val="32"/>
    </w:rPr>
  </w:style>
  <w:style w:type="character" w:customStyle="1" w:styleId="25">
    <w:name w:val="标题 4 字符"/>
    <w:basedOn w:val="18"/>
    <w:link w:val="5"/>
    <w:semiHidden/>
    <w:uiPriority w:val="9"/>
    <w:rPr>
      <w:rFonts w:cstheme="majorBidi"/>
      <w:color w:val="104862" w:themeColor="accent1" w:themeShade="BF"/>
      <w:sz w:val="28"/>
      <w:szCs w:val="28"/>
    </w:rPr>
  </w:style>
  <w:style w:type="character" w:customStyle="1" w:styleId="26">
    <w:name w:val="标题 5 字符"/>
    <w:basedOn w:val="18"/>
    <w:link w:val="6"/>
    <w:semiHidden/>
    <w:uiPriority w:val="9"/>
    <w:rPr>
      <w:rFonts w:cstheme="majorBidi"/>
      <w:color w:val="104862" w:themeColor="accent1" w:themeShade="BF"/>
      <w:sz w:val="24"/>
    </w:rPr>
  </w:style>
  <w:style w:type="character" w:customStyle="1" w:styleId="27">
    <w:name w:val="标题 6 字符"/>
    <w:basedOn w:val="18"/>
    <w:link w:val="7"/>
    <w:semiHidden/>
    <w:uiPriority w:val="9"/>
    <w:rPr>
      <w:rFonts w:cstheme="majorBidi"/>
      <w:b/>
      <w:bCs/>
      <w:color w:val="104862" w:themeColor="accent1" w:themeShade="BF"/>
    </w:rPr>
  </w:style>
  <w:style w:type="character" w:customStyle="1" w:styleId="28">
    <w:name w:val="标题 7 字符"/>
    <w:basedOn w:val="18"/>
    <w:link w:val="8"/>
    <w:semiHidden/>
    <w:uiPriority w:val="9"/>
    <w:rPr>
      <w:rFonts w:cstheme="majorBidi"/>
      <w:b/>
      <w:bCs/>
      <w:color w:val="595959" w:themeColor="text1" w:themeTint="A6"/>
      <w14:textFill>
        <w14:solidFill>
          <w14:schemeClr w14:val="tx1">
            <w14:lumMod w14:val="65000"/>
            <w14:lumOff w14:val="35000"/>
          </w14:schemeClr>
        </w14:solidFill>
      </w14:textFill>
    </w:rPr>
  </w:style>
  <w:style w:type="character" w:customStyle="1" w:styleId="29">
    <w:name w:val="标题 8 字符"/>
    <w:basedOn w:val="18"/>
    <w:link w:val="9"/>
    <w:semiHidden/>
    <w:uiPriority w:val="9"/>
    <w:rPr>
      <w:rFonts w:cstheme="majorBidi"/>
      <w:color w:val="595959" w:themeColor="text1" w:themeTint="A6"/>
      <w14:textFill>
        <w14:solidFill>
          <w14:schemeClr w14:val="tx1">
            <w14:lumMod w14:val="65000"/>
            <w14:lumOff w14:val="35000"/>
          </w14:schemeClr>
        </w14:solidFill>
      </w14:textFill>
    </w:rPr>
  </w:style>
  <w:style w:type="character" w:customStyle="1" w:styleId="30">
    <w:name w:val="标题 9 字符"/>
    <w:basedOn w:val="18"/>
    <w:link w:val="10"/>
    <w:semiHidden/>
    <w:uiPriority w:val="9"/>
    <w:rPr>
      <w:rFonts w:eastAsiaTheme="majorEastAsia" w:cstheme="majorBidi"/>
      <w:color w:val="595959" w:themeColor="text1" w:themeTint="A6"/>
      <w14:textFill>
        <w14:solidFill>
          <w14:schemeClr w14:val="tx1">
            <w14:lumMod w14:val="65000"/>
            <w14:lumOff w14:val="35000"/>
          </w14:schemeClr>
        </w14:solidFill>
      </w14:textFill>
    </w:rPr>
  </w:style>
  <w:style w:type="character" w:customStyle="1" w:styleId="31">
    <w:name w:val="标题 字符"/>
    <w:basedOn w:val="18"/>
    <w:link w:val="15"/>
    <w:uiPriority w:val="10"/>
    <w:rPr>
      <w:rFonts w:asciiTheme="majorHAnsi" w:hAnsiTheme="majorHAnsi" w:eastAsiaTheme="majorEastAsia" w:cstheme="majorBidi"/>
      <w:spacing w:val="-10"/>
      <w:kern w:val="28"/>
      <w:sz w:val="56"/>
      <w:szCs w:val="56"/>
    </w:rPr>
  </w:style>
  <w:style w:type="character" w:customStyle="1" w:styleId="32">
    <w:name w:val="副标题 字符"/>
    <w:basedOn w:val="18"/>
    <w:link w:val="14"/>
    <w:uiPriority w:val="11"/>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33">
    <w:name w:val="Quote"/>
    <w:basedOn w:val="1"/>
    <w:next w:val="1"/>
    <w:link w:val="34"/>
    <w:qFormat/>
    <w:uiPriority w:val="29"/>
    <w:pPr>
      <w:spacing w:before="160"/>
      <w:jc w:val="center"/>
    </w:pPr>
    <w:rPr>
      <w:i/>
      <w:iCs/>
      <w:color w:val="404040" w:themeColor="text1" w:themeTint="BF"/>
      <w14:textFill>
        <w14:solidFill>
          <w14:schemeClr w14:val="tx1">
            <w14:lumMod w14:val="75000"/>
            <w14:lumOff w14:val="25000"/>
          </w14:schemeClr>
        </w14:solidFill>
      </w14:textFill>
    </w:rPr>
  </w:style>
  <w:style w:type="character" w:customStyle="1" w:styleId="34">
    <w:name w:val="引用 字符"/>
    <w:basedOn w:val="18"/>
    <w:link w:val="33"/>
    <w:uiPriority w:val="29"/>
    <w:rPr>
      <w:i/>
      <w:iCs/>
      <w:color w:val="404040" w:themeColor="text1" w:themeTint="BF"/>
      <w14:textFill>
        <w14:solidFill>
          <w14:schemeClr w14:val="tx1">
            <w14:lumMod w14:val="75000"/>
            <w14:lumOff w14:val="25000"/>
          </w14:schemeClr>
        </w14:solidFill>
      </w14:textFill>
    </w:rPr>
  </w:style>
  <w:style w:type="paragraph" w:styleId="35">
    <w:name w:val="List Paragraph"/>
    <w:basedOn w:val="1"/>
    <w:qFormat/>
    <w:uiPriority w:val="34"/>
    <w:pPr>
      <w:ind w:left="720"/>
      <w:contextualSpacing/>
    </w:pPr>
  </w:style>
  <w:style w:type="character" w:customStyle="1" w:styleId="36">
    <w:name w:val="Intense Emphasis"/>
    <w:basedOn w:val="18"/>
    <w:qFormat/>
    <w:uiPriority w:val="21"/>
    <w:rPr>
      <w:i/>
      <w:iCs/>
      <w:color w:val="104862" w:themeColor="accent1" w:themeShade="BF"/>
    </w:rPr>
  </w:style>
  <w:style w:type="paragraph" w:styleId="37">
    <w:name w:val="Intense Quote"/>
    <w:basedOn w:val="1"/>
    <w:next w:val="1"/>
    <w:link w:val="38"/>
    <w:qFormat/>
    <w:uiPriority w:val="30"/>
    <w:pPr>
      <w:pBdr>
        <w:top w:val="single" w:color="0F4761" w:themeColor="accent1" w:themeShade="BF" w:sz="4" w:space="10"/>
        <w:bottom w:val="single" w:color="0F4761" w:themeColor="accent1" w:themeShade="BF" w:sz="4" w:space="10"/>
      </w:pBdr>
      <w:spacing w:before="360" w:after="360"/>
      <w:ind w:left="864" w:right="864"/>
      <w:jc w:val="center"/>
    </w:pPr>
    <w:rPr>
      <w:i/>
      <w:iCs/>
      <w:color w:val="104862" w:themeColor="accent1" w:themeShade="BF"/>
    </w:rPr>
  </w:style>
  <w:style w:type="character" w:customStyle="1" w:styleId="38">
    <w:name w:val="明显引用 字符"/>
    <w:basedOn w:val="18"/>
    <w:link w:val="37"/>
    <w:uiPriority w:val="30"/>
    <w:rPr>
      <w:i/>
      <w:iCs/>
      <w:color w:val="104862" w:themeColor="accent1" w:themeShade="BF"/>
    </w:rPr>
  </w:style>
  <w:style w:type="character" w:customStyle="1" w:styleId="39">
    <w:name w:val="Intense Reference"/>
    <w:basedOn w:val="18"/>
    <w:qFormat/>
    <w:uiPriority w:val="32"/>
    <w:rPr>
      <w:b/>
      <w:bCs/>
      <w:smallCaps/>
      <w:color w:val="104862" w:themeColor="accent1" w:themeShade="BF"/>
      <w:spacing w:val="5"/>
    </w:rPr>
  </w:style>
  <w:style w:type="character" w:customStyle="1" w:styleId="40">
    <w:name w:val="批注文字 字符"/>
    <w:basedOn w:val="18"/>
    <w:link w:val="11"/>
    <w:semiHidden/>
    <w:uiPriority w:val="99"/>
  </w:style>
  <w:style w:type="character" w:customStyle="1" w:styleId="41">
    <w:name w:val="批注主题 字符"/>
    <w:basedOn w:val="40"/>
    <w:link w:val="16"/>
    <w:semiHidden/>
    <w:uiPriority w:val="99"/>
    <w:rPr>
      <w:b/>
      <w:bCs/>
    </w:rPr>
  </w:style>
  <w:style w:type="character" w:customStyle="1" w:styleId="42">
    <w:name w:val="页眉 字符"/>
    <w:basedOn w:val="18"/>
    <w:link w:val="13"/>
    <w:uiPriority w:val="99"/>
    <w:rPr>
      <w:sz w:val="18"/>
      <w:szCs w:val="18"/>
    </w:rPr>
  </w:style>
  <w:style w:type="character" w:customStyle="1" w:styleId="43">
    <w:name w:val="页脚 字符"/>
    <w:basedOn w:val="18"/>
    <w:link w:val="12"/>
    <w:uiPriority w:val="99"/>
    <w:rPr>
      <w:sz w:val="18"/>
      <w:szCs w:val="18"/>
    </w:rPr>
  </w:style>
  <w:style w:type="character" w:customStyle="1" w:styleId="44">
    <w:name w:val="Unresolved Mention"/>
    <w:basedOn w:val="18"/>
    <w:semiHidden/>
    <w:unhideWhenUsed/>
    <w:uiPriority w:val="99"/>
    <w:rPr>
      <w:color w:val="605E5C"/>
      <w:shd w:val="clear" w:color="auto" w:fill="E1DFDD"/>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theme>
</file>

<file path=docProps/app.xml><?xml version="1.0" encoding="utf-8"?>
<Properties xmlns="http://schemas.openxmlformats.org/officeDocument/2006/extended-properties" xmlns:vt="http://schemas.openxmlformats.org/officeDocument/2006/docPropsVTypes">
  <Template>Normal</Template>
  <Pages>20</Pages>
  <Words>6321</Words>
  <Characters>36731</Characters>
  <Lines>680</Lines>
  <Paragraphs>181</Paragraphs>
  <TotalTime>1728</TotalTime>
  <ScaleCrop>false</ScaleCrop>
  <LinksUpToDate>false</LinksUpToDate>
  <CharactersWithSpaces>42871</CharactersWithSpaces>
  <Application>WPS Office_12.1.23540.23540_F1E327BC-269C-435d-A152-05C5408002CA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2026-01-03T08:18:00Z</dcterms:created>
  <dc:creator>Data</dc:creator>
  <cp:lastModifiedBy>おうがいの薇</cp:lastModifiedBy>
  <dcterms:modified xsi:type="dcterms:W3CDTF">2026-01-07T22:51:57Z</dcterms:modified>
  <cp:revision>49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2052-12.1.23540.23540</vt:lpwstr>
  </property>
  <property fmtid="{D5CDD505-2E9C-101B-9397-08002B2CF9AE}" pid="3" name="ICV">
    <vt:lpwstr>6FEFC53A28FB2769B7C85E69D56C8A7B_42</vt:lpwstr>
  </property>
</Properties>
</file>