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2443" w:rsidRPr="004B6832" w:rsidRDefault="00AB2443" w:rsidP="004B6832">
      <w:pPr>
        <w:spacing w:line="360" w:lineRule="auto"/>
        <w:rPr>
          <w:rFonts w:ascii="Arial" w:hAnsi="Arial" w:cs="Arial"/>
          <w:b/>
          <w:bCs/>
          <w:sz w:val="28"/>
          <w:szCs w:val="28"/>
          <w:u w:val="single"/>
        </w:rPr>
      </w:pPr>
      <w:r w:rsidRPr="004B6832">
        <w:rPr>
          <w:rFonts w:ascii="Arial" w:hAnsi="Arial" w:cs="Arial"/>
          <w:b/>
          <w:bCs/>
          <w:sz w:val="28"/>
          <w:szCs w:val="28"/>
          <w:u w:val="single"/>
        </w:rPr>
        <w:t>A critical evaluation and the identification of next teaching and learning steps focusing on a case study of an individual learner or a group of learners, based on an observed critical incident.</w:t>
      </w:r>
    </w:p>
    <w:p w:rsidR="00AB2443" w:rsidRDefault="00AB2443" w:rsidP="00AB2443"/>
    <w:p w:rsidR="003C7735" w:rsidRPr="003C7735" w:rsidRDefault="003C7735" w:rsidP="003C7735"/>
    <w:p w:rsidR="006F5673" w:rsidRPr="006F5673" w:rsidRDefault="00BB1F60" w:rsidP="00FC604A">
      <w:pPr>
        <w:spacing w:line="360" w:lineRule="auto"/>
        <w:jc w:val="both"/>
        <w:rPr>
          <w:rFonts w:ascii="Arial" w:hAnsi="Arial" w:cs="Arial"/>
          <w:sz w:val="22"/>
          <w:szCs w:val="22"/>
        </w:rPr>
      </w:pPr>
      <w:r>
        <w:rPr>
          <w:rFonts w:ascii="Arial" w:hAnsi="Arial" w:cs="Arial"/>
          <w:sz w:val="22"/>
          <w:szCs w:val="22"/>
        </w:rPr>
        <w:t>Teaching is a complex profession requiring theoretical underpinning to every action, and every plan (</w:t>
      </w:r>
      <w:r w:rsidR="001A5886">
        <w:rPr>
          <w:rFonts w:ascii="Arial" w:hAnsi="Arial" w:cs="Arial"/>
          <w:sz w:val="22"/>
          <w:szCs w:val="22"/>
        </w:rPr>
        <w:t xml:space="preserve">Gibbs, 2002; </w:t>
      </w:r>
      <w:proofErr w:type="spellStart"/>
      <w:r w:rsidR="001A5886">
        <w:rPr>
          <w:rFonts w:ascii="Arial" w:hAnsi="Arial" w:cs="Arial"/>
          <w:sz w:val="22"/>
          <w:szCs w:val="22"/>
        </w:rPr>
        <w:t>Krokfors</w:t>
      </w:r>
      <w:proofErr w:type="spellEnd"/>
      <w:r w:rsidR="001A5886">
        <w:rPr>
          <w:rFonts w:ascii="Arial" w:hAnsi="Arial" w:cs="Arial"/>
          <w:sz w:val="22"/>
          <w:szCs w:val="22"/>
        </w:rPr>
        <w:t xml:space="preserve"> et al., 2011; Donaldson, 2015</w:t>
      </w:r>
      <w:r>
        <w:rPr>
          <w:rFonts w:ascii="Arial" w:hAnsi="Arial" w:cs="Arial"/>
          <w:sz w:val="22"/>
          <w:szCs w:val="22"/>
        </w:rPr>
        <w:t>). To supplement the theory, teaching should be research-based, research-informed, evaluative and reflective (</w:t>
      </w:r>
      <w:r w:rsidR="00CD073F">
        <w:rPr>
          <w:rFonts w:ascii="Arial" w:hAnsi="Arial" w:cs="Arial"/>
          <w:sz w:val="22"/>
          <w:szCs w:val="22"/>
        </w:rPr>
        <w:t xml:space="preserve">Donaldson, 2015; Webster and </w:t>
      </w:r>
      <w:proofErr w:type="spellStart"/>
      <w:r w:rsidR="00CD073F">
        <w:rPr>
          <w:rFonts w:ascii="Arial" w:hAnsi="Arial" w:cs="Arial"/>
          <w:sz w:val="22"/>
          <w:szCs w:val="22"/>
        </w:rPr>
        <w:t>Whelen</w:t>
      </w:r>
      <w:proofErr w:type="spellEnd"/>
      <w:r w:rsidR="00CD073F">
        <w:rPr>
          <w:rFonts w:ascii="Arial" w:hAnsi="Arial" w:cs="Arial"/>
          <w:sz w:val="22"/>
          <w:szCs w:val="22"/>
        </w:rPr>
        <w:t>, 2019</w:t>
      </w:r>
      <w:r>
        <w:rPr>
          <w:rFonts w:ascii="Arial" w:hAnsi="Arial" w:cs="Arial"/>
          <w:sz w:val="22"/>
          <w:szCs w:val="22"/>
        </w:rPr>
        <w:t>).</w:t>
      </w:r>
      <w:r w:rsidR="009C3C46">
        <w:rPr>
          <w:rFonts w:ascii="Arial" w:hAnsi="Arial" w:cs="Arial"/>
          <w:sz w:val="22"/>
          <w:szCs w:val="22"/>
        </w:rPr>
        <w:t xml:space="preserve"> Arguably, the ability to reflect upon oneself in terms of performance and outcome is the most important skill in teaching (</w:t>
      </w:r>
      <w:r w:rsidR="00CD073F">
        <w:rPr>
          <w:rFonts w:ascii="Arial" w:hAnsi="Arial" w:cs="Arial"/>
          <w:sz w:val="22"/>
          <w:szCs w:val="22"/>
        </w:rPr>
        <w:t xml:space="preserve">Webster and </w:t>
      </w:r>
      <w:proofErr w:type="spellStart"/>
      <w:r w:rsidR="00CD073F">
        <w:rPr>
          <w:rFonts w:ascii="Arial" w:hAnsi="Arial" w:cs="Arial"/>
          <w:sz w:val="22"/>
          <w:szCs w:val="22"/>
        </w:rPr>
        <w:t>Whelen</w:t>
      </w:r>
      <w:proofErr w:type="spellEnd"/>
      <w:r w:rsidR="00CD073F">
        <w:rPr>
          <w:rFonts w:ascii="Arial" w:hAnsi="Arial" w:cs="Arial"/>
          <w:sz w:val="22"/>
          <w:szCs w:val="22"/>
        </w:rPr>
        <w:t>, 2019</w:t>
      </w:r>
      <w:r w:rsidR="009C3C46">
        <w:rPr>
          <w:rFonts w:ascii="Arial" w:hAnsi="Arial" w:cs="Arial"/>
          <w:sz w:val="22"/>
          <w:szCs w:val="22"/>
        </w:rPr>
        <w:t>).</w:t>
      </w:r>
      <w:r>
        <w:rPr>
          <w:rFonts w:ascii="Arial" w:hAnsi="Arial" w:cs="Arial"/>
          <w:sz w:val="22"/>
          <w:szCs w:val="22"/>
        </w:rPr>
        <w:t xml:space="preserve"> At this current time, education in Wales is undergoing huge change in the form of a curriculum reform. The new curriculum, based upon recommendations from Graham Donaldson (2015) and his work </w:t>
      </w:r>
      <w:r w:rsidRPr="00BB1F60">
        <w:rPr>
          <w:rFonts w:ascii="Arial" w:hAnsi="Arial" w:cs="Arial"/>
          <w:i/>
          <w:iCs/>
          <w:sz w:val="22"/>
          <w:szCs w:val="22"/>
        </w:rPr>
        <w:t>Successful Futures</w:t>
      </w:r>
      <w:r>
        <w:rPr>
          <w:rFonts w:ascii="Arial" w:hAnsi="Arial" w:cs="Arial"/>
          <w:sz w:val="22"/>
          <w:szCs w:val="22"/>
        </w:rPr>
        <w:t xml:space="preserve">. </w:t>
      </w:r>
      <w:r w:rsidR="006F5673">
        <w:rPr>
          <w:rFonts w:ascii="Arial" w:hAnsi="Arial" w:cs="Arial"/>
          <w:sz w:val="22"/>
          <w:szCs w:val="22"/>
        </w:rPr>
        <w:t>This assignment will investigate and analyse one observed critical incident</w:t>
      </w:r>
      <w:r w:rsidR="009C3C46">
        <w:rPr>
          <w:rFonts w:ascii="Arial" w:hAnsi="Arial" w:cs="Arial"/>
          <w:sz w:val="22"/>
          <w:szCs w:val="22"/>
        </w:rPr>
        <w:t xml:space="preserve"> (Tripp, 2012)</w:t>
      </w:r>
      <w:r w:rsidR="006F5673">
        <w:rPr>
          <w:rFonts w:ascii="Arial" w:hAnsi="Arial" w:cs="Arial"/>
          <w:sz w:val="22"/>
          <w:szCs w:val="22"/>
        </w:rPr>
        <w:t>, relating back to Donaldson’s (2015) four purposes of education alongside literature. Furthermore, the assignment will suggest recommendations for future practice and discuss the role of critical reflection</w:t>
      </w:r>
      <w:r w:rsidR="000E4DEE">
        <w:rPr>
          <w:rFonts w:ascii="Arial" w:hAnsi="Arial" w:cs="Arial"/>
          <w:sz w:val="22"/>
          <w:szCs w:val="22"/>
        </w:rPr>
        <w:t xml:space="preserve"> using models from</w:t>
      </w:r>
      <w:r w:rsidR="0091230D">
        <w:rPr>
          <w:rFonts w:ascii="Arial" w:hAnsi="Arial" w:cs="Arial"/>
          <w:sz w:val="22"/>
          <w:szCs w:val="22"/>
        </w:rPr>
        <w:t xml:space="preserve"> Schön (1991) and </w:t>
      </w:r>
      <w:r w:rsidR="000E4DEE">
        <w:rPr>
          <w:rFonts w:ascii="Arial" w:hAnsi="Arial" w:cs="Arial"/>
          <w:sz w:val="22"/>
          <w:szCs w:val="22"/>
        </w:rPr>
        <w:t xml:space="preserve"> Kolb (1984)</w:t>
      </w:r>
      <w:r w:rsidR="0091230D">
        <w:rPr>
          <w:rFonts w:ascii="Arial" w:hAnsi="Arial" w:cs="Arial"/>
          <w:sz w:val="22"/>
          <w:szCs w:val="22"/>
        </w:rPr>
        <w:t>.</w:t>
      </w:r>
    </w:p>
    <w:p w:rsidR="002F60C5" w:rsidRDefault="002F60C5" w:rsidP="002F60C5"/>
    <w:p w:rsidR="009C3C46" w:rsidRDefault="002F60C5" w:rsidP="002F0B17">
      <w:pPr>
        <w:spacing w:line="360" w:lineRule="auto"/>
        <w:jc w:val="both"/>
        <w:rPr>
          <w:rFonts w:ascii="Arial" w:hAnsi="Arial" w:cs="Arial"/>
          <w:sz w:val="22"/>
          <w:szCs w:val="22"/>
        </w:rPr>
      </w:pPr>
      <w:r w:rsidRPr="007F2AAF">
        <w:rPr>
          <w:rFonts w:ascii="Arial" w:hAnsi="Arial" w:cs="Arial"/>
          <w:sz w:val="22"/>
          <w:szCs w:val="22"/>
        </w:rPr>
        <w:t xml:space="preserve">The observation took place in a primary school </w:t>
      </w:r>
      <w:r w:rsidR="00E13F9E" w:rsidRPr="007F2AAF">
        <w:rPr>
          <w:rFonts w:ascii="Arial" w:hAnsi="Arial" w:cs="Arial"/>
          <w:sz w:val="22"/>
          <w:szCs w:val="22"/>
        </w:rPr>
        <w:t xml:space="preserve">located in a small town in South Wales. The school is a Roman Catholic faith school </w:t>
      </w:r>
      <w:r w:rsidRPr="007F2AAF">
        <w:rPr>
          <w:rFonts w:ascii="Arial" w:hAnsi="Arial" w:cs="Arial"/>
          <w:sz w:val="22"/>
          <w:szCs w:val="22"/>
        </w:rPr>
        <w:t xml:space="preserve">which serves children from across the Vale of Glamorgan. The primary school </w:t>
      </w:r>
      <w:r w:rsidR="00E13F9E" w:rsidRPr="007F2AAF">
        <w:rPr>
          <w:rFonts w:ascii="Arial" w:hAnsi="Arial" w:cs="Arial"/>
          <w:sz w:val="22"/>
          <w:szCs w:val="22"/>
        </w:rPr>
        <w:t xml:space="preserve">currently </w:t>
      </w:r>
      <w:r w:rsidRPr="007F2AAF">
        <w:rPr>
          <w:rFonts w:ascii="Arial" w:hAnsi="Arial" w:cs="Arial"/>
          <w:sz w:val="22"/>
          <w:szCs w:val="22"/>
        </w:rPr>
        <w:t xml:space="preserve">has 222 pupils </w:t>
      </w:r>
      <w:r w:rsidR="00E13F9E" w:rsidRPr="007F2AAF">
        <w:rPr>
          <w:rFonts w:ascii="Arial" w:hAnsi="Arial" w:cs="Arial"/>
          <w:sz w:val="22"/>
          <w:szCs w:val="22"/>
        </w:rPr>
        <w:t xml:space="preserve">on roll </w:t>
      </w:r>
      <w:r w:rsidRPr="007F2AAF">
        <w:rPr>
          <w:rFonts w:ascii="Arial" w:hAnsi="Arial" w:cs="Arial"/>
          <w:sz w:val="22"/>
          <w:szCs w:val="22"/>
        </w:rPr>
        <w:t xml:space="preserve">across seven single-aged classes with a single form entry. </w:t>
      </w:r>
      <w:r w:rsidR="00E13F9E" w:rsidRPr="007F2AAF">
        <w:rPr>
          <w:rFonts w:ascii="Arial" w:hAnsi="Arial" w:cs="Arial"/>
          <w:sz w:val="22"/>
          <w:szCs w:val="22"/>
        </w:rPr>
        <w:t xml:space="preserve">There is a nursery on site which shares a building with an external additional learning needs (ALN) unit. </w:t>
      </w:r>
      <w:r w:rsidRPr="007F2AAF">
        <w:rPr>
          <w:rFonts w:ascii="Arial" w:hAnsi="Arial" w:cs="Arial"/>
          <w:sz w:val="22"/>
          <w:szCs w:val="22"/>
        </w:rPr>
        <w:t>The school is in an affluent area</w:t>
      </w:r>
      <w:r w:rsidR="00E13F9E" w:rsidRPr="007F2AAF">
        <w:rPr>
          <w:rFonts w:ascii="Arial" w:hAnsi="Arial" w:cs="Arial"/>
          <w:sz w:val="22"/>
          <w:szCs w:val="22"/>
        </w:rPr>
        <w:t xml:space="preserve"> of South Wales</w:t>
      </w:r>
      <w:r w:rsidRPr="007F2AAF">
        <w:rPr>
          <w:rFonts w:ascii="Arial" w:hAnsi="Arial" w:cs="Arial"/>
          <w:sz w:val="22"/>
          <w:szCs w:val="22"/>
        </w:rPr>
        <w:t xml:space="preserve"> and this is </w:t>
      </w:r>
      <w:r w:rsidR="00E13F9E" w:rsidRPr="007F2AAF">
        <w:rPr>
          <w:rFonts w:ascii="Arial" w:hAnsi="Arial" w:cs="Arial"/>
          <w:sz w:val="22"/>
          <w:szCs w:val="22"/>
        </w:rPr>
        <w:t xml:space="preserve">highlighted in statistics – the number of pupils receiving free school meals </w:t>
      </w:r>
      <w:r w:rsidR="007F2AAF">
        <w:rPr>
          <w:rFonts w:ascii="Arial" w:hAnsi="Arial" w:cs="Arial"/>
          <w:sz w:val="22"/>
          <w:szCs w:val="22"/>
        </w:rPr>
        <w:t xml:space="preserve">(FSM) </w:t>
      </w:r>
      <w:r w:rsidR="00E13F9E" w:rsidRPr="007F2AAF">
        <w:rPr>
          <w:rFonts w:ascii="Arial" w:hAnsi="Arial" w:cs="Arial"/>
          <w:sz w:val="22"/>
          <w:szCs w:val="22"/>
        </w:rPr>
        <w:t>is below the national average at 12.1%</w:t>
      </w:r>
      <w:r w:rsidR="007F2AAF" w:rsidRPr="007F2AAF">
        <w:rPr>
          <w:rFonts w:ascii="Arial" w:hAnsi="Arial" w:cs="Arial"/>
          <w:sz w:val="22"/>
          <w:szCs w:val="22"/>
        </w:rPr>
        <w:t xml:space="preserve"> (reference omitted to ensure anonymity) </w:t>
      </w:r>
      <w:r w:rsidR="00E13F9E" w:rsidRPr="007F2AAF">
        <w:rPr>
          <w:rFonts w:ascii="Arial" w:hAnsi="Arial" w:cs="Arial"/>
          <w:sz w:val="22"/>
          <w:szCs w:val="22"/>
        </w:rPr>
        <w:t xml:space="preserve">. </w:t>
      </w:r>
      <w:r w:rsidRPr="007F2AAF">
        <w:rPr>
          <w:rFonts w:ascii="Arial" w:hAnsi="Arial" w:cs="Arial"/>
          <w:sz w:val="22"/>
          <w:szCs w:val="22"/>
        </w:rPr>
        <w:t xml:space="preserve">The school </w:t>
      </w:r>
      <w:r w:rsidR="00E13F9E" w:rsidRPr="007F2AAF">
        <w:rPr>
          <w:rFonts w:ascii="Arial" w:hAnsi="Arial" w:cs="Arial"/>
          <w:sz w:val="22"/>
          <w:szCs w:val="22"/>
        </w:rPr>
        <w:t>received a</w:t>
      </w:r>
      <w:r w:rsidRPr="007F2AAF">
        <w:rPr>
          <w:rFonts w:ascii="Arial" w:hAnsi="Arial" w:cs="Arial"/>
          <w:sz w:val="22"/>
          <w:szCs w:val="22"/>
        </w:rPr>
        <w:t xml:space="preserve"> rat</w:t>
      </w:r>
      <w:r w:rsidR="00E13F9E" w:rsidRPr="007F2AAF">
        <w:rPr>
          <w:rFonts w:ascii="Arial" w:hAnsi="Arial" w:cs="Arial"/>
          <w:sz w:val="22"/>
          <w:szCs w:val="22"/>
        </w:rPr>
        <w:t>ing</w:t>
      </w:r>
      <w:r w:rsidRPr="007F2AAF">
        <w:rPr>
          <w:rFonts w:ascii="Arial" w:hAnsi="Arial" w:cs="Arial"/>
          <w:sz w:val="22"/>
          <w:szCs w:val="22"/>
        </w:rPr>
        <w:t xml:space="preserve"> ‘Good’ </w:t>
      </w:r>
      <w:r w:rsidR="00E13F9E" w:rsidRPr="007F2AAF">
        <w:rPr>
          <w:rFonts w:ascii="Arial" w:hAnsi="Arial" w:cs="Arial"/>
          <w:sz w:val="22"/>
          <w:szCs w:val="22"/>
        </w:rPr>
        <w:t>for current performance and ‘Good’ for prospects in improvement, in their last inspection by</w:t>
      </w:r>
      <w:r w:rsidRPr="007F2AAF">
        <w:rPr>
          <w:rFonts w:ascii="Arial" w:hAnsi="Arial" w:cs="Arial"/>
          <w:sz w:val="22"/>
          <w:szCs w:val="22"/>
        </w:rPr>
        <w:t xml:space="preserve"> Estyn</w:t>
      </w:r>
      <w:r w:rsidR="007F2AAF" w:rsidRPr="007F2AAF">
        <w:rPr>
          <w:rFonts w:ascii="Arial" w:hAnsi="Arial" w:cs="Arial"/>
          <w:sz w:val="22"/>
          <w:szCs w:val="22"/>
        </w:rPr>
        <w:t xml:space="preserve"> (reference omitted to ensure anonymity)</w:t>
      </w:r>
      <w:r w:rsidRPr="007F2AAF">
        <w:rPr>
          <w:rFonts w:ascii="Arial" w:hAnsi="Arial" w:cs="Arial"/>
          <w:sz w:val="22"/>
          <w:szCs w:val="22"/>
        </w:rPr>
        <w:t xml:space="preserve">. </w:t>
      </w:r>
      <w:r w:rsidR="007F2AAF" w:rsidRPr="007F2AAF">
        <w:rPr>
          <w:rFonts w:ascii="Arial" w:hAnsi="Arial" w:cs="Arial"/>
          <w:sz w:val="22"/>
          <w:szCs w:val="22"/>
        </w:rPr>
        <w:t xml:space="preserve">The school is a pioneer school for the new curriculum and is working closely with Impact Wales throughout their transition (reference omitted to ensure anonymity). </w:t>
      </w:r>
      <w:r w:rsidR="00E13F9E" w:rsidRPr="007F2AAF">
        <w:rPr>
          <w:rFonts w:ascii="Arial" w:hAnsi="Arial" w:cs="Arial"/>
          <w:sz w:val="22"/>
          <w:szCs w:val="22"/>
        </w:rPr>
        <w:t xml:space="preserve">The witnessed critical incident occurred in an observation within a Year 2, foundation phase class of approximately 30 children. </w:t>
      </w:r>
      <w:r w:rsidR="007F2AAF">
        <w:rPr>
          <w:rFonts w:ascii="Arial" w:hAnsi="Arial" w:cs="Arial"/>
          <w:sz w:val="22"/>
          <w:szCs w:val="22"/>
        </w:rPr>
        <w:t>Within the class there is one child who is classified as English as an Additional Language (EAL) and one child who is classed as ALN for autistic spectrum condition. It is unknown as to how many of the children are FSM.</w:t>
      </w:r>
      <w:r w:rsidR="002F0B17">
        <w:rPr>
          <w:rFonts w:ascii="Arial" w:hAnsi="Arial" w:cs="Arial"/>
          <w:sz w:val="22"/>
          <w:szCs w:val="22"/>
        </w:rPr>
        <w:t xml:space="preserve"> </w:t>
      </w:r>
    </w:p>
    <w:p w:rsidR="009C3C46" w:rsidRDefault="009C3C46" w:rsidP="002F0B17">
      <w:pPr>
        <w:spacing w:line="360" w:lineRule="auto"/>
        <w:jc w:val="both"/>
        <w:rPr>
          <w:rFonts w:ascii="Arial" w:hAnsi="Arial" w:cs="Arial"/>
          <w:sz w:val="22"/>
          <w:szCs w:val="22"/>
        </w:rPr>
      </w:pPr>
    </w:p>
    <w:p w:rsidR="002F0B17" w:rsidRPr="00FC604A" w:rsidRDefault="009C3C46" w:rsidP="002F0B17">
      <w:pPr>
        <w:spacing w:line="360" w:lineRule="auto"/>
        <w:jc w:val="both"/>
        <w:rPr>
          <w:rFonts w:ascii="Arial" w:hAnsi="Arial" w:cs="Arial"/>
          <w:sz w:val="22"/>
          <w:szCs w:val="22"/>
        </w:rPr>
      </w:pPr>
      <w:r>
        <w:rPr>
          <w:rFonts w:ascii="Arial" w:hAnsi="Arial" w:cs="Arial"/>
          <w:sz w:val="22"/>
          <w:szCs w:val="22"/>
        </w:rPr>
        <w:t xml:space="preserve">A critical incident can be described as a seemingly insignificant occurrence or behaviour within the classroom which can be critically analysed to become more significant (Tripp, 2012). </w:t>
      </w:r>
      <w:r w:rsidR="002F0B17">
        <w:rPr>
          <w:rFonts w:ascii="Arial" w:hAnsi="Arial" w:cs="Arial"/>
          <w:sz w:val="22"/>
          <w:szCs w:val="22"/>
        </w:rPr>
        <w:t xml:space="preserve">The critical incident concerned a Year 2 pupil in the aforementioned school. The learner was </w:t>
      </w:r>
      <w:r w:rsidR="002F0B17">
        <w:rPr>
          <w:rFonts w:ascii="Arial" w:hAnsi="Arial" w:cs="Arial"/>
          <w:sz w:val="22"/>
          <w:szCs w:val="22"/>
        </w:rPr>
        <w:lastRenderedPageBreak/>
        <w:t>displaying traits of a more able and talented (MAT) pupil. They were disengaged from the teacher input and became disruptive. Suggested reasons, implications and solutions will be discussed further in this assignment.</w:t>
      </w:r>
    </w:p>
    <w:p w:rsidR="002F60C5" w:rsidRPr="002F60C5" w:rsidRDefault="002F60C5" w:rsidP="002F60C5"/>
    <w:p w:rsidR="007F2AAF" w:rsidRDefault="007F2AAF" w:rsidP="003C7735">
      <w:pPr>
        <w:spacing w:line="360" w:lineRule="auto"/>
        <w:jc w:val="both"/>
        <w:rPr>
          <w:rFonts w:ascii="Arial" w:hAnsi="Arial" w:cs="Arial"/>
          <w:sz w:val="22"/>
          <w:szCs w:val="22"/>
        </w:rPr>
      </w:pPr>
      <w:r>
        <w:rPr>
          <w:rFonts w:ascii="Arial" w:hAnsi="Arial" w:cs="Arial"/>
          <w:sz w:val="22"/>
          <w:szCs w:val="22"/>
        </w:rPr>
        <w:t xml:space="preserve">The critical incident was observed using a case-study </w:t>
      </w:r>
      <w:r w:rsidR="003078FC">
        <w:rPr>
          <w:rFonts w:ascii="Arial" w:hAnsi="Arial" w:cs="Arial"/>
          <w:sz w:val="22"/>
          <w:szCs w:val="22"/>
        </w:rPr>
        <w:t xml:space="preserve">observation </w:t>
      </w:r>
      <w:r>
        <w:rPr>
          <w:rFonts w:ascii="Arial" w:hAnsi="Arial" w:cs="Arial"/>
          <w:sz w:val="22"/>
          <w:szCs w:val="22"/>
        </w:rPr>
        <w:t xml:space="preserve">methodology. </w:t>
      </w:r>
      <w:r w:rsidR="007476F9">
        <w:rPr>
          <w:rFonts w:ascii="Arial" w:hAnsi="Arial" w:cs="Arial"/>
          <w:sz w:val="22"/>
          <w:szCs w:val="22"/>
        </w:rPr>
        <w:t>This method of research consists of data gathered by a researcher directly recording behaviours displayed by participants (</w:t>
      </w:r>
      <w:r w:rsidR="00CD073F">
        <w:rPr>
          <w:rFonts w:ascii="Arial" w:hAnsi="Arial" w:cs="Arial"/>
          <w:sz w:val="22"/>
          <w:szCs w:val="22"/>
        </w:rPr>
        <w:t>Kumar, 2019</w:t>
      </w:r>
      <w:r w:rsidR="007476F9">
        <w:rPr>
          <w:rFonts w:ascii="Arial" w:hAnsi="Arial" w:cs="Arial"/>
          <w:sz w:val="22"/>
          <w:szCs w:val="22"/>
        </w:rPr>
        <w:t xml:space="preserve">). </w:t>
      </w:r>
      <w:r w:rsidR="003078FC">
        <w:rPr>
          <w:rFonts w:ascii="Arial" w:hAnsi="Arial" w:cs="Arial"/>
          <w:sz w:val="22"/>
          <w:szCs w:val="22"/>
        </w:rPr>
        <w:t>Th</w:t>
      </w:r>
      <w:r w:rsidR="009F3F95">
        <w:rPr>
          <w:rFonts w:ascii="Arial" w:hAnsi="Arial" w:cs="Arial"/>
          <w:sz w:val="22"/>
          <w:szCs w:val="22"/>
        </w:rPr>
        <w:t>e observation</w:t>
      </w:r>
      <w:r w:rsidR="003078FC">
        <w:rPr>
          <w:rFonts w:ascii="Arial" w:hAnsi="Arial" w:cs="Arial"/>
          <w:sz w:val="22"/>
          <w:szCs w:val="22"/>
        </w:rPr>
        <w:t xml:space="preserve"> was </w:t>
      </w:r>
      <w:r w:rsidR="009F3F95">
        <w:rPr>
          <w:rFonts w:ascii="Arial" w:hAnsi="Arial" w:cs="Arial"/>
          <w:sz w:val="22"/>
          <w:szCs w:val="22"/>
        </w:rPr>
        <w:t xml:space="preserve">conducted as </w:t>
      </w:r>
      <w:r w:rsidR="003078FC">
        <w:rPr>
          <w:rFonts w:ascii="Arial" w:hAnsi="Arial" w:cs="Arial"/>
          <w:sz w:val="22"/>
          <w:szCs w:val="22"/>
        </w:rPr>
        <w:t>a non-participant</w:t>
      </w:r>
      <w:r w:rsidR="007476F9">
        <w:rPr>
          <w:rFonts w:ascii="Arial" w:hAnsi="Arial" w:cs="Arial"/>
          <w:sz w:val="22"/>
          <w:szCs w:val="22"/>
        </w:rPr>
        <w:t xml:space="preserve">, overt </w:t>
      </w:r>
      <w:r w:rsidR="003078FC">
        <w:rPr>
          <w:rFonts w:ascii="Arial" w:hAnsi="Arial" w:cs="Arial"/>
          <w:sz w:val="22"/>
          <w:szCs w:val="22"/>
        </w:rPr>
        <w:t xml:space="preserve">method of observation. This involved the observer being known to the </w:t>
      </w:r>
      <w:r w:rsidR="009F3F95">
        <w:rPr>
          <w:rFonts w:ascii="Arial" w:hAnsi="Arial" w:cs="Arial"/>
          <w:sz w:val="22"/>
          <w:szCs w:val="22"/>
        </w:rPr>
        <w:t xml:space="preserve">pupils in the class as well as the teacher. The class teacher was aware of the observation, what the observer(s) were looking for and the purpose of the observation. However, the children did not know for what they were being observed for, or why they were being observed, just that they were. </w:t>
      </w:r>
      <w:r w:rsidR="00893F20">
        <w:rPr>
          <w:rFonts w:ascii="Arial" w:hAnsi="Arial" w:cs="Arial"/>
          <w:sz w:val="22"/>
          <w:szCs w:val="22"/>
        </w:rPr>
        <w:t xml:space="preserve"> A weakness of this model is that the teacher could display </w:t>
      </w:r>
      <w:r w:rsidR="00893F20" w:rsidRPr="00893F20">
        <w:rPr>
          <w:rFonts w:ascii="Arial" w:hAnsi="Arial" w:cs="Arial"/>
          <w:i/>
          <w:iCs/>
          <w:sz w:val="22"/>
          <w:szCs w:val="22"/>
        </w:rPr>
        <w:t>social desirability bias</w:t>
      </w:r>
      <w:r w:rsidR="00893F20">
        <w:rPr>
          <w:rFonts w:ascii="Arial" w:hAnsi="Arial" w:cs="Arial"/>
          <w:sz w:val="22"/>
          <w:szCs w:val="22"/>
        </w:rPr>
        <w:t>,  whereby they are fully aware of the situation and therefore modify their behaviour to reflect what they believe is desirable</w:t>
      </w:r>
      <w:r w:rsidR="00E44F4E">
        <w:rPr>
          <w:rFonts w:ascii="Arial" w:hAnsi="Arial" w:cs="Arial"/>
          <w:sz w:val="22"/>
          <w:szCs w:val="22"/>
        </w:rPr>
        <w:t xml:space="preserve"> (</w:t>
      </w:r>
      <w:r w:rsidR="002C53C1">
        <w:rPr>
          <w:rFonts w:ascii="Arial" w:hAnsi="Arial" w:cs="Arial"/>
          <w:sz w:val="22"/>
          <w:szCs w:val="22"/>
        </w:rPr>
        <w:t>Cohen, Manion and Morrison, 2002</w:t>
      </w:r>
      <w:r w:rsidR="00BD6EFE">
        <w:rPr>
          <w:rFonts w:ascii="Arial" w:hAnsi="Arial" w:cs="Arial"/>
          <w:sz w:val="22"/>
          <w:szCs w:val="22"/>
        </w:rPr>
        <w:t xml:space="preserve">; </w:t>
      </w:r>
      <w:proofErr w:type="spellStart"/>
      <w:r w:rsidR="00BD6EFE">
        <w:rPr>
          <w:rFonts w:ascii="Arial" w:hAnsi="Arial" w:cs="Arial"/>
          <w:sz w:val="22"/>
          <w:szCs w:val="22"/>
        </w:rPr>
        <w:t>Kaminska</w:t>
      </w:r>
      <w:proofErr w:type="spellEnd"/>
      <w:r w:rsidR="00BD6EFE">
        <w:rPr>
          <w:rFonts w:ascii="Arial" w:hAnsi="Arial" w:cs="Arial"/>
          <w:sz w:val="22"/>
          <w:szCs w:val="22"/>
        </w:rPr>
        <w:t xml:space="preserve"> and </w:t>
      </w:r>
      <w:proofErr w:type="spellStart"/>
      <w:r w:rsidR="00BD6EFE">
        <w:rPr>
          <w:rFonts w:ascii="Arial" w:hAnsi="Arial" w:cs="Arial"/>
          <w:sz w:val="22"/>
          <w:szCs w:val="22"/>
        </w:rPr>
        <w:t>Foulsham</w:t>
      </w:r>
      <w:proofErr w:type="spellEnd"/>
      <w:r w:rsidR="00BD6EFE">
        <w:rPr>
          <w:rFonts w:ascii="Arial" w:hAnsi="Arial" w:cs="Arial"/>
          <w:sz w:val="22"/>
          <w:szCs w:val="22"/>
        </w:rPr>
        <w:t>, 2013</w:t>
      </w:r>
      <w:r w:rsidR="00E44F4E">
        <w:rPr>
          <w:rFonts w:ascii="Arial" w:hAnsi="Arial" w:cs="Arial"/>
          <w:sz w:val="22"/>
          <w:szCs w:val="22"/>
        </w:rPr>
        <w:t>)</w:t>
      </w:r>
      <w:r w:rsidR="00893F20">
        <w:rPr>
          <w:rFonts w:ascii="Arial" w:hAnsi="Arial" w:cs="Arial"/>
          <w:sz w:val="22"/>
          <w:szCs w:val="22"/>
        </w:rPr>
        <w:t xml:space="preserve">. Despite the possible weakness, it can be suggested that the method used is the most appropriate as the children were the participants being observed and they were unaware of the research. Furthermore, the nature of the observation was to witness a critical incident to analyse further and this would be largely unaffected by social desirability bias. </w:t>
      </w:r>
    </w:p>
    <w:p w:rsidR="009F3F95" w:rsidRDefault="009F3F95" w:rsidP="003C7735">
      <w:pPr>
        <w:spacing w:line="360" w:lineRule="auto"/>
        <w:jc w:val="both"/>
        <w:rPr>
          <w:rFonts w:ascii="Arial" w:hAnsi="Arial" w:cs="Arial"/>
          <w:sz w:val="22"/>
          <w:szCs w:val="22"/>
        </w:rPr>
      </w:pPr>
    </w:p>
    <w:p w:rsidR="009F3F95" w:rsidRDefault="009F3F95" w:rsidP="003C7735">
      <w:pPr>
        <w:spacing w:line="360" w:lineRule="auto"/>
        <w:jc w:val="both"/>
        <w:rPr>
          <w:rFonts w:ascii="Arial" w:hAnsi="Arial" w:cs="Arial"/>
          <w:sz w:val="22"/>
          <w:szCs w:val="22"/>
        </w:rPr>
      </w:pPr>
      <w:r>
        <w:rPr>
          <w:rFonts w:ascii="Arial" w:hAnsi="Arial" w:cs="Arial"/>
          <w:sz w:val="22"/>
          <w:szCs w:val="22"/>
        </w:rPr>
        <w:t xml:space="preserve">This method of research is a </w:t>
      </w:r>
      <w:r w:rsidR="00E44F4E">
        <w:rPr>
          <w:rFonts w:ascii="Arial" w:hAnsi="Arial" w:cs="Arial"/>
          <w:sz w:val="22"/>
          <w:szCs w:val="22"/>
        </w:rPr>
        <w:t>cross-sectional snapshot observation; the observation is reflective of the behaviours displayed at one particular point in time. Therefore, the displayed behaviour – the critical incident – can only be generalisable to that particular pupil, at that particular point of their schooling</w:t>
      </w:r>
      <w:r w:rsidR="006F5673">
        <w:rPr>
          <w:rFonts w:ascii="Arial" w:hAnsi="Arial" w:cs="Arial"/>
          <w:sz w:val="22"/>
          <w:szCs w:val="22"/>
        </w:rPr>
        <w:t xml:space="preserve"> (</w:t>
      </w:r>
      <w:r w:rsidR="002C53C1">
        <w:rPr>
          <w:rFonts w:ascii="Arial" w:hAnsi="Arial" w:cs="Arial"/>
          <w:sz w:val="22"/>
          <w:szCs w:val="22"/>
        </w:rPr>
        <w:t>Cohen, Manion and Morrison, 2002; Tripp, 2012; Kumar, 2019</w:t>
      </w:r>
      <w:r w:rsidR="006F5673">
        <w:rPr>
          <w:rFonts w:ascii="Arial" w:hAnsi="Arial" w:cs="Arial"/>
          <w:sz w:val="22"/>
          <w:szCs w:val="22"/>
        </w:rPr>
        <w:t>)</w:t>
      </w:r>
      <w:r w:rsidR="00E44F4E">
        <w:rPr>
          <w:rFonts w:ascii="Arial" w:hAnsi="Arial" w:cs="Arial"/>
          <w:sz w:val="22"/>
          <w:szCs w:val="22"/>
        </w:rPr>
        <w:t xml:space="preserve">. However, to conduct a longitudinal study would be inappropriate for the observation of a critical incident due to the nature of such. </w:t>
      </w:r>
      <w:r w:rsidR="0080279A">
        <w:rPr>
          <w:rFonts w:ascii="Arial" w:hAnsi="Arial" w:cs="Arial"/>
          <w:sz w:val="22"/>
          <w:szCs w:val="22"/>
        </w:rPr>
        <w:t>The findings and conclusions drawn for the incident can only be hypothetically applied to the specific observed behaviour.</w:t>
      </w:r>
    </w:p>
    <w:p w:rsidR="00790175" w:rsidRDefault="00790175" w:rsidP="003C7735">
      <w:pPr>
        <w:spacing w:line="360" w:lineRule="auto"/>
        <w:jc w:val="both"/>
        <w:rPr>
          <w:rFonts w:ascii="Arial" w:hAnsi="Arial" w:cs="Arial"/>
          <w:sz w:val="22"/>
          <w:szCs w:val="22"/>
        </w:rPr>
      </w:pPr>
    </w:p>
    <w:p w:rsidR="00790175" w:rsidRDefault="00790175" w:rsidP="003C7735">
      <w:pPr>
        <w:spacing w:line="360" w:lineRule="auto"/>
        <w:jc w:val="both"/>
        <w:rPr>
          <w:rFonts w:ascii="Arial" w:hAnsi="Arial" w:cs="Arial"/>
          <w:sz w:val="22"/>
          <w:szCs w:val="22"/>
        </w:rPr>
      </w:pPr>
      <w:r>
        <w:rPr>
          <w:rFonts w:ascii="Arial" w:hAnsi="Arial" w:cs="Arial"/>
          <w:sz w:val="22"/>
          <w:szCs w:val="22"/>
        </w:rPr>
        <w:t xml:space="preserve">A significant limitation of the observational method is the Hawthorne effect. </w:t>
      </w:r>
      <w:r w:rsidR="005E23AC">
        <w:rPr>
          <w:rFonts w:ascii="Arial" w:hAnsi="Arial" w:cs="Arial"/>
          <w:sz w:val="22"/>
          <w:szCs w:val="22"/>
        </w:rPr>
        <w:t>Although this is similar to social desirability bias, it is more profound. The Hawthorne effect is whereby the individuals who are being observed change their behaviour because they are being observed</w:t>
      </w:r>
      <w:r w:rsidR="00BD6EFE">
        <w:rPr>
          <w:rFonts w:ascii="Arial" w:hAnsi="Arial" w:cs="Arial"/>
          <w:sz w:val="22"/>
          <w:szCs w:val="22"/>
        </w:rPr>
        <w:t xml:space="preserve"> (Diaper, 1990; Sedgewick and Greenwood, 2015)</w:t>
      </w:r>
      <w:r w:rsidR="005E23AC">
        <w:rPr>
          <w:rFonts w:ascii="Arial" w:hAnsi="Arial" w:cs="Arial"/>
          <w:sz w:val="22"/>
          <w:szCs w:val="22"/>
        </w:rPr>
        <w:t>. This is not necessarily ‘positive’ behaviour change which defines social desirability bias (</w:t>
      </w:r>
      <w:proofErr w:type="spellStart"/>
      <w:r w:rsidR="00BD6EFE">
        <w:rPr>
          <w:rFonts w:ascii="Arial" w:hAnsi="Arial" w:cs="Arial"/>
          <w:sz w:val="22"/>
          <w:szCs w:val="22"/>
        </w:rPr>
        <w:t>Kaminska</w:t>
      </w:r>
      <w:proofErr w:type="spellEnd"/>
      <w:r w:rsidR="00BD6EFE">
        <w:rPr>
          <w:rFonts w:ascii="Arial" w:hAnsi="Arial" w:cs="Arial"/>
          <w:sz w:val="22"/>
          <w:szCs w:val="22"/>
        </w:rPr>
        <w:t xml:space="preserve"> and </w:t>
      </w:r>
      <w:proofErr w:type="spellStart"/>
      <w:r w:rsidR="00BD6EFE">
        <w:rPr>
          <w:rFonts w:ascii="Arial" w:hAnsi="Arial" w:cs="Arial"/>
          <w:sz w:val="22"/>
          <w:szCs w:val="22"/>
        </w:rPr>
        <w:t>Foulsham</w:t>
      </w:r>
      <w:proofErr w:type="spellEnd"/>
      <w:r w:rsidR="00BD6EFE">
        <w:rPr>
          <w:rFonts w:ascii="Arial" w:hAnsi="Arial" w:cs="Arial"/>
          <w:sz w:val="22"/>
          <w:szCs w:val="22"/>
        </w:rPr>
        <w:t>, 2013</w:t>
      </w:r>
      <w:r w:rsidR="00CD073F">
        <w:rPr>
          <w:rFonts w:ascii="Arial" w:hAnsi="Arial" w:cs="Arial"/>
          <w:sz w:val="22"/>
          <w:szCs w:val="22"/>
        </w:rPr>
        <w:t>)</w:t>
      </w:r>
      <w:r w:rsidR="005E23AC">
        <w:rPr>
          <w:rFonts w:ascii="Arial" w:hAnsi="Arial" w:cs="Arial"/>
          <w:sz w:val="22"/>
          <w:szCs w:val="22"/>
        </w:rPr>
        <w:t xml:space="preserve">. The pupils in the observed lesson knew they were being observed having been informed by their teacher. Furthermore, there were three known observers in the classroom writing on clipboards, a constant visual reminder for the pupils. These factors could contribute significantly to the Hawthorne effect. </w:t>
      </w:r>
    </w:p>
    <w:p w:rsidR="005E23AC" w:rsidRDefault="005E23AC" w:rsidP="003C7735">
      <w:pPr>
        <w:spacing w:line="360" w:lineRule="auto"/>
        <w:jc w:val="both"/>
        <w:rPr>
          <w:rFonts w:ascii="Arial" w:hAnsi="Arial" w:cs="Arial"/>
          <w:sz w:val="22"/>
          <w:szCs w:val="22"/>
        </w:rPr>
      </w:pPr>
    </w:p>
    <w:p w:rsidR="009F3F95" w:rsidRPr="007F2AAF" w:rsidRDefault="009F3F95" w:rsidP="003C7735">
      <w:pPr>
        <w:spacing w:line="360" w:lineRule="auto"/>
        <w:jc w:val="both"/>
        <w:rPr>
          <w:rFonts w:ascii="Arial" w:hAnsi="Arial" w:cs="Arial"/>
          <w:sz w:val="22"/>
          <w:szCs w:val="22"/>
        </w:rPr>
      </w:pPr>
      <w:r>
        <w:rPr>
          <w:rFonts w:ascii="Arial" w:hAnsi="Arial" w:cs="Arial"/>
          <w:sz w:val="22"/>
          <w:szCs w:val="22"/>
        </w:rPr>
        <w:lastRenderedPageBreak/>
        <w:t>The data collected was a qualitative written prose of information gathered in the observation. Both strengths and weaknesses of the data type arise. From the use of qualitative data, more depth and detail can be recorded into the critical incident. However, the use of qualitative over quantitative data can lead to less objectivity and show subjectivity from the researcher</w:t>
      </w:r>
      <w:r w:rsidR="00BA0B61">
        <w:rPr>
          <w:rFonts w:ascii="Arial" w:hAnsi="Arial" w:cs="Arial"/>
          <w:sz w:val="22"/>
          <w:szCs w:val="22"/>
        </w:rPr>
        <w:t xml:space="preserve"> (</w:t>
      </w:r>
      <w:r w:rsidR="00EE4FBA">
        <w:rPr>
          <w:rFonts w:ascii="Arial" w:hAnsi="Arial" w:cs="Arial"/>
          <w:sz w:val="22"/>
          <w:szCs w:val="22"/>
        </w:rPr>
        <w:t xml:space="preserve">Cohen, Manion and </w:t>
      </w:r>
      <w:proofErr w:type="spellStart"/>
      <w:r w:rsidR="00EE4FBA">
        <w:rPr>
          <w:rFonts w:ascii="Arial" w:hAnsi="Arial" w:cs="Arial"/>
          <w:sz w:val="22"/>
          <w:szCs w:val="22"/>
        </w:rPr>
        <w:t>Morisson</w:t>
      </w:r>
      <w:proofErr w:type="spellEnd"/>
      <w:r w:rsidR="00EE4FBA">
        <w:rPr>
          <w:rFonts w:ascii="Arial" w:hAnsi="Arial" w:cs="Arial"/>
          <w:sz w:val="22"/>
          <w:szCs w:val="22"/>
        </w:rPr>
        <w:t>, 2002</w:t>
      </w:r>
      <w:r w:rsidR="00BA0B61">
        <w:rPr>
          <w:rFonts w:ascii="Arial" w:hAnsi="Arial" w:cs="Arial"/>
          <w:sz w:val="22"/>
          <w:szCs w:val="22"/>
        </w:rPr>
        <w:t>)</w:t>
      </w:r>
      <w:r>
        <w:rPr>
          <w:rFonts w:ascii="Arial" w:hAnsi="Arial" w:cs="Arial"/>
          <w:sz w:val="22"/>
          <w:szCs w:val="22"/>
        </w:rPr>
        <w:t xml:space="preserve">. </w:t>
      </w:r>
      <w:r w:rsidR="00893F20">
        <w:rPr>
          <w:rFonts w:ascii="Arial" w:hAnsi="Arial" w:cs="Arial"/>
          <w:sz w:val="22"/>
          <w:szCs w:val="22"/>
        </w:rPr>
        <w:t xml:space="preserve">Furthermore, the assignment required an Assisted Reflective Conclusions (ARC) model (Appendix </w:t>
      </w:r>
      <w:r w:rsidR="00893F20" w:rsidRPr="00893F20">
        <w:rPr>
          <w:rFonts w:ascii="Arial" w:hAnsi="Arial" w:cs="Arial"/>
          <w:sz w:val="22"/>
          <w:szCs w:val="22"/>
          <w:highlight w:val="yellow"/>
        </w:rPr>
        <w:t>X</w:t>
      </w:r>
      <w:r w:rsidR="00893F20">
        <w:rPr>
          <w:rFonts w:ascii="Arial" w:hAnsi="Arial" w:cs="Arial"/>
          <w:sz w:val="22"/>
          <w:szCs w:val="22"/>
        </w:rPr>
        <w:t>), within which thoughts and feelings are recorded. This creates an emotive element to the observation which could create further bias in subjectivity</w:t>
      </w:r>
      <w:r w:rsidR="00E44F4E">
        <w:rPr>
          <w:rFonts w:ascii="Arial" w:hAnsi="Arial" w:cs="Arial"/>
          <w:sz w:val="22"/>
          <w:szCs w:val="22"/>
        </w:rPr>
        <w:t xml:space="preserve"> (</w:t>
      </w:r>
      <w:r w:rsidR="00EE4FBA">
        <w:rPr>
          <w:rFonts w:ascii="Arial" w:hAnsi="Arial" w:cs="Arial"/>
          <w:sz w:val="22"/>
          <w:szCs w:val="22"/>
        </w:rPr>
        <w:t>Cochran and Rubin, 197</w:t>
      </w:r>
      <w:r w:rsidR="00043883">
        <w:rPr>
          <w:rFonts w:ascii="Arial" w:hAnsi="Arial" w:cs="Arial"/>
          <w:sz w:val="22"/>
          <w:szCs w:val="22"/>
        </w:rPr>
        <w:t>3</w:t>
      </w:r>
      <w:r w:rsidR="00E44F4E">
        <w:rPr>
          <w:rFonts w:ascii="Arial" w:hAnsi="Arial" w:cs="Arial"/>
          <w:sz w:val="22"/>
          <w:szCs w:val="22"/>
        </w:rPr>
        <w:t>)</w:t>
      </w:r>
      <w:r w:rsidR="00893F20">
        <w:rPr>
          <w:rFonts w:ascii="Arial" w:hAnsi="Arial" w:cs="Arial"/>
          <w:sz w:val="22"/>
          <w:szCs w:val="22"/>
        </w:rPr>
        <w:t xml:space="preserve">. </w:t>
      </w:r>
    </w:p>
    <w:p w:rsidR="00FC604A" w:rsidRPr="00FC604A" w:rsidRDefault="00FC604A" w:rsidP="00AB2443">
      <w:pPr>
        <w:rPr>
          <w:rFonts w:ascii="Arial" w:hAnsi="Arial" w:cs="Arial"/>
          <w:sz w:val="22"/>
          <w:szCs w:val="22"/>
        </w:rPr>
      </w:pPr>
    </w:p>
    <w:p w:rsidR="003C7735" w:rsidRDefault="00423CEE" w:rsidP="003C7735">
      <w:pPr>
        <w:spacing w:line="360" w:lineRule="auto"/>
        <w:rPr>
          <w:rFonts w:ascii="Arial" w:hAnsi="Arial" w:cs="Arial"/>
          <w:sz w:val="22"/>
          <w:szCs w:val="22"/>
        </w:rPr>
      </w:pPr>
      <w:r>
        <w:rPr>
          <w:rFonts w:ascii="Arial" w:hAnsi="Arial" w:cs="Arial"/>
          <w:sz w:val="22"/>
          <w:szCs w:val="22"/>
        </w:rPr>
        <w:t xml:space="preserve">This assignment has focussed on Donaldson’s pedagogical recommendations written in the </w:t>
      </w:r>
      <w:r w:rsidRPr="00423CEE">
        <w:rPr>
          <w:rFonts w:ascii="Arial" w:hAnsi="Arial" w:cs="Arial"/>
          <w:i/>
          <w:iCs/>
          <w:sz w:val="22"/>
          <w:szCs w:val="22"/>
        </w:rPr>
        <w:t>Successful Futures</w:t>
      </w:r>
      <w:r>
        <w:rPr>
          <w:rFonts w:ascii="Arial" w:hAnsi="Arial" w:cs="Arial"/>
          <w:sz w:val="22"/>
          <w:szCs w:val="22"/>
        </w:rPr>
        <w:t xml:space="preserve"> report (2015). within the report, a recommendation is made that all practice should be ‘</w:t>
      </w:r>
      <w:r w:rsidRPr="00423CEE">
        <w:rPr>
          <w:rFonts w:ascii="Arial" w:hAnsi="Arial" w:cs="Arial"/>
          <w:i/>
          <w:iCs/>
          <w:sz w:val="22"/>
          <w:szCs w:val="22"/>
        </w:rPr>
        <w:t>evidence-based’</w:t>
      </w:r>
      <w:r>
        <w:rPr>
          <w:rFonts w:ascii="Arial" w:hAnsi="Arial" w:cs="Arial"/>
          <w:sz w:val="22"/>
          <w:szCs w:val="22"/>
        </w:rPr>
        <w:t xml:space="preserve"> upon best, shared practice from across Wales, and indeed, the world. Evidence is wholly dependent on research, without research, there would be no evidence to draw on. This supports the importance of observational research being conducted across schools. Furthermore, </w:t>
      </w:r>
      <w:r w:rsidR="003C7735">
        <w:rPr>
          <w:rFonts w:ascii="Arial" w:hAnsi="Arial" w:cs="Arial"/>
          <w:sz w:val="22"/>
          <w:szCs w:val="22"/>
        </w:rPr>
        <w:t xml:space="preserve">Graham Donaldson (2015) suggested the new curriculum for Wales incorporates four core purposes to develop: </w:t>
      </w:r>
    </w:p>
    <w:p w:rsidR="003C7735" w:rsidRDefault="003C7735" w:rsidP="000406C7">
      <w:pPr>
        <w:spacing w:line="360" w:lineRule="auto"/>
        <w:ind w:left="720"/>
        <w:rPr>
          <w:rFonts w:ascii="Arial" w:hAnsi="Arial" w:cs="Arial"/>
          <w:sz w:val="22"/>
          <w:szCs w:val="22"/>
        </w:rPr>
      </w:pPr>
      <w:r w:rsidRPr="003C7735">
        <w:rPr>
          <w:rFonts w:ascii="Arial" w:hAnsi="Arial" w:cs="Arial"/>
          <w:sz w:val="22"/>
          <w:szCs w:val="22"/>
        </w:rPr>
        <w:t>“</w:t>
      </w:r>
      <w:r w:rsidRPr="003C7735">
        <w:rPr>
          <w:rFonts w:ascii="Arial" w:hAnsi="Arial" w:cs="Arial"/>
          <w:b/>
          <w:bCs/>
          <w:sz w:val="22"/>
          <w:szCs w:val="22"/>
        </w:rPr>
        <w:t>ambitious, capable learners</w:t>
      </w:r>
      <w:r w:rsidRPr="003C7735">
        <w:rPr>
          <w:rFonts w:ascii="Arial" w:hAnsi="Arial" w:cs="Arial"/>
          <w:sz w:val="22"/>
          <w:szCs w:val="22"/>
        </w:rPr>
        <w:t xml:space="preserve"> ready to </w:t>
      </w:r>
      <w:r>
        <w:rPr>
          <w:rFonts w:ascii="Arial" w:hAnsi="Arial" w:cs="Arial"/>
          <w:sz w:val="22"/>
          <w:szCs w:val="22"/>
        </w:rPr>
        <w:t>learn throughout their lives;</w:t>
      </w:r>
    </w:p>
    <w:p w:rsidR="003C7735" w:rsidRDefault="003C7735" w:rsidP="000406C7">
      <w:pPr>
        <w:spacing w:line="360" w:lineRule="auto"/>
        <w:ind w:left="720"/>
        <w:rPr>
          <w:rFonts w:ascii="Arial" w:hAnsi="Arial" w:cs="Arial"/>
          <w:sz w:val="22"/>
          <w:szCs w:val="22"/>
        </w:rPr>
      </w:pPr>
      <w:r w:rsidRPr="003C7735">
        <w:rPr>
          <w:rFonts w:ascii="Arial" w:hAnsi="Arial" w:cs="Arial"/>
          <w:b/>
          <w:bCs/>
          <w:sz w:val="22"/>
          <w:szCs w:val="22"/>
        </w:rPr>
        <w:t>enterprising, creative contributors</w:t>
      </w:r>
      <w:r>
        <w:rPr>
          <w:rFonts w:ascii="Arial" w:hAnsi="Arial" w:cs="Arial"/>
          <w:sz w:val="22"/>
          <w:szCs w:val="22"/>
        </w:rPr>
        <w:t xml:space="preserve"> ready to play a full part in life and work;</w:t>
      </w:r>
    </w:p>
    <w:p w:rsidR="003C7735" w:rsidRDefault="003C7735" w:rsidP="000406C7">
      <w:pPr>
        <w:spacing w:line="360" w:lineRule="auto"/>
        <w:ind w:left="720"/>
        <w:rPr>
          <w:rFonts w:ascii="Arial" w:hAnsi="Arial" w:cs="Arial"/>
          <w:sz w:val="22"/>
          <w:szCs w:val="22"/>
        </w:rPr>
      </w:pPr>
      <w:r w:rsidRPr="003C7735">
        <w:rPr>
          <w:rFonts w:ascii="Arial" w:hAnsi="Arial" w:cs="Arial"/>
          <w:b/>
          <w:bCs/>
          <w:sz w:val="22"/>
          <w:szCs w:val="22"/>
        </w:rPr>
        <w:t>healthy, confident individuals</w:t>
      </w:r>
      <w:r>
        <w:rPr>
          <w:rFonts w:ascii="Arial" w:hAnsi="Arial" w:cs="Arial"/>
          <w:sz w:val="22"/>
          <w:szCs w:val="22"/>
        </w:rPr>
        <w:t xml:space="preserve"> ready to lead fulfilling lives as valued members of society;</w:t>
      </w:r>
    </w:p>
    <w:p w:rsidR="003C7735" w:rsidRDefault="003C7735" w:rsidP="000406C7">
      <w:pPr>
        <w:spacing w:line="360" w:lineRule="auto"/>
        <w:ind w:left="720"/>
        <w:rPr>
          <w:rFonts w:ascii="Arial" w:hAnsi="Arial" w:cs="Arial"/>
          <w:sz w:val="22"/>
          <w:szCs w:val="22"/>
        </w:rPr>
      </w:pPr>
      <w:r w:rsidRPr="003C7735">
        <w:rPr>
          <w:rFonts w:ascii="Arial" w:hAnsi="Arial" w:cs="Arial"/>
          <w:b/>
          <w:bCs/>
          <w:sz w:val="22"/>
          <w:szCs w:val="22"/>
        </w:rPr>
        <w:t>ethical, informed citizens</w:t>
      </w:r>
      <w:r>
        <w:rPr>
          <w:rFonts w:ascii="Arial" w:hAnsi="Arial" w:cs="Arial"/>
          <w:sz w:val="22"/>
          <w:szCs w:val="22"/>
        </w:rPr>
        <w:t xml:space="preserve"> ready to be citizens of Wales and the world.”</w:t>
      </w:r>
    </w:p>
    <w:p w:rsidR="003C7735" w:rsidRDefault="003C7735" w:rsidP="003C7735">
      <w:pPr>
        <w:spacing w:line="360" w:lineRule="auto"/>
        <w:ind w:left="720"/>
        <w:jc w:val="right"/>
        <w:rPr>
          <w:rFonts w:ascii="Arial" w:hAnsi="Arial" w:cs="Arial"/>
          <w:sz w:val="22"/>
          <w:szCs w:val="22"/>
        </w:rPr>
      </w:pPr>
      <w:r>
        <w:rPr>
          <w:rFonts w:ascii="Arial" w:hAnsi="Arial" w:cs="Arial"/>
          <w:sz w:val="22"/>
          <w:szCs w:val="22"/>
        </w:rPr>
        <w:t>(Donaldson, 2015 pg. 29)</w:t>
      </w:r>
    </w:p>
    <w:p w:rsidR="00230C08" w:rsidRDefault="00230C08" w:rsidP="003C7735">
      <w:pPr>
        <w:spacing w:line="360" w:lineRule="auto"/>
        <w:ind w:left="720"/>
        <w:jc w:val="right"/>
        <w:rPr>
          <w:rFonts w:ascii="Arial" w:hAnsi="Arial" w:cs="Arial"/>
          <w:sz w:val="22"/>
          <w:szCs w:val="22"/>
        </w:rPr>
      </w:pPr>
    </w:p>
    <w:p w:rsidR="00EA261B" w:rsidRPr="00EC163D" w:rsidRDefault="00230C08" w:rsidP="00EC163D">
      <w:pPr>
        <w:spacing w:line="360" w:lineRule="auto"/>
        <w:jc w:val="both"/>
        <w:rPr>
          <w:rFonts w:ascii="Arial" w:hAnsi="Arial" w:cs="Arial"/>
          <w:sz w:val="22"/>
          <w:szCs w:val="22"/>
        </w:rPr>
      </w:pPr>
      <w:r>
        <w:rPr>
          <w:rFonts w:ascii="Arial" w:hAnsi="Arial" w:cs="Arial"/>
          <w:sz w:val="22"/>
          <w:szCs w:val="22"/>
        </w:rPr>
        <w:t>From observation, there are two clear defined links to these four purposes, these are ‘</w:t>
      </w:r>
      <w:r w:rsidRPr="00230C08">
        <w:rPr>
          <w:rFonts w:ascii="Arial" w:hAnsi="Arial" w:cs="Arial"/>
          <w:i/>
          <w:iCs/>
          <w:sz w:val="22"/>
          <w:szCs w:val="22"/>
        </w:rPr>
        <w:t>capable</w:t>
      </w:r>
      <w:r>
        <w:rPr>
          <w:rFonts w:ascii="Arial" w:hAnsi="Arial" w:cs="Arial"/>
          <w:i/>
          <w:iCs/>
          <w:sz w:val="22"/>
          <w:szCs w:val="22"/>
        </w:rPr>
        <w:t>’</w:t>
      </w:r>
      <w:r>
        <w:rPr>
          <w:rFonts w:ascii="Arial" w:hAnsi="Arial" w:cs="Arial"/>
          <w:sz w:val="22"/>
          <w:szCs w:val="22"/>
        </w:rPr>
        <w:t xml:space="preserve"> and ‘</w:t>
      </w:r>
      <w:r w:rsidRPr="00230C08">
        <w:rPr>
          <w:rFonts w:ascii="Arial" w:hAnsi="Arial" w:cs="Arial"/>
          <w:i/>
          <w:iCs/>
          <w:sz w:val="22"/>
          <w:szCs w:val="22"/>
        </w:rPr>
        <w:t>confident</w:t>
      </w:r>
      <w:r>
        <w:rPr>
          <w:rFonts w:ascii="Arial" w:hAnsi="Arial" w:cs="Arial"/>
          <w:i/>
          <w:iCs/>
          <w:sz w:val="22"/>
          <w:szCs w:val="22"/>
        </w:rPr>
        <w:t>’</w:t>
      </w:r>
      <w:r>
        <w:rPr>
          <w:rFonts w:ascii="Arial" w:hAnsi="Arial" w:cs="Arial"/>
          <w:sz w:val="22"/>
          <w:szCs w:val="22"/>
        </w:rPr>
        <w:t xml:space="preserve">. However, through further analysis, it is evident there are </w:t>
      </w:r>
      <w:r w:rsidRPr="00EC163D">
        <w:rPr>
          <w:rFonts w:ascii="Arial" w:hAnsi="Arial" w:cs="Arial"/>
          <w:sz w:val="22"/>
          <w:szCs w:val="22"/>
        </w:rPr>
        <w:t>more links</w:t>
      </w:r>
      <w:r>
        <w:rPr>
          <w:rFonts w:ascii="Arial" w:hAnsi="Arial" w:cs="Arial"/>
          <w:sz w:val="22"/>
          <w:szCs w:val="22"/>
        </w:rPr>
        <w:t xml:space="preserve"> to Donaldson’s (2015) four purposes.</w:t>
      </w:r>
      <w:r w:rsidR="00EC163D">
        <w:rPr>
          <w:rFonts w:ascii="Arial" w:hAnsi="Arial" w:cs="Arial"/>
          <w:sz w:val="22"/>
          <w:szCs w:val="22"/>
        </w:rPr>
        <w:t xml:space="preserve"> The four purposes are umbrella terms with several, more specific examples of what the individual should be able to achieve. These allowed for more insight into the potential links. These links will be discussed further at the appropriate points during the assignment.</w:t>
      </w:r>
    </w:p>
    <w:p w:rsidR="00ED7E68" w:rsidRDefault="00ED7E68" w:rsidP="00F37699">
      <w:pPr>
        <w:rPr>
          <w:color w:val="FF0000"/>
        </w:rPr>
      </w:pPr>
    </w:p>
    <w:p w:rsidR="00E622C1" w:rsidRDefault="00EA261B" w:rsidP="00EA261B">
      <w:pPr>
        <w:spacing w:line="360" w:lineRule="auto"/>
        <w:jc w:val="both"/>
        <w:rPr>
          <w:rFonts w:ascii="Arial" w:hAnsi="Arial" w:cs="Arial"/>
          <w:sz w:val="22"/>
          <w:szCs w:val="22"/>
        </w:rPr>
      </w:pPr>
      <w:r w:rsidRPr="00EA261B">
        <w:rPr>
          <w:rFonts w:ascii="Arial" w:hAnsi="Arial" w:cs="Arial"/>
          <w:sz w:val="22"/>
          <w:szCs w:val="22"/>
        </w:rPr>
        <w:t>The construc</w:t>
      </w:r>
      <w:r>
        <w:rPr>
          <w:rFonts w:ascii="Arial" w:hAnsi="Arial" w:cs="Arial"/>
          <w:sz w:val="22"/>
          <w:szCs w:val="22"/>
        </w:rPr>
        <w:t xml:space="preserve">tivist theory of learning </w:t>
      </w:r>
      <w:r w:rsidR="0094059C">
        <w:rPr>
          <w:rFonts w:ascii="Arial" w:hAnsi="Arial" w:cs="Arial"/>
          <w:sz w:val="22"/>
          <w:szCs w:val="22"/>
        </w:rPr>
        <w:t xml:space="preserve">is particularly relevant when discussing the critical incident – it delves into knowledge acquisition and therefore allows for conclusions to be made on how to best support a MAT child. Despite the theory being largely developed throughout the nineteenth and twentieth centuries, it is still researched and debated upon in current literature (Piaget, 1954, McPhail, 2015). </w:t>
      </w:r>
      <w:r>
        <w:rPr>
          <w:rFonts w:ascii="Arial" w:hAnsi="Arial" w:cs="Arial"/>
          <w:sz w:val="22"/>
          <w:szCs w:val="22"/>
        </w:rPr>
        <w:t xml:space="preserve"> </w:t>
      </w:r>
      <w:r w:rsidR="0094059C">
        <w:rPr>
          <w:rFonts w:ascii="Arial" w:hAnsi="Arial" w:cs="Arial"/>
          <w:sz w:val="22"/>
          <w:szCs w:val="22"/>
        </w:rPr>
        <w:t xml:space="preserve">This theory suggests that everyone is born with an innate base of knowledge which can be described as the foundation to the individuals lifetime accumulation of knowledge and understanding of the world (Schraw, 2006).  Constructivists </w:t>
      </w:r>
      <w:r w:rsidR="0094059C">
        <w:rPr>
          <w:rFonts w:ascii="Arial" w:hAnsi="Arial" w:cs="Arial"/>
          <w:sz w:val="22"/>
          <w:szCs w:val="22"/>
        </w:rPr>
        <w:lastRenderedPageBreak/>
        <w:t xml:space="preserve">go on to suggest that all acquired knowledge is built upon to existing, prior knowledge (Alexander and Winne, 2006). </w:t>
      </w:r>
    </w:p>
    <w:p w:rsidR="00EF7A93" w:rsidRDefault="00EF7A93" w:rsidP="002574E0">
      <w:pPr>
        <w:spacing w:line="360" w:lineRule="auto"/>
        <w:jc w:val="both"/>
        <w:rPr>
          <w:rFonts w:ascii="Arial" w:hAnsi="Arial" w:cs="Arial"/>
          <w:sz w:val="22"/>
          <w:szCs w:val="22"/>
        </w:rPr>
      </w:pPr>
    </w:p>
    <w:p w:rsidR="001D1E7A" w:rsidRDefault="00E622C1" w:rsidP="002574E0">
      <w:pPr>
        <w:spacing w:line="360" w:lineRule="auto"/>
        <w:jc w:val="both"/>
        <w:rPr>
          <w:rFonts w:ascii="Arial" w:hAnsi="Arial" w:cs="Arial"/>
          <w:sz w:val="22"/>
          <w:szCs w:val="22"/>
        </w:rPr>
      </w:pPr>
      <w:r>
        <w:rPr>
          <w:rFonts w:ascii="Arial" w:hAnsi="Arial" w:cs="Arial"/>
          <w:sz w:val="22"/>
          <w:szCs w:val="22"/>
        </w:rPr>
        <w:t>Psychosocial research has begun to gain biological underpinning in the form of neuroscience.</w:t>
      </w:r>
      <w:r w:rsidR="001D1E7A">
        <w:rPr>
          <w:rFonts w:ascii="Arial" w:hAnsi="Arial" w:cs="Arial"/>
          <w:sz w:val="22"/>
          <w:szCs w:val="22"/>
        </w:rPr>
        <w:t xml:space="preserve"> This research </w:t>
      </w:r>
      <w:r w:rsidR="00785978">
        <w:rPr>
          <w:rFonts w:ascii="Arial" w:hAnsi="Arial" w:cs="Arial"/>
          <w:sz w:val="22"/>
          <w:szCs w:val="22"/>
        </w:rPr>
        <w:t xml:space="preserve">gains insight into the theory of memory formation. When a learner acquires new learning through knowledge </w:t>
      </w:r>
      <w:r w:rsidR="00B33913">
        <w:rPr>
          <w:rFonts w:ascii="Arial" w:hAnsi="Arial" w:cs="Arial"/>
          <w:sz w:val="22"/>
          <w:szCs w:val="22"/>
        </w:rPr>
        <w:t>acquisition</w:t>
      </w:r>
      <w:r w:rsidR="002574E0">
        <w:rPr>
          <w:rFonts w:ascii="Arial" w:hAnsi="Arial" w:cs="Arial"/>
          <w:sz w:val="22"/>
          <w:szCs w:val="22"/>
        </w:rPr>
        <w:t xml:space="preserve"> or cognitive engagement the information is stored into the short-term memory. The information is then processed through the hippocampus whereby if the new information is deemed to be of value, sent onto the long-term memory, ready to be accessed when needed (Bear et al., 2015). Memory of both knowledge and experiences v</w:t>
      </w:r>
      <w:r w:rsidR="00FC604A">
        <w:rPr>
          <w:rFonts w:ascii="Arial" w:hAnsi="Arial" w:cs="Arial"/>
          <w:sz w:val="22"/>
          <w:szCs w:val="22"/>
        </w:rPr>
        <w:t>a</w:t>
      </w:r>
      <w:r w:rsidR="002574E0">
        <w:rPr>
          <w:rFonts w:ascii="Arial" w:hAnsi="Arial" w:cs="Arial"/>
          <w:sz w:val="22"/>
          <w:szCs w:val="22"/>
        </w:rPr>
        <w:t>ry between each individual occurrence. If a memory has stronger emotive hold or is of a significant value to the individual, the longer the memory will last (Schraw, 2006).</w:t>
      </w:r>
      <w:r w:rsidR="004B2FC3">
        <w:rPr>
          <w:rFonts w:ascii="Arial" w:hAnsi="Arial" w:cs="Arial"/>
          <w:sz w:val="22"/>
          <w:szCs w:val="22"/>
        </w:rPr>
        <w:t xml:space="preserve"> A particular theory of constructivism focuses on </w:t>
      </w:r>
      <w:r w:rsidR="004B2FC3" w:rsidRPr="004B2FC3">
        <w:rPr>
          <w:rFonts w:ascii="Arial" w:hAnsi="Arial" w:cs="Arial"/>
          <w:i/>
          <w:iCs/>
          <w:sz w:val="22"/>
          <w:szCs w:val="22"/>
        </w:rPr>
        <w:t>active engagement</w:t>
      </w:r>
      <w:r w:rsidR="004B2FC3">
        <w:rPr>
          <w:rFonts w:ascii="Arial" w:hAnsi="Arial" w:cs="Arial"/>
          <w:sz w:val="22"/>
          <w:szCs w:val="22"/>
        </w:rPr>
        <w:t xml:space="preserve">. </w:t>
      </w:r>
      <w:r w:rsidR="00EF7A93">
        <w:rPr>
          <w:rFonts w:ascii="Arial" w:hAnsi="Arial" w:cs="Arial"/>
          <w:sz w:val="22"/>
          <w:szCs w:val="22"/>
        </w:rPr>
        <w:t>This involves the process of using concrete materials or physically completing a task to solve a cognitive problem. Active engagement is a process which uses more neurons in the brain to complete the task, which in turn commits more information to long-term memory (Bear et al., 2015).</w:t>
      </w:r>
      <w:r w:rsidR="00EF7A93">
        <w:rPr>
          <w:color w:val="FF0000"/>
        </w:rPr>
        <w:t xml:space="preserve"> </w:t>
      </w:r>
      <w:r w:rsidR="001D1E7A">
        <w:rPr>
          <w:rFonts w:ascii="Arial" w:hAnsi="Arial" w:cs="Arial"/>
          <w:sz w:val="22"/>
          <w:szCs w:val="22"/>
        </w:rPr>
        <w:t>Furthermore, it is theorised that the interaction between cognition and life experience creates meaning to the knowledge acquisition and therefore creates longer lasting, emotive memories (Bodner, 1986</w:t>
      </w:r>
      <w:r w:rsidR="002574E0">
        <w:rPr>
          <w:rFonts w:ascii="Arial" w:hAnsi="Arial" w:cs="Arial"/>
          <w:sz w:val="22"/>
          <w:szCs w:val="22"/>
        </w:rPr>
        <w:t>;</w:t>
      </w:r>
      <w:r w:rsidR="001D1E7A">
        <w:rPr>
          <w:rFonts w:ascii="Arial" w:hAnsi="Arial" w:cs="Arial"/>
          <w:sz w:val="22"/>
          <w:szCs w:val="22"/>
        </w:rPr>
        <w:t xml:space="preserve"> Bear et al., 2015</w:t>
      </w:r>
      <w:r w:rsidR="002574E0">
        <w:rPr>
          <w:rFonts w:ascii="Arial" w:hAnsi="Arial" w:cs="Arial"/>
          <w:sz w:val="22"/>
          <w:szCs w:val="22"/>
        </w:rPr>
        <w:t>;</w:t>
      </w:r>
      <w:r w:rsidR="001D1E7A">
        <w:rPr>
          <w:rFonts w:ascii="Arial" w:hAnsi="Arial" w:cs="Arial"/>
          <w:sz w:val="22"/>
          <w:szCs w:val="22"/>
        </w:rPr>
        <w:t xml:space="preserve"> </w:t>
      </w:r>
      <w:proofErr w:type="spellStart"/>
      <w:r w:rsidR="001D1E7A">
        <w:rPr>
          <w:rFonts w:ascii="Arial" w:hAnsi="Arial" w:cs="Arial"/>
          <w:sz w:val="22"/>
          <w:szCs w:val="22"/>
        </w:rPr>
        <w:t>MacBlain</w:t>
      </w:r>
      <w:proofErr w:type="spellEnd"/>
      <w:r w:rsidR="001D1E7A">
        <w:rPr>
          <w:rFonts w:ascii="Arial" w:hAnsi="Arial" w:cs="Arial"/>
          <w:sz w:val="22"/>
          <w:szCs w:val="22"/>
        </w:rPr>
        <w:t xml:space="preserve"> and </w:t>
      </w:r>
      <w:proofErr w:type="spellStart"/>
      <w:r w:rsidR="001D1E7A">
        <w:rPr>
          <w:rFonts w:ascii="Arial" w:hAnsi="Arial" w:cs="Arial"/>
          <w:sz w:val="22"/>
          <w:szCs w:val="22"/>
        </w:rPr>
        <w:t>Gray</w:t>
      </w:r>
      <w:proofErr w:type="spellEnd"/>
      <w:r w:rsidR="001D1E7A">
        <w:rPr>
          <w:rFonts w:ascii="Arial" w:hAnsi="Arial" w:cs="Arial"/>
          <w:sz w:val="22"/>
          <w:szCs w:val="22"/>
        </w:rPr>
        <w:t>, 2015).</w:t>
      </w:r>
    </w:p>
    <w:p w:rsidR="00EF7A93" w:rsidRDefault="00EF7A93" w:rsidP="002574E0">
      <w:pPr>
        <w:spacing w:line="360" w:lineRule="auto"/>
        <w:jc w:val="both"/>
        <w:rPr>
          <w:rFonts w:ascii="Arial" w:hAnsi="Arial" w:cs="Arial"/>
          <w:sz w:val="22"/>
          <w:szCs w:val="22"/>
        </w:rPr>
      </w:pPr>
    </w:p>
    <w:p w:rsidR="00F37699" w:rsidRDefault="00EF7A93" w:rsidP="00795B6C">
      <w:pPr>
        <w:spacing w:line="360" w:lineRule="auto"/>
        <w:jc w:val="both"/>
        <w:rPr>
          <w:rFonts w:ascii="Arial" w:hAnsi="Arial" w:cs="Arial"/>
          <w:sz w:val="22"/>
          <w:szCs w:val="22"/>
        </w:rPr>
      </w:pPr>
      <w:r>
        <w:rPr>
          <w:rFonts w:ascii="Arial" w:hAnsi="Arial" w:cs="Arial"/>
          <w:sz w:val="22"/>
          <w:szCs w:val="22"/>
        </w:rPr>
        <w:t xml:space="preserve">Both the psychological and biological research into the constructivist theories can give insight for a teacher into how their pupils learn. </w:t>
      </w:r>
      <w:r w:rsidR="00D57857">
        <w:rPr>
          <w:rFonts w:ascii="Arial" w:hAnsi="Arial" w:cs="Arial"/>
          <w:sz w:val="22"/>
          <w:szCs w:val="22"/>
        </w:rPr>
        <w:t xml:space="preserve">Furthermore, to implement Donaldson’s (2015) core principles, the teacher must have knowledge of how their pupils learn. </w:t>
      </w:r>
      <w:r w:rsidR="00932EF7">
        <w:rPr>
          <w:rFonts w:ascii="Arial" w:hAnsi="Arial" w:cs="Arial"/>
          <w:sz w:val="22"/>
          <w:szCs w:val="22"/>
        </w:rPr>
        <w:t>This</w:t>
      </w:r>
      <w:r w:rsidR="00D57857">
        <w:rPr>
          <w:rFonts w:ascii="Arial" w:hAnsi="Arial" w:cs="Arial"/>
          <w:sz w:val="22"/>
          <w:szCs w:val="22"/>
        </w:rPr>
        <w:t xml:space="preserve"> knowledge</w:t>
      </w:r>
      <w:r w:rsidR="00932EF7">
        <w:rPr>
          <w:rFonts w:ascii="Arial" w:hAnsi="Arial" w:cs="Arial"/>
          <w:sz w:val="22"/>
          <w:szCs w:val="22"/>
        </w:rPr>
        <w:t xml:space="preserve"> enables the teacher to f</w:t>
      </w:r>
      <w:r>
        <w:rPr>
          <w:rFonts w:ascii="Arial" w:hAnsi="Arial" w:cs="Arial"/>
          <w:sz w:val="22"/>
          <w:szCs w:val="22"/>
        </w:rPr>
        <w:t>acilitating the learning of all pupils- promoting knowledge acquisition and ensuring information retention.</w:t>
      </w:r>
      <w:r w:rsidR="00932EF7">
        <w:rPr>
          <w:rFonts w:ascii="Arial" w:hAnsi="Arial" w:cs="Arial"/>
          <w:sz w:val="22"/>
          <w:szCs w:val="22"/>
        </w:rPr>
        <w:t xml:space="preserve"> This theory of learning can be useful in its application to MAT pupils. There is research to suggest that in some instances, the </w:t>
      </w:r>
      <w:r w:rsidR="00D57857">
        <w:rPr>
          <w:rFonts w:ascii="Arial" w:hAnsi="Arial" w:cs="Arial"/>
          <w:sz w:val="22"/>
          <w:szCs w:val="22"/>
        </w:rPr>
        <w:t>more</w:t>
      </w:r>
      <w:r w:rsidR="00932EF7">
        <w:rPr>
          <w:rFonts w:ascii="Arial" w:hAnsi="Arial" w:cs="Arial"/>
          <w:sz w:val="22"/>
          <w:szCs w:val="22"/>
        </w:rPr>
        <w:t xml:space="preserve"> </w:t>
      </w:r>
      <w:r w:rsidR="00D57857">
        <w:rPr>
          <w:rFonts w:ascii="Arial" w:hAnsi="Arial" w:cs="Arial"/>
          <w:sz w:val="22"/>
          <w:szCs w:val="22"/>
        </w:rPr>
        <w:t>able</w:t>
      </w:r>
      <w:r w:rsidR="00932EF7">
        <w:rPr>
          <w:rFonts w:ascii="Arial" w:hAnsi="Arial" w:cs="Arial"/>
          <w:sz w:val="22"/>
          <w:szCs w:val="22"/>
        </w:rPr>
        <w:t xml:space="preserve"> pupils are not making the same </w:t>
      </w:r>
      <w:r w:rsidR="00D57857">
        <w:rPr>
          <w:rFonts w:ascii="Arial" w:hAnsi="Arial" w:cs="Arial"/>
          <w:sz w:val="22"/>
          <w:szCs w:val="22"/>
        </w:rPr>
        <w:t xml:space="preserve">level of </w:t>
      </w:r>
      <w:r w:rsidR="00932EF7">
        <w:rPr>
          <w:rFonts w:ascii="Arial" w:hAnsi="Arial" w:cs="Arial"/>
          <w:sz w:val="22"/>
          <w:szCs w:val="22"/>
        </w:rPr>
        <w:t>progress as their lesser a</w:t>
      </w:r>
      <w:r w:rsidR="00D57857">
        <w:rPr>
          <w:rFonts w:ascii="Arial" w:hAnsi="Arial" w:cs="Arial"/>
          <w:sz w:val="22"/>
          <w:szCs w:val="22"/>
        </w:rPr>
        <w:t>ble</w:t>
      </w:r>
      <w:r w:rsidR="00932EF7">
        <w:rPr>
          <w:rFonts w:ascii="Arial" w:hAnsi="Arial" w:cs="Arial"/>
          <w:sz w:val="22"/>
          <w:szCs w:val="22"/>
        </w:rPr>
        <w:t xml:space="preserve"> peers (</w:t>
      </w:r>
      <w:r w:rsidR="00932EF7" w:rsidRPr="00B57B44">
        <w:rPr>
          <w:rFonts w:ascii="Arial" w:hAnsi="Arial" w:cs="Arial"/>
          <w:sz w:val="22"/>
          <w:szCs w:val="22"/>
        </w:rPr>
        <w:t>Smith, 2005</w:t>
      </w:r>
      <w:r w:rsidR="00932EF7" w:rsidRPr="00F153F7">
        <w:rPr>
          <w:rFonts w:ascii="Arial" w:hAnsi="Arial" w:cs="Arial"/>
          <w:sz w:val="22"/>
          <w:szCs w:val="22"/>
        </w:rPr>
        <w:t xml:space="preserve">; </w:t>
      </w:r>
      <w:r w:rsidR="00F153F7" w:rsidRPr="00F153F7">
        <w:rPr>
          <w:rFonts w:ascii="Arial" w:hAnsi="Arial" w:cs="Arial"/>
          <w:sz w:val="22"/>
          <w:szCs w:val="22"/>
        </w:rPr>
        <w:t xml:space="preserve">Smith and </w:t>
      </w:r>
      <w:r w:rsidR="00932EF7" w:rsidRPr="00F153F7">
        <w:rPr>
          <w:rFonts w:ascii="Arial" w:hAnsi="Arial" w:cs="Arial"/>
          <w:sz w:val="22"/>
          <w:szCs w:val="22"/>
        </w:rPr>
        <w:t>Campbell, 2016).</w:t>
      </w:r>
      <w:r w:rsidR="007F3D01">
        <w:rPr>
          <w:rFonts w:ascii="Arial" w:hAnsi="Arial" w:cs="Arial"/>
          <w:sz w:val="22"/>
          <w:szCs w:val="22"/>
        </w:rPr>
        <w:t xml:space="preserve"> </w:t>
      </w:r>
      <w:r w:rsidR="00D57857">
        <w:rPr>
          <w:rFonts w:ascii="Arial" w:hAnsi="Arial" w:cs="Arial"/>
          <w:sz w:val="22"/>
          <w:szCs w:val="22"/>
        </w:rPr>
        <w:t>This could be due to the fact that the more able pupils are being over-looked because they are achieving national standards with ease and the teacher feels they must bring the rest of the class up to national standard (</w:t>
      </w:r>
      <w:r w:rsidR="00D57857" w:rsidRPr="00F153F7">
        <w:rPr>
          <w:rFonts w:ascii="Arial" w:hAnsi="Arial" w:cs="Arial"/>
          <w:sz w:val="22"/>
          <w:szCs w:val="22"/>
        </w:rPr>
        <w:t>Goodhew, 2009</w:t>
      </w:r>
      <w:r w:rsidR="00D57857">
        <w:rPr>
          <w:rFonts w:ascii="Arial" w:hAnsi="Arial" w:cs="Arial"/>
          <w:sz w:val="22"/>
          <w:szCs w:val="22"/>
        </w:rPr>
        <w:t>). Another possible reason for the lesser progress could be due to</w:t>
      </w:r>
      <w:r w:rsidR="00F92FF5" w:rsidRPr="00F92FF5">
        <w:rPr>
          <w:rFonts w:ascii="Arial" w:hAnsi="Arial" w:cs="Arial"/>
          <w:sz w:val="22"/>
          <w:szCs w:val="22"/>
        </w:rPr>
        <w:t xml:space="preserve"> </w:t>
      </w:r>
      <w:r w:rsidR="00F92FF5">
        <w:rPr>
          <w:rFonts w:ascii="Arial" w:hAnsi="Arial" w:cs="Arial"/>
          <w:sz w:val="22"/>
          <w:szCs w:val="22"/>
        </w:rPr>
        <w:t>challenge from the task, encouragement from the teacher or</w:t>
      </w:r>
      <w:r w:rsidR="00D57857">
        <w:rPr>
          <w:rFonts w:ascii="Arial" w:hAnsi="Arial" w:cs="Arial"/>
          <w:sz w:val="22"/>
          <w:szCs w:val="22"/>
        </w:rPr>
        <w:t xml:space="preserve"> a lack of motivation from the MAT pupil to learn</w:t>
      </w:r>
      <w:r w:rsidR="00F92FF5">
        <w:rPr>
          <w:rFonts w:ascii="Arial" w:hAnsi="Arial" w:cs="Arial"/>
          <w:sz w:val="22"/>
          <w:szCs w:val="22"/>
        </w:rPr>
        <w:t xml:space="preserve"> </w:t>
      </w:r>
      <w:r w:rsidR="00D57857">
        <w:rPr>
          <w:rFonts w:ascii="Arial" w:hAnsi="Arial" w:cs="Arial"/>
          <w:sz w:val="22"/>
          <w:szCs w:val="22"/>
        </w:rPr>
        <w:t>(</w:t>
      </w:r>
      <w:r w:rsidR="00A04D91">
        <w:rPr>
          <w:rFonts w:ascii="Arial" w:hAnsi="Arial" w:cs="Arial"/>
          <w:sz w:val="22"/>
          <w:szCs w:val="22"/>
        </w:rPr>
        <w:t xml:space="preserve">Campbell, 2016; </w:t>
      </w:r>
      <w:proofErr w:type="spellStart"/>
      <w:r w:rsidR="00D57857">
        <w:rPr>
          <w:rFonts w:ascii="Arial" w:hAnsi="Arial" w:cs="Arial"/>
          <w:sz w:val="22"/>
          <w:szCs w:val="22"/>
        </w:rPr>
        <w:t>Bakx</w:t>
      </w:r>
      <w:proofErr w:type="spellEnd"/>
      <w:r w:rsidR="00D57857">
        <w:rPr>
          <w:rFonts w:ascii="Arial" w:hAnsi="Arial" w:cs="Arial"/>
          <w:sz w:val="22"/>
          <w:szCs w:val="22"/>
        </w:rPr>
        <w:t xml:space="preserve">, 2019). </w:t>
      </w:r>
    </w:p>
    <w:p w:rsidR="008F2394" w:rsidRDefault="008F2394" w:rsidP="00795B6C">
      <w:pPr>
        <w:spacing w:line="360" w:lineRule="auto"/>
        <w:jc w:val="both"/>
        <w:rPr>
          <w:rFonts w:ascii="Arial" w:hAnsi="Arial" w:cs="Arial"/>
          <w:sz w:val="22"/>
          <w:szCs w:val="22"/>
        </w:rPr>
      </w:pPr>
    </w:p>
    <w:p w:rsidR="008F2394" w:rsidRDefault="008F2394" w:rsidP="00795B6C">
      <w:pPr>
        <w:spacing w:line="360" w:lineRule="auto"/>
        <w:jc w:val="both"/>
        <w:rPr>
          <w:rFonts w:ascii="Arial" w:hAnsi="Arial" w:cs="Arial"/>
          <w:sz w:val="22"/>
          <w:szCs w:val="22"/>
        </w:rPr>
      </w:pPr>
      <w:r>
        <w:rPr>
          <w:rFonts w:ascii="Arial" w:hAnsi="Arial" w:cs="Arial"/>
          <w:sz w:val="22"/>
          <w:szCs w:val="22"/>
        </w:rPr>
        <w:t xml:space="preserve">Piaget (1954) theorises that to gain conceptual understanding of new information, the individual must establish </w:t>
      </w:r>
      <w:r w:rsidRPr="008F2394">
        <w:rPr>
          <w:rFonts w:ascii="Arial" w:hAnsi="Arial" w:cs="Arial"/>
          <w:i/>
          <w:iCs/>
          <w:sz w:val="22"/>
          <w:szCs w:val="22"/>
        </w:rPr>
        <w:t>equilibration</w:t>
      </w:r>
      <w:r>
        <w:rPr>
          <w:rFonts w:ascii="Arial" w:hAnsi="Arial" w:cs="Arial"/>
          <w:sz w:val="22"/>
          <w:szCs w:val="22"/>
        </w:rPr>
        <w:t xml:space="preserve">. This is the balance between internal cognition and external input. To learn, an individual must be in </w:t>
      </w:r>
      <w:r w:rsidRPr="008F2394">
        <w:rPr>
          <w:rFonts w:ascii="Arial" w:hAnsi="Arial" w:cs="Arial"/>
          <w:i/>
          <w:iCs/>
          <w:sz w:val="22"/>
          <w:szCs w:val="22"/>
        </w:rPr>
        <w:t>dis-equilibration</w:t>
      </w:r>
      <w:r>
        <w:rPr>
          <w:rFonts w:ascii="Arial" w:hAnsi="Arial" w:cs="Arial"/>
          <w:i/>
          <w:iCs/>
          <w:sz w:val="22"/>
          <w:szCs w:val="22"/>
        </w:rPr>
        <w:t xml:space="preserve">. </w:t>
      </w:r>
      <w:r>
        <w:rPr>
          <w:rFonts w:ascii="Arial" w:hAnsi="Arial" w:cs="Arial"/>
          <w:sz w:val="22"/>
          <w:szCs w:val="22"/>
        </w:rPr>
        <w:t>The imbalance is what stimulates interest and motivation into understanding the concept and strive for the equilibration. If the new information or concept does not create enough dis-equilibration</w:t>
      </w:r>
      <w:r w:rsidR="000B653E">
        <w:rPr>
          <w:rFonts w:ascii="Arial" w:hAnsi="Arial" w:cs="Arial"/>
          <w:sz w:val="22"/>
          <w:szCs w:val="22"/>
        </w:rPr>
        <w:t xml:space="preserve">, this </w:t>
      </w:r>
      <w:r w:rsidR="000B653E">
        <w:rPr>
          <w:rFonts w:ascii="Arial" w:hAnsi="Arial" w:cs="Arial"/>
          <w:sz w:val="22"/>
          <w:szCs w:val="22"/>
        </w:rPr>
        <w:lastRenderedPageBreak/>
        <w:t xml:space="preserve">will create too little cognitive stimulation, therefore reducing the amount of information being stored into the long-term memory (Bear et al., 2015). This supports the statements of more able pupils making lesser progress than their peers (Smith, 2005; </w:t>
      </w:r>
      <w:r w:rsidR="00F153F7">
        <w:rPr>
          <w:rFonts w:ascii="Arial" w:hAnsi="Arial" w:cs="Arial"/>
          <w:sz w:val="22"/>
          <w:szCs w:val="22"/>
        </w:rPr>
        <w:t xml:space="preserve">Smith and </w:t>
      </w:r>
      <w:r w:rsidR="000B653E">
        <w:rPr>
          <w:rFonts w:ascii="Arial" w:hAnsi="Arial" w:cs="Arial"/>
          <w:sz w:val="22"/>
          <w:szCs w:val="22"/>
        </w:rPr>
        <w:t xml:space="preserve">Campbell, 2016). </w:t>
      </w:r>
      <w:r w:rsidR="008963F2">
        <w:rPr>
          <w:rFonts w:ascii="Arial" w:hAnsi="Arial" w:cs="Arial"/>
          <w:sz w:val="22"/>
          <w:szCs w:val="22"/>
        </w:rPr>
        <w:t xml:space="preserve">Therefore, it can be suggested that teachers must be aware of the cognitive processes their pupils are undergoing to ensure they are best facilitating the learning, and information recall, for their pupils (Nuthall and Alton-Lee, 1990; </w:t>
      </w:r>
      <w:r w:rsidR="00F153F7">
        <w:rPr>
          <w:rFonts w:ascii="Arial" w:hAnsi="Arial" w:cs="Arial"/>
          <w:sz w:val="22"/>
          <w:szCs w:val="22"/>
        </w:rPr>
        <w:t>Gibbs, 2002</w:t>
      </w:r>
      <w:r w:rsidR="008963F2">
        <w:rPr>
          <w:rFonts w:ascii="Arial" w:hAnsi="Arial" w:cs="Arial"/>
          <w:sz w:val="22"/>
          <w:szCs w:val="22"/>
        </w:rPr>
        <w:t>).</w:t>
      </w:r>
    </w:p>
    <w:p w:rsidR="008963F2" w:rsidRDefault="008963F2" w:rsidP="00795B6C">
      <w:pPr>
        <w:spacing w:line="360" w:lineRule="auto"/>
        <w:jc w:val="both"/>
        <w:rPr>
          <w:rFonts w:ascii="Arial" w:hAnsi="Arial" w:cs="Arial"/>
          <w:sz w:val="22"/>
          <w:szCs w:val="22"/>
        </w:rPr>
      </w:pPr>
    </w:p>
    <w:p w:rsidR="00C30313" w:rsidRDefault="00587B2A" w:rsidP="00795B6C">
      <w:pPr>
        <w:spacing w:line="360" w:lineRule="auto"/>
        <w:jc w:val="both"/>
        <w:rPr>
          <w:rFonts w:ascii="Arial" w:hAnsi="Arial" w:cs="Arial"/>
          <w:sz w:val="22"/>
          <w:szCs w:val="22"/>
        </w:rPr>
      </w:pPr>
      <w:r>
        <w:rPr>
          <w:rFonts w:ascii="Arial" w:hAnsi="Arial" w:cs="Arial"/>
          <w:sz w:val="22"/>
          <w:szCs w:val="22"/>
        </w:rPr>
        <w:t xml:space="preserve">Studies have shown that up to 50% of high ability pupils </w:t>
      </w:r>
      <w:r w:rsidR="000A6AFB">
        <w:rPr>
          <w:rFonts w:ascii="Arial" w:hAnsi="Arial" w:cs="Arial"/>
          <w:sz w:val="22"/>
          <w:szCs w:val="22"/>
        </w:rPr>
        <w:t xml:space="preserve">don’t </w:t>
      </w:r>
      <w:r>
        <w:rPr>
          <w:rFonts w:ascii="Arial" w:hAnsi="Arial" w:cs="Arial"/>
          <w:sz w:val="22"/>
          <w:szCs w:val="22"/>
        </w:rPr>
        <w:t>reach their full academic potential (</w:t>
      </w:r>
      <w:proofErr w:type="spellStart"/>
      <w:r w:rsidR="00021CC7">
        <w:rPr>
          <w:rFonts w:ascii="Arial" w:hAnsi="Arial" w:cs="Arial"/>
          <w:sz w:val="22"/>
          <w:szCs w:val="22"/>
        </w:rPr>
        <w:t>Morisano</w:t>
      </w:r>
      <w:proofErr w:type="spellEnd"/>
      <w:r w:rsidR="00021CC7">
        <w:rPr>
          <w:rFonts w:ascii="Arial" w:hAnsi="Arial" w:cs="Arial"/>
          <w:sz w:val="22"/>
          <w:szCs w:val="22"/>
        </w:rPr>
        <w:t xml:space="preserve"> and Shore, 2010</w:t>
      </w:r>
      <w:r>
        <w:rPr>
          <w:rFonts w:ascii="Arial" w:hAnsi="Arial" w:cs="Arial"/>
          <w:sz w:val="22"/>
          <w:szCs w:val="22"/>
        </w:rPr>
        <w:t>). A lack of motivation among high ability pupils is one suggested reason as to why this is the case (</w:t>
      </w:r>
      <w:r w:rsidR="00021CC7">
        <w:rPr>
          <w:rFonts w:ascii="Arial" w:hAnsi="Arial" w:cs="Arial"/>
          <w:sz w:val="22"/>
          <w:szCs w:val="22"/>
        </w:rPr>
        <w:t>Driessen et al., 2007</w:t>
      </w:r>
      <w:r>
        <w:rPr>
          <w:rFonts w:ascii="Arial" w:hAnsi="Arial" w:cs="Arial"/>
          <w:sz w:val="22"/>
          <w:szCs w:val="22"/>
        </w:rPr>
        <w:t>).</w:t>
      </w:r>
      <w:r w:rsidR="00556F72">
        <w:rPr>
          <w:rFonts w:ascii="Arial" w:hAnsi="Arial" w:cs="Arial"/>
          <w:sz w:val="22"/>
          <w:szCs w:val="22"/>
        </w:rPr>
        <w:t xml:space="preserve"> </w:t>
      </w:r>
      <w:r w:rsidR="00901BFB">
        <w:rPr>
          <w:rFonts w:ascii="Arial" w:hAnsi="Arial" w:cs="Arial"/>
          <w:sz w:val="22"/>
          <w:szCs w:val="22"/>
        </w:rPr>
        <w:t>A theory of motivation that can be applied in relevance to the critical incident is the self-determination theory (SDT) (Ryan and Deci, 2001). SDT theorises that teaching should support the needs of the pupils to both gain and maintain motivation towards their learning (</w:t>
      </w:r>
      <w:proofErr w:type="spellStart"/>
      <w:r w:rsidR="00901BFB">
        <w:rPr>
          <w:rFonts w:ascii="Arial" w:hAnsi="Arial" w:cs="Arial"/>
          <w:sz w:val="22"/>
          <w:szCs w:val="22"/>
        </w:rPr>
        <w:t>Stroet</w:t>
      </w:r>
      <w:proofErr w:type="spellEnd"/>
      <w:r w:rsidR="00901BFB">
        <w:rPr>
          <w:rFonts w:ascii="Arial" w:hAnsi="Arial" w:cs="Arial"/>
          <w:sz w:val="22"/>
          <w:szCs w:val="22"/>
        </w:rPr>
        <w:t xml:space="preserve"> et al., 2013). Furthermore, SDT describes three basic psychological needs: </w:t>
      </w:r>
      <w:r w:rsidR="00901BFB" w:rsidRPr="00556F72">
        <w:rPr>
          <w:rFonts w:ascii="Arial" w:hAnsi="Arial" w:cs="Arial"/>
          <w:i/>
          <w:iCs/>
          <w:sz w:val="22"/>
          <w:szCs w:val="22"/>
        </w:rPr>
        <w:t>relatedness</w:t>
      </w:r>
      <w:r w:rsidR="00901BFB">
        <w:rPr>
          <w:rFonts w:ascii="Arial" w:hAnsi="Arial" w:cs="Arial"/>
          <w:sz w:val="22"/>
          <w:szCs w:val="22"/>
        </w:rPr>
        <w:t xml:space="preserve">, </w:t>
      </w:r>
      <w:r w:rsidR="00901BFB" w:rsidRPr="00556F72">
        <w:rPr>
          <w:rFonts w:ascii="Arial" w:hAnsi="Arial" w:cs="Arial"/>
          <w:i/>
          <w:iCs/>
          <w:sz w:val="22"/>
          <w:szCs w:val="22"/>
        </w:rPr>
        <w:t>autonomy</w:t>
      </w:r>
      <w:r w:rsidR="00901BFB">
        <w:rPr>
          <w:rFonts w:ascii="Arial" w:hAnsi="Arial" w:cs="Arial"/>
          <w:sz w:val="22"/>
          <w:szCs w:val="22"/>
        </w:rPr>
        <w:t xml:space="preserve"> and </w:t>
      </w:r>
      <w:r w:rsidR="00901BFB" w:rsidRPr="00556F72">
        <w:rPr>
          <w:rFonts w:ascii="Arial" w:hAnsi="Arial" w:cs="Arial"/>
          <w:i/>
          <w:iCs/>
          <w:sz w:val="22"/>
          <w:szCs w:val="22"/>
        </w:rPr>
        <w:t>competence</w:t>
      </w:r>
      <w:r w:rsidR="00901BFB">
        <w:rPr>
          <w:rFonts w:ascii="Arial" w:hAnsi="Arial" w:cs="Arial"/>
          <w:sz w:val="22"/>
          <w:szCs w:val="22"/>
        </w:rPr>
        <w:t>. These three needs must be supported to ensure pupils are motivated to learn (Ryan and Deci, 200</w:t>
      </w:r>
      <w:r w:rsidR="006E4D24">
        <w:rPr>
          <w:rFonts w:ascii="Arial" w:hAnsi="Arial" w:cs="Arial"/>
          <w:sz w:val="22"/>
          <w:szCs w:val="22"/>
        </w:rPr>
        <w:t>6</w:t>
      </w:r>
      <w:r w:rsidR="00901BFB">
        <w:rPr>
          <w:rFonts w:ascii="Arial" w:hAnsi="Arial" w:cs="Arial"/>
          <w:sz w:val="22"/>
          <w:szCs w:val="22"/>
        </w:rPr>
        <w:t>).</w:t>
      </w:r>
      <w:r w:rsidR="006E4D24">
        <w:rPr>
          <w:rFonts w:ascii="Arial" w:hAnsi="Arial" w:cs="Arial"/>
          <w:sz w:val="22"/>
          <w:szCs w:val="22"/>
        </w:rPr>
        <w:t xml:space="preserve"> </w:t>
      </w:r>
      <w:proofErr w:type="spellStart"/>
      <w:r w:rsidR="00C30313">
        <w:rPr>
          <w:rFonts w:ascii="Arial" w:hAnsi="Arial" w:cs="Arial"/>
          <w:sz w:val="22"/>
          <w:szCs w:val="22"/>
        </w:rPr>
        <w:t>Hornstra</w:t>
      </w:r>
      <w:proofErr w:type="spellEnd"/>
      <w:r w:rsidR="00C30313">
        <w:rPr>
          <w:rFonts w:ascii="Arial" w:hAnsi="Arial" w:cs="Arial"/>
          <w:sz w:val="22"/>
          <w:szCs w:val="22"/>
        </w:rPr>
        <w:t xml:space="preserve"> </w:t>
      </w:r>
      <w:r w:rsidR="006E4D24">
        <w:rPr>
          <w:rFonts w:ascii="Arial" w:hAnsi="Arial" w:cs="Arial"/>
          <w:sz w:val="22"/>
          <w:szCs w:val="22"/>
        </w:rPr>
        <w:t xml:space="preserve">(et al., </w:t>
      </w:r>
      <w:r w:rsidR="00C30313">
        <w:rPr>
          <w:rFonts w:ascii="Arial" w:hAnsi="Arial" w:cs="Arial"/>
          <w:sz w:val="22"/>
          <w:szCs w:val="22"/>
        </w:rPr>
        <w:t xml:space="preserve">2015) suggests that </w:t>
      </w:r>
      <w:r w:rsidR="006E4D24">
        <w:rPr>
          <w:rFonts w:ascii="Arial" w:hAnsi="Arial" w:cs="Arial"/>
          <w:sz w:val="22"/>
          <w:szCs w:val="22"/>
        </w:rPr>
        <w:t xml:space="preserve">the high ability pupils will have </w:t>
      </w:r>
      <w:r w:rsidR="006E4D24" w:rsidRPr="006E4D24">
        <w:rPr>
          <w:rFonts w:ascii="Arial" w:hAnsi="Arial" w:cs="Arial"/>
          <w:i/>
          <w:iCs/>
          <w:sz w:val="22"/>
          <w:szCs w:val="22"/>
        </w:rPr>
        <w:t>‘specific educational needs’</w:t>
      </w:r>
      <w:r w:rsidR="006E4D24">
        <w:rPr>
          <w:rFonts w:ascii="Arial" w:hAnsi="Arial" w:cs="Arial"/>
          <w:sz w:val="22"/>
          <w:szCs w:val="22"/>
        </w:rPr>
        <w:t xml:space="preserve"> to their peers therefore teachers can find it challenging to support these pupils in relation to their autonomic needs. </w:t>
      </w:r>
    </w:p>
    <w:p w:rsidR="006E4D24" w:rsidRDefault="006E4D24" w:rsidP="00795B6C">
      <w:pPr>
        <w:spacing w:line="360" w:lineRule="auto"/>
        <w:jc w:val="both"/>
        <w:rPr>
          <w:rFonts w:ascii="Arial" w:hAnsi="Arial" w:cs="Arial"/>
          <w:sz w:val="22"/>
          <w:szCs w:val="22"/>
        </w:rPr>
      </w:pPr>
    </w:p>
    <w:p w:rsidR="007F1C5A" w:rsidRDefault="007F1C5A" w:rsidP="00795B6C">
      <w:pPr>
        <w:spacing w:line="360" w:lineRule="auto"/>
        <w:jc w:val="both"/>
        <w:rPr>
          <w:rFonts w:ascii="Arial" w:hAnsi="Arial" w:cs="Arial"/>
          <w:sz w:val="22"/>
          <w:szCs w:val="22"/>
        </w:rPr>
      </w:pPr>
      <w:r>
        <w:rPr>
          <w:rFonts w:ascii="Arial" w:hAnsi="Arial" w:cs="Arial"/>
          <w:sz w:val="22"/>
          <w:szCs w:val="22"/>
        </w:rPr>
        <w:t>Another theory for amotivation is due to a fixed mindset (Dweck, 2013). Research has shown that a view of intelligence as a fixed trait can be a significant contributor to a lack of motivation. This can be enhanced through praise for academic achievement. However, if a pupil is praised for cognitive processes rather than the outcome, this can create a view that intelligence is a changeable trait, therefore, resulting in more motivation and a ‘</w:t>
      </w:r>
      <w:r w:rsidRPr="007F1C5A">
        <w:rPr>
          <w:rFonts w:ascii="Arial" w:hAnsi="Arial" w:cs="Arial"/>
          <w:i/>
          <w:iCs/>
          <w:sz w:val="22"/>
          <w:szCs w:val="22"/>
        </w:rPr>
        <w:t>growth mindset</w:t>
      </w:r>
      <w:r>
        <w:rPr>
          <w:rFonts w:ascii="Arial" w:hAnsi="Arial" w:cs="Arial"/>
          <w:sz w:val="22"/>
          <w:szCs w:val="22"/>
        </w:rPr>
        <w:t xml:space="preserve">’ (Haimovitz and Dweck, 2017). This can be related in context to the critical incident, and can be seen as a significant theory when considering how to best support a disengaged, unmotivated, high ability pupil. </w:t>
      </w:r>
      <w:r w:rsidR="00EC163D">
        <w:rPr>
          <w:rFonts w:ascii="Arial" w:hAnsi="Arial" w:cs="Arial"/>
          <w:sz w:val="22"/>
          <w:szCs w:val="22"/>
        </w:rPr>
        <w:t xml:space="preserve">The amotivation of a pupil has strong links to Donaldson’s (2015) core purposes. Under the umbrella term of </w:t>
      </w:r>
      <w:r w:rsidR="00EC163D" w:rsidRPr="00EC163D">
        <w:rPr>
          <w:rFonts w:ascii="Arial" w:hAnsi="Arial" w:cs="Arial"/>
          <w:i/>
          <w:iCs/>
          <w:sz w:val="22"/>
          <w:szCs w:val="22"/>
        </w:rPr>
        <w:t>ambitious capable learners</w:t>
      </w:r>
      <w:r w:rsidR="00EC163D">
        <w:rPr>
          <w:rFonts w:ascii="Arial" w:hAnsi="Arial" w:cs="Arial"/>
          <w:sz w:val="22"/>
          <w:szCs w:val="22"/>
        </w:rPr>
        <w:t xml:space="preserve">, lies a point about pupils actively seeking challenge. If a pupil is unmotivated for learning, it could be said that they should be introduced to the concept of independence in seeking out challenge for themselves. This could be a key solution </w:t>
      </w:r>
      <w:r w:rsidR="006C74AC">
        <w:rPr>
          <w:rFonts w:ascii="Arial" w:hAnsi="Arial" w:cs="Arial"/>
          <w:sz w:val="22"/>
          <w:szCs w:val="22"/>
        </w:rPr>
        <w:t>to achieving Donaldson’s (2015) purposes and progressing the individuals learning and development.</w:t>
      </w:r>
    </w:p>
    <w:p w:rsidR="007B0FDE" w:rsidRDefault="007B0FDE" w:rsidP="00795B6C">
      <w:pPr>
        <w:spacing w:line="360" w:lineRule="auto"/>
        <w:jc w:val="both"/>
        <w:rPr>
          <w:rFonts w:ascii="Arial" w:hAnsi="Arial" w:cs="Arial"/>
          <w:sz w:val="22"/>
          <w:szCs w:val="22"/>
        </w:rPr>
      </w:pPr>
    </w:p>
    <w:p w:rsidR="00D409FE" w:rsidRDefault="00ED7E68" w:rsidP="00795B6C">
      <w:pPr>
        <w:spacing w:line="360" w:lineRule="auto"/>
        <w:jc w:val="both"/>
        <w:rPr>
          <w:rFonts w:ascii="Arial" w:hAnsi="Arial" w:cs="Arial"/>
          <w:sz w:val="22"/>
          <w:szCs w:val="22"/>
        </w:rPr>
      </w:pPr>
      <w:r>
        <w:rPr>
          <w:rFonts w:ascii="Arial" w:hAnsi="Arial" w:cs="Arial"/>
          <w:sz w:val="22"/>
          <w:szCs w:val="22"/>
        </w:rPr>
        <w:t>Another key factor of the critical incident could be said to be the behavioural issues that arose through the disengagement and amotivation of the pupil. It can be suggested that boredom is a key contributor to these issues (Welsh Government</w:t>
      </w:r>
      <w:r w:rsidR="00954E9B">
        <w:rPr>
          <w:rFonts w:ascii="Arial" w:hAnsi="Arial" w:cs="Arial"/>
          <w:sz w:val="22"/>
          <w:szCs w:val="22"/>
        </w:rPr>
        <w:t xml:space="preserve">, </w:t>
      </w:r>
      <w:r>
        <w:rPr>
          <w:rFonts w:ascii="Arial" w:hAnsi="Arial" w:cs="Arial"/>
          <w:sz w:val="22"/>
          <w:szCs w:val="22"/>
        </w:rPr>
        <w:t xml:space="preserve">2010; </w:t>
      </w:r>
      <w:proofErr w:type="spellStart"/>
      <w:r>
        <w:rPr>
          <w:rFonts w:ascii="Arial" w:hAnsi="Arial" w:cs="Arial"/>
          <w:sz w:val="22"/>
          <w:szCs w:val="22"/>
        </w:rPr>
        <w:t>Cowley</w:t>
      </w:r>
      <w:proofErr w:type="spellEnd"/>
      <w:r>
        <w:rPr>
          <w:rFonts w:ascii="Arial" w:hAnsi="Arial" w:cs="Arial"/>
          <w:sz w:val="22"/>
          <w:szCs w:val="22"/>
        </w:rPr>
        <w:t xml:space="preserve">, 2014). Classrooms are experiencing more frequent low-level disruptions as the most significant behavioural issue and </w:t>
      </w:r>
      <w:r>
        <w:rPr>
          <w:rFonts w:ascii="Arial" w:hAnsi="Arial" w:cs="Arial"/>
          <w:sz w:val="22"/>
          <w:szCs w:val="22"/>
        </w:rPr>
        <w:lastRenderedPageBreak/>
        <w:t xml:space="preserve">research suggest that this is due to a combination of amotivation and boredom (Watkins and Wagner, 2000; </w:t>
      </w:r>
      <w:proofErr w:type="spellStart"/>
      <w:r>
        <w:rPr>
          <w:rFonts w:ascii="Arial" w:hAnsi="Arial" w:cs="Arial"/>
          <w:sz w:val="22"/>
          <w:szCs w:val="22"/>
        </w:rPr>
        <w:t>Cowley</w:t>
      </w:r>
      <w:proofErr w:type="spellEnd"/>
      <w:r>
        <w:rPr>
          <w:rFonts w:ascii="Arial" w:hAnsi="Arial" w:cs="Arial"/>
          <w:sz w:val="22"/>
          <w:szCs w:val="22"/>
        </w:rPr>
        <w:t xml:space="preserve">, 2014). Canter (2010) suggests that the boredom arises through a lack of stimulation in the school environment compared to technology-based recreational activities. </w:t>
      </w:r>
      <w:r w:rsidR="00D409FE">
        <w:rPr>
          <w:rFonts w:ascii="Arial" w:hAnsi="Arial" w:cs="Arial"/>
          <w:sz w:val="22"/>
          <w:szCs w:val="22"/>
        </w:rPr>
        <w:t xml:space="preserve">It could be suggested that multiple methods should be used to enhance engagement in the task (Van Der </w:t>
      </w:r>
      <w:proofErr w:type="spellStart"/>
      <w:r w:rsidR="00D409FE">
        <w:rPr>
          <w:rFonts w:ascii="Arial" w:hAnsi="Arial" w:cs="Arial"/>
          <w:sz w:val="22"/>
          <w:szCs w:val="22"/>
        </w:rPr>
        <w:t>Meij</w:t>
      </w:r>
      <w:proofErr w:type="spellEnd"/>
      <w:r w:rsidR="00D409FE">
        <w:rPr>
          <w:rFonts w:ascii="Arial" w:hAnsi="Arial" w:cs="Arial"/>
          <w:sz w:val="22"/>
          <w:szCs w:val="22"/>
        </w:rPr>
        <w:t xml:space="preserve"> and De Jong, 2006) </w:t>
      </w:r>
      <w:r w:rsidR="00D409FE">
        <w:rPr>
          <w:rFonts w:ascii="Arial" w:hAnsi="Arial" w:cs="Arial"/>
          <w:sz w:val="22"/>
          <w:szCs w:val="22"/>
        </w:rPr>
        <w:t>However, a learning environment that consists of too much stimuli can distract the pupil from the task given.</w:t>
      </w:r>
      <w:r w:rsidR="00D409FE">
        <w:rPr>
          <w:rFonts w:ascii="Arial" w:hAnsi="Arial" w:cs="Arial"/>
          <w:sz w:val="22"/>
          <w:szCs w:val="22"/>
        </w:rPr>
        <w:t xml:space="preserve"> If the classroom has too many displays and activities set out waiting, the pupil could easily become overwhelmed therefore not fully engaging with the teacher (Dixon et al., 2006). This could be observed in the critical incident, the MAT pupil was reaching up and grabbing at items close to them which were not involved in that part of the lesson, and part of the continuous provision. This highlights the relevance and potential application of (</w:t>
      </w:r>
      <w:r w:rsidR="00D409FE">
        <w:rPr>
          <w:rFonts w:ascii="Arial" w:hAnsi="Arial" w:cs="Arial"/>
          <w:sz w:val="22"/>
          <w:szCs w:val="22"/>
        </w:rPr>
        <w:t>Dixon et al., 2006</w:t>
      </w:r>
      <w:r w:rsidR="00D409FE">
        <w:rPr>
          <w:rFonts w:ascii="Arial" w:hAnsi="Arial" w:cs="Arial"/>
          <w:sz w:val="22"/>
          <w:szCs w:val="22"/>
        </w:rPr>
        <w:t xml:space="preserve">) research into the classroom environment and pupil engagement,  </w:t>
      </w:r>
      <w:r>
        <w:rPr>
          <w:rFonts w:ascii="Arial" w:hAnsi="Arial" w:cs="Arial"/>
          <w:sz w:val="22"/>
          <w:szCs w:val="22"/>
        </w:rPr>
        <w:t>Although it would seem obvious to increase the stimuli present in learning activities, this is not always appropriate or possible</w:t>
      </w:r>
      <w:r w:rsidR="006D52E3">
        <w:rPr>
          <w:rFonts w:ascii="Arial" w:hAnsi="Arial" w:cs="Arial"/>
          <w:sz w:val="22"/>
          <w:szCs w:val="22"/>
        </w:rPr>
        <w:t>, therefore the use of target setting can be a vital strategy to motivate pupils and in turn, reduce low level disruption (</w:t>
      </w:r>
      <w:proofErr w:type="spellStart"/>
      <w:r w:rsidR="006D52E3">
        <w:rPr>
          <w:rFonts w:ascii="Arial" w:hAnsi="Arial" w:cs="Arial"/>
          <w:sz w:val="22"/>
          <w:szCs w:val="22"/>
        </w:rPr>
        <w:t>Cowley</w:t>
      </w:r>
      <w:proofErr w:type="spellEnd"/>
      <w:r w:rsidR="006D52E3">
        <w:rPr>
          <w:rFonts w:ascii="Arial" w:hAnsi="Arial" w:cs="Arial"/>
          <w:sz w:val="22"/>
          <w:szCs w:val="22"/>
        </w:rPr>
        <w:t>, 2014).</w:t>
      </w:r>
      <w:r w:rsidR="00D409FE">
        <w:rPr>
          <w:rFonts w:ascii="Arial" w:hAnsi="Arial" w:cs="Arial"/>
          <w:sz w:val="22"/>
          <w:szCs w:val="22"/>
        </w:rPr>
        <w:t xml:space="preserve"> </w:t>
      </w:r>
    </w:p>
    <w:p w:rsidR="005A7F11" w:rsidRDefault="005A7F11" w:rsidP="00795B6C">
      <w:pPr>
        <w:spacing w:line="360" w:lineRule="auto"/>
        <w:jc w:val="both"/>
        <w:rPr>
          <w:rFonts w:ascii="Arial" w:hAnsi="Arial" w:cs="Arial"/>
          <w:sz w:val="22"/>
          <w:szCs w:val="22"/>
        </w:rPr>
      </w:pPr>
    </w:p>
    <w:p w:rsidR="0007389D" w:rsidRDefault="005A7F11" w:rsidP="00795B6C">
      <w:pPr>
        <w:spacing w:line="360" w:lineRule="auto"/>
        <w:jc w:val="both"/>
        <w:rPr>
          <w:rFonts w:ascii="Arial" w:hAnsi="Arial" w:cs="Arial"/>
          <w:sz w:val="22"/>
          <w:szCs w:val="22"/>
        </w:rPr>
      </w:pPr>
      <w:r>
        <w:rPr>
          <w:rFonts w:ascii="Arial" w:hAnsi="Arial" w:cs="Arial"/>
          <w:sz w:val="22"/>
          <w:szCs w:val="22"/>
        </w:rPr>
        <w:t>Despite target setting being presented as a successful solution to combat amotivation and boredom, they have several weaknesses and potential to be unsuccessful. Targets must be set at the appropriate level for the individual – a target set as either too easy, or too difficult, for a pupil will act as a demotivator (</w:t>
      </w:r>
      <w:proofErr w:type="spellStart"/>
      <w:r>
        <w:rPr>
          <w:rFonts w:ascii="Arial" w:hAnsi="Arial" w:cs="Arial"/>
          <w:sz w:val="22"/>
          <w:szCs w:val="22"/>
        </w:rPr>
        <w:t>Duda</w:t>
      </w:r>
      <w:proofErr w:type="spellEnd"/>
      <w:r>
        <w:rPr>
          <w:rFonts w:ascii="Arial" w:hAnsi="Arial" w:cs="Arial"/>
          <w:sz w:val="22"/>
          <w:szCs w:val="22"/>
        </w:rPr>
        <w:t xml:space="preserve"> and Nicholls, </w:t>
      </w:r>
      <w:r w:rsidR="008D5F8F">
        <w:rPr>
          <w:rFonts w:ascii="Arial" w:hAnsi="Arial" w:cs="Arial"/>
          <w:sz w:val="22"/>
          <w:szCs w:val="22"/>
        </w:rPr>
        <w:t>1992</w:t>
      </w:r>
      <w:r>
        <w:rPr>
          <w:rFonts w:ascii="Arial" w:hAnsi="Arial" w:cs="Arial"/>
          <w:sz w:val="22"/>
          <w:szCs w:val="22"/>
        </w:rPr>
        <w:t>).</w:t>
      </w:r>
      <w:r w:rsidR="00BF1373">
        <w:rPr>
          <w:rFonts w:ascii="Arial" w:hAnsi="Arial" w:cs="Arial"/>
          <w:sz w:val="22"/>
          <w:szCs w:val="22"/>
        </w:rPr>
        <w:t xml:space="preserve"> This can prove to be a challenge for the class teacher (</w:t>
      </w:r>
      <w:r w:rsidR="00B23704">
        <w:rPr>
          <w:rFonts w:ascii="Arial" w:hAnsi="Arial" w:cs="Arial"/>
          <w:sz w:val="22"/>
          <w:szCs w:val="22"/>
        </w:rPr>
        <w:t>Perry et al., 201</w:t>
      </w:r>
      <w:r w:rsidR="00EE7CFD">
        <w:rPr>
          <w:rFonts w:ascii="Arial" w:hAnsi="Arial" w:cs="Arial"/>
          <w:sz w:val="22"/>
          <w:szCs w:val="22"/>
        </w:rPr>
        <w:t>8</w:t>
      </w:r>
      <w:r w:rsidR="00BF1373">
        <w:rPr>
          <w:rFonts w:ascii="Arial" w:hAnsi="Arial" w:cs="Arial"/>
          <w:sz w:val="22"/>
          <w:szCs w:val="22"/>
        </w:rPr>
        <w:t>). Furthermore, the type of target set must be appropriate for the individual learner’s needs. For example, a MAT pupil would not benefit from an attainment target, rather so a process or behavioural target (</w:t>
      </w:r>
      <w:proofErr w:type="spellStart"/>
      <w:r w:rsidR="00EE7CFD">
        <w:rPr>
          <w:rFonts w:ascii="Arial" w:hAnsi="Arial" w:cs="Arial"/>
          <w:sz w:val="22"/>
          <w:szCs w:val="22"/>
        </w:rPr>
        <w:t>Morisano</w:t>
      </w:r>
      <w:proofErr w:type="spellEnd"/>
      <w:r w:rsidR="00EE7CFD">
        <w:rPr>
          <w:rFonts w:ascii="Arial" w:hAnsi="Arial" w:cs="Arial"/>
          <w:sz w:val="22"/>
          <w:szCs w:val="22"/>
        </w:rPr>
        <w:t xml:space="preserve"> and Shore, 2010</w:t>
      </w:r>
      <w:r w:rsidR="00EE7CFD">
        <w:rPr>
          <w:rFonts w:ascii="Arial" w:hAnsi="Arial" w:cs="Arial"/>
          <w:sz w:val="22"/>
          <w:szCs w:val="22"/>
        </w:rPr>
        <w:t>; Archer, 2018</w:t>
      </w:r>
      <w:r w:rsidR="00BF1373">
        <w:rPr>
          <w:rFonts w:ascii="Arial" w:hAnsi="Arial" w:cs="Arial"/>
          <w:sz w:val="22"/>
          <w:szCs w:val="22"/>
        </w:rPr>
        <w:t>). As mentioned earlier, the MAT pupil may have a view of intelligence that it is fixed and perhaps is over-confident in their cognitive abilities (Haimovitz and Dweck, 2017). If a teacher were to set an attainment target, that perhaps would not stimulate any challenge or motivation, therefore, the benefit of target setting would not be presented in this scenario (</w:t>
      </w:r>
      <w:proofErr w:type="spellStart"/>
      <w:r w:rsidR="00BF1373">
        <w:rPr>
          <w:rFonts w:ascii="Arial" w:hAnsi="Arial" w:cs="Arial"/>
          <w:sz w:val="22"/>
          <w:szCs w:val="22"/>
        </w:rPr>
        <w:t>Duda</w:t>
      </w:r>
      <w:proofErr w:type="spellEnd"/>
      <w:r w:rsidR="00BF1373">
        <w:rPr>
          <w:rFonts w:ascii="Arial" w:hAnsi="Arial" w:cs="Arial"/>
          <w:sz w:val="22"/>
          <w:szCs w:val="22"/>
        </w:rPr>
        <w:t xml:space="preserve"> and Nicholls, </w:t>
      </w:r>
      <w:r w:rsidR="008D5F8F">
        <w:rPr>
          <w:rFonts w:ascii="Arial" w:hAnsi="Arial" w:cs="Arial"/>
          <w:sz w:val="22"/>
          <w:szCs w:val="22"/>
        </w:rPr>
        <w:t>1992</w:t>
      </w:r>
      <w:r w:rsidR="00BF1373">
        <w:rPr>
          <w:rFonts w:ascii="Arial" w:hAnsi="Arial" w:cs="Arial"/>
          <w:sz w:val="22"/>
          <w:szCs w:val="22"/>
        </w:rPr>
        <w:t>).</w:t>
      </w:r>
    </w:p>
    <w:p w:rsidR="0007389D" w:rsidRDefault="0007389D" w:rsidP="00795B6C">
      <w:pPr>
        <w:spacing w:line="360" w:lineRule="auto"/>
        <w:jc w:val="both"/>
        <w:rPr>
          <w:rFonts w:ascii="Arial" w:hAnsi="Arial" w:cs="Arial"/>
          <w:sz w:val="22"/>
          <w:szCs w:val="22"/>
        </w:rPr>
      </w:pPr>
    </w:p>
    <w:p w:rsidR="00E67AE9" w:rsidRPr="0007389D" w:rsidRDefault="0007389D" w:rsidP="00795B6C">
      <w:pPr>
        <w:spacing w:line="360" w:lineRule="auto"/>
        <w:jc w:val="both"/>
        <w:rPr>
          <w:rFonts w:ascii="Arial" w:hAnsi="Arial" w:cs="Arial"/>
          <w:sz w:val="22"/>
          <w:szCs w:val="22"/>
        </w:rPr>
      </w:pPr>
      <w:r>
        <w:rPr>
          <w:rFonts w:ascii="Arial" w:hAnsi="Arial" w:cs="Arial"/>
          <w:sz w:val="22"/>
          <w:szCs w:val="22"/>
        </w:rPr>
        <w:t>A strategy closely linked with target setting is the use of a rewards system. Rewards can be said to be particularly useful when trying to motivate a disengaged pupil and come hand in hand with target setting (</w:t>
      </w:r>
      <w:r w:rsidR="00621223" w:rsidRPr="00621223">
        <w:rPr>
          <w:rFonts w:ascii="Arial" w:hAnsi="Arial" w:cs="Arial"/>
          <w:sz w:val="22"/>
          <w:szCs w:val="22"/>
        </w:rPr>
        <w:t>Dweck, 2007</w:t>
      </w:r>
      <w:r w:rsidRPr="00621223">
        <w:rPr>
          <w:rFonts w:ascii="Arial" w:hAnsi="Arial" w:cs="Arial"/>
          <w:sz w:val="22"/>
          <w:szCs w:val="22"/>
        </w:rPr>
        <w:t xml:space="preserve">; </w:t>
      </w:r>
      <w:proofErr w:type="spellStart"/>
      <w:r w:rsidR="00621223" w:rsidRPr="00621223">
        <w:rPr>
          <w:rFonts w:ascii="Arial" w:hAnsi="Arial" w:cs="Arial"/>
          <w:sz w:val="22"/>
          <w:szCs w:val="22"/>
        </w:rPr>
        <w:t>Cowley</w:t>
      </w:r>
      <w:proofErr w:type="spellEnd"/>
      <w:r w:rsidR="00621223" w:rsidRPr="00621223">
        <w:rPr>
          <w:rFonts w:ascii="Arial" w:hAnsi="Arial" w:cs="Arial"/>
          <w:sz w:val="22"/>
          <w:szCs w:val="22"/>
        </w:rPr>
        <w:t>, 2014</w:t>
      </w:r>
      <w:r w:rsidR="00602E90">
        <w:rPr>
          <w:rFonts w:ascii="Arial" w:hAnsi="Arial" w:cs="Arial"/>
          <w:sz w:val="22"/>
          <w:szCs w:val="22"/>
        </w:rPr>
        <w:t>; Payne, 2015</w:t>
      </w:r>
      <w:r>
        <w:rPr>
          <w:rFonts w:ascii="Arial" w:hAnsi="Arial" w:cs="Arial"/>
          <w:sz w:val="22"/>
          <w:szCs w:val="22"/>
        </w:rPr>
        <w:t>). The pupil discussed in the critical incident was showing behaviours of an individual who is not intrinsically motivated and needed extrinsic motivation. A disruptive behaviour displayed by the individual was to ‘</w:t>
      </w:r>
      <w:r w:rsidRPr="0007389D">
        <w:rPr>
          <w:rFonts w:ascii="Arial" w:hAnsi="Arial" w:cs="Arial"/>
          <w:i/>
          <w:iCs/>
          <w:sz w:val="22"/>
          <w:szCs w:val="22"/>
        </w:rPr>
        <w:t>shout-out’</w:t>
      </w:r>
      <w:r>
        <w:rPr>
          <w:rFonts w:ascii="Arial" w:hAnsi="Arial" w:cs="Arial"/>
          <w:sz w:val="22"/>
          <w:szCs w:val="22"/>
        </w:rPr>
        <w:t xml:space="preserve"> to the teacher to gain confirmation and praise. Therefore, it could be suggested that the pupil was completing their learning activities to gain the extrinsic reward of praise. Praise can be describes as a form of positive reinforcement</w:t>
      </w:r>
      <w:r w:rsidR="001B2E3E">
        <w:rPr>
          <w:rFonts w:ascii="Arial" w:hAnsi="Arial" w:cs="Arial"/>
          <w:sz w:val="22"/>
          <w:szCs w:val="22"/>
        </w:rPr>
        <w:t xml:space="preserve"> and operant conditioning</w:t>
      </w:r>
      <w:r>
        <w:rPr>
          <w:rFonts w:ascii="Arial" w:hAnsi="Arial" w:cs="Arial"/>
          <w:sz w:val="22"/>
          <w:szCs w:val="22"/>
        </w:rPr>
        <w:t xml:space="preserve"> (</w:t>
      </w:r>
      <w:r w:rsidR="001B2E3E">
        <w:rPr>
          <w:rFonts w:ascii="Arial" w:hAnsi="Arial" w:cs="Arial"/>
          <w:sz w:val="22"/>
          <w:szCs w:val="22"/>
        </w:rPr>
        <w:t>Skinner, 1948</w:t>
      </w:r>
      <w:r>
        <w:rPr>
          <w:rFonts w:ascii="Arial" w:hAnsi="Arial" w:cs="Arial"/>
          <w:sz w:val="22"/>
          <w:szCs w:val="22"/>
        </w:rPr>
        <w:t>). Positive reinforcement</w:t>
      </w:r>
      <w:r w:rsidR="001B2E3E">
        <w:rPr>
          <w:rFonts w:ascii="Arial" w:hAnsi="Arial" w:cs="Arial"/>
          <w:sz w:val="22"/>
          <w:szCs w:val="22"/>
        </w:rPr>
        <w:t>, when</w:t>
      </w:r>
      <w:r>
        <w:rPr>
          <w:rFonts w:ascii="Arial" w:hAnsi="Arial" w:cs="Arial"/>
          <w:sz w:val="22"/>
          <w:szCs w:val="22"/>
        </w:rPr>
        <w:t xml:space="preserve"> </w:t>
      </w:r>
      <w:r w:rsidR="001B2E3E">
        <w:rPr>
          <w:rFonts w:ascii="Arial" w:hAnsi="Arial" w:cs="Arial"/>
          <w:sz w:val="22"/>
          <w:szCs w:val="22"/>
        </w:rPr>
        <w:t xml:space="preserve">used successfully and consistently, </w:t>
      </w:r>
      <w:r>
        <w:rPr>
          <w:rFonts w:ascii="Arial" w:hAnsi="Arial" w:cs="Arial"/>
          <w:sz w:val="22"/>
          <w:szCs w:val="22"/>
        </w:rPr>
        <w:t xml:space="preserve">can </w:t>
      </w:r>
      <w:r w:rsidR="001B2E3E">
        <w:rPr>
          <w:rFonts w:ascii="Arial" w:hAnsi="Arial" w:cs="Arial"/>
          <w:sz w:val="22"/>
          <w:szCs w:val="22"/>
        </w:rPr>
        <w:t xml:space="preserve">shape </w:t>
      </w:r>
      <w:r w:rsidR="001B2E3E">
        <w:rPr>
          <w:rFonts w:ascii="Arial" w:hAnsi="Arial" w:cs="Arial"/>
          <w:sz w:val="22"/>
          <w:szCs w:val="22"/>
        </w:rPr>
        <w:lastRenderedPageBreak/>
        <w:t>behaviours of an individual. For example, a teacher giving regular, consistent praise for a pupil for not disrupting their input can create a ‘l</w:t>
      </w:r>
      <w:r w:rsidR="001B2E3E" w:rsidRPr="001B2E3E">
        <w:rPr>
          <w:rFonts w:ascii="Arial" w:hAnsi="Arial" w:cs="Arial"/>
          <w:i/>
          <w:iCs/>
          <w:sz w:val="22"/>
          <w:szCs w:val="22"/>
        </w:rPr>
        <w:t>earned behaviou</w:t>
      </w:r>
      <w:r w:rsidR="001B2E3E">
        <w:rPr>
          <w:rFonts w:ascii="Arial" w:hAnsi="Arial" w:cs="Arial"/>
          <w:sz w:val="22"/>
          <w:szCs w:val="22"/>
        </w:rPr>
        <w:t>r’ of the pupil not disrupting their lesson as their normal, learned behaviour (Bandura, 2010).</w:t>
      </w:r>
      <w:r w:rsidR="00E67AE9">
        <w:rPr>
          <w:rFonts w:ascii="Arial" w:hAnsi="Arial" w:cs="Arial"/>
          <w:sz w:val="22"/>
          <w:szCs w:val="22"/>
        </w:rPr>
        <w:t xml:space="preserve"> Research has shown that this can be effective in the classroom context (Evans et al., 2003).</w:t>
      </w:r>
    </w:p>
    <w:p w:rsidR="008D5F8F" w:rsidRDefault="008D5F8F" w:rsidP="00795B6C">
      <w:pPr>
        <w:spacing w:line="360" w:lineRule="auto"/>
        <w:jc w:val="both"/>
        <w:rPr>
          <w:color w:val="FF0000"/>
        </w:rPr>
      </w:pPr>
    </w:p>
    <w:p w:rsidR="007C6018" w:rsidRPr="00A51275" w:rsidRDefault="007C6018" w:rsidP="007C6018">
      <w:pPr>
        <w:spacing w:line="360" w:lineRule="auto"/>
        <w:jc w:val="both"/>
        <w:rPr>
          <w:rFonts w:ascii="Arial" w:hAnsi="Arial" w:cs="Arial"/>
          <w:color w:val="000000" w:themeColor="text1"/>
          <w:sz w:val="22"/>
          <w:szCs w:val="22"/>
        </w:rPr>
      </w:pPr>
      <w:r w:rsidRPr="007C6018">
        <w:rPr>
          <w:rFonts w:ascii="Arial" w:hAnsi="Arial" w:cs="Arial"/>
          <w:color w:val="000000" w:themeColor="text1"/>
          <w:sz w:val="22"/>
          <w:szCs w:val="22"/>
        </w:rPr>
        <w:t xml:space="preserve">Assessment for learning </w:t>
      </w:r>
      <w:r>
        <w:rPr>
          <w:rFonts w:ascii="Arial" w:hAnsi="Arial" w:cs="Arial"/>
          <w:color w:val="000000" w:themeColor="text1"/>
          <w:sz w:val="22"/>
          <w:szCs w:val="22"/>
        </w:rPr>
        <w:t>(</w:t>
      </w:r>
      <w:proofErr w:type="spellStart"/>
      <w:r>
        <w:rPr>
          <w:rFonts w:ascii="Arial" w:hAnsi="Arial" w:cs="Arial"/>
          <w:color w:val="000000" w:themeColor="text1"/>
          <w:sz w:val="22"/>
          <w:szCs w:val="22"/>
        </w:rPr>
        <w:t>AfL</w:t>
      </w:r>
      <w:proofErr w:type="spellEnd"/>
      <w:r>
        <w:rPr>
          <w:rFonts w:ascii="Arial" w:hAnsi="Arial" w:cs="Arial"/>
          <w:color w:val="000000" w:themeColor="text1"/>
          <w:sz w:val="22"/>
          <w:szCs w:val="22"/>
        </w:rPr>
        <w:t xml:space="preserve">) </w:t>
      </w:r>
      <w:r w:rsidRPr="007C6018">
        <w:rPr>
          <w:rFonts w:ascii="Arial" w:hAnsi="Arial" w:cs="Arial"/>
          <w:color w:val="000000" w:themeColor="text1"/>
          <w:sz w:val="22"/>
          <w:szCs w:val="22"/>
        </w:rPr>
        <w:t xml:space="preserve">strategies </w:t>
      </w:r>
      <w:r>
        <w:rPr>
          <w:rFonts w:ascii="Arial" w:hAnsi="Arial" w:cs="Arial"/>
          <w:color w:val="000000" w:themeColor="text1"/>
          <w:sz w:val="22"/>
          <w:szCs w:val="22"/>
        </w:rPr>
        <w:t>could be another tool for improving motivation</w:t>
      </w:r>
      <w:r w:rsidR="000839D5">
        <w:rPr>
          <w:rFonts w:ascii="Arial" w:hAnsi="Arial" w:cs="Arial"/>
          <w:color w:val="000000" w:themeColor="text1"/>
          <w:sz w:val="22"/>
          <w:szCs w:val="22"/>
        </w:rPr>
        <w:t xml:space="preserve"> (</w:t>
      </w:r>
      <w:r w:rsidR="00E766EA">
        <w:rPr>
          <w:rFonts w:ascii="Arial" w:hAnsi="Arial" w:cs="Arial"/>
          <w:color w:val="000000" w:themeColor="text1"/>
          <w:sz w:val="22"/>
          <w:szCs w:val="22"/>
        </w:rPr>
        <w:t>Walters et al., 2017</w:t>
      </w:r>
      <w:r w:rsidR="000839D5">
        <w:rPr>
          <w:rFonts w:ascii="Arial" w:hAnsi="Arial" w:cs="Arial"/>
          <w:color w:val="000000" w:themeColor="text1"/>
          <w:sz w:val="22"/>
          <w:szCs w:val="22"/>
        </w:rPr>
        <w:t>)</w:t>
      </w:r>
      <w:r>
        <w:rPr>
          <w:rFonts w:ascii="Arial" w:hAnsi="Arial" w:cs="Arial"/>
          <w:color w:val="000000" w:themeColor="text1"/>
          <w:sz w:val="22"/>
          <w:szCs w:val="22"/>
        </w:rPr>
        <w:t xml:space="preserve">. The principles of </w:t>
      </w:r>
      <w:proofErr w:type="spellStart"/>
      <w:r>
        <w:rPr>
          <w:rFonts w:ascii="Arial" w:hAnsi="Arial" w:cs="Arial"/>
          <w:color w:val="000000" w:themeColor="text1"/>
          <w:sz w:val="22"/>
          <w:szCs w:val="22"/>
        </w:rPr>
        <w:t>AfL</w:t>
      </w:r>
      <w:proofErr w:type="spellEnd"/>
      <w:r>
        <w:rPr>
          <w:rFonts w:ascii="Arial" w:hAnsi="Arial" w:cs="Arial"/>
          <w:color w:val="000000" w:themeColor="text1"/>
          <w:sz w:val="22"/>
          <w:szCs w:val="22"/>
        </w:rPr>
        <w:t xml:space="preserve"> are that </w:t>
      </w:r>
      <w:r w:rsidR="00A51275">
        <w:rPr>
          <w:rFonts w:ascii="Arial" w:hAnsi="Arial" w:cs="Arial"/>
          <w:color w:val="000000" w:themeColor="text1"/>
          <w:sz w:val="22"/>
          <w:szCs w:val="22"/>
        </w:rPr>
        <w:t xml:space="preserve">the learners are actively involved in their own learning through the use of feedback. There are four components of </w:t>
      </w:r>
      <w:proofErr w:type="spellStart"/>
      <w:r w:rsidR="00A51275">
        <w:rPr>
          <w:rFonts w:ascii="Arial" w:hAnsi="Arial" w:cs="Arial"/>
          <w:color w:val="000000" w:themeColor="text1"/>
          <w:sz w:val="22"/>
          <w:szCs w:val="22"/>
        </w:rPr>
        <w:t>AfL</w:t>
      </w:r>
      <w:proofErr w:type="spellEnd"/>
      <w:r w:rsidR="00A51275">
        <w:rPr>
          <w:rFonts w:ascii="Arial" w:hAnsi="Arial" w:cs="Arial"/>
          <w:color w:val="000000" w:themeColor="text1"/>
          <w:sz w:val="22"/>
          <w:szCs w:val="22"/>
        </w:rPr>
        <w:t>: questioning, quality of talk, quality of feedback, peer and self-assessment. It could be suggested that the use of all of these elements can help a disengaged pupil</w:t>
      </w:r>
      <w:r w:rsidR="000839D5">
        <w:rPr>
          <w:rFonts w:ascii="Arial" w:hAnsi="Arial" w:cs="Arial"/>
          <w:color w:val="000000" w:themeColor="text1"/>
          <w:sz w:val="22"/>
          <w:szCs w:val="22"/>
        </w:rPr>
        <w:t xml:space="preserve"> (</w:t>
      </w:r>
      <w:proofErr w:type="spellStart"/>
      <w:r w:rsidR="00E766EA">
        <w:rPr>
          <w:rFonts w:ascii="Arial" w:hAnsi="Arial" w:cs="Arial"/>
          <w:color w:val="000000" w:themeColor="text1"/>
          <w:sz w:val="22"/>
          <w:szCs w:val="22"/>
        </w:rPr>
        <w:t>Stiggins</w:t>
      </w:r>
      <w:proofErr w:type="spellEnd"/>
      <w:r w:rsidR="00954E9B">
        <w:rPr>
          <w:rFonts w:ascii="Arial" w:hAnsi="Arial" w:cs="Arial"/>
          <w:color w:val="000000" w:themeColor="text1"/>
          <w:sz w:val="22"/>
          <w:szCs w:val="22"/>
        </w:rPr>
        <w:t>,</w:t>
      </w:r>
      <w:r w:rsidR="00E766EA">
        <w:rPr>
          <w:rFonts w:ascii="Arial" w:hAnsi="Arial" w:cs="Arial"/>
          <w:color w:val="000000" w:themeColor="text1"/>
          <w:sz w:val="22"/>
          <w:szCs w:val="22"/>
        </w:rPr>
        <w:t xml:space="preserve"> 2005; Walters et al., 2017</w:t>
      </w:r>
      <w:r w:rsidR="000839D5">
        <w:rPr>
          <w:rFonts w:ascii="Arial" w:hAnsi="Arial" w:cs="Arial"/>
          <w:color w:val="000000" w:themeColor="text1"/>
          <w:sz w:val="22"/>
          <w:szCs w:val="22"/>
        </w:rPr>
        <w:t>)</w:t>
      </w:r>
      <w:r w:rsidR="00A51275">
        <w:rPr>
          <w:rFonts w:ascii="Arial" w:hAnsi="Arial" w:cs="Arial"/>
          <w:color w:val="000000" w:themeColor="text1"/>
          <w:sz w:val="22"/>
          <w:szCs w:val="22"/>
        </w:rPr>
        <w:t xml:space="preserve">. An </w:t>
      </w:r>
      <w:proofErr w:type="spellStart"/>
      <w:r w:rsidR="00A51275">
        <w:rPr>
          <w:rFonts w:ascii="Arial" w:hAnsi="Arial" w:cs="Arial"/>
          <w:color w:val="000000" w:themeColor="text1"/>
          <w:sz w:val="22"/>
          <w:szCs w:val="22"/>
        </w:rPr>
        <w:t>AfL</w:t>
      </w:r>
      <w:proofErr w:type="spellEnd"/>
      <w:r w:rsidR="00A51275">
        <w:rPr>
          <w:rFonts w:ascii="Arial" w:hAnsi="Arial" w:cs="Arial"/>
          <w:color w:val="000000" w:themeColor="text1"/>
          <w:sz w:val="22"/>
          <w:szCs w:val="22"/>
        </w:rPr>
        <w:t xml:space="preserve"> strategy called ‘</w:t>
      </w:r>
      <w:r w:rsidR="00A51275" w:rsidRPr="00A51275">
        <w:rPr>
          <w:rFonts w:ascii="Arial" w:hAnsi="Arial" w:cs="Arial"/>
          <w:i/>
          <w:iCs/>
          <w:color w:val="000000" w:themeColor="text1"/>
          <w:sz w:val="22"/>
          <w:szCs w:val="22"/>
        </w:rPr>
        <w:t>turn and talk’</w:t>
      </w:r>
      <w:r w:rsidR="00A51275">
        <w:rPr>
          <w:rFonts w:ascii="Arial" w:hAnsi="Arial" w:cs="Arial"/>
          <w:i/>
          <w:iCs/>
          <w:color w:val="000000" w:themeColor="text1"/>
          <w:sz w:val="22"/>
          <w:szCs w:val="22"/>
        </w:rPr>
        <w:t xml:space="preserve"> </w:t>
      </w:r>
      <w:r w:rsidR="00A51275">
        <w:rPr>
          <w:rFonts w:ascii="Arial" w:hAnsi="Arial" w:cs="Arial"/>
          <w:color w:val="000000" w:themeColor="text1"/>
          <w:sz w:val="22"/>
          <w:szCs w:val="22"/>
        </w:rPr>
        <w:t>whereby children are asked to discuss answers to an open question with a partner could prove useful in the given scenario. This has strong links to Vygots</w:t>
      </w:r>
      <w:r w:rsidR="001F3AFE">
        <w:rPr>
          <w:rFonts w:ascii="Arial" w:hAnsi="Arial" w:cs="Arial"/>
          <w:color w:val="000000" w:themeColor="text1"/>
          <w:sz w:val="22"/>
          <w:szCs w:val="22"/>
        </w:rPr>
        <w:t>ky</w:t>
      </w:r>
      <w:r w:rsidR="00A51275">
        <w:rPr>
          <w:rFonts w:ascii="Arial" w:hAnsi="Arial" w:cs="Arial"/>
          <w:color w:val="000000" w:themeColor="text1"/>
          <w:sz w:val="22"/>
          <w:szCs w:val="22"/>
        </w:rPr>
        <w:t>’s (</w:t>
      </w:r>
      <w:r w:rsidR="00954E9B">
        <w:rPr>
          <w:rFonts w:ascii="Arial" w:hAnsi="Arial" w:cs="Arial"/>
          <w:color w:val="000000" w:themeColor="text1"/>
          <w:sz w:val="22"/>
          <w:szCs w:val="22"/>
        </w:rPr>
        <w:t>1930-1934/</w:t>
      </w:r>
      <w:r w:rsidR="001F3AFE">
        <w:rPr>
          <w:rFonts w:ascii="Arial" w:hAnsi="Arial" w:cs="Arial"/>
          <w:color w:val="000000" w:themeColor="text1"/>
          <w:sz w:val="22"/>
          <w:szCs w:val="22"/>
        </w:rPr>
        <w:t>1978</w:t>
      </w:r>
      <w:r w:rsidR="00A51275">
        <w:rPr>
          <w:rFonts w:ascii="Arial" w:hAnsi="Arial" w:cs="Arial"/>
          <w:color w:val="000000" w:themeColor="text1"/>
          <w:sz w:val="22"/>
          <w:szCs w:val="22"/>
        </w:rPr>
        <w:t xml:space="preserve">) theory of </w:t>
      </w:r>
      <w:r w:rsidR="000839D5">
        <w:rPr>
          <w:rFonts w:ascii="Arial" w:hAnsi="Arial" w:cs="Arial"/>
          <w:color w:val="000000" w:themeColor="text1"/>
          <w:sz w:val="22"/>
          <w:szCs w:val="22"/>
        </w:rPr>
        <w:t>the zone of proximal development. This theory suggests that a learner has an optimal level of challenge and they must be within this to achieve the learning aim</w:t>
      </w:r>
      <w:r w:rsidR="001F3AFE">
        <w:rPr>
          <w:rFonts w:ascii="Arial" w:hAnsi="Arial" w:cs="Arial"/>
          <w:color w:val="000000" w:themeColor="text1"/>
          <w:sz w:val="22"/>
          <w:szCs w:val="22"/>
        </w:rPr>
        <w:t xml:space="preserve"> (Vygotsky, </w:t>
      </w:r>
      <w:r w:rsidR="00954E9B">
        <w:rPr>
          <w:rFonts w:ascii="Arial" w:hAnsi="Arial" w:cs="Arial"/>
          <w:color w:val="000000" w:themeColor="text1"/>
          <w:sz w:val="22"/>
          <w:szCs w:val="22"/>
        </w:rPr>
        <w:t>1930-1934/1978</w:t>
      </w:r>
      <w:r w:rsidR="001F3AFE">
        <w:rPr>
          <w:rFonts w:ascii="Arial" w:hAnsi="Arial" w:cs="Arial"/>
          <w:color w:val="000000" w:themeColor="text1"/>
          <w:sz w:val="22"/>
          <w:szCs w:val="22"/>
        </w:rPr>
        <w:t xml:space="preserve">; Harland, 2003) </w:t>
      </w:r>
      <w:r w:rsidR="000839D5">
        <w:rPr>
          <w:rFonts w:ascii="Arial" w:hAnsi="Arial" w:cs="Arial"/>
          <w:color w:val="000000" w:themeColor="text1"/>
          <w:sz w:val="22"/>
          <w:szCs w:val="22"/>
        </w:rPr>
        <w:t>. However, an individual can move through the use of a more knowledgeable other (MKO). The MAT child can be used as a MKO</w:t>
      </w:r>
      <w:r w:rsidR="005E23AC">
        <w:rPr>
          <w:rFonts w:ascii="Arial" w:hAnsi="Arial" w:cs="Arial"/>
          <w:color w:val="000000" w:themeColor="text1"/>
          <w:sz w:val="22"/>
          <w:szCs w:val="22"/>
        </w:rPr>
        <w:t xml:space="preserve"> to support their peers in learning, therefore ingraining the MAT’s knowledge into long term memory as well as benefiting others in a class (</w:t>
      </w:r>
      <w:proofErr w:type="spellStart"/>
      <w:r w:rsidR="00954E9B">
        <w:rPr>
          <w:rFonts w:ascii="Arial" w:hAnsi="Arial" w:cs="Arial"/>
          <w:color w:val="000000" w:themeColor="text1"/>
          <w:sz w:val="22"/>
          <w:szCs w:val="22"/>
        </w:rPr>
        <w:t>Stiggins</w:t>
      </w:r>
      <w:proofErr w:type="spellEnd"/>
      <w:r w:rsidR="00954E9B">
        <w:rPr>
          <w:rFonts w:ascii="Arial" w:hAnsi="Arial" w:cs="Arial"/>
          <w:color w:val="000000" w:themeColor="text1"/>
          <w:sz w:val="22"/>
          <w:szCs w:val="22"/>
        </w:rPr>
        <w:t>, 2005; Bear et al., 2015</w:t>
      </w:r>
      <w:r w:rsidR="005E23AC">
        <w:rPr>
          <w:rFonts w:ascii="Arial" w:hAnsi="Arial" w:cs="Arial"/>
          <w:color w:val="000000" w:themeColor="text1"/>
          <w:sz w:val="22"/>
          <w:szCs w:val="22"/>
        </w:rPr>
        <w:t>).</w:t>
      </w:r>
    </w:p>
    <w:p w:rsidR="007C6018" w:rsidRDefault="007C6018" w:rsidP="00795B6C">
      <w:pPr>
        <w:spacing w:line="360" w:lineRule="auto"/>
        <w:jc w:val="both"/>
        <w:rPr>
          <w:color w:val="FF0000"/>
        </w:rPr>
      </w:pPr>
    </w:p>
    <w:p w:rsidR="00B21230" w:rsidRDefault="000E4DEE" w:rsidP="00795B6C">
      <w:pPr>
        <w:spacing w:line="360" w:lineRule="auto"/>
        <w:jc w:val="both"/>
        <w:rPr>
          <w:rFonts w:ascii="Arial" w:hAnsi="Arial" w:cs="Arial"/>
          <w:sz w:val="22"/>
          <w:szCs w:val="22"/>
        </w:rPr>
      </w:pPr>
      <w:r>
        <w:rPr>
          <w:rFonts w:ascii="Arial" w:hAnsi="Arial" w:cs="Arial"/>
          <w:sz w:val="22"/>
          <w:szCs w:val="22"/>
        </w:rPr>
        <w:t xml:space="preserve">Being a reflective practitioner is vital in teaching. </w:t>
      </w:r>
      <w:r w:rsidR="0091230D">
        <w:rPr>
          <w:rFonts w:ascii="Arial" w:hAnsi="Arial" w:cs="Arial"/>
          <w:sz w:val="22"/>
          <w:szCs w:val="22"/>
        </w:rPr>
        <w:t>The professional standards for teaching and leadership in Wales (</w:t>
      </w:r>
      <w:r w:rsidR="007B1C25">
        <w:rPr>
          <w:rFonts w:ascii="Arial" w:hAnsi="Arial" w:cs="Arial"/>
          <w:sz w:val="22"/>
          <w:szCs w:val="22"/>
        </w:rPr>
        <w:t>2018</w:t>
      </w:r>
      <w:r w:rsidR="0091230D">
        <w:rPr>
          <w:rFonts w:ascii="Arial" w:hAnsi="Arial" w:cs="Arial"/>
          <w:sz w:val="22"/>
          <w:szCs w:val="22"/>
        </w:rPr>
        <w:t>) describe the need for reflective practice</w:t>
      </w:r>
      <w:r>
        <w:rPr>
          <w:rFonts w:ascii="Arial" w:hAnsi="Arial" w:cs="Arial"/>
          <w:sz w:val="22"/>
          <w:szCs w:val="22"/>
        </w:rPr>
        <w:t xml:space="preserve">. Therefore it is important to discuss different reflective models. Although many reflective models exist, the aim of reflection remains constant – to evaluate to inform future practice (REF). The first model of reflection discussed in this assignment </w:t>
      </w:r>
      <w:r w:rsidR="00C0643B">
        <w:rPr>
          <w:rFonts w:ascii="Arial" w:hAnsi="Arial" w:cs="Arial"/>
          <w:sz w:val="22"/>
          <w:szCs w:val="22"/>
        </w:rPr>
        <w:t>was developed by Schön (1991). This model describes two different forms of reflection: ‘</w:t>
      </w:r>
      <w:r w:rsidR="00C0643B" w:rsidRPr="00C0643B">
        <w:rPr>
          <w:rFonts w:ascii="Arial" w:hAnsi="Arial" w:cs="Arial"/>
          <w:i/>
          <w:iCs/>
          <w:sz w:val="22"/>
          <w:szCs w:val="22"/>
        </w:rPr>
        <w:t xml:space="preserve">reflection </w:t>
      </w:r>
      <w:r w:rsidR="00C0643B" w:rsidRPr="00C0643B">
        <w:rPr>
          <w:rFonts w:ascii="Arial" w:hAnsi="Arial" w:cs="Arial"/>
          <w:i/>
          <w:iCs/>
          <w:sz w:val="22"/>
          <w:szCs w:val="22"/>
          <w:u w:val="single"/>
        </w:rPr>
        <w:t>in</w:t>
      </w:r>
      <w:r w:rsidR="00C0643B" w:rsidRPr="00C0643B">
        <w:rPr>
          <w:rFonts w:ascii="Arial" w:hAnsi="Arial" w:cs="Arial"/>
          <w:i/>
          <w:iCs/>
          <w:sz w:val="22"/>
          <w:szCs w:val="22"/>
        </w:rPr>
        <w:t xml:space="preserve"> action’</w:t>
      </w:r>
      <w:r w:rsidR="00C0643B">
        <w:rPr>
          <w:rFonts w:ascii="Arial" w:hAnsi="Arial" w:cs="Arial"/>
          <w:sz w:val="22"/>
          <w:szCs w:val="22"/>
        </w:rPr>
        <w:t xml:space="preserve"> and ‘</w:t>
      </w:r>
      <w:r w:rsidR="00C0643B" w:rsidRPr="00C0643B">
        <w:rPr>
          <w:rFonts w:ascii="Arial" w:hAnsi="Arial" w:cs="Arial"/>
          <w:i/>
          <w:iCs/>
          <w:sz w:val="22"/>
          <w:szCs w:val="22"/>
        </w:rPr>
        <w:t xml:space="preserve">reflection </w:t>
      </w:r>
      <w:r w:rsidR="00C0643B" w:rsidRPr="00C0643B">
        <w:rPr>
          <w:rFonts w:ascii="Arial" w:hAnsi="Arial" w:cs="Arial"/>
          <w:i/>
          <w:iCs/>
          <w:sz w:val="22"/>
          <w:szCs w:val="22"/>
          <w:u w:val="single"/>
        </w:rPr>
        <w:t>on</w:t>
      </w:r>
      <w:r w:rsidR="00C0643B" w:rsidRPr="00C0643B">
        <w:rPr>
          <w:rFonts w:ascii="Arial" w:hAnsi="Arial" w:cs="Arial"/>
          <w:i/>
          <w:iCs/>
          <w:sz w:val="22"/>
          <w:szCs w:val="22"/>
        </w:rPr>
        <w:t xml:space="preserve"> action’</w:t>
      </w:r>
      <w:r w:rsidR="00C0643B">
        <w:rPr>
          <w:rFonts w:ascii="Arial" w:hAnsi="Arial" w:cs="Arial"/>
          <w:sz w:val="22"/>
          <w:szCs w:val="22"/>
        </w:rPr>
        <w:t>. Reflection in action is immediate feedback and reflection occurring concurrently with the live practice. This creates opportunity for immediate change if required therefore can be considered the most efficient type of reflection. However, this does not translate as the most effective type of reflection. A limitation to this particular type of reflection is that actions and reflection can be emotionally biased as the practitioner is experiencing the event at that moment in time. It can be difficult for the teacher to think objectively in that scenario (</w:t>
      </w:r>
      <w:proofErr w:type="spellStart"/>
      <w:r w:rsidR="00C62FFB">
        <w:rPr>
          <w:rFonts w:ascii="Arial" w:hAnsi="Arial" w:cs="Arial"/>
          <w:sz w:val="22"/>
          <w:szCs w:val="22"/>
        </w:rPr>
        <w:t>Zwozdiak</w:t>
      </w:r>
      <w:proofErr w:type="spellEnd"/>
      <w:r w:rsidR="00C62FFB">
        <w:rPr>
          <w:rFonts w:ascii="Arial" w:hAnsi="Arial" w:cs="Arial"/>
          <w:sz w:val="22"/>
          <w:szCs w:val="22"/>
        </w:rPr>
        <w:t>-Myers, 2018</w:t>
      </w:r>
      <w:r w:rsidR="00C0643B">
        <w:rPr>
          <w:rFonts w:ascii="Arial" w:hAnsi="Arial" w:cs="Arial"/>
          <w:sz w:val="22"/>
          <w:szCs w:val="22"/>
        </w:rPr>
        <w:t>). The other form of reflection described by Schön (1991), reflection on action, is conducted after the event has taken place. This type of reflection allows for the experience to be evaluated in retrospect therefore removing some emotive bias. However, does not allow for direct change to the event that has occurred, only allowing for future change. It can be argued that these methods should be used in unison for the most positive impact on practice</w:t>
      </w:r>
      <w:r w:rsidR="00933698">
        <w:rPr>
          <w:rFonts w:ascii="Arial" w:hAnsi="Arial" w:cs="Arial"/>
          <w:sz w:val="22"/>
          <w:szCs w:val="22"/>
        </w:rPr>
        <w:t xml:space="preserve">. </w:t>
      </w:r>
    </w:p>
    <w:p w:rsidR="00B21230" w:rsidRDefault="00B21230" w:rsidP="00795B6C">
      <w:pPr>
        <w:spacing w:line="360" w:lineRule="auto"/>
        <w:jc w:val="both"/>
        <w:rPr>
          <w:rFonts w:ascii="Arial" w:hAnsi="Arial" w:cs="Arial"/>
          <w:sz w:val="22"/>
          <w:szCs w:val="22"/>
        </w:rPr>
      </w:pPr>
    </w:p>
    <w:p w:rsidR="00220BCA" w:rsidRDefault="00B21230" w:rsidP="00795B6C">
      <w:pPr>
        <w:spacing w:line="360" w:lineRule="auto"/>
        <w:jc w:val="both"/>
        <w:rPr>
          <w:rFonts w:ascii="Arial" w:hAnsi="Arial" w:cs="Arial"/>
          <w:sz w:val="22"/>
          <w:szCs w:val="22"/>
        </w:rPr>
      </w:pPr>
      <w:r>
        <w:rPr>
          <w:rFonts w:ascii="Arial" w:hAnsi="Arial" w:cs="Arial"/>
          <w:sz w:val="22"/>
          <w:szCs w:val="22"/>
        </w:rPr>
        <w:t xml:space="preserve">However, the reflective cycle which could be deemed most appropriate and beneficial for the observation of a critical incident is </w:t>
      </w:r>
      <w:r w:rsidR="000E4DEE">
        <w:rPr>
          <w:rFonts w:ascii="Arial" w:hAnsi="Arial" w:cs="Arial"/>
          <w:sz w:val="22"/>
          <w:szCs w:val="22"/>
        </w:rPr>
        <w:t xml:space="preserve">David Kolb’s (1984) learning cycle. This consists of four stages and has an aim of drawing conclusions from different experiences and evaluation. </w:t>
      </w:r>
      <w:r w:rsidR="00933698">
        <w:rPr>
          <w:rFonts w:ascii="Arial" w:hAnsi="Arial" w:cs="Arial"/>
          <w:sz w:val="22"/>
          <w:szCs w:val="22"/>
        </w:rPr>
        <w:t xml:space="preserve">It uses retrospective evaluation, comparable, albeit in more detailed stages, to Schön’s (1991) reflection on action. </w:t>
      </w:r>
      <w:r w:rsidR="000E4DEE">
        <w:rPr>
          <w:rFonts w:ascii="Arial" w:hAnsi="Arial" w:cs="Arial"/>
          <w:sz w:val="22"/>
          <w:szCs w:val="22"/>
        </w:rPr>
        <w:t>The four stages are organised into a cyclical structure and are as follows:</w:t>
      </w:r>
    </w:p>
    <w:p w:rsidR="000E4DEE" w:rsidRPr="00B21230" w:rsidRDefault="000E4DEE" w:rsidP="00B21230">
      <w:pPr>
        <w:pStyle w:val="ListParagraph"/>
        <w:numPr>
          <w:ilvl w:val="0"/>
          <w:numId w:val="4"/>
        </w:numPr>
        <w:spacing w:line="360" w:lineRule="auto"/>
        <w:jc w:val="both"/>
        <w:rPr>
          <w:rFonts w:ascii="Arial" w:hAnsi="Arial" w:cs="Arial"/>
          <w:color w:val="000000" w:themeColor="text1"/>
          <w:sz w:val="22"/>
          <w:szCs w:val="22"/>
        </w:rPr>
      </w:pPr>
      <w:r w:rsidRPr="00B21230">
        <w:rPr>
          <w:rFonts w:ascii="Arial" w:hAnsi="Arial" w:cs="Arial"/>
          <w:i/>
          <w:iCs/>
          <w:color w:val="000000" w:themeColor="text1"/>
          <w:sz w:val="22"/>
          <w:szCs w:val="22"/>
        </w:rPr>
        <w:t>Concrete Experience</w:t>
      </w:r>
      <w:r w:rsidR="00B21230">
        <w:rPr>
          <w:rFonts w:ascii="Arial" w:hAnsi="Arial" w:cs="Arial"/>
          <w:color w:val="000000" w:themeColor="text1"/>
          <w:sz w:val="22"/>
          <w:szCs w:val="22"/>
        </w:rPr>
        <w:t>. This stage is whereby the learner experiences a concept, behaviour or practice for themselves. In the example of this assignment, that would be the classroom observation.</w:t>
      </w:r>
    </w:p>
    <w:p w:rsidR="000E4DEE" w:rsidRPr="000E4DEE" w:rsidRDefault="000E4DEE" w:rsidP="000E4DEE">
      <w:pPr>
        <w:pStyle w:val="ListParagraph"/>
        <w:numPr>
          <w:ilvl w:val="0"/>
          <w:numId w:val="4"/>
        </w:numPr>
        <w:spacing w:line="360" w:lineRule="auto"/>
        <w:jc w:val="both"/>
        <w:rPr>
          <w:rFonts w:ascii="Arial" w:hAnsi="Arial" w:cs="Arial"/>
          <w:color w:val="000000" w:themeColor="text1"/>
          <w:sz w:val="22"/>
          <w:szCs w:val="22"/>
        </w:rPr>
      </w:pPr>
      <w:r w:rsidRPr="00B21230">
        <w:rPr>
          <w:rFonts w:ascii="Arial" w:hAnsi="Arial" w:cs="Arial"/>
          <w:i/>
          <w:iCs/>
          <w:color w:val="000000" w:themeColor="text1"/>
          <w:sz w:val="22"/>
          <w:szCs w:val="22"/>
        </w:rPr>
        <w:t>Reflective Observation</w:t>
      </w:r>
      <w:r w:rsidR="00B21230">
        <w:rPr>
          <w:rFonts w:ascii="Arial" w:hAnsi="Arial" w:cs="Arial"/>
          <w:color w:val="000000" w:themeColor="text1"/>
          <w:sz w:val="22"/>
          <w:szCs w:val="22"/>
        </w:rPr>
        <w:t xml:space="preserve">. This stage is the evaluations of the experience made by the learner upon reflections of the concept, behaviour or practice. Within this stage, the learner should gain an understanding to the motives of particular </w:t>
      </w:r>
      <w:r w:rsidR="006C74AC">
        <w:rPr>
          <w:rFonts w:ascii="Arial" w:hAnsi="Arial" w:cs="Arial"/>
          <w:color w:val="000000" w:themeColor="text1"/>
          <w:sz w:val="22"/>
          <w:szCs w:val="22"/>
        </w:rPr>
        <w:t>occurrences</w:t>
      </w:r>
      <w:r w:rsidR="00B21230">
        <w:rPr>
          <w:rFonts w:ascii="Arial" w:hAnsi="Arial" w:cs="Arial"/>
          <w:color w:val="000000" w:themeColor="text1"/>
          <w:sz w:val="22"/>
          <w:szCs w:val="22"/>
        </w:rPr>
        <w:t>. In this example, that would be the ARC reflections (</w:t>
      </w:r>
      <w:r w:rsidR="00B21230" w:rsidRPr="00B21230">
        <w:rPr>
          <w:rFonts w:ascii="Arial" w:hAnsi="Arial" w:cs="Arial"/>
          <w:color w:val="000000" w:themeColor="text1"/>
          <w:sz w:val="22"/>
          <w:szCs w:val="22"/>
          <w:highlight w:val="yellow"/>
        </w:rPr>
        <w:t>Appendix X</w:t>
      </w:r>
      <w:r w:rsidR="00B21230">
        <w:rPr>
          <w:rFonts w:ascii="Arial" w:hAnsi="Arial" w:cs="Arial"/>
          <w:color w:val="000000" w:themeColor="text1"/>
          <w:sz w:val="22"/>
          <w:szCs w:val="22"/>
        </w:rPr>
        <w:t xml:space="preserve">). </w:t>
      </w:r>
    </w:p>
    <w:p w:rsidR="000E4DEE" w:rsidRPr="000E4DEE" w:rsidRDefault="000E4DEE" w:rsidP="000E4DEE">
      <w:pPr>
        <w:pStyle w:val="ListParagraph"/>
        <w:numPr>
          <w:ilvl w:val="0"/>
          <w:numId w:val="4"/>
        </w:numPr>
        <w:spacing w:line="360" w:lineRule="auto"/>
        <w:jc w:val="both"/>
        <w:rPr>
          <w:rFonts w:ascii="Arial" w:hAnsi="Arial" w:cs="Arial"/>
          <w:color w:val="000000" w:themeColor="text1"/>
          <w:sz w:val="22"/>
          <w:szCs w:val="22"/>
        </w:rPr>
      </w:pPr>
      <w:r w:rsidRPr="00B21230">
        <w:rPr>
          <w:rFonts w:ascii="Arial" w:hAnsi="Arial" w:cs="Arial"/>
          <w:i/>
          <w:iCs/>
          <w:color w:val="000000" w:themeColor="text1"/>
          <w:sz w:val="22"/>
          <w:szCs w:val="22"/>
        </w:rPr>
        <w:t>Abstract Conceptualization</w:t>
      </w:r>
      <w:r w:rsidR="00B21230">
        <w:rPr>
          <w:rFonts w:ascii="Arial" w:hAnsi="Arial" w:cs="Arial"/>
          <w:color w:val="000000" w:themeColor="text1"/>
          <w:sz w:val="22"/>
          <w:szCs w:val="22"/>
        </w:rPr>
        <w:t>. This stage consists of the learner drawing conclusions and suggesting recommendations for future practice. During this stage, the learner should draw upon research and support and recommendations form their peers. This assignment would fulfil this stage of reflection.</w:t>
      </w:r>
    </w:p>
    <w:p w:rsidR="000E4DEE" w:rsidRDefault="000E4DEE" w:rsidP="000E4DEE">
      <w:pPr>
        <w:pStyle w:val="ListParagraph"/>
        <w:numPr>
          <w:ilvl w:val="0"/>
          <w:numId w:val="4"/>
        </w:numPr>
        <w:spacing w:line="360" w:lineRule="auto"/>
        <w:jc w:val="both"/>
        <w:rPr>
          <w:rFonts w:ascii="Arial" w:hAnsi="Arial" w:cs="Arial"/>
          <w:color w:val="000000" w:themeColor="text1"/>
          <w:sz w:val="22"/>
          <w:szCs w:val="22"/>
        </w:rPr>
      </w:pPr>
      <w:r w:rsidRPr="00B21230">
        <w:rPr>
          <w:rFonts w:ascii="Arial" w:hAnsi="Arial" w:cs="Arial"/>
          <w:i/>
          <w:iCs/>
          <w:color w:val="000000" w:themeColor="text1"/>
          <w:sz w:val="22"/>
          <w:szCs w:val="22"/>
        </w:rPr>
        <w:t>Active Experimentation</w:t>
      </w:r>
      <w:r w:rsidR="00B21230">
        <w:rPr>
          <w:rFonts w:ascii="Arial" w:hAnsi="Arial" w:cs="Arial"/>
          <w:color w:val="000000" w:themeColor="text1"/>
          <w:sz w:val="22"/>
          <w:szCs w:val="22"/>
        </w:rPr>
        <w:t xml:space="preserve">. This stage is whereby the learner tries out the recommendations in either the same, or a new environment. This creates a new learning experience and therefore the cycle should start again from concrete experience. </w:t>
      </w:r>
    </w:p>
    <w:p w:rsidR="0091230D" w:rsidRDefault="0091230D" w:rsidP="006C74A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This reflective model links directly to </w:t>
      </w:r>
      <w:r>
        <w:rPr>
          <w:rFonts w:ascii="Arial" w:hAnsi="Arial" w:cs="Arial"/>
          <w:sz w:val="22"/>
          <w:szCs w:val="22"/>
        </w:rPr>
        <w:t>the professional standards for teaching and leadership in Wales (</w:t>
      </w:r>
      <w:r w:rsidR="00F5396F">
        <w:rPr>
          <w:rFonts w:ascii="Arial" w:hAnsi="Arial" w:cs="Arial"/>
          <w:sz w:val="22"/>
          <w:szCs w:val="22"/>
        </w:rPr>
        <w:t>2018</w:t>
      </w:r>
      <w:r>
        <w:rPr>
          <w:rFonts w:ascii="Arial" w:hAnsi="Arial" w:cs="Arial"/>
          <w:sz w:val="22"/>
          <w:szCs w:val="22"/>
        </w:rPr>
        <w:t>). The standards support all teaching staff to engage in personal and professional development based upon collaboration, reflection and evaluation to create a “sustainable research-led impact on all learners”.</w:t>
      </w:r>
      <w:r w:rsidR="00947B2F">
        <w:rPr>
          <w:rFonts w:ascii="Arial" w:hAnsi="Arial" w:cs="Arial"/>
          <w:sz w:val="22"/>
          <w:szCs w:val="22"/>
        </w:rPr>
        <w:t xml:space="preserve"> This link </w:t>
      </w:r>
      <w:r w:rsidR="005F2F11">
        <w:rPr>
          <w:rFonts w:ascii="Arial" w:hAnsi="Arial" w:cs="Arial"/>
          <w:sz w:val="22"/>
          <w:szCs w:val="22"/>
        </w:rPr>
        <w:t>secured my decision to use this model in my personal reflection both now, and in future practice.</w:t>
      </w:r>
    </w:p>
    <w:p w:rsidR="0091230D" w:rsidRDefault="0091230D" w:rsidP="006C74AC">
      <w:pPr>
        <w:spacing w:line="360" w:lineRule="auto"/>
        <w:jc w:val="both"/>
        <w:rPr>
          <w:rFonts w:ascii="Arial" w:hAnsi="Arial" w:cs="Arial"/>
          <w:color w:val="000000" w:themeColor="text1"/>
          <w:sz w:val="22"/>
          <w:szCs w:val="22"/>
        </w:rPr>
      </w:pPr>
    </w:p>
    <w:p w:rsidR="006C74AC" w:rsidRDefault="006C74AC" w:rsidP="006C74A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 xml:space="preserve">Upon reflection using Kolb’s (1984) learning cycle, an evaluation of the critical incident can inform my personal future practice. As this assignment draws on the abstract conceptualisation stage, detailed research has been conducted into how I could prevent an incident of a disengaged MAT pupil. Strategies identified in reflection include target setting with extrinsic rewards upon achievement to increase levels of motivation. However, it must be considered that MAT pupils are not a homogenous group, rather so individual learners, with differing needs (Eyre, 2012). </w:t>
      </w:r>
    </w:p>
    <w:p w:rsidR="006C74AC" w:rsidRDefault="006C74AC" w:rsidP="006C74AC">
      <w:pPr>
        <w:spacing w:line="360" w:lineRule="auto"/>
        <w:jc w:val="both"/>
        <w:rPr>
          <w:rFonts w:ascii="Arial" w:hAnsi="Arial" w:cs="Arial"/>
          <w:color w:val="000000" w:themeColor="text1"/>
          <w:sz w:val="22"/>
          <w:szCs w:val="22"/>
        </w:rPr>
      </w:pPr>
    </w:p>
    <w:p w:rsidR="006C74AC" w:rsidRPr="006C74AC" w:rsidRDefault="0091230D" w:rsidP="006C74AC">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T</w:t>
      </w:r>
      <w:r w:rsidR="006C74AC">
        <w:rPr>
          <w:rFonts w:ascii="Arial" w:hAnsi="Arial" w:cs="Arial"/>
          <w:color w:val="000000" w:themeColor="text1"/>
          <w:sz w:val="22"/>
          <w:szCs w:val="22"/>
        </w:rPr>
        <w:t>his assignment has described and evaluated the method of observation within an educational setting</w:t>
      </w:r>
      <w:r>
        <w:rPr>
          <w:rFonts w:ascii="Arial" w:hAnsi="Arial" w:cs="Arial"/>
          <w:color w:val="000000" w:themeColor="text1"/>
          <w:sz w:val="22"/>
          <w:szCs w:val="22"/>
        </w:rPr>
        <w:t xml:space="preserve"> in relation to a critical incident</w:t>
      </w:r>
      <w:r w:rsidR="006C74AC">
        <w:rPr>
          <w:rFonts w:ascii="Arial" w:hAnsi="Arial" w:cs="Arial"/>
          <w:color w:val="000000" w:themeColor="text1"/>
          <w:sz w:val="22"/>
          <w:szCs w:val="22"/>
        </w:rPr>
        <w:t xml:space="preserve">. It has looked into how learning theory can be applied to </w:t>
      </w:r>
      <w:r w:rsidR="006C74AC">
        <w:rPr>
          <w:rFonts w:ascii="Arial" w:hAnsi="Arial" w:cs="Arial"/>
          <w:color w:val="000000" w:themeColor="text1"/>
          <w:sz w:val="22"/>
          <w:szCs w:val="22"/>
        </w:rPr>
        <w:lastRenderedPageBreak/>
        <w:t xml:space="preserve">a critical incident to understand how and why a learner may be </w:t>
      </w:r>
      <w:r>
        <w:rPr>
          <w:rFonts w:ascii="Arial" w:hAnsi="Arial" w:cs="Arial"/>
          <w:color w:val="000000" w:themeColor="text1"/>
          <w:sz w:val="22"/>
          <w:szCs w:val="22"/>
        </w:rPr>
        <w:t xml:space="preserve">disengaged from a particular activity. It has discussed possible strategies </w:t>
      </w:r>
      <w:r w:rsidR="00F5396F">
        <w:rPr>
          <w:rFonts w:ascii="Arial" w:hAnsi="Arial" w:cs="Arial"/>
          <w:color w:val="000000" w:themeColor="text1"/>
          <w:sz w:val="22"/>
          <w:szCs w:val="22"/>
        </w:rPr>
        <w:t xml:space="preserve">to combat amotivation such as target setting </w:t>
      </w:r>
      <w:r>
        <w:rPr>
          <w:rFonts w:ascii="Arial" w:hAnsi="Arial" w:cs="Arial"/>
          <w:color w:val="000000" w:themeColor="text1"/>
          <w:sz w:val="22"/>
          <w:szCs w:val="22"/>
        </w:rPr>
        <w:t>and their potential limitations</w:t>
      </w:r>
      <w:r w:rsidR="00F5396F">
        <w:rPr>
          <w:rFonts w:ascii="Arial" w:hAnsi="Arial" w:cs="Arial"/>
          <w:color w:val="000000" w:themeColor="text1"/>
          <w:sz w:val="22"/>
          <w:szCs w:val="22"/>
        </w:rPr>
        <w:t xml:space="preserve"> in application</w:t>
      </w:r>
      <w:r>
        <w:rPr>
          <w:rFonts w:ascii="Arial" w:hAnsi="Arial" w:cs="Arial"/>
          <w:color w:val="000000" w:themeColor="text1"/>
          <w:sz w:val="22"/>
          <w:szCs w:val="22"/>
        </w:rPr>
        <w:t>.</w:t>
      </w:r>
      <w:r w:rsidR="006C74AC">
        <w:rPr>
          <w:rFonts w:ascii="Arial" w:hAnsi="Arial" w:cs="Arial"/>
          <w:color w:val="000000" w:themeColor="text1"/>
          <w:sz w:val="22"/>
          <w:szCs w:val="22"/>
        </w:rPr>
        <w:t xml:space="preserve"> </w:t>
      </w:r>
      <w:r>
        <w:rPr>
          <w:rFonts w:ascii="Arial" w:hAnsi="Arial" w:cs="Arial"/>
          <w:color w:val="000000" w:themeColor="text1"/>
          <w:sz w:val="22"/>
          <w:szCs w:val="22"/>
        </w:rPr>
        <w:t>Links to</w:t>
      </w:r>
      <w:r w:rsidR="006C74AC">
        <w:rPr>
          <w:rFonts w:ascii="Arial" w:hAnsi="Arial" w:cs="Arial"/>
          <w:color w:val="000000" w:themeColor="text1"/>
          <w:sz w:val="22"/>
          <w:szCs w:val="22"/>
        </w:rPr>
        <w:t xml:space="preserve"> drawn Donaldson’s </w:t>
      </w:r>
      <w:r>
        <w:rPr>
          <w:rFonts w:ascii="Arial" w:hAnsi="Arial" w:cs="Arial"/>
          <w:color w:val="000000" w:themeColor="text1"/>
          <w:sz w:val="22"/>
          <w:szCs w:val="22"/>
        </w:rPr>
        <w:t>(2015) core purposes have been identified throughout</w:t>
      </w:r>
      <w:r w:rsidR="00F5396F">
        <w:rPr>
          <w:rFonts w:ascii="Arial" w:hAnsi="Arial" w:cs="Arial"/>
          <w:color w:val="000000" w:themeColor="text1"/>
          <w:sz w:val="22"/>
          <w:szCs w:val="22"/>
        </w:rPr>
        <w:t>, particularly relating to confidence and capability</w:t>
      </w:r>
      <w:r>
        <w:rPr>
          <w:rFonts w:ascii="Arial" w:hAnsi="Arial" w:cs="Arial"/>
          <w:color w:val="000000" w:themeColor="text1"/>
          <w:sz w:val="22"/>
          <w:szCs w:val="22"/>
        </w:rPr>
        <w:t>.  It can be concluded that the role of the reflective practitioner is vital to teaching in Wales</w:t>
      </w:r>
      <w:r w:rsidR="00F5396F">
        <w:rPr>
          <w:rFonts w:ascii="Arial" w:hAnsi="Arial" w:cs="Arial"/>
          <w:color w:val="000000" w:themeColor="text1"/>
          <w:sz w:val="22"/>
          <w:szCs w:val="22"/>
        </w:rPr>
        <w:t>,</w:t>
      </w:r>
      <w:r>
        <w:rPr>
          <w:rFonts w:ascii="Arial" w:hAnsi="Arial" w:cs="Arial"/>
          <w:color w:val="000000" w:themeColor="text1"/>
          <w:sz w:val="22"/>
          <w:szCs w:val="22"/>
        </w:rPr>
        <w:t xml:space="preserve"> and can have a direct positive impact upon </w:t>
      </w:r>
      <w:proofErr w:type="spellStart"/>
      <w:r>
        <w:rPr>
          <w:rFonts w:ascii="Arial" w:hAnsi="Arial" w:cs="Arial"/>
          <w:color w:val="000000" w:themeColor="text1"/>
          <w:sz w:val="22"/>
          <w:szCs w:val="22"/>
        </w:rPr>
        <w:t>childrens</w:t>
      </w:r>
      <w:proofErr w:type="spellEnd"/>
      <w:r>
        <w:rPr>
          <w:rFonts w:ascii="Arial" w:hAnsi="Arial" w:cs="Arial"/>
          <w:color w:val="000000" w:themeColor="text1"/>
          <w:sz w:val="22"/>
          <w:szCs w:val="22"/>
        </w:rPr>
        <w:t xml:space="preserve">’ learning and development. </w:t>
      </w:r>
    </w:p>
    <w:p w:rsidR="0087747B" w:rsidRDefault="0087747B" w:rsidP="00AB2443"/>
    <w:p w:rsidR="0087747B" w:rsidRDefault="0087747B" w:rsidP="00AB2443"/>
    <w:p w:rsidR="0087747B" w:rsidRDefault="0087747B" w:rsidP="00AB2443"/>
    <w:p w:rsidR="0087747B" w:rsidRDefault="0087747B" w:rsidP="00AB2443"/>
    <w:p w:rsidR="00932EF7" w:rsidRPr="00025AF2" w:rsidRDefault="00932EF7" w:rsidP="00AB2443">
      <w:pPr>
        <w:rPr>
          <w:rFonts w:ascii="Arial" w:hAnsi="Arial" w:cs="Arial"/>
          <w:b/>
          <w:bCs/>
          <w:color w:val="000000" w:themeColor="text1"/>
          <w:sz w:val="28"/>
          <w:szCs w:val="28"/>
        </w:rPr>
      </w:pPr>
      <w:r w:rsidRPr="00025AF2">
        <w:rPr>
          <w:rFonts w:ascii="Arial" w:hAnsi="Arial" w:cs="Arial"/>
          <w:b/>
          <w:bCs/>
          <w:color w:val="000000" w:themeColor="text1"/>
          <w:sz w:val="28"/>
          <w:szCs w:val="28"/>
        </w:rPr>
        <w:t>Reference</w:t>
      </w:r>
      <w:r w:rsidR="0091230D" w:rsidRPr="00025AF2">
        <w:rPr>
          <w:rFonts w:ascii="Arial" w:hAnsi="Arial" w:cs="Arial"/>
          <w:b/>
          <w:bCs/>
          <w:color w:val="000000" w:themeColor="text1"/>
          <w:sz w:val="28"/>
          <w:szCs w:val="28"/>
        </w:rPr>
        <w:t>s</w:t>
      </w:r>
      <w:r w:rsidRPr="00025AF2">
        <w:rPr>
          <w:rFonts w:ascii="Arial" w:hAnsi="Arial" w:cs="Arial"/>
          <w:b/>
          <w:bCs/>
          <w:color w:val="000000" w:themeColor="text1"/>
          <w:sz w:val="28"/>
          <w:szCs w:val="28"/>
        </w:rPr>
        <w:t>:</w:t>
      </w:r>
    </w:p>
    <w:p w:rsidR="00932EF7" w:rsidRPr="00025AF2" w:rsidRDefault="00932EF7" w:rsidP="00932EF7">
      <w:pPr>
        <w:rPr>
          <w:rFonts w:ascii="Arial" w:hAnsi="Arial" w:cs="Arial"/>
          <w:color w:val="000000" w:themeColor="text1"/>
          <w:sz w:val="20"/>
          <w:szCs w:val="20"/>
          <w:shd w:val="clear" w:color="auto" w:fill="FFFFFF"/>
        </w:rPr>
      </w:pPr>
    </w:p>
    <w:p w:rsidR="00226BCC" w:rsidRPr="00025AF2" w:rsidRDefault="00226BCC" w:rsidP="005F68F5">
      <w:pPr>
        <w:spacing w:line="360" w:lineRule="auto"/>
        <w:rPr>
          <w:rFonts w:ascii="Arial" w:hAnsi="Arial" w:cs="Arial"/>
          <w:color w:val="000000" w:themeColor="text1"/>
          <w:sz w:val="22"/>
          <w:szCs w:val="22"/>
          <w:shd w:val="clear" w:color="auto" w:fill="FFFFFF"/>
        </w:rPr>
      </w:pPr>
      <w:r w:rsidRPr="00025AF2">
        <w:rPr>
          <w:rFonts w:ascii="Arial" w:hAnsi="Arial" w:cs="Arial"/>
          <w:color w:val="000000" w:themeColor="text1"/>
          <w:sz w:val="22"/>
          <w:szCs w:val="22"/>
          <w:shd w:val="clear" w:color="auto" w:fill="FFFFFF"/>
        </w:rPr>
        <w:t>Alexander, P. A.</w:t>
      </w:r>
      <w:r w:rsidR="001F3AFE" w:rsidRPr="00025AF2">
        <w:rPr>
          <w:rFonts w:ascii="Arial" w:hAnsi="Arial" w:cs="Arial"/>
          <w:color w:val="000000" w:themeColor="text1"/>
          <w:sz w:val="22"/>
          <w:szCs w:val="22"/>
          <w:shd w:val="clear" w:color="auto" w:fill="FFFFFF"/>
        </w:rPr>
        <w:t xml:space="preserve"> and</w:t>
      </w:r>
      <w:r w:rsidRPr="00025AF2">
        <w:rPr>
          <w:rFonts w:ascii="Arial" w:hAnsi="Arial" w:cs="Arial"/>
          <w:color w:val="000000" w:themeColor="text1"/>
          <w:sz w:val="22"/>
          <w:szCs w:val="22"/>
          <w:shd w:val="clear" w:color="auto" w:fill="FFFFFF"/>
        </w:rPr>
        <w:t xml:space="preserve"> Winne, P. H. (2006). Handbook of educational psychology (2nd ed.).</w:t>
      </w:r>
      <w:r w:rsidR="005F68F5" w:rsidRPr="00025AF2">
        <w:rPr>
          <w:rFonts w:ascii="Arial" w:hAnsi="Arial" w:cs="Arial"/>
          <w:color w:val="000000" w:themeColor="text1"/>
          <w:sz w:val="22"/>
          <w:szCs w:val="22"/>
          <w:shd w:val="clear" w:color="auto" w:fill="FFFFFF"/>
        </w:rPr>
        <w:t xml:space="preserve"> </w:t>
      </w:r>
      <w:r w:rsidRPr="00025AF2">
        <w:rPr>
          <w:rFonts w:ascii="Arial" w:hAnsi="Arial" w:cs="Arial"/>
          <w:color w:val="000000" w:themeColor="text1"/>
          <w:sz w:val="22"/>
          <w:szCs w:val="22"/>
          <w:shd w:val="clear" w:color="auto" w:fill="FFFFFF"/>
        </w:rPr>
        <w:t>Mahwah, NJ: Erlbaum.</w:t>
      </w:r>
    </w:p>
    <w:p w:rsidR="005F68F5" w:rsidRPr="00025AF2" w:rsidRDefault="005F68F5" w:rsidP="005F68F5">
      <w:pPr>
        <w:spacing w:line="360" w:lineRule="auto"/>
        <w:rPr>
          <w:rFonts w:ascii="Arial" w:hAnsi="Arial" w:cs="Arial"/>
          <w:color w:val="000000" w:themeColor="text1"/>
          <w:sz w:val="22"/>
          <w:szCs w:val="22"/>
          <w:shd w:val="clear" w:color="auto" w:fill="FFFFFF"/>
        </w:rPr>
      </w:pPr>
    </w:p>
    <w:p w:rsidR="00226BCC" w:rsidRPr="00025AF2" w:rsidRDefault="00EE7CFD" w:rsidP="005F68F5">
      <w:pPr>
        <w:spacing w:line="360" w:lineRule="auto"/>
        <w:rPr>
          <w:rFonts w:ascii="Arial" w:hAnsi="Arial" w:cs="Arial"/>
          <w:color w:val="000000" w:themeColor="text1"/>
          <w:sz w:val="22"/>
          <w:szCs w:val="22"/>
          <w:shd w:val="clear" w:color="auto" w:fill="FFFFFF"/>
        </w:rPr>
      </w:pPr>
      <w:r w:rsidRPr="00025AF2">
        <w:rPr>
          <w:rFonts w:ascii="Arial" w:hAnsi="Arial" w:cs="Arial"/>
          <w:color w:val="000000" w:themeColor="text1"/>
          <w:sz w:val="22"/>
          <w:szCs w:val="22"/>
          <w:shd w:val="clear" w:color="auto" w:fill="FFFFFF"/>
        </w:rPr>
        <w:t xml:space="preserve">Archer, R., </w:t>
      </w:r>
      <w:r w:rsidR="00025AF2">
        <w:rPr>
          <w:rFonts w:ascii="Arial" w:hAnsi="Arial" w:cs="Arial"/>
          <w:color w:val="000000" w:themeColor="text1"/>
          <w:sz w:val="22"/>
          <w:szCs w:val="22"/>
          <w:shd w:val="clear" w:color="auto" w:fill="FFFFFF"/>
        </w:rPr>
        <w:t>(</w:t>
      </w:r>
      <w:bookmarkStart w:id="0" w:name="_GoBack"/>
      <w:bookmarkEnd w:id="0"/>
      <w:r w:rsidRPr="00025AF2">
        <w:rPr>
          <w:rFonts w:ascii="Arial" w:hAnsi="Arial" w:cs="Arial"/>
          <w:color w:val="000000" w:themeColor="text1"/>
          <w:sz w:val="22"/>
          <w:szCs w:val="22"/>
          <w:shd w:val="clear" w:color="auto" w:fill="FFFFFF"/>
        </w:rPr>
        <w:t>2018</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Education Policy and Realist Social Theory: primary teachers, child-centred philosophy and the new managerialism</w:t>
      </w:r>
      <w:r w:rsidRPr="00025AF2">
        <w:rPr>
          <w:rFonts w:ascii="Arial" w:hAnsi="Arial" w:cs="Arial"/>
          <w:color w:val="000000" w:themeColor="text1"/>
          <w:sz w:val="22"/>
          <w:szCs w:val="22"/>
          <w:shd w:val="clear" w:color="auto" w:fill="FFFFFF"/>
        </w:rPr>
        <w:t>. Routledge.</w:t>
      </w:r>
    </w:p>
    <w:p w:rsidR="005F68F5" w:rsidRPr="00025AF2" w:rsidRDefault="005F68F5" w:rsidP="005F68F5">
      <w:pPr>
        <w:spacing w:line="360" w:lineRule="auto"/>
        <w:rPr>
          <w:rFonts w:ascii="Arial" w:hAnsi="Arial" w:cs="Arial"/>
          <w:color w:val="000000" w:themeColor="text1"/>
          <w:sz w:val="22"/>
          <w:szCs w:val="22"/>
        </w:rPr>
      </w:pPr>
    </w:p>
    <w:p w:rsidR="008D5F8F" w:rsidRPr="00025AF2" w:rsidRDefault="00D57857" w:rsidP="005F68F5">
      <w:pPr>
        <w:spacing w:line="360" w:lineRule="auto"/>
        <w:rPr>
          <w:rFonts w:ascii="Arial" w:hAnsi="Arial" w:cs="Arial"/>
          <w:color w:val="000000" w:themeColor="text1"/>
          <w:sz w:val="22"/>
          <w:szCs w:val="22"/>
          <w:shd w:val="clear" w:color="auto" w:fill="FFFFFF"/>
        </w:rPr>
      </w:pPr>
      <w:proofErr w:type="spellStart"/>
      <w:r w:rsidRPr="00025AF2">
        <w:rPr>
          <w:rFonts w:ascii="Arial" w:hAnsi="Arial" w:cs="Arial"/>
          <w:color w:val="000000" w:themeColor="text1"/>
          <w:sz w:val="22"/>
          <w:szCs w:val="22"/>
          <w:shd w:val="clear" w:color="auto" w:fill="FFFFFF"/>
        </w:rPr>
        <w:t>Bakx</w:t>
      </w:r>
      <w:proofErr w:type="spellEnd"/>
      <w:r w:rsidRPr="00025AF2">
        <w:rPr>
          <w:rFonts w:ascii="Arial" w:hAnsi="Arial" w:cs="Arial"/>
          <w:color w:val="000000" w:themeColor="text1"/>
          <w:sz w:val="22"/>
          <w:szCs w:val="22"/>
          <w:shd w:val="clear" w:color="auto" w:fill="FFFFFF"/>
        </w:rPr>
        <w:t xml:space="preserve">, A., Van </w:t>
      </w:r>
      <w:proofErr w:type="spellStart"/>
      <w:r w:rsidRPr="00025AF2">
        <w:rPr>
          <w:rFonts w:ascii="Arial" w:hAnsi="Arial" w:cs="Arial"/>
          <w:color w:val="000000" w:themeColor="text1"/>
          <w:sz w:val="22"/>
          <w:szCs w:val="22"/>
          <w:shd w:val="clear" w:color="auto" w:fill="FFFFFF"/>
        </w:rPr>
        <w:t>Houtert</w:t>
      </w:r>
      <w:proofErr w:type="spellEnd"/>
      <w:r w:rsidRPr="00025AF2">
        <w:rPr>
          <w:rFonts w:ascii="Arial" w:hAnsi="Arial" w:cs="Arial"/>
          <w:color w:val="000000" w:themeColor="text1"/>
          <w:sz w:val="22"/>
          <w:szCs w:val="22"/>
          <w:shd w:val="clear" w:color="auto" w:fill="FFFFFF"/>
        </w:rPr>
        <w:t xml:space="preserve">, T., Brand, M.V.D. and </w:t>
      </w:r>
      <w:proofErr w:type="spellStart"/>
      <w:r w:rsidRPr="00025AF2">
        <w:rPr>
          <w:rFonts w:ascii="Arial" w:hAnsi="Arial" w:cs="Arial"/>
          <w:color w:val="000000" w:themeColor="text1"/>
          <w:sz w:val="22"/>
          <w:szCs w:val="22"/>
          <w:shd w:val="clear" w:color="auto" w:fill="FFFFFF"/>
        </w:rPr>
        <w:t>Hornstra</w:t>
      </w:r>
      <w:proofErr w:type="spellEnd"/>
      <w:r w:rsidRPr="00025AF2">
        <w:rPr>
          <w:rFonts w:ascii="Arial" w:hAnsi="Arial" w:cs="Arial"/>
          <w:color w:val="000000" w:themeColor="text1"/>
          <w:sz w:val="22"/>
          <w:szCs w:val="22"/>
          <w:shd w:val="clear" w:color="auto" w:fill="FFFFFF"/>
        </w:rPr>
        <w:t xml:space="preserve">, L.,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2019</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A comparison of high-ability pupils’ views vs. regular ability pupils’ views of characteristics of good primary school teachers. </w:t>
      </w:r>
      <w:r w:rsidRPr="00025AF2">
        <w:rPr>
          <w:rFonts w:ascii="Arial" w:hAnsi="Arial" w:cs="Arial"/>
          <w:i/>
          <w:iCs/>
          <w:color w:val="000000" w:themeColor="text1"/>
          <w:sz w:val="22"/>
          <w:szCs w:val="22"/>
          <w:shd w:val="clear" w:color="auto" w:fill="FFFFFF"/>
        </w:rPr>
        <w:t>Educational Studies</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45</w:t>
      </w:r>
      <w:r w:rsidRPr="00025AF2">
        <w:rPr>
          <w:rFonts w:ascii="Arial" w:hAnsi="Arial" w:cs="Arial"/>
          <w:color w:val="000000" w:themeColor="text1"/>
          <w:sz w:val="22"/>
          <w:szCs w:val="22"/>
          <w:shd w:val="clear" w:color="auto" w:fill="FFFFFF"/>
        </w:rPr>
        <w:t>(1), pp.35-56.</w:t>
      </w:r>
    </w:p>
    <w:p w:rsidR="005F68F5" w:rsidRPr="00025AF2" w:rsidRDefault="005F68F5" w:rsidP="005F68F5">
      <w:pPr>
        <w:spacing w:line="360" w:lineRule="auto"/>
        <w:rPr>
          <w:rFonts w:ascii="Arial" w:hAnsi="Arial" w:cs="Arial"/>
          <w:color w:val="000000" w:themeColor="text1"/>
          <w:sz w:val="22"/>
          <w:szCs w:val="22"/>
          <w:shd w:val="clear" w:color="auto" w:fill="FFFFFF"/>
        </w:rPr>
      </w:pPr>
    </w:p>
    <w:p w:rsidR="008D5F8F" w:rsidRPr="00025AF2" w:rsidRDefault="008D5F8F" w:rsidP="005F68F5">
      <w:pPr>
        <w:spacing w:line="360" w:lineRule="auto"/>
        <w:rPr>
          <w:rFonts w:ascii="Arial" w:hAnsi="Arial" w:cs="Arial"/>
          <w:color w:val="000000" w:themeColor="text1"/>
          <w:sz w:val="22"/>
          <w:szCs w:val="22"/>
          <w:shd w:val="clear" w:color="auto" w:fill="FFFFFF"/>
        </w:rPr>
      </w:pPr>
      <w:r w:rsidRPr="00025AF2">
        <w:rPr>
          <w:rFonts w:ascii="Arial" w:hAnsi="Arial" w:cs="Arial"/>
          <w:color w:val="000000" w:themeColor="text1"/>
          <w:sz w:val="22"/>
          <w:szCs w:val="22"/>
          <w:shd w:val="clear" w:color="auto" w:fill="FFFFFF"/>
        </w:rPr>
        <w:t xml:space="preserve">Bandura, A., (2010). Modelling. The </w:t>
      </w:r>
      <w:proofErr w:type="spellStart"/>
      <w:r w:rsidRPr="00025AF2">
        <w:rPr>
          <w:rFonts w:ascii="Arial" w:hAnsi="Arial" w:cs="Arial"/>
          <w:color w:val="000000" w:themeColor="text1"/>
          <w:sz w:val="22"/>
          <w:szCs w:val="22"/>
          <w:shd w:val="clear" w:color="auto" w:fill="FFFFFF"/>
        </w:rPr>
        <w:t>Corsini</w:t>
      </w:r>
      <w:proofErr w:type="spellEnd"/>
      <w:r w:rsidRPr="00025AF2">
        <w:rPr>
          <w:rFonts w:ascii="Arial" w:hAnsi="Arial" w:cs="Arial"/>
          <w:color w:val="000000" w:themeColor="text1"/>
          <w:sz w:val="22"/>
          <w:szCs w:val="22"/>
          <w:shd w:val="clear" w:color="auto" w:fill="FFFFFF"/>
        </w:rPr>
        <w:t xml:space="preserve"> </w:t>
      </w:r>
      <w:proofErr w:type="spellStart"/>
      <w:r w:rsidRPr="00025AF2">
        <w:rPr>
          <w:rFonts w:ascii="Arial" w:hAnsi="Arial" w:cs="Arial"/>
          <w:color w:val="000000" w:themeColor="text1"/>
          <w:sz w:val="22"/>
          <w:szCs w:val="22"/>
          <w:shd w:val="clear" w:color="auto" w:fill="FFFFFF"/>
        </w:rPr>
        <w:t>encyclopedia</w:t>
      </w:r>
      <w:proofErr w:type="spellEnd"/>
      <w:r w:rsidRPr="00025AF2">
        <w:rPr>
          <w:rFonts w:ascii="Arial" w:hAnsi="Arial" w:cs="Arial"/>
          <w:color w:val="000000" w:themeColor="text1"/>
          <w:sz w:val="22"/>
          <w:szCs w:val="22"/>
          <w:shd w:val="clear" w:color="auto" w:fill="FFFFFF"/>
        </w:rPr>
        <w:t xml:space="preserve"> of psychology, pp.1-3.</w:t>
      </w:r>
    </w:p>
    <w:p w:rsidR="005F68F5" w:rsidRPr="00025AF2" w:rsidRDefault="005F68F5" w:rsidP="005F68F5">
      <w:pPr>
        <w:spacing w:line="360" w:lineRule="auto"/>
        <w:rPr>
          <w:rFonts w:ascii="Arial" w:hAnsi="Arial" w:cs="Arial"/>
          <w:color w:val="000000" w:themeColor="text1"/>
          <w:sz w:val="22"/>
          <w:szCs w:val="22"/>
          <w:shd w:val="clear" w:color="auto" w:fill="FFFFFF"/>
        </w:rPr>
      </w:pPr>
    </w:p>
    <w:p w:rsidR="00226BCC" w:rsidRPr="00025AF2" w:rsidRDefault="00226BCC" w:rsidP="005F68F5">
      <w:pPr>
        <w:spacing w:line="360" w:lineRule="auto"/>
        <w:rPr>
          <w:rFonts w:ascii="Arial" w:hAnsi="Arial" w:cs="Arial"/>
          <w:color w:val="000000" w:themeColor="text1"/>
          <w:sz w:val="22"/>
          <w:szCs w:val="22"/>
          <w:shd w:val="clear" w:color="auto" w:fill="FFFFFF"/>
        </w:rPr>
      </w:pPr>
      <w:r w:rsidRPr="00025AF2">
        <w:rPr>
          <w:rFonts w:ascii="Arial" w:hAnsi="Arial" w:cs="Arial"/>
          <w:color w:val="000000" w:themeColor="text1"/>
          <w:sz w:val="22"/>
          <w:szCs w:val="22"/>
          <w:shd w:val="clear" w:color="auto" w:fill="FFFFFF"/>
        </w:rPr>
        <w:t>Bear, M.F., Connors, B.W. and Paradiso, M.A. (2015) Neuroscience: Exploring the</w:t>
      </w:r>
      <w:r w:rsidR="005F68F5" w:rsidRPr="00025AF2">
        <w:rPr>
          <w:rFonts w:ascii="Arial" w:hAnsi="Arial" w:cs="Arial"/>
          <w:color w:val="000000" w:themeColor="text1"/>
          <w:sz w:val="22"/>
          <w:szCs w:val="22"/>
          <w:shd w:val="clear" w:color="auto" w:fill="FFFFFF"/>
        </w:rPr>
        <w:t xml:space="preserve"> </w:t>
      </w:r>
      <w:r w:rsidRPr="00025AF2">
        <w:rPr>
          <w:rFonts w:ascii="Arial" w:hAnsi="Arial" w:cs="Arial"/>
          <w:color w:val="000000" w:themeColor="text1"/>
          <w:sz w:val="22"/>
          <w:szCs w:val="22"/>
          <w:shd w:val="clear" w:color="auto" w:fill="FFFFFF"/>
        </w:rPr>
        <w:t>Brain. Oxford: Lippincott Williams and Williams</w:t>
      </w:r>
    </w:p>
    <w:p w:rsidR="005F68F5" w:rsidRPr="00025AF2" w:rsidRDefault="005F68F5" w:rsidP="005F68F5">
      <w:pPr>
        <w:spacing w:line="360" w:lineRule="auto"/>
        <w:rPr>
          <w:rFonts w:ascii="Arial" w:hAnsi="Arial" w:cs="Arial"/>
          <w:color w:val="000000" w:themeColor="text1"/>
          <w:sz w:val="22"/>
          <w:szCs w:val="22"/>
          <w:shd w:val="clear" w:color="auto" w:fill="FFFFFF"/>
        </w:rPr>
      </w:pPr>
    </w:p>
    <w:p w:rsidR="006E4D24" w:rsidRPr="00025AF2" w:rsidRDefault="006E4D24" w:rsidP="005F68F5">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Campbell, R.J., Eyre, D., </w:t>
      </w:r>
      <w:proofErr w:type="spellStart"/>
      <w:r w:rsidRPr="00025AF2">
        <w:rPr>
          <w:rFonts w:ascii="Arial" w:hAnsi="Arial" w:cs="Arial"/>
          <w:color w:val="000000" w:themeColor="text1"/>
          <w:sz w:val="22"/>
          <w:szCs w:val="22"/>
          <w:shd w:val="clear" w:color="auto" w:fill="FFFFFF"/>
        </w:rPr>
        <w:t>Muijs</w:t>
      </w:r>
      <w:proofErr w:type="spellEnd"/>
      <w:r w:rsidRPr="00025AF2">
        <w:rPr>
          <w:rFonts w:ascii="Arial" w:hAnsi="Arial" w:cs="Arial"/>
          <w:color w:val="000000" w:themeColor="text1"/>
          <w:sz w:val="22"/>
          <w:szCs w:val="22"/>
          <w:shd w:val="clear" w:color="auto" w:fill="FFFFFF"/>
        </w:rPr>
        <w:t xml:space="preserve">, R.D., Neelands, J.G.A. and Robinson, W.,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2007</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English model of gifted and talented education: Policy, context and challenges. </w:t>
      </w:r>
      <w:r w:rsidRPr="00025AF2">
        <w:rPr>
          <w:rFonts w:ascii="Arial" w:hAnsi="Arial" w:cs="Arial"/>
          <w:i/>
          <w:iCs/>
          <w:color w:val="000000" w:themeColor="text1"/>
          <w:sz w:val="22"/>
          <w:szCs w:val="22"/>
          <w:shd w:val="clear" w:color="auto" w:fill="FFFFFF"/>
        </w:rPr>
        <w:t>Gifted and Talented International</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22</w:t>
      </w:r>
      <w:r w:rsidRPr="00025AF2">
        <w:rPr>
          <w:rFonts w:ascii="Arial" w:hAnsi="Arial" w:cs="Arial"/>
          <w:color w:val="000000" w:themeColor="text1"/>
          <w:sz w:val="22"/>
          <w:szCs w:val="22"/>
          <w:shd w:val="clear" w:color="auto" w:fill="FFFFFF"/>
        </w:rPr>
        <w:t>(1), pp.47-54.</w:t>
      </w:r>
    </w:p>
    <w:p w:rsidR="005F68F5" w:rsidRPr="00025AF2" w:rsidRDefault="005F68F5" w:rsidP="005F68F5">
      <w:pPr>
        <w:spacing w:line="360" w:lineRule="auto"/>
        <w:rPr>
          <w:rFonts w:ascii="Arial" w:hAnsi="Arial" w:cs="Arial"/>
          <w:color w:val="000000" w:themeColor="text1"/>
          <w:sz w:val="22"/>
          <w:szCs w:val="22"/>
        </w:rPr>
      </w:pPr>
    </w:p>
    <w:p w:rsidR="00621223" w:rsidRPr="00025AF2" w:rsidRDefault="00621223" w:rsidP="005F68F5">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 xml:space="preserve">Canter, L., (2010). Assertive discipline: Positive </w:t>
      </w:r>
      <w:proofErr w:type="spellStart"/>
      <w:r w:rsidRPr="00025AF2">
        <w:rPr>
          <w:rFonts w:ascii="Arial" w:hAnsi="Arial" w:cs="Arial"/>
          <w:color w:val="000000" w:themeColor="text1"/>
          <w:sz w:val="22"/>
          <w:szCs w:val="22"/>
        </w:rPr>
        <w:t>behavior</w:t>
      </w:r>
      <w:proofErr w:type="spellEnd"/>
      <w:r w:rsidRPr="00025AF2">
        <w:rPr>
          <w:rFonts w:ascii="Arial" w:hAnsi="Arial" w:cs="Arial"/>
          <w:color w:val="000000" w:themeColor="text1"/>
          <w:sz w:val="22"/>
          <w:szCs w:val="22"/>
        </w:rPr>
        <w:t xml:space="preserve"> management for today</w:t>
      </w:r>
      <w:r w:rsidR="005F68F5" w:rsidRPr="00025AF2">
        <w:rPr>
          <w:rFonts w:ascii="Arial" w:hAnsi="Arial" w:cs="Arial"/>
          <w:color w:val="000000" w:themeColor="text1"/>
          <w:sz w:val="22"/>
          <w:szCs w:val="22"/>
        </w:rPr>
        <w:t>’</w:t>
      </w:r>
      <w:r w:rsidRPr="00025AF2">
        <w:rPr>
          <w:rFonts w:ascii="Arial" w:hAnsi="Arial" w:cs="Arial"/>
          <w:color w:val="000000" w:themeColor="text1"/>
          <w:sz w:val="22"/>
          <w:szCs w:val="22"/>
        </w:rPr>
        <w:t>s</w:t>
      </w:r>
      <w:r w:rsidR="005F68F5"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classroom. Solution Tree Press.</w:t>
      </w:r>
    </w:p>
    <w:p w:rsidR="00043883" w:rsidRPr="00025AF2" w:rsidRDefault="00043883" w:rsidP="005F68F5">
      <w:pPr>
        <w:spacing w:line="360" w:lineRule="auto"/>
        <w:rPr>
          <w:rFonts w:ascii="Arial" w:hAnsi="Arial" w:cs="Arial"/>
          <w:color w:val="000000" w:themeColor="text1"/>
          <w:sz w:val="22"/>
          <w:szCs w:val="22"/>
        </w:rPr>
      </w:pPr>
    </w:p>
    <w:p w:rsidR="00043883" w:rsidRPr="00025AF2" w:rsidRDefault="00043883"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Cochran, W.G. and Rubin, D.B.,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1973</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Controlling bias in observational studies: A review. </w:t>
      </w:r>
      <w:proofErr w:type="spellStart"/>
      <w:r w:rsidRPr="00025AF2">
        <w:rPr>
          <w:rFonts w:ascii="Arial" w:hAnsi="Arial" w:cs="Arial"/>
          <w:i/>
          <w:iCs/>
          <w:color w:val="000000" w:themeColor="text1"/>
          <w:sz w:val="22"/>
          <w:szCs w:val="22"/>
          <w:shd w:val="clear" w:color="auto" w:fill="FFFFFF"/>
        </w:rPr>
        <w:t>Sankhyā</w:t>
      </w:r>
      <w:proofErr w:type="spellEnd"/>
      <w:r w:rsidRPr="00025AF2">
        <w:rPr>
          <w:rFonts w:ascii="Arial" w:hAnsi="Arial" w:cs="Arial"/>
          <w:i/>
          <w:iCs/>
          <w:color w:val="000000" w:themeColor="text1"/>
          <w:sz w:val="22"/>
          <w:szCs w:val="22"/>
          <w:shd w:val="clear" w:color="auto" w:fill="FFFFFF"/>
        </w:rPr>
        <w:t>: The Indian Journal of Statistics, Series A</w:t>
      </w:r>
      <w:r w:rsidRPr="00025AF2">
        <w:rPr>
          <w:rFonts w:ascii="Arial" w:hAnsi="Arial" w:cs="Arial"/>
          <w:color w:val="000000" w:themeColor="text1"/>
          <w:sz w:val="22"/>
          <w:szCs w:val="22"/>
          <w:shd w:val="clear" w:color="auto" w:fill="FFFFFF"/>
        </w:rPr>
        <w:t>, pp.417-446.</w:t>
      </w:r>
    </w:p>
    <w:p w:rsidR="00043883" w:rsidRPr="00025AF2" w:rsidRDefault="00043883" w:rsidP="005F68F5">
      <w:pPr>
        <w:spacing w:line="360" w:lineRule="auto"/>
        <w:rPr>
          <w:rFonts w:ascii="Arial" w:hAnsi="Arial" w:cs="Arial"/>
          <w:color w:val="000000" w:themeColor="text1"/>
          <w:sz w:val="22"/>
          <w:szCs w:val="22"/>
        </w:rPr>
      </w:pPr>
    </w:p>
    <w:p w:rsidR="00CD073F" w:rsidRPr="00025AF2" w:rsidRDefault="00CD073F" w:rsidP="005F68F5">
      <w:pPr>
        <w:spacing w:line="360" w:lineRule="auto"/>
        <w:rPr>
          <w:rFonts w:ascii="Arial" w:hAnsi="Arial" w:cs="Arial"/>
          <w:color w:val="000000" w:themeColor="text1"/>
          <w:sz w:val="22"/>
          <w:szCs w:val="22"/>
        </w:rPr>
      </w:pPr>
    </w:p>
    <w:p w:rsidR="00CD073F" w:rsidRPr="00025AF2" w:rsidRDefault="00CD073F"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lastRenderedPageBreak/>
        <w:t xml:space="preserve">Cohen, L., Manion, L. and Morrison, K.,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2002</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Research methods in education</w:t>
      </w:r>
      <w:r w:rsidRPr="00025AF2">
        <w:rPr>
          <w:rFonts w:ascii="Arial" w:hAnsi="Arial" w:cs="Arial"/>
          <w:color w:val="000000" w:themeColor="text1"/>
          <w:sz w:val="22"/>
          <w:szCs w:val="22"/>
          <w:shd w:val="clear" w:color="auto" w:fill="FFFFFF"/>
        </w:rPr>
        <w:t xml:space="preserve">. </w:t>
      </w:r>
      <w:proofErr w:type="spellStart"/>
      <w:r w:rsidRPr="00025AF2">
        <w:rPr>
          <w:rFonts w:ascii="Arial" w:hAnsi="Arial" w:cs="Arial"/>
          <w:color w:val="000000" w:themeColor="text1"/>
          <w:sz w:val="22"/>
          <w:szCs w:val="22"/>
          <w:shd w:val="clear" w:color="auto" w:fill="FFFFFF"/>
        </w:rPr>
        <w:t>routledge</w:t>
      </w:r>
      <w:proofErr w:type="spellEnd"/>
      <w:r w:rsidRPr="00025AF2">
        <w:rPr>
          <w:rFonts w:ascii="Arial" w:hAnsi="Arial" w:cs="Arial"/>
          <w:color w:val="000000" w:themeColor="text1"/>
          <w:sz w:val="22"/>
          <w:szCs w:val="22"/>
          <w:shd w:val="clear" w:color="auto" w:fill="FFFFFF"/>
        </w:rPr>
        <w:t>.</w:t>
      </w:r>
    </w:p>
    <w:p w:rsidR="00552E57" w:rsidRPr="00025AF2" w:rsidRDefault="00552E57" w:rsidP="00552E57">
      <w:pPr>
        <w:spacing w:line="360" w:lineRule="auto"/>
        <w:rPr>
          <w:rFonts w:ascii="Arial" w:hAnsi="Arial" w:cs="Arial"/>
          <w:color w:val="000000" w:themeColor="text1"/>
          <w:sz w:val="22"/>
          <w:szCs w:val="22"/>
        </w:rPr>
      </w:pPr>
    </w:p>
    <w:p w:rsidR="00621223" w:rsidRPr="00025AF2" w:rsidRDefault="00621223"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rPr>
        <w:t>Cowley</w:t>
      </w:r>
      <w:proofErr w:type="spellEnd"/>
      <w:r w:rsidRPr="00025AF2">
        <w:rPr>
          <w:rFonts w:ascii="Arial" w:hAnsi="Arial" w:cs="Arial"/>
          <w:color w:val="000000" w:themeColor="text1"/>
          <w:sz w:val="22"/>
          <w:szCs w:val="22"/>
        </w:rPr>
        <w:t>, S. (2014) Getting the buggers to behave, London: Bloomsbury</w:t>
      </w:r>
    </w:p>
    <w:p w:rsidR="00552E57" w:rsidRPr="00025AF2" w:rsidRDefault="00552E57" w:rsidP="00552E57">
      <w:pPr>
        <w:spacing w:line="360" w:lineRule="auto"/>
        <w:rPr>
          <w:rFonts w:ascii="Arial" w:hAnsi="Arial" w:cs="Arial"/>
          <w:color w:val="000000" w:themeColor="text1"/>
          <w:sz w:val="22"/>
          <w:szCs w:val="22"/>
        </w:rPr>
      </w:pPr>
    </w:p>
    <w:p w:rsidR="00BD6EFE" w:rsidRPr="00025AF2" w:rsidRDefault="00BD6EFE"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Diaper, G.,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1990</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The Hawthorne effect: A fresh examination. </w:t>
      </w:r>
      <w:r w:rsidRPr="00025AF2">
        <w:rPr>
          <w:rFonts w:ascii="Arial" w:hAnsi="Arial" w:cs="Arial"/>
          <w:i/>
          <w:iCs/>
          <w:color w:val="000000" w:themeColor="text1"/>
          <w:sz w:val="22"/>
          <w:szCs w:val="22"/>
          <w:shd w:val="clear" w:color="auto" w:fill="FFFFFF"/>
        </w:rPr>
        <w:t>Educational studies</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16</w:t>
      </w:r>
      <w:r w:rsidRPr="00025AF2">
        <w:rPr>
          <w:rFonts w:ascii="Arial" w:hAnsi="Arial" w:cs="Arial"/>
          <w:color w:val="000000" w:themeColor="text1"/>
          <w:sz w:val="22"/>
          <w:szCs w:val="22"/>
          <w:shd w:val="clear" w:color="auto" w:fill="FFFFFF"/>
        </w:rPr>
        <w:t>(3), pp.261-267.</w:t>
      </w:r>
    </w:p>
    <w:p w:rsidR="00BD6EFE" w:rsidRPr="00025AF2" w:rsidRDefault="00BD6EFE" w:rsidP="005F68F5">
      <w:pPr>
        <w:spacing w:line="360" w:lineRule="auto"/>
        <w:rPr>
          <w:rFonts w:ascii="Arial" w:hAnsi="Arial" w:cs="Arial"/>
          <w:color w:val="000000" w:themeColor="text1"/>
          <w:sz w:val="22"/>
          <w:szCs w:val="22"/>
        </w:rPr>
      </w:pPr>
    </w:p>
    <w:p w:rsidR="00D409FE" w:rsidRPr="00025AF2" w:rsidRDefault="00D409FE"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Dixon Jr, W.E., </w:t>
      </w:r>
      <w:proofErr w:type="spellStart"/>
      <w:r w:rsidRPr="00025AF2">
        <w:rPr>
          <w:rFonts w:ascii="Arial" w:hAnsi="Arial" w:cs="Arial"/>
          <w:color w:val="000000" w:themeColor="text1"/>
          <w:sz w:val="22"/>
          <w:szCs w:val="22"/>
          <w:shd w:val="clear" w:color="auto" w:fill="FFFFFF"/>
        </w:rPr>
        <w:t>Salley</w:t>
      </w:r>
      <w:proofErr w:type="spellEnd"/>
      <w:r w:rsidRPr="00025AF2">
        <w:rPr>
          <w:rFonts w:ascii="Arial" w:hAnsi="Arial" w:cs="Arial"/>
          <w:color w:val="000000" w:themeColor="text1"/>
          <w:sz w:val="22"/>
          <w:szCs w:val="22"/>
          <w:shd w:val="clear" w:color="auto" w:fill="FFFFFF"/>
        </w:rPr>
        <w:t xml:space="preserve">, B.J. and Clements, A.D.,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2006</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Temperament, distraction, and learning in toddlerhood. </w:t>
      </w:r>
      <w:r w:rsidRPr="00025AF2">
        <w:rPr>
          <w:rFonts w:ascii="Arial" w:hAnsi="Arial" w:cs="Arial"/>
          <w:i/>
          <w:iCs/>
          <w:color w:val="000000" w:themeColor="text1"/>
          <w:sz w:val="22"/>
          <w:szCs w:val="22"/>
          <w:shd w:val="clear" w:color="auto" w:fill="FFFFFF"/>
        </w:rPr>
        <w:t xml:space="preserve">Infant </w:t>
      </w:r>
      <w:proofErr w:type="spellStart"/>
      <w:r w:rsidRPr="00025AF2">
        <w:rPr>
          <w:rFonts w:ascii="Arial" w:hAnsi="Arial" w:cs="Arial"/>
          <w:i/>
          <w:iCs/>
          <w:color w:val="000000" w:themeColor="text1"/>
          <w:sz w:val="22"/>
          <w:szCs w:val="22"/>
          <w:shd w:val="clear" w:color="auto" w:fill="FFFFFF"/>
        </w:rPr>
        <w:t>Behavior</w:t>
      </w:r>
      <w:proofErr w:type="spellEnd"/>
      <w:r w:rsidRPr="00025AF2">
        <w:rPr>
          <w:rFonts w:ascii="Arial" w:hAnsi="Arial" w:cs="Arial"/>
          <w:i/>
          <w:iCs/>
          <w:color w:val="000000" w:themeColor="text1"/>
          <w:sz w:val="22"/>
          <w:szCs w:val="22"/>
          <w:shd w:val="clear" w:color="auto" w:fill="FFFFFF"/>
        </w:rPr>
        <w:t xml:space="preserve"> and Development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29</w:t>
      </w:r>
      <w:r w:rsidRPr="00025AF2">
        <w:rPr>
          <w:rFonts w:ascii="Arial" w:hAnsi="Arial" w:cs="Arial"/>
          <w:color w:val="000000" w:themeColor="text1"/>
          <w:sz w:val="22"/>
          <w:szCs w:val="22"/>
          <w:shd w:val="clear" w:color="auto" w:fill="FFFFFF"/>
        </w:rPr>
        <w:t>(3), pp.342-357.</w:t>
      </w:r>
    </w:p>
    <w:p w:rsidR="00D409FE" w:rsidRPr="00025AF2" w:rsidRDefault="00D409FE" w:rsidP="005F68F5">
      <w:pPr>
        <w:spacing w:line="360" w:lineRule="auto"/>
        <w:rPr>
          <w:rFonts w:ascii="Arial" w:hAnsi="Arial" w:cs="Arial"/>
          <w:color w:val="000000" w:themeColor="text1"/>
          <w:sz w:val="22"/>
          <w:szCs w:val="22"/>
        </w:rPr>
      </w:pPr>
    </w:p>
    <w:p w:rsidR="006E4D24" w:rsidRPr="00025AF2" w:rsidRDefault="006E4D2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 xml:space="preserve">Driessen, G., T. </w:t>
      </w:r>
      <w:proofErr w:type="spellStart"/>
      <w:r w:rsidRPr="00025AF2">
        <w:rPr>
          <w:rFonts w:ascii="Arial" w:hAnsi="Arial" w:cs="Arial"/>
          <w:color w:val="000000" w:themeColor="text1"/>
          <w:sz w:val="22"/>
          <w:szCs w:val="22"/>
        </w:rPr>
        <w:t>Mooij</w:t>
      </w:r>
      <w:proofErr w:type="spellEnd"/>
      <w:r w:rsidRPr="00025AF2">
        <w:rPr>
          <w:rFonts w:ascii="Arial" w:hAnsi="Arial" w:cs="Arial"/>
          <w:color w:val="000000" w:themeColor="text1"/>
          <w:sz w:val="22"/>
          <w:szCs w:val="22"/>
        </w:rPr>
        <w:t xml:space="preserve">, and J. </w:t>
      </w:r>
      <w:proofErr w:type="spellStart"/>
      <w:r w:rsidRPr="00025AF2">
        <w:rPr>
          <w:rFonts w:ascii="Arial" w:hAnsi="Arial" w:cs="Arial"/>
          <w:color w:val="000000" w:themeColor="text1"/>
          <w:sz w:val="22"/>
          <w:szCs w:val="22"/>
        </w:rPr>
        <w:t>Doesborgh</w:t>
      </w:r>
      <w:proofErr w:type="spellEnd"/>
      <w:r w:rsidRPr="00025AF2">
        <w:rPr>
          <w:rFonts w:ascii="Arial" w:hAnsi="Arial" w:cs="Arial"/>
          <w:color w:val="000000" w:themeColor="text1"/>
          <w:sz w:val="22"/>
          <w:szCs w:val="22"/>
        </w:rPr>
        <w:t xml:space="preserve">. </w:t>
      </w:r>
      <w:r w:rsidR="00025AF2">
        <w:rPr>
          <w:rFonts w:ascii="Arial" w:hAnsi="Arial" w:cs="Arial"/>
          <w:color w:val="000000" w:themeColor="text1"/>
          <w:sz w:val="22"/>
          <w:szCs w:val="22"/>
        </w:rPr>
        <w:t>(</w:t>
      </w:r>
      <w:r w:rsidRPr="00025AF2">
        <w:rPr>
          <w:rFonts w:ascii="Arial" w:hAnsi="Arial" w:cs="Arial"/>
          <w:color w:val="000000" w:themeColor="text1"/>
          <w:sz w:val="22"/>
          <w:szCs w:val="22"/>
        </w:rPr>
        <w:t>2007</w:t>
      </w:r>
      <w:r w:rsidR="00025AF2">
        <w:rPr>
          <w:rFonts w:ascii="Arial" w:hAnsi="Arial" w:cs="Arial"/>
          <w:color w:val="000000" w:themeColor="text1"/>
          <w:sz w:val="22"/>
          <w:szCs w:val="22"/>
        </w:rPr>
        <w:t>)</w:t>
      </w:r>
      <w:r w:rsidRPr="00025AF2">
        <w:rPr>
          <w:rFonts w:ascii="Arial" w:hAnsi="Arial" w:cs="Arial"/>
          <w:color w:val="000000" w:themeColor="text1"/>
          <w:sz w:val="22"/>
          <w:szCs w:val="22"/>
        </w:rPr>
        <w:t>. Giftedness of Students in Primary Education [</w:t>
      </w:r>
      <w:proofErr w:type="spellStart"/>
      <w:r w:rsidRPr="00025AF2">
        <w:rPr>
          <w:rFonts w:ascii="Arial" w:hAnsi="Arial" w:cs="Arial"/>
          <w:color w:val="000000" w:themeColor="text1"/>
          <w:sz w:val="22"/>
          <w:szCs w:val="22"/>
        </w:rPr>
        <w:t>hoogbegaafdheid</w:t>
      </w:r>
      <w:proofErr w:type="spellEnd"/>
      <w:r w:rsidRPr="00025AF2">
        <w:rPr>
          <w:rFonts w:ascii="Arial" w:hAnsi="Arial" w:cs="Arial"/>
          <w:color w:val="000000" w:themeColor="text1"/>
          <w:sz w:val="22"/>
          <w:szCs w:val="22"/>
        </w:rPr>
        <w:t xml:space="preserve"> van </w:t>
      </w:r>
      <w:proofErr w:type="spellStart"/>
      <w:r w:rsidRPr="00025AF2">
        <w:rPr>
          <w:rFonts w:ascii="Arial" w:hAnsi="Arial" w:cs="Arial"/>
          <w:color w:val="000000" w:themeColor="text1"/>
          <w:sz w:val="22"/>
          <w:szCs w:val="22"/>
        </w:rPr>
        <w:t>leerlingen</w:t>
      </w:r>
      <w:proofErr w:type="spellEnd"/>
      <w:r w:rsidRPr="00025AF2">
        <w:rPr>
          <w:rFonts w:ascii="Arial" w:hAnsi="Arial" w:cs="Arial"/>
          <w:color w:val="000000" w:themeColor="text1"/>
          <w:sz w:val="22"/>
          <w:szCs w:val="22"/>
        </w:rPr>
        <w:t xml:space="preserve"> in het </w:t>
      </w:r>
      <w:proofErr w:type="spellStart"/>
      <w:r w:rsidRPr="00025AF2">
        <w:rPr>
          <w:rFonts w:ascii="Arial" w:hAnsi="Arial" w:cs="Arial"/>
          <w:color w:val="000000" w:themeColor="text1"/>
          <w:sz w:val="22"/>
          <w:szCs w:val="22"/>
        </w:rPr>
        <w:t>primair</w:t>
      </w:r>
      <w:proofErr w:type="spellEnd"/>
      <w:r w:rsidRPr="00025AF2">
        <w:rPr>
          <w:rFonts w:ascii="Arial" w:hAnsi="Arial" w:cs="Arial"/>
          <w:color w:val="000000" w:themeColor="text1"/>
          <w:sz w:val="22"/>
          <w:szCs w:val="22"/>
        </w:rPr>
        <w:t xml:space="preserve"> </w:t>
      </w:r>
      <w:proofErr w:type="spellStart"/>
      <w:r w:rsidRPr="00025AF2">
        <w:rPr>
          <w:rFonts w:ascii="Arial" w:hAnsi="Arial" w:cs="Arial"/>
          <w:color w:val="000000" w:themeColor="text1"/>
          <w:sz w:val="22"/>
          <w:szCs w:val="22"/>
        </w:rPr>
        <w:t>onderwijs</w:t>
      </w:r>
      <w:proofErr w:type="spellEnd"/>
      <w:r w:rsidRPr="00025AF2">
        <w:rPr>
          <w:rFonts w:ascii="Arial" w:hAnsi="Arial" w:cs="Arial"/>
          <w:color w:val="000000" w:themeColor="text1"/>
          <w:sz w:val="22"/>
          <w:szCs w:val="22"/>
        </w:rPr>
        <w:t xml:space="preserve">]. Nijmegen: Radboud University. </w:t>
      </w:r>
    </w:p>
    <w:p w:rsidR="008D5F8F" w:rsidRPr="00025AF2" w:rsidRDefault="008D5F8F" w:rsidP="005F68F5">
      <w:pPr>
        <w:spacing w:line="360" w:lineRule="auto"/>
        <w:rPr>
          <w:rFonts w:ascii="Arial" w:hAnsi="Arial" w:cs="Arial"/>
          <w:color w:val="000000" w:themeColor="text1"/>
          <w:sz w:val="22"/>
          <w:szCs w:val="22"/>
        </w:rPr>
      </w:pPr>
    </w:p>
    <w:p w:rsidR="008D5F8F" w:rsidRPr="00025AF2" w:rsidRDefault="008D5F8F"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rPr>
        <w:t>Duda</w:t>
      </w:r>
      <w:proofErr w:type="spellEnd"/>
      <w:r w:rsidRPr="00025AF2">
        <w:rPr>
          <w:rFonts w:ascii="Arial" w:hAnsi="Arial" w:cs="Arial"/>
          <w:color w:val="000000" w:themeColor="text1"/>
          <w:sz w:val="22"/>
          <w:szCs w:val="22"/>
        </w:rPr>
        <w:t>, J.L. and Nicholls, J.G., (1992). Dimensions of achievement motivation in</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schoolwork and sport. Journal of educational psychology, 84(3), p.290.</w:t>
      </w:r>
    </w:p>
    <w:p w:rsidR="006E4D24" w:rsidRPr="00025AF2" w:rsidRDefault="006E4D24" w:rsidP="005F68F5">
      <w:pPr>
        <w:spacing w:line="360" w:lineRule="auto"/>
        <w:rPr>
          <w:rFonts w:ascii="Arial" w:hAnsi="Arial" w:cs="Arial"/>
          <w:color w:val="000000" w:themeColor="text1"/>
          <w:sz w:val="22"/>
          <w:szCs w:val="22"/>
        </w:rPr>
      </w:pPr>
    </w:p>
    <w:p w:rsidR="007F1C5A" w:rsidRPr="00025AF2" w:rsidRDefault="007F1C5A"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 xml:space="preserve">Dweck, C. </w:t>
      </w:r>
      <w:r w:rsidR="00025AF2">
        <w:rPr>
          <w:rFonts w:ascii="Arial" w:hAnsi="Arial" w:cs="Arial"/>
          <w:color w:val="000000" w:themeColor="text1"/>
          <w:sz w:val="22"/>
          <w:szCs w:val="22"/>
        </w:rPr>
        <w:t>(</w:t>
      </w:r>
      <w:r w:rsidRPr="00025AF2">
        <w:rPr>
          <w:rFonts w:ascii="Arial" w:hAnsi="Arial" w:cs="Arial"/>
          <w:color w:val="000000" w:themeColor="text1"/>
          <w:sz w:val="22"/>
          <w:szCs w:val="22"/>
        </w:rPr>
        <w:t>2013</w:t>
      </w:r>
      <w:r w:rsidR="00025AF2">
        <w:rPr>
          <w:rFonts w:ascii="Arial" w:hAnsi="Arial" w:cs="Arial"/>
          <w:color w:val="000000" w:themeColor="text1"/>
          <w:sz w:val="22"/>
          <w:szCs w:val="22"/>
        </w:rPr>
        <w:t>)</w:t>
      </w:r>
      <w:r w:rsidRPr="00025AF2">
        <w:rPr>
          <w:rFonts w:ascii="Arial" w:hAnsi="Arial" w:cs="Arial"/>
          <w:color w:val="000000" w:themeColor="text1"/>
          <w:sz w:val="22"/>
          <w:szCs w:val="22"/>
        </w:rPr>
        <w:t>. Mindset: How You Can Fulfil Your Potential. Constable &amp; Robinson (E-book).</w:t>
      </w:r>
    </w:p>
    <w:p w:rsidR="00621223" w:rsidRPr="00025AF2" w:rsidRDefault="00621223" w:rsidP="005F68F5">
      <w:pPr>
        <w:spacing w:line="360" w:lineRule="auto"/>
        <w:rPr>
          <w:rFonts w:ascii="Arial" w:hAnsi="Arial" w:cs="Arial"/>
          <w:color w:val="000000" w:themeColor="text1"/>
          <w:sz w:val="22"/>
          <w:szCs w:val="22"/>
        </w:rPr>
      </w:pPr>
    </w:p>
    <w:p w:rsidR="00621223" w:rsidRPr="00025AF2" w:rsidRDefault="00621223"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Dweck, C.S., (2007). The perils and promises of praise. ASCD, 65(2), pp.34-39.</w:t>
      </w:r>
    </w:p>
    <w:p w:rsidR="00621223" w:rsidRPr="00025AF2" w:rsidRDefault="00621223" w:rsidP="005F68F5">
      <w:pPr>
        <w:spacing w:line="360" w:lineRule="auto"/>
        <w:rPr>
          <w:rFonts w:ascii="Arial" w:hAnsi="Arial" w:cs="Arial"/>
          <w:color w:val="000000" w:themeColor="text1"/>
          <w:sz w:val="22"/>
          <w:szCs w:val="22"/>
        </w:rPr>
      </w:pPr>
    </w:p>
    <w:p w:rsidR="00621223" w:rsidRPr="00025AF2" w:rsidRDefault="00621223"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Evans, J; Harden, A; Thomas, J and Benefield, P (2003) Support for pupils with</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emotional and behavioural difficulties (EBD) in mainstream primary classrooms: a</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systematic review of the effectiveness of interventions London [online] EPPI-Centre,</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Social Sciences Research Unit, Institute of Education, University of London.</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Available at:</w:t>
      </w:r>
      <w:r w:rsidR="00552E57" w:rsidRPr="00025AF2">
        <w:rPr>
          <w:rFonts w:ascii="Arial" w:hAnsi="Arial" w:cs="Arial"/>
          <w:color w:val="000000" w:themeColor="text1"/>
          <w:sz w:val="22"/>
          <w:szCs w:val="22"/>
        </w:rPr>
        <w:t xml:space="preserve"> </w:t>
      </w:r>
      <w:hyperlink r:id="rId7" w:history="1">
        <w:r w:rsidR="00552E57" w:rsidRPr="00025AF2">
          <w:rPr>
            <w:rStyle w:val="Hyperlink"/>
            <w:rFonts w:ascii="Arial" w:hAnsi="Arial" w:cs="Arial"/>
            <w:color w:val="000000" w:themeColor="text1"/>
            <w:sz w:val="22"/>
            <w:szCs w:val="22"/>
          </w:rPr>
          <w:t>http://eppi.ioe.ac.uk/EPPIWebContent/reel/review_groups/EPPI/EBD/EBD1.pdf</w:t>
        </w:r>
      </w:hyperlink>
      <w:r w:rsidR="00226BCC" w:rsidRPr="00025AF2">
        <w:rPr>
          <w:rFonts w:ascii="Arial" w:hAnsi="Arial" w:cs="Arial"/>
          <w:color w:val="000000" w:themeColor="text1"/>
          <w:sz w:val="22"/>
          <w:szCs w:val="22"/>
        </w:rPr>
        <w:t xml:space="preserve"> </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[Accessed 4th October 2019]</w:t>
      </w:r>
    </w:p>
    <w:p w:rsidR="00552E57" w:rsidRPr="00025AF2" w:rsidRDefault="00552E57" w:rsidP="00552E57">
      <w:pPr>
        <w:spacing w:line="360" w:lineRule="auto"/>
        <w:rPr>
          <w:rFonts w:ascii="Arial" w:hAnsi="Arial" w:cs="Arial"/>
          <w:color w:val="000000" w:themeColor="text1"/>
          <w:sz w:val="22"/>
          <w:szCs w:val="22"/>
          <w:shd w:val="clear" w:color="auto" w:fill="FFFFFF"/>
        </w:rPr>
      </w:pPr>
    </w:p>
    <w:p w:rsidR="00D57857" w:rsidRPr="00025AF2" w:rsidRDefault="00D57857" w:rsidP="00552E57">
      <w:pPr>
        <w:spacing w:line="360" w:lineRule="auto"/>
        <w:rPr>
          <w:rFonts w:ascii="Arial" w:hAnsi="Arial" w:cs="Arial"/>
          <w:color w:val="000000" w:themeColor="text1"/>
          <w:sz w:val="22"/>
          <w:szCs w:val="22"/>
          <w:shd w:val="clear" w:color="auto" w:fill="FFFFFF"/>
        </w:rPr>
      </w:pPr>
      <w:r w:rsidRPr="00025AF2">
        <w:rPr>
          <w:rFonts w:ascii="Arial" w:hAnsi="Arial" w:cs="Arial"/>
          <w:color w:val="000000" w:themeColor="text1"/>
          <w:sz w:val="22"/>
          <w:szCs w:val="22"/>
          <w:shd w:val="clear" w:color="auto" w:fill="FFFFFF"/>
        </w:rPr>
        <w:t xml:space="preserve">Eyre, D.,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2012</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An effective primary school for the gifted and talented. In </w:t>
      </w:r>
      <w:r w:rsidRPr="00025AF2">
        <w:rPr>
          <w:rFonts w:ascii="Arial" w:hAnsi="Arial" w:cs="Arial"/>
          <w:i/>
          <w:iCs/>
          <w:color w:val="000000" w:themeColor="text1"/>
          <w:sz w:val="22"/>
          <w:szCs w:val="22"/>
          <w:shd w:val="clear" w:color="auto" w:fill="FFFFFF"/>
        </w:rPr>
        <w:t>Curriculum provision for the gifted and talented in the primary school</w:t>
      </w:r>
      <w:r w:rsidRPr="00025AF2">
        <w:rPr>
          <w:rFonts w:ascii="Arial" w:hAnsi="Arial" w:cs="Arial"/>
          <w:color w:val="000000" w:themeColor="text1"/>
          <w:sz w:val="22"/>
          <w:szCs w:val="22"/>
          <w:shd w:val="clear" w:color="auto" w:fill="FFFFFF"/>
        </w:rPr>
        <w:t> (pp. 13-39). David Fulton Publishers.</w:t>
      </w:r>
    </w:p>
    <w:p w:rsidR="001A5886" w:rsidRPr="00025AF2" w:rsidRDefault="001A5886" w:rsidP="005F68F5">
      <w:pPr>
        <w:spacing w:line="360" w:lineRule="auto"/>
        <w:rPr>
          <w:rFonts w:ascii="Arial" w:hAnsi="Arial" w:cs="Arial"/>
          <w:color w:val="000000" w:themeColor="text1"/>
          <w:sz w:val="22"/>
          <w:szCs w:val="22"/>
          <w:shd w:val="clear" w:color="auto" w:fill="FFFFFF"/>
        </w:rPr>
      </w:pPr>
    </w:p>
    <w:p w:rsidR="001A5886" w:rsidRPr="00025AF2" w:rsidRDefault="001A5886" w:rsidP="00552E57">
      <w:pPr>
        <w:spacing w:line="360" w:lineRule="auto"/>
        <w:rPr>
          <w:rFonts w:ascii="Arial" w:hAnsi="Arial" w:cs="Arial"/>
          <w:color w:val="000000" w:themeColor="text1"/>
          <w:sz w:val="22"/>
          <w:szCs w:val="22"/>
          <w:shd w:val="clear" w:color="auto" w:fill="FFFFFF"/>
        </w:rPr>
      </w:pPr>
      <w:r w:rsidRPr="00025AF2">
        <w:rPr>
          <w:rFonts w:ascii="Arial" w:hAnsi="Arial" w:cs="Arial"/>
          <w:color w:val="000000" w:themeColor="text1"/>
          <w:sz w:val="22"/>
          <w:szCs w:val="22"/>
          <w:shd w:val="clear" w:color="auto" w:fill="FFFFFF"/>
        </w:rPr>
        <w:t xml:space="preserve">Gibbs, G.,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2002</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Institutional strategies for linking research and teaching. </w:t>
      </w:r>
      <w:r w:rsidRPr="00025AF2">
        <w:rPr>
          <w:rFonts w:ascii="Arial" w:hAnsi="Arial" w:cs="Arial"/>
          <w:i/>
          <w:iCs/>
          <w:color w:val="000000" w:themeColor="text1"/>
          <w:sz w:val="22"/>
          <w:szCs w:val="22"/>
          <w:shd w:val="clear" w:color="auto" w:fill="FFFFFF"/>
        </w:rPr>
        <w:t>Exchange</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3</w:t>
      </w:r>
      <w:r w:rsidRPr="00025AF2">
        <w:rPr>
          <w:rFonts w:ascii="Arial" w:hAnsi="Arial" w:cs="Arial"/>
          <w:color w:val="000000" w:themeColor="text1"/>
          <w:sz w:val="22"/>
          <w:szCs w:val="22"/>
          <w:shd w:val="clear" w:color="auto" w:fill="FFFFFF"/>
        </w:rPr>
        <w:t>(8), pp.8-12.</w:t>
      </w:r>
    </w:p>
    <w:p w:rsidR="00552E57" w:rsidRPr="00025AF2" w:rsidRDefault="00552E57" w:rsidP="00552E57">
      <w:pPr>
        <w:spacing w:line="360" w:lineRule="auto"/>
        <w:rPr>
          <w:rFonts w:ascii="Arial" w:hAnsi="Arial" w:cs="Arial"/>
          <w:color w:val="000000" w:themeColor="text1"/>
          <w:sz w:val="22"/>
          <w:szCs w:val="22"/>
          <w:shd w:val="clear" w:color="auto" w:fill="FFFFFF"/>
        </w:rPr>
      </w:pPr>
    </w:p>
    <w:p w:rsidR="00F153F7" w:rsidRPr="00025AF2" w:rsidRDefault="00F153F7"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Goodhew, G.,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2009</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Meeting the needs of gifted and talented students</w:t>
      </w:r>
      <w:r w:rsidRPr="00025AF2">
        <w:rPr>
          <w:rFonts w:ascii="Arial" w:hAnsi="Arial" w:cs="Arial"/>
          <w:color w:val="000000" w:themeColor="text1"/>
          <w:sz w:val="22"/>
          <w:szCs w:val="22"/>
          <w:shd w:val="clear" w:color="auto" w:fill="FFFFFF"/>
        </w:rPr>
        <w:t>. A&amp;C Black.</w:t>
      </w:r>
    </w:p>
    <w:p w:rsidR="00F153F7" w:rsidRPr="00025AF2" w:rsidRDefault="00F153F7" w:rsidP="005F68F5">
      <w:pPr>
        <w:spacing w:line="360" w:lineRule="auto"/>
        <w:rPr>
          <w:rFonts w:ascii="Arial" w:hAnsi="Arial" w:cs="Arial"/>
          <w:color w:val="000000" w:themeColor="text1"/>
          <w:sz w:val="22"/>
          <w:szCs w:val="22"/>
        </w:rPr>
      </w:pPr>
    </w:p>
    <w:p w:rsidR="001F3AFE" w:rsidRPr="00025AF2" w:rsidRDefault="001F3AFE"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Harland, T.,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2003</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Vygotsky's zone of proximal development and problem-based learning: Linking a theoretical concept with practice through action research. </w:t>
      </w:r>
      <w:r w:rsidRPr="00025AF2">
        <w:rPr>
          <w:rFonts w:ascii="Arial" w:hAnsi="Arial" w:cs="Arial"/>
          <w:i/>
          <w:iCs/>
          <w:color w:val="000000" w:themeColor="text1"/>
          <w:sz w:val="22"/>
          <w:szCs w:val="22"/>
          <w:shd w:val="clear" w:color="auto" w:fill="FFFFFF"/>
        </w:rPr>
        <w:t>Teaching in higher education</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8</w:t>
      </w:r>
      <w:r w:rsidRPr="00025AF2">
        <w:rPr>
          <w:rFonts w:ascii="Arial" w:hAnsi="Arial" w:cs="Arial"/>
          <w:color w:val="000000" w:themeColor="text1"/>
          <w:sz w:val="22"/>
          <w:szCs w:val="22"/>
          <w:shd w:val="clear" w:color="auto" w:fill="FFFFFF"/>
        </w:rPr>
        <w:t>(2), pp.263-272.</w:t>
      </w:r>
    </w:p>
    <w:p w:rsidR="007F3D01" w:rsidRPr="00025AF2" w:rsidRDefault="007F3D01" w:rsidP="005F68F5">
      <w:pPr>
        <w:spacing w:line="360" w:lineRule="auto"/>
        <w:rPr>
          <w:rFonts w:ascii="Arial" w:hAnsi="Arial" w:cs="Arial"/>
          <w:color w:val="000000" w:themeColor="text1"/>
          <w:sz w:val="22"/>
          <w:szCs w:val="22"/>
          <w:shd w:val="clear" w:color="auto" w:fill="FFFFFF"/>
        </w:rPr>
      </w:pPr>
    </w:p>
    <w:p w:rsidR="006E4D24" w:rsidRPr="00025AF2" w:rsidRDefault="006E4D24"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rPr>
        <w:t>Hornstra</w:t>
      </w:r>
      <w:proofErr w:type="spellEnd"/>
      <w:r w:rsidRPr="00025AF2">
        <w:rPr>
          <w:rFonts w:ascii="Arial" w:hAnsi="Arial" w:cs="Arial"/>
          <w:color w:val="000000" w:themeColor="text1"/>
          <w:sz w:val="22"/>
          <w:szCs w:val="22"/>
        </w:rPr>
        <w:t xml:space="preserve">, L., I. van der Veen, T. </w:t>
      </w:r>
      <w:proofErr w:type="spellStart"/>
      <w:r w:rsidRPr="00025AF2">
        <w:rPr>
          <w:rFonts w:ascii="Arial" w:hAnsi="Arial" w:cs="Arial"/>
          <w:color w:val="000000" w:themeColor="text1"/>
          <w:sz w:val="22"/>
          <w:szCs w:val="22"/>
        </w:rPr>
        <w:t>Peetsma</w:t>
      </w:r>
      <w:proofErr w:type="spellEnd"/>
      <w:r w:rsidRPr="00025AF2">
        <w:rPr>
          <w:rFonts w:ascii="Arial" w:hAnsi="Arial" w:cs="Arial"/>
          <w:color w:val="000000" w:themeColor="text1"/>
          <w:sz w:val="22"/>
          <w:szCs w:val="22"/>
        </w:rPr>
        <w:t xml:space="preserve">, and M. </w:t>
      </w:r>
      <w:proofErr w:type="spellStart"/>
      <w:r w:rsidRPr="00025AF2">
        <w:rPr>
          <w:rFonts w:ascii="Arial" w:hAnsi="Arial" w:cs="Arial"/>
          <w:color w:val="000000" w:themeColor="text1"/>
          <w:sz w:val="22"/>
          <w:szCs w:val="22"/>
        </w:rPr>
        <w:t>Volman</w:t>
      </w:r>
      <w:proofErr w:type="spellEnd"/>
      <w:r w:rsidRPr="00025AF2">
        <w:rPr>
          <w:rFonts w:ascii="Arial" w:hAnsi="Arial" w:cs="Arial"/>
          <w:color w:val="000000" w:themeColor="text1"/>
          <w:sz w:val="22"/>
          <w:szCs w:val="22"/>
        </w:rPr>
        <w:t xml:space="preserve">. </w:t>
      </w:r>
      <w:r w:rsidR="00025AF2">
        <w:rPr>
          <w:rFonts w:ascii="Arial" w:hAnsi="Arial" w:cs="Arial"/>
          <w:color w:val="000000" w:themeColor="text1"/>
          <w:sz w:val="22"/>
          <w:szCs w:val="22"/>
        </w:rPr>
        <w:t>(</w:t>
      </w:r>
      <w:r w:rsidRPr="00025AF2">
        <w:rPr>
          <w:rFonts w:ascii="Arial" w:hAnsi="Arial" w:cs="Arial"/>
          <w:color w:val="000000" w:themeColor="text1"/>
          <w:sz w:val="22"/>
          <w:szCs w:val="22"/>
        </w:rPr>
        <w:t>2015</w:t>
      </w:r>
      <w:r w:rsidR="00025AF2">
        <w:rPr>
          <w:rFonts w:ascii="Arial" w:hAnsi="Arial" w:cs="Arial"/>
          <w:color w:val="000000" w:themeColor="text1"/>
          <w:sz w:val="22"/>
          <w:szCs w:val="22"/>
        </w:rPr>
        <w:t>)</w:t>
      </w:r>
      <w:r w:rsidRPr="00025AF2">
        <w:rPr>
          <w:rFonts w:ascii="Arial" w:hAnsi="Arial" w:cs="Arial"/>
          <w:color w:val="000000" w:themeColor="text1"/>
          <w:sz w:val="22"/>
          <w:szCs w:val="22"/>
        </w:rPr>
        <w:t xml:space="preserve">. “Innovative Learning and Developments in Motivation and Achievement in Upper Primary School.” Educational Psychology 35 (5): </w:t>
      </w:r>
      <w:r w:rsidR="00025AF2">
        <w:rPr>
          <w:rFonts w:ascii="Arial" w:hAnsi="Arial" w:cs="Arial"/>
          <w:color w:val="000000" w:themeColor="text1"/>
          <w:sz w:val="22"/>
          <w:szCs w:val="22"/>
        </w:rPr>
        <w:t>pp.</w:t>
      </w:r>
      <w:r w:rsidRPr="00025AF2">
        <w:rPr>
          <w:rFonts w:ascii="Arial" w:hAnsi="Arial" w:cs="Arial"/>
          <w:color w:val="000000" w:themeColor="text1"/>
          <w:sz w:val="22"/>
          <w:szCs w:val="22"/>
        </w:rPr>
        <w:t>598–633.</w:t>
      </w:r>
    </w:p>
    <w:p w:rsidR="00BD6EFE" w:rsidRPr="00025AF2" w:rsidRDefault="00BD6EFE" w:rsidP="005F68F5">
      <w:pPr>
        <w:spacing w:line="360" w:lineRule="auto"/>
        <w:rPr>
          <w:rFonts w:ascii="Arial" w:hAnsi="Arial" w:cs="Arial"/>
          <w:color w:val="000000" w:themeColor="text1"/>
          <w:sz w:val="22"/>
          <w:szCs w:val="22"/>
          <w:shd w:val="clear" w:color="auto" w:fill="FFFFFF"/>
        </w:rPr>
      </w:pPr>
    </w:p>
    <w:p w:rsidR="00BD6EFE" w:rsidRPr="00025AF2" w:rsidRDefault="00BD6EFE" w:rsidP="00552E57">
      <w:pPr>
        <w:spacing w:line="360" w:lineRule="auto"/>
        <w:rPr>
          <w:rFonts w:ascii="Arial" w:hAnsi="Arial" w:cs="Arial"/>
          <w:color w:val="000000" w:themeColor="text1"/>
          <w:sz w:val="22"/>
          <w:szCs w:val="22"/>
          <w:shd w:val="clear" w:color="auto" w:fill="FFFFFF"/>
        </w:rPr>
      </w:pPr>
      <w:proofErr w:type="spellStart"/>
      <w:r w:rsidRPr="00025AF2">
        <w:rPr>
          <w:rFonts w:ascii="Arial" w:hAnsi="Arial" w:cs="Arial"/>
          <w:color w:val="000000" w:themeColor="text1"/>
          <w:sz w:val="22"/>
          <w:szCs w:val="22"/>
          <w:shd w:val="clear" w:color="auto" w:fill="FFFFFF"/>
        </w:rPr>
        <w:t>Kaminska</w:t>
      </w:r>
      <w:proofErr w:type="spellEnd"/>
      <w:r w:rsidRPr="00025AF2">
        <w:rPr>
          <w:rFonts w:ascii="Arial" w:hAnsi="Arial" w:cs="Arial"/>
          <w:color w:val="000000" w:themeColor="text1"/>
          <w:sz w:val="22"/>
          <w:szCs w:val="22"/>
          <w:shd w:val="clear" w:color="auto" w:fill="FFFFFF"/>
        </w:rPr>
        <w:t xml:space="preserve">, O. and </w:t>
      </w:r>
      <w:proofErr w:type="spellStart"/>
      <w:r w:rsidRPr="00025AF2">
        <w:rPr>
          <w:rFonts w:ascii="Arial" w:hAnsi="Arial" w:cs="Arial"/>
          <w:color w:val="000000" w:themeColor="text1"/>
          <w:sz w:val="22"/>
          <w:szCs w:val="22"/>
          <w:shd w:val="clear" w:color="auto" w:fill="FFFFFF"/>
        </w:rPr>
        <w:t>Foulsham</w:t>
      </w:r>
      <w:proofErr w:type="spellEnd"/>
      <w:r w:rsidRPr="00025AF2">
        <w:rPr>
          <w:rFonts w:ascii="Arial" w:hAnsi="Arial" w:cs="Arial"/>
          <w:color w:val="000000" w:themeColor="text1"/>
          <w:sz w:val="22"/>
          <w:szCs w:val="22"/>
          <w:shd w:val="clear" w:color="auto" w:fill="FFFFFF"/>
        </w:rPr>
        <w:t xml:space="preserve">, T.,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2013</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Understanding sources of social desirability bias in different modes: Evidence from eye-tracking</w:t>
      </w:r>
      <w:r w:rsidRPr="00025AF2">
        <w:rPr>
          <w:rFonts w:ascii="Arial" w:hAnsi="Arial" w:cs="Arial"/>
          <w:color w:val="000000" w:themeColor="text1"/>
          <w:sz w:val="22"/>
          <w:szCs w:val="22"/>
          <w:shd w:val="clear" w:color="auto" w:fill="FFFFFF"/>
        </w:rPr>
        <w:t> (No. 2013-04). ISER Working Paper Series.</w:t>
      </w:r>
    </w:p>
    <w:p w:rsidR="001A5886" w:rsidRPr="00025AF2" w:rsidRDefault="001A5886" w:rsidP="005F68F5">
      <w:pPr>
        <w:spacing w:line="360" w:lineRule="auto"/>
        <w:rPr>
          <w:rFonts w:ascii="Arial" w:hAnsi="Arial" w:cs="Arial"/>
          <w:color w:val="000000" w:themeColor="text1"/>
          <w:sz w:val="22"/>
          <w:szCs w:val="22"/>
          <w:shd w:val="clear" w:color="auto" w:fill="FFFFFF"/>
        </w:rPr>
      </w:pPr>
    </w:p>
    <w:p w:rsidR="001A5886" w:rsidRPr="00025AF2" w:rsidRDefault="001A5886"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shd w:val="clear" w:color="auto" w:fill="FFFFFF"/>
        </w:rPr>
        <w:t>Krokfors</w:t>
      </w:r>
      <w:proofErr w:type="spellEnd"/>
      <w:r w:rsidRPr="00025AF2">
        <w:rPr>
          <w:rFonts w:ascii="Arial" w:hAnsi="Arial" w:cs="Arial"/>
          <w:color w:val="000000" w:themeColor="text1"/>
          <w:sz w:val="22"/>
          <w:szCs w:val="22"/>
          <w:shd w:val="clear" w:color="auto" w:fill="FFFFFF"/>
        </w:rPr>
        <w:t xml:space="preserve">, L., </w:t>
      </w:r>
      <w:proofErr w:type="spellStart"/>
      <w:r w:rsidRPr="00025AF2">
        <w:rPr>
          <w:rFonts w:ascii="Arial" w:hAnsi="Arial" w:cs="Arial"/>
          <w:color w:val="000000" w:themeColor="text1"/>
          <w:sz w:val="22"/>
          <w:szCs w:val="22"/>
          <w:shd w:val="clear" w:color="auto" w:fill="FFFFFF"/>
        </w:rPr>
        <w:t>Kynäslahti</w:t>
      </w:r>
      <w:proofErr w:type="spellEnd"/>
      <w:r w:rsidRPr="00025AF2">
        <w:rPr>
          <w:rFonts w:ascii="Arial" w:hAnsi="Arial" w:cs="Arial"/>
          <w:color w:val="000000" w:themeColor="text1"/>
          <w:sz w:val="22"/>
          <w:szCs w:val="22"/>
          <w:shd w:val="clear" w:color="auto" w:fill="FFFFFF"/>
        </w:rPr>
        <w:t xml:space="preserve">, H., Stenberg, K., Toom, A., </w:t>
      </w:r>
      <w:proofErr w:type="spellStart"/>
      <w:r w:rsidRPr="00025AF2">
        <w:rPr>
          <w:rFonts w:ascii="Arial" w:hAnsi="Arial" w:cs="Arial"/>
          <w:color w:val="000000" w:themeColor="text1"/>
          <w:sz w:val="22"/>
          <w:szCs w:val="22"/>
          <w:shd w:val="clear" w:color="auto" w:fill="FFFFFF"/>
        </w:rPr>
        <w:t>Maaranen</w:t>
      </w:r>
      <w:proofErr w:type="spellEnd"/>
      <w:r w:rsidRPr="00025AF2">
        <w:rPr>
          <w:rFonts w:ascii="Arial" w:hAnsi="Arial" w:cs="Arial"/>
          <w:color w:val="000000" w:themeColor="text1"/>
          <w:sz w:val="22"/>
          <w:szCs w:val="22"/>
          <w:shd w:val="clear" w:color="auto" w:fill="FFFFFF"/>
        </w:rPr>
        <w:t xml:space="preserve">, K., </w:t>
      </w:r>
      <w:proofErr w:type="spellStart"/>
      <w:r w:rsidRPr="00025AF2">
        <w:rPr>
          <w:rFonts w:ascii="Arial" w:hAnsi="Arial" w:cs="Arial"/>
          <w:color w:val="000000" w:themeColor="text1"/>
          <w:sz w:val="22"/>
          <w:szCs w:val="22"/>
          <w:shd w:val="clear" w:color="auto" w:fill="FFFFFF"/>
        </w:rPr>
        <w:t>Jyrhämä</w:t>
      </w:r>
      <w:proofErr w:type="spellEnd"/>
      <w:r w:rsidRPr="00025AF2">
        <w:rPr>
          <w:rFonts w:ascii="Arial" w:hAnsi="Arial" w:cs="Arial"/>
          <w:color w:val="000000" w:themeColor="text1"/>
          <w:sz w:val="22"/>
          <w:szCs w:val="22"/>
          <w:shd w:val="clear" w:color="auto" w:fill="FFFFFF"/>
        </w:rPr>
        <w:t xml:space="preserve">, R., </w:t>
      </w:r>
      <w:proofErr w:type="spellStart"/>
      <w:r w:rsidRPr="00025AF2">
        <w:rPr>
          <w:rFonts w:ascii="Arial" w:hAnsi="Arial" w:cs="Arial"/>
          <w:color w:val="000000" w:themeColor="text1"/>
          <w:sz w:val="22"/>
          <w:szCs w:val="22"/>
          <w:shd w:val="clear" w:color="auto" w:fill="FFFFFF"/>
        </w:rPr>
        <w:t>Byman</w:t>
      </w:r>
      <w:proofErr w:type="spellEnd"/>
      <w:r w:rsidRPr="00025AF2">
        <w:rPr>
          <w:rFonts w:ascii="Arial" w:hAnsi="Arial" w:cs="Arial"/>
          <w:color w:val="000000" w:themeColor="text1"/>
          <w:sz w:val="22"/>
          <w:szCs w:val="22"/>
          <w:shd w:val="clear" w:color="auto" w:fill="FFFFFF"/>
        </w:rPr>
        <w:t xml:space="preserve">, R. and </w:t>
      </w:r>
      <w:proofErr w:type="spellStart"/>
      <w:r w:rsidRPr="00025AF2">
        <w:rPr>
          <w:rFonts w:ascii="Arial" w:hAnsi="Arial" w:cs="Arial"/>
          <w:color w:val="000000" w:themeColor="text1"/>
          <w:sz w:val="22"/>
          <w:szCs w:val="22"/>
          <w:shd w:val="clear" w:color="auto" w:fill="FFFFFF"/>
        </w:rPr>
        <w:t>Kansanen</w:t>
      </w:r>
      <w:proofErr w:type="spellEnd"/>
      <w:r w:rsidRPr="00025AF2">
        <w:rPr>
          <w:rFonts w:ascii="Arial" w:hAnsi="Arial" w:cs="Arial"/>
          <w:color w:val="000000" w:themeColor="text1"/>
          <w:sz w:val="22"/>
          <w:szCs w:val="22"/>
          <w:shd w:val="clear" w:color="auto" w:fill="FFFFFF"/>
        </w:rPr>
        <w:t xml:space="preserve">, P.,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2011</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Investigating Finnish teacher educators’ views on research</w:t>
      </w:r>
      <w:r w:rsidRPr="00025AF2">
        <w:rPr>
          <w:rFonts w:ascii="Cambria Math" w:hAnsi="Cambria Math" w:cs="Cambria Math"/>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based teacher education. </w:t>
      </w:r>
      <w:r w:rsidRPr="00025AF2">
        <w:rPr>
          <w:rFonts w:ascii="Arial" w:hAnsi="Arial" w:cs="Arial"/>
          <w:i/>
          <w:iCs/>
          <w:color w:val="000000" w:themeColor="text1"/>
          <w:sz w:val="22"/>
          <w:szCs w:val="22"/>
          <w:shd w:val="clear" w:color="auto" w:fill="FFFFFF"/>
        </w:rPr>
        <w:t>Teaching Education</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22</w:t>
      </w:r>
      <w:r w:rsidRPr="00025AF2">
        <w:rPr>
          <w:rFonts w:ascii="Arial" w:hAnsi="Arial" w:cs="Arial"/>
          <w:color w:val="000000" w:themeColor="text1"/>
          <w:sz w:val="22"/>
          <w:szCs w:val="22"/>
          <w:shd w:val="clear" w:color="auto" w:fill="FFFFFF"/>
        </w:rPr>
        <w:t>(1), pp.1-13.</w:t>
      </w:r>
    </w:p>
    <w:p w:rsidR="001A5886" w:rsidRPr="00025AF2" w:rsidRDefault="001A5886" w:rsidP="005F68F5">
      <w:pPr>
        <w:spacing w:line="360" w:lineRule="auto"/>
        <w:rPr>
          <w:rFonts w:ascii="Arial" w:hAnsi="Arial" w:cs="Arial"/>
          <w:color w:val="000000" w:themeColor="text1"/>
          <w:sz w:val="22"/>
          <w:szCs w:val="22"/>
        </w:rPr>
      </w:pPr>
    </w:p>
    <w:p w:rsidR="00CD073F" w:rsidRPr="00025AF2" w:rsidRDefault="00CD073F"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Kumar, R.,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2019</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Research methodology: A step-by-step guide for beginners</w:t>
      </w:r>
      <w:r w:rsidRPr="00025AF2">
        <w:rPr>
          <w:rFonts w:ascii="Arial" w:hAnsi="Arial" w:cs="Arial"/>
          <w:color w:val="000000" w:themeColor="text1"/>
          <w:sz w:val="22"/>
          <w:szCs w:val="22"/>
          <w:shd w:val="clear" w:color="auto" w:fill="FFFFFF"/>
        </w:rPr>
        <w:t>. Sage Publications Limited.</w:t>
      </w:r>
    </w:p>
    <w:p w:rsidR="00CD073F" w:rsidRPr="00025AF2" w:rsidRDefault="00CD073F" w:rsidP="005F68F5">
      <w:pPr>
        <w:spacing w:line="360" w:lineRule="auto"/>
        <w:rPr>
          <w:rFonts w:ascii="Arial" w:hAnsi="Arial" w:cs="Arial"/>
          <w:color w:val="000000" w:themeColor="text1"/>
          <w:sz w:val="22"/>
          <w:szCs w:val="22"/>
        </w:rPr>
      </w:pPr>
    </w:p>
    <w:p w:rsidR="00226BCC" w:rsidRPr="00025AF2" w:rsidRDefault="00226BCC"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rPr>
        <w:t>Macblain</w:t>
      </w:r>
      <w:proofErr w:type="spellEnd"/>
      <w:r w:rsidRPr="00025AF2">
        <w:rPr>
          <w:rFonts w:ascii="Arial" w:hAnsi="Arial" w:cs="Arial"/>
          <w:color w:val="000000" w:themeColor="text1"/>
          <w:sz w:val="22"/>
          <w:szCs w:val="22"/>
        </w:rPr>
        <w:t xml:space="preserve">, S. and </w:t>
      </w:r>
      <w:proofErr w:type="spellStart"/>
      <w:r w:rsidRPr="00025AF2">
        <w:rPr>
          <w:rFonts w:ascii="Arial" w:hAnsi="Arial" w:cs="Arial"/>
          <w:color w:val="000000" w:themeColor="text1"/>
          <w:sz w:val="22"/>
          <w:szCs w:val="22"/>
        </w:rPr>
        <w:t>Gray</w:t>
      </w:r>
      <w:proofErr w:type="spellEnd"/>
      <w:r w:rsidRPr="00025AF2">
        <w:rPr>
          <w:rFonts w:ascii="Arial" w:hAnsi="Arial" w:cs="Arial"/>
          <w:color w:val="000000" w:themeColor="text1"/>
          <w:sz w:val="22"/>
          <w:szCs w:val="22"/>
        </w:rPr>
        <w:t>, C. (2015) Learning Theories in Childhood. 2nd Ed. London:</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SAGE Publications.</w:t>
      </w:r>
    </w:p>
    <w:p w:rsidR="00226BCC" w:rsidRPr="00025AF2" w:rsidRDefault="00226BCC" w:rsidP="005F68F5">
      <w:pPr>
        <w:spacing w:line="360" w:lineRule="auto"/>
        <w:rPr>
          <w:rFonts w:ascii="Arial" w:hAnsi="Arial" w:cs="Arial"/>
          <w:color w:val="000000" w:themeColor="text1"/>
          <w:sz w:val="22"/>
          <w:szCs w:val="22"/>
        </w:rPr>
      </w:pPr>
    </w:p>
    <w:p w:rsidR="00226BCC" w:rsidRPr="00025AF2" w:rsidRDefault="00226BCC"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 xml:space="preserve">McPhail, G. </w:t>
      </w:r>
      <w:r w:rsidR="00025AF2">
        <w:rPr>
          <w:rFonts w:ascii="Arial" w:hAnsi="Arial" w:cs="Arial"/>
          <w:color w:val="000000" w:themeColor="text1"/>
          <w:sz w:val="22"/>
          <w:szCs w:val="22"/>
        </w:rPr>
        <w:t>(</w:t>
      </w:r>
      <w:r w:rsidRPr="00025AF2">
        <w:rPr>
          <w:rFonts w:ascii="Arial" w:hAnsi="Arial" w:cs="Arial"/>
          <w:color w:val="000000" w:themeColor="text1"/>
          <w:sz w:val="22"/>
          <w:szCs w:val="22"/>
        </w:rPr>
        <w:t>2015</w:t>
      </w:r>
      <w:r w:rsidR="00025AF2">
        <w:rPr>
          <w:rFonts w:ascii="Arial" w:hAnsi="Arial" w:cs="Arial"/>
          <w:color w:val="000000" w:themeColor="text1"/>
          <w:sz w:val="22"/>
          <w:szCs w:val="22"/>
        </w:rPr>
        <w:t>)</w:t>
      </w:r>
      <w:r w:rsidRPr="00025AF2">
        <w:rPr>
          <w:rFonts w:ascii="Arial" w:hAnsi="Arial" w:cs="Arial"/>
          <w:color w:val="000000" w:themeColor="text1"/>
          <w:sz w:val="22"/>
          <w:szCs w:val="22"/>
        </w:rPr>
        <w:t>. The fault lines of recontextualization: the limits of constructivism in</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education. British Educational Research Journal. 42(2), pp.294-313.</w:t>
      </w:r>
    </w:p>
    <w:p w:rsidR="00226BCC" w:rsidRPr="00025AF2" w:rsidRDefault="00226BCC" w:rsidP="005F68F5">
      <w:pPr>
        <w:spacing w:line="360" w:lineRule="auto"/>
        <w:rPr>
          <w:rFonts w:ascii="Arial" w:hAnsi="Arial" w:cs="Arial"/>
          <w:color w:val="000000" w:themeColor="text1"/>
          <w:sz w:val="22"/>
          <w:szCs w:val="22"/>
        </w:rPr>
      </w:pPr>
    </w:p>
    <w:p w:rsidR="006E4D24" w:rsidRPr="00025AF2" w:rsidRDefault="006E4D24"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rPr>
        <w:t>Morisano</w:t>
      </w:r>
      <w:proofErr w:type="spellEnd"/>
      <w:r w:rsidRPr="00025AF2">
        <w:rPr>
          <w:rFonts w:ascii="Arial" w:hAnsi="Arial" w:cs="Arial"/>
          <w:color w:val="000000" w:themeColor="text1"/>
          <w:sz w:val="22"/>
          <w:szCs w:val="22"/>
        </w:rPr>
        <w:t xml:space="preserve">, D., and B. M. Shore. </w:t>
      </w:r>
      <w:r w:rsidR="00025AF2">
        <w:rPr>
          <w:rFonts w:ascii="Arial" w:hAnsi="Arial" w:cs="Arial"/>
          <w:color w:val="000000" w:themeColor="text1"/>
          <w:sz w:val="22"/>
          <w:szCs w:val="22"/>
        </w:rPr>
        <w:t>(</w:t>
      </w:r>
      <w:r w:rsidRPr="00025AF2">
        <w:rPr>
          <w:rFonts w:ascii="Arial" w:hAnsi="Arial" w:cs="Arial"/>
          <w:color w:val="000000" w:themeColor="text1"/>
          <w:sz w:val="22"/>
          <w:szCs w:val="22"/>
        </w:rPr>
        <w:t>2010</w:t>
      </w:r>
      <w:r w:rsidR="00025AF2">
        <w:rPr>
          <w:rFonts w:ascii="Arial" w:hAnsi="Arial" w:cs="Arial"/>
          <w:color w:val="000000" w:themeColor="text1"/>
          <w:sz w:val="22"/>
          <w:szCs w:val="22"/>
        </w:rPr>
        <w:t>)</w:t>
      </w:r>
      <w:r w:rsidRPr="00025AF2">
        <w:rPr>
          <w:rFonts w:ascii="Arial" w:hAnsi="Arial" w:cs="Arial"/>
          <w:color w:val="000000" w:themeColor="text1"/>
          <w:sz w:val="22"/>
          <w:szCs w:val="22"/>
        </w:rPr>
        <w:t>. “Can Personal Goal Setting Tap the Potential of the Gifted Underachiever?” Roeper Review 32 (4): 249–258.</w:t>
      </w:r>
    </w:p>
    <w:p w:rsidR="00226BCC" w:rsidRPr="00025AF2" w:rsidRDefault="00226BCC" w:rsidP="005F68F5">
      <w:pPr>
        <w:spacing w:line="360" w:lineRule="auto"/>
        <w:rPr>
          <w:rFonts w:ascii="Arial" w:hAnsi="Arial" w:cs="Arial"/>
          <w:color w:val="000000" w:themeColor="text1"/>
          <w:sz w:val="22"/>
          <w:szCs w:val="22"/>
        </w:rPr>
      </w:pPr>
    </w:p>
    <w:p w:rsidR="00226BCC" w:rsidRPr="00025AF2" w:rsidRDefault="00226BCC"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Nuthall, G., &amp;amp; Alton-Lee, A. (1990). Research on teaching and learning: Thirty years of</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change. Elementary School Journal, 90, 547–570.</w:t>
      </w:r>
    </w:p>
    <w:p w:rsidR="00226BCC" w:rsidRPr="00025AF2" w:rsidRDefault="00226BCC" w:rsidP="005F68F5">
      <w:pPr>
        <w:spacing w:line="360" w:lineRule="auto"/>
        <w:rPr>
          <w:rFonts w:ascii="Arial" w:hAnsi="Arial" w:cs="Arial"/>
          <w:color w:val="000000" w:themeColor="text1"/>
          <w:sz w:val="22"/>
          <w:szCs w:val="22"/>
          <w:shd w:val="clear" w:color="auto" w:fill="FFFFFF"/>
        </w:rPr>
      </w:pPr>
    </w:p>
    <w:p w:rsidR="00602E90" w:rsidRPr="00025AF2" w:rsidRDefault="00602E90"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Payne, R (2015) Using rewards and sanctions in the classroom: pupils&amp;#39; perceptions</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of their own responses to current behaviour management strategies. Educational</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Review vol. 67(4) pp. 483-504</w:t>
      </w:r>
    </w:p>
    <w:p w:rsidR="00A21EF4" w:rsidRPr="00025AF2" w:rsidRDefault="00A21EF4" w:rsidP="005F68F5">
      <w:pPr>
        <w:spacing w:line="360" w:lineRule="auto"/>
        <w:rPr>
          <w:rFonts w:ascii="Arial" w:hAnsi="Arial" w:cs="Arial"/>
          <w:color w:val="000000" w:themeColor="text1"/>
          <w:sz w:val="22"/>
          <w:szCs w:val="22"/>
        </w:rPr>
      </w:pPr>
    </w:p>
    <w:p w:rsidR="00EE7CFD" w:rsidRPr="00025AF2" w:rsidRDefault="00EE7CFD"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lastRenderedPageBreak/>
        <w:t xml:space="preserve">Perry, T., Davies, P. and </w:t>
      </w:r>
      <w:proofErr w:type="spellStart"/>
      <w:r w:rsidRPr="00025AF2">
        <w:rPr>
          <w:rFonts w:ascii="Arial" w:hAnsi="Arial" w:cs="Arial"/>
          <w:color w:val="000000" w:themeColor="text1"/>
          <w:sz w:val="22"/>
          <w:szCs w:val="22"/>
          <w:shd w:val="clear" w:color="auto" w:fill="FFFFFF"/>
        </w:rPr>
        <w:t>Qiu</w:t>
      </w:r>
      <w:proofErr w:type="spellEnd"/>
      <w:r w:rsidRPr="00025AF2">
        <w:rPr>
          <w:rFonts w:ascii="Arial" w:hAnsi="Arial" w:cs="Arial"/>
          <w:color w:val="000000" w:themeColor="text1"/>
          <w:sz w:val="22"/>
          <w:szCs w:val="22"/>
          <w:shd w:val="clear" w:color="auto" w:fill="FFFFFF"/>
        </w:rPr>
        <w:t xml:space="preserve">, T.,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2018</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Great grade expectations? The role of pupil expectations in target setting. </w:t>
      </w:r>
      <w:r w:rsidRPr="00025AF2">
        <w:rPr>
          <w:rFonts w:ascii="Arial" w:hAnsi="Arial" w:cs="Arial"/>
          <w:i/>
          <w:iCs/>
          <w:color w:val="000000" w:themeColor="text1"/>
          <w:sz w:val="22"/>
          <w:szCs w:val="22"/>
          <w:shd w:val="clear" w:color="auto" w:fill="FFFFFF"/>
        </w:rPr>
        <w:t>International Journal of Educational Research</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89</w:t>
      </w:r>
      <w:r w:rsidRPr="00025AF2">
        <w:rPr>
          <w:rFonts w:ascii="Arial" w:hAnsi="Arial" w:cs="Arial"/>
          <w:color w:val="000000" w:themeColor="text1"/>
          <w:sz w:val="22"/>
          <w:szCs w:val="22"/>
          <w:shd w:val="clear" w:color="auto" w:fill="FFFFFF"/>
        </w:rPr>
        <w:t>, pp.139-152.</w:t>
      </w:r>
    </w:p>
    <w:p w:rsidR="00552E57" w:rsidRPr="00025AF2" w:rsidRDefault="00552E57" w:rsidP="00552E57">
      <w:pPr>
        <w:spacing w:line="360" w:lineRule="auto"/>
        <w:rPr>
          <w:rFonts w:ascii="Arial" w:hAnsi="Arial" w:cs="Arial"/>
          <w:color w:val="000000" w:themeColor="text1"/>
          <w:sz w:val="22"/>
          <w:szCs w:val="22"/>
        </w:rPr>
      </w:pPr>
    </w:p>
    <w:p w:rsidR="00A21EF4" w:rsidRPr="00025AF2" w:rsidRDefault="00A21EF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Piaget, J. P. (1954) The Construction of Reality in the Child. London: Routledge;</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Kegan Paul.</w:t>
      </w:r>
    </w:p>
    <w:p w:rsidR="00A21EF4" w:rsidRPr="00025AF2" w:rsidRDefault="00A21EF4" w:rsidP="005F68F5">
      <w:pPr>
        <w:spacing w:line="360" w:lineRule="auto"/>
        <w:rPr>
          <w:rFonts w:ascii="Arial" w:hAnsi="Arial" w:cs="Arial"/>
          <w:color w:val="000000" w:themeColor="text1"/>
          <w:sz w:val="22"/>
          <w:szCs w:val="22"/>
        </w:rPr>
      </w:pPr>
    </w:p>
    <w:p w:rsidR="006E4D24" w:rsidRPr="00025AF2" w:rsidRDefault="006E4D2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 xml:space="preserve">Ryan, R. M., and E. L. Deci. </w:t>
      </w:r>
      <w:r w:rsidR="00025AF2">
        <w:rPr>
          <w:rFonts w:ascii="Arial" w:hAnsi="Arial" w:cs="Arial"/>
          <w:color w:val="000000" w:themeColor="text1"/>
          <w:sz w:val="22"/>
          <w:szCs w:val="22"/>
        </w:rPr>
        <w:t>(</w:t>
      </w:r>
      <w:r w:rsidRPr="00025AF2">
        <w:rPr>
          <w:rFonts w:ascii="Arial" w:hAnsi="Arial" w:cs="Arial"/>
          <w:color w:val="000000" w:themeColor="text1"/>
          <w:sz w:val="22"/>
          <w:szCs w:val="22"/>
        </w:rPr>
        <w:t>2001</w:t>
      </w:r>
      <w:r w:rsidR="00025AF2">
        <w:rPr>
          <w:rFonts w:ascii="Arial" w:hAnsi="Arial" w:cs="Arial"/>
          <w:color w:val="000000" w:themeColor="text1"/>
          <w:sz w:val="22"/>
          <w:szCs w:val="22"/>
        </w:rPr>
        <w:t>)</w:t>
      </w:r>
      <w:r w:rsidRPr="00025AF2">
        <w:rPr>
          <w:rFonts w:ascii="Arial" w:hAnsi="Arial" w:cs="Arial"/>
          <w:color w:val="000000" w:themeColor="text1"/>
          <w:sz w:val="22"/>
          <w:szCs w:val="22"/>
        </w:rPr>
        <w:t xml:space="preserve">. “On Happiness and Human Potentials: A Review of Research on Hedonic and </w:t>
      </w:r>
      <w:proofErr w:type="spellStart"/>
      <w:r w:rsidRPr="00025AF2">
        <w:rPr>
          <w:rFonts w:ascii="Arial" w:hAnsi="Arial" w:cs="Arial"/>
          <w:color w:val="000000" w:themeColor="text1"/>
          <w:sz w:val="22"/>
          <w:szCs w:val="22"/>
        </w:rPr>
        <w:t>Eudaimonic</w:t>
      </w:r>
      <w:proofErr w:type="spellEnd"/>
      <w:r w:rsidRPr="00025AF2">
        <w:rPr>
          <w:rFonts w:ascii="Arial" w:hAnsi="Arial" w:cs="Arial"/>
          <w:color w:val="000000" w:themeColor="text1"/>
          <w:sz w:val="22"/>
          <w:szCs w:val="22"/>
        </w:rPr>
        <w:t xml:space="preserve"> Well-Being.” Annual Review Psychology 52: 141–166. </w:t>
      </w:r>
    </w:p>
    <w:p w:rsidR="006E4D24" w:rsidRPr="00025AF2" w:rsidRDefault="006E4D24" w:rsidP="005F68F5">
      <w:pPr>
        <w:spacing w:line="360" w:lineRule="auto"/>
        <w:rPr>
          <w:rFonts w:ascii="Arial" w:hAnsi="Arial" w:cs="Arial"/>
          <w:color w:val="000000" w:themeColor="text1"/>
          <w:sz w:val="22"/>
          <w:szCs w:val="22"/>
        </w:rPr>
      </w:pPr>
    </w:p>
    <w:p w:rsidR="006E4D24" w:rsidRPr="00025AF2" w:rsidRDefault="006E4D2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 xml:space="preserve">Ryan, R. M., and E. L. Deci. </w:t>
      </w:r>
      <w:r w:rsidR="00025AF2">
        <w:rPr>
          <w:rFonts w:ascii="Arial" w:hAnsi="Arial" w:cs="Arial"/>
          <w:color w:val="000000" w:themeColor="text1"/>
          <w:sz w:val="22"/>
          <w:szCs w:val="22"/>
        </w:rPr>
        <w:t>(</w:t>
      </w:r>
      <w:r w:rsidRPr="00025AF2">
        <w:rPr>
          <w:rFonts w:ascii="Arial" w:hAnsi="Arial" w:cs="Arial"/>
          <w:color w:val="000000" w:themeColor="text1"/>
          <w:sz w:val="22"/>
          <w:szCs w:val="22"/>
        </w:rPr>
        <w:t>2006</w:t>
      </w:r>
      <w:r w:rsidR="00025AF2">
        <w:rPr>
          <w:rFonts w:ascii="Arial" w:hAnsi="Arial" w:cs="Arial"/>
          <w:color w:val="000000" w:themeColor="text1"/>
          <w:sz w:val="22"/>
          <w:szCs w:val="22"/>
        </w:rPr>
        <w:t>)</w:t>
      </w:r>
      <w:r w:rsidRPr="00025AF2">
        <w:rPr>
          <w:rFonts w:ascii="Arial" w:hAnsi="Arial" w:cs="Arial"/>
          <w:color w:val="000000" w:themeColor="text1"/>
          <w:sz w:val="22"/>
          <w:szCs w:val="22"/>
        </w:rPr>
        <w:t>. “Self-Regulation and the Problem of Human Autonomy: Does Psychology Need Choice, Self-Determination, and Will?” Journal of Personality 74: 1557–1586.</w:t>
      </w:r>
    </w:p>
    <w:p w:rsidR="006E4D24" w:rsidRPr="00025AF2" w:rsidRDefault="006E4D24" w:rsidP="005F68F5">
      <w:pPr>
        <w:spacing w:line="360" w:lineRule="auto"/>
        <w:rPr>
          <w:rFonts w:ascii="Arial" w:hAnsi="Arial" w:cs="Arial"/>
          <w:color w:val="000000" w:themeColor="text1"/>
          <w:sz w:val="22"/>
          <w:szCs w:val="22"/>
          <w:shd w:val="clear" w:color="auto" w:fill="FFFFFF"/>
        </w:rPr>
      </w:pPr>
    </w:p>
    <w:p w:rsidR="00A21EF4" w:rsidRPr="00025AF2" w:rsidRDefault="00A21EF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Schraw, G. (2006). Knowledge: Structures and processes. In P. A. Alexander &amp;; P. H.</w:t>
      </w:r>
    </w:p>
    <w:p w:rsidR="00A21EF4" w:rsidRPr="00025AF2" w:rsidRDefault="00A21EF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Winne, Handbook of educational psychology (2nd ed., pp. 245–263). Mahwah, NJ:</w:t>
      </w:r>
    </w:p>
    <w:p w:rsidR="00A21EF4" w:rsidRPr="00025AF2" w:rsidRDefault="00A21EF4"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Erlbaum.</w:t>
      </w:r>
    </w:p>
    <w:p w:rsidR="00BD6EFE" w:rsidRPr="00025AF2" w:rsidRDefault="00BD6EFE" w:rsidP="005F68F5">
      <w:pPr>
        <w:spacing w:line="360" w:lineRule="auto"/>
        <w:rPr>
          <w:rFonts w:ascii="Arial" w:hAnsi="Arial" w:cs="Arial"/>
          <w:color w:val="000000" w:themeColor="text1"/>
          <w:sz w:val="22"/>
          <w:szCs w:val="22"/>
        </w:rPr>
      </w:pPr>
    </w:p>
    <w:p w:rsidR="00BD6EFE" w:rsidRPr="00025AF2" w:rsidRDefault="00BD6EFE"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Sedgwick, P. and Greenwood, N.,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2015</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Understanding the Hawthorne effect. </w:t>
      </w:r>
      <w:proofErr w:type="spellStart"/>
      <w:r w:rsidRPr="00025AF2">
        <w:rPr>
          <w:rFonts w:ascii="Arial" w:hAnsi="Arial" w:cs="Arial"/>
          <w:i/>
          <w:iCs/>
          <w:color w:val="000000" w:themeColor="text1"/>
          <w:sz w:val="22"/>
          <w:szCs w:val="22"/>
          <w:shd w:val="clear" w:color="auto" w:fill="FFFFFF"/>
        </w:rPr>
        <w:t>Bmj</w:t>
      </w:r>
      <w:proofErr w:type="spellEnd"/>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351</w:t>
      </w:r>
      <w:r w:rsidRPr="00025AF2">
        <w:rPr>
          <w:rFonts w:ascii="Arial" w:hAnsi="Arial" w:cs="Arial"/>
          <w:color w:val="000000" w:themeColor="text1"/>
          <w:sz w:val="22"/>
          <w:szCs w:val="22"/>
          <w:shd w:val="clear" w:color="auto" w:fill="FFFFFF"/>
        </w:rPr>
        <w:t>, p.h4672.</w:t>
      </w:r>
    </w:p>
    <w:p w:rsidR="00BD6EFE" w:rsidRPr="00025AF2" w:rsidRDefault="00BD6EFE" w:rsidP="005F68F5">
      <w:pPr>
        <w:spacing w:line="360" w:lineRule="auto"/>
        <w:rPr>
          <w:rFonts w:ascii="Arial" w:hAnsi="Arial" w:cs="Arial"/>
          <w:color w:val="000000" w:themeColor="text1"/>
          <w:sz w:val="22"/>
          <w:szCs w:val="22"/>
        </w:rPr>
      </w:pPr>
    </w:p>
    <w:p w:rsidR="00602E90" w:rsidRPr="00025AF2" w:rsidRDefault="00602E90"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Skinner, B.F., (19</w:t>
      </w:r>
      <w:r w:rsidR="00226BCC" w:rsidRPr="00025AF2">
        <w:rPr>
          <w:rFonts w:ascii="Arial" w:hAnsi="Arial" w:cs="Arial"/>
          <w:color w:val="000000" w:themeColor="text1"/>
          <w:sz w:val="22"/>
          <w:szCs w:val="22"/>
        </w:rPr>
        <w:t>48</w:t>
      </w:r>
      <w:r w:rsidRPr="00025AF2">
        <w:rPr>
          <w:rFonts w:ascii="Arial" w:hAnsi="Arial" w:cs="Arial"/>
          <w:color w:val="000000" w:themeColor="text1"/>
          <w:sz w:val="22"/>
          <w:szCs w:val="22"/>
        </w:rPr>
        <w:t xml:space="preserve">). </w:t>
      </w:r>
      <w:r w:rsidR="00226BCC" w:rsidRPr="00025AF2">
        <w:rPr>
          <w:rFonts w:ascii="Arial" w:hAnsi="Arial" w:cs="Arial"/>
          <w:color w:val="000000" w:themeColor="text1"/>
          <w:sz w:val="22"/>
          <w:szCs w:val="22"/>
        </w:rPr>
        <w:t>‘</w:t>
      </w:r>
      <w:r w:rsidRPr="00025AF2">
        <w:rPr>
          <w:rFonts w:ascii="Arial" w:hAnsi="Arial" w:cs="Arial"/>
          <w:color w:val="000000" w:themeColor="text1"/>
          <w:sz w:val="22"/>
          <w:szCs w:val="22"/>
        </w:rPr>
        <w:t>Superstitio</w:t>
      </w:r>
      <w:r w:rsidR="00226BCC" w:rsidRPr="00025AF2">
        <w:rPr>
          <w:rFonts w:ascii="Arial" w:hAnsi="Arial" w:cs="Arial"/>
          <w:color w:val="000000" w:themeColor="text1"/>
          <w:sz w:val="22"/>
          <w:szCs w:val="22"/>
        </w:rPr>
        <w:t>n’</w:t>
      </w:r>
      <w:r w:rsidRPr="00025AF2">
        <w:rPr>
          <w:rFonts w:ascii="Arial" w:hAnsi="Arial" w:cs="Arial"/>
          <w:color w:val="000000" w:themeColor="text1"/>
          <w:sz w:val="22"/>
          <w:szCs w:val="22"/>
        </w:rPr>
        <w:t xml:space="preserve"> in the pigeon. Journal of Experimental</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Psychology: General, 121(3), p.273.</w:t>
      </w:r>
    </w:p>
    <w:p w:rsidR="00226BCC" w:rsidRPr="00025AF2" w:rsidRDefault="00226BCC" w:rsidP="005F68F5">
      <w:pPr>
        <w:spacing w:line="360" w:lineRule="auto"/>
        <w:rPr>
          <w:rFonts w:ascii="Arial" w:hAnsi="Arial" w:cs="Arial"/>
          <w:color w:val="000000" w:themeColor="text1"/>
          <w:sz w:val="22"/>
          <w:szCs w:val="22"/>
        </w:rPr>
      </w:pPr>
    </w:p>
    <w:p w:rsidR="00226BCC" w:rsidRPr="00025AF2" w:rsidRDefault="00226BCC"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Smith, C.,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2005</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Teaching gifted and talented pupils in the primary school: a practical guide</w:t>
      </w:r>
      <w:r w:rsidRPr="00025AF2">
        <w:rPr>
          <w:rFonts w:ascii="Arial" w:hAnsi="Arial" w:cs="Arial"/>
          <w:color w:val="000000" w:themeColor="text1"/>
          <w:sz w:val="22"/>
          <w:szCs w:val="22"/>
          <w:shd w:val="clear" w:color="auto" w:fill="FFFFFF"/>
        </w:rPr>
        <w:t>. SAGE.</w:t>
      </w:r>
    </w:p>
    <w:p w:rsidR="00552E57" w:rsidRPr="00025AF2" w:rsidRDefault="00552E57" w:rsidP="00552E57">
      <w:pPr>
        <w:spacing w:line="360" w:lineRule="auto"/>
        <w:rPr>
          <w:rFonts w:ascii="Arial" w:hAnsi="Arial" w:cs="Arial"/>
          <w:color w:val="000000" w:themeColor="text1"/>
          <w:sz w:val="22"/>
          <w:szCs w:val="22"/>
        </w:rPr>
      </w:pPr>
    </w:p>
    <w:p w:rsidR="00E766EA" w:rsidRPr="00025AF2" w:rsidRDefault="00E766EA"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shd w:val="clear" w:color="auto" w:fill="FFFFFF"/>
        </w:rPr>
        <w:t>Stiggins</w:t>
      </w:r>
      <w:proofErr w:type="spellEnd"/>
      <w:r w:rsidRPr="00025AF2">
        <w:rPr>
          <w:rFonts w:ascii="Arial" w:hAnsi="Arial" w:cs="Arial"/>
          <w:color w:val="000000" w:themeColor="text1"/>
          <w:sz w:val="22"/>
          <w:szCs w:val="22"/>
          <w:shd w:val="clear" w:color="auto" w:fill="FFFFFF"/>
        </w:rPr>
        <w:t xml:space="preserve">, R.,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2005</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From formative assessment to assessment for learning: A path to success in standards-based schools. </w:t>
      </w:r>
      <w:r w:rsidRPr="00025AF2">
        <w:rPr>
          <w:rFonts w:ascii="Arial" w:hAnsi="Arial" w:cs="Arial"/>
          <w:i/>
          <w:iCs/>
          <w:color w:val="000000" w:themeColor="text1"/>
          <w:sz w:val="22"/>
          <w:szCs w:val="22"/>
          <w:shd w:val="clear" w:color="auto" w:fill="FFFFFF"/>
        </w:rPr>
        <w:t xml:space="preserve">Phi Delta </w:t>
      </w:r>
      <w:proofErr w:type="spellStart"/>
      <w:r w:rsidRPr="00025AF2">
        <w:rPr>
          <w:rFonts w:ascii="Arial" w:hAnsi="Arial" w:cs="Arial"/>
          <w:i/>
          <w:iCs/>
          <w:color w:val="000000" w:themeColor="text1"/>
          <w:sz w:val="22"/>
          <w:szCs w:val="22"/>
          <w:shd w:val="clear" w:color="auto" w:fill="FFFFFF"/>
        </w:rPr>
        <w:t>Kappan</w:t>
      </w:r>
      <w:proofErr w:type="spellEnd"/>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87</w:t>
      </w:r>
      <w:r w:rsidRPr="00025AF2">
        <w:rPr>
          <w:rFonts w:ascii="Arial" w:hAnsi="Arial" w:cs="Arial"/>
          <w:color w:val="000000" w:themeColor="text1"/>
          <w:sz w:val="22"/>
          <w:szCs w:val="22"/>
          <w:shd w:val="clear" w:color="auto" w:fill="FFFFFF"/>
        </w:rPr>
        <w:t>(4), pp.324-328.</w:t>
      </w:r>
    </w:p>
    <w:p w:rsidR="00E766EA" w:rsidRPr="00025AF2" w:rsidRDefault="00E766EA" w:rsidP="005F68F5">
      <w:pPr>
        <w:spacing w:line="360" w:lineRule="auto"/>
        <w:rPr>
          <w:rFonts w:ascii="Arial" w:hAnsi="Arial" w:cs="Arial"/>
          <w:color w:val="000000" w:themeColor="text1"/>
          <w:sz w:val="22"/>
          <w:szCs w:val="22"/>
        </w:rPr>
      </w:pPr>
    </w:p>
    <w:p w:rsidR="00F153F7" w:rsidRPr="00025AF2" w:rsidRDefault="00F153F7" w:rsidP="00552E57">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shd w:val="clear" w:color="auto" w:fill="FFFFFF"/>
        </w:rPr>
        <w:t>Mazzoli</w:t>
      </w:r>
      <w:proofErr w:type="spellEnd"/>
      <w:r w:rsidRPr="00025AF2">
        <w:rPr>
          <w:rFonts w:ascii="Arial" w:hAnsi="Arial" w:cs="Arial"/>
          <w:color w:val="000000" w:themeColor="text1"/>
          <w:sz w:val="22"/>
          <w:szCs w:val="22"/>
          <w:shd w:val="clear" w:color="auto" w:fill="FFFFFF"/>
        </w:rPr>
        <w:t xml:space="preserve"> Smith, L. and Campbell, R.J.,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2016</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So-called giftedness and teacher education: issues of equity and inclusion. </w:t>
      </w:r>
      <w:r w:rsidRPr="00025AF2">
        <w:rPr>
          <w:rFonts w:ascii="Arial" w:hAnsi="Arial" w:cs="Arial"/>
          <w:i/>
          <w:iCs/>
          <w:color w:val="000000" w:themeColor="text1"/>
          <w:sz w:val="22"/>
          <w:szCs w:val="22"/>
          <w:shd w:val="clear" w:color="auto" w:fill="FFFFFF"/>
        </w:rPr>
        <w:t>Teachers and Teaching</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22</w:t>
      </w:r>
      <w:r w:rsidRPr="00025AF2">
        <w:rPr>
          <w:rFonts w:ascii="Arial" w:hAnsi="Arial" w:cs="Arial"/>
          <w:color w:val="000000" w:themeColor="text1"/>
          <w:sz w:val="22"/>
          <w:szCs w:val="22"/>
          <w:shd w:val="clear" w:color="auto" w:fill="FFFFFF"/>
        </w:rPr>
        <w:t>(2), pp.255-267.</w:t>
      </w:r>
    </w:p>
    <w:p w:rsidR="00F153F7" w:rsidRPr="00025AF2" w:rsidRDefault="00F153F7" w:rsidP="005F68F5">
      <w:pPr>
        <w:spacing w:line="360" w:lineRule="auto"/>
        <w:rPr>
          <w:rFonts w:ascii="Arial" w:hAnsi="Arial" w:cs="Arial"/>
          <w:color w:val="000000" w:themeColor="text1"/>
          <w:sz w:val="22"/>
          <w:szCs w:val="22"/>
        </w:rPr>
      </w:pPr>
    </w:p>
    <w:p w:rsidR="001F3AFE" w:rsidRPr="00025AF2" w:rsidRDefault="001F3AFE"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Vygotsky, L. S. (1978). </w:t>
      </w:r>
      <w:r w:rsidRPr="00025AF2">
        <w:rPr>
          <w:rStyle w:val="Emphasis"/>
          <w:rFonts w:ascii="Arial" w:hAnsi="Arial" w:cs="Arial"/>
          <w:color w:val="000000" w:themeColor="text1"/>
          <w:sz w:val="22"/>
          <w:szCs w:val="22"/>
        </w:rPr>
        <w:t>Mind in society: The development of higher psychological processes</w:t>
      </w:r>
      <w:r w:rsidRPr="00025AF2">
        <w:rPr>
          <w:rFonts w:ascii="Arial" w:hAnsi="Arial" w:cs="Arial"/>
          <w:color w:val="000000" w:themeColor="text1"/>
          <w:sz w:val="22"/>
          <w:szCs w:val="22"/>
        </w:rPr>
        <w:t xml:space="preserve"> (M. Cole, V. John-Steiner, S. Scribner &amp; E. </w:t>
      </w:r>
      <w:proofErr w:type="spellStart"/>
      <w:r w:rsidRPr="00025AF2">
        <w:rPr>
          <w:rFonts w:ascii="Arial" w:hAnsi="Arial" w:cs="Arial"/>
          <w:color w:val="000000" w:themeColor="text1"/>
          <w:sz w:val="22"/>
          <w:szCs w:val="22"/>
        </w:rPr>
        <w:t>Souberman</w:t>
      </w:r>
      <w:proofErr w:type="spellEnd"/>
      <w:r w:rsidRPr="00025AF2">
        <w:rPr>
          <w:rFonts w:ascii="Arial" w:hAnsi="Arial" w:cs="Arial"/>
          <w:color w:val="000000" w:themeColor="text1"/>
          <w:sz w:val="22"/>
          <w:szCs w:val="22"/>
        </w:rPr>
        <w:t xml:space="preserve">., Eds.) (A. R. Luria, M. </w:t>
      </w:r>
      <w:r w:rsidRPr="00025AF2">
        <w:rPr>
          <w:rFonts w:ascii="Arial" w:hAnsi="Arial" w:cs="Arial"/>
          <w:color w:val="000000" w:themeColor="text1"/>
          <w:sz w:val="22"/>
          <w:szCs w:val="22"/>
        </w:rPr>
        <w:lastRenderedPageBreak/>
        <w:t>Lopez-</w:t>
      </w:r>
      <w:proofErr w:type="spellStart"/>
      <w:r w:rsidRPr="00025AF2">
        <w:rPr>
          <w:rFonts w:ascii="Arial" w:hAnsi="Arial" w:cs="Arial"/>
          <w:color w:val="000000" w:themeColor="text1"/>
          <w:sz w:val="22"/>
          <w:szCs w:val="22"/>
        </w:rPr>
        <w:t>Morillas</w:t>
      </w:r>
      <w:proofErr w:type="spellEnd"/>
      <w:r w:rsidRPr="00025AF2">
        <w:rPr>
          <w:rFonts w:ascii="Arial" w:hAnsi="Arial" w:cs="Arial"/>
          <w:color w:val="000000" w:themeColor="text1"/>
          <w:sz w:val="22"/>
          <w:szCs w:val="22"/>
        </w:rPr>
        <w:t xml:space="preserve"> &amp; M. Cole [with J. V. </w:t>
      </w:r>
      <w:proofErr w:type="spellStart"/>
      <w:r w:rsidRPr="00025AF2">
        <w:rPr>
          <w:rFonts w:ascii="Arial" w:hAnsi="Arial" w:cs="Arial"/>
          <w:color w:val="000000" w:themeColor="text1"/>
          <w:sz w:val="22"/>
          <w:szCs w:val="22"/>
        </w:rPr>
        <w:t>Wertsch</w:t>
      </w:r>
      <w:proofErr w:type="spellEnd"/>
      <w:r w:rsidRPr="00025AF2">
        <w:rPr>
          <w:rFonts w:ascii="Arial" w:hAnsi="Arial" w:cs="Arial"/>
          <w:color w:val="000000" w:themeColor="text1"/>
          <w:sz w:val="22"/>
          <w:szCs w:val="22"/>
        </w:rPr>
        <w:t>], Trans.) Cambridge, Mass.: Harvard University Press. (Original manuscripts [ca. 1930-1934])</w:t>
      </w:r>
    </w:p>
    <w:p w:rsidR="00552E57" w:rsidRPr="00025AF2" w:rsidRDefault="00552E57" w:rsidP="00552E57">
      <w:pPr>
        <w:spacing w:line="360" w:lineRule="auto"/>
        <w:rPr>
          <w:rFonts w:ascii="Arial" w:hAnsi="Arial" w:cs="Arial"/>
          <w:color w:val="000000" w:themeColor="text1"/>
          <w:sz w:val="22"/>
          <w:szCs w:val="22"/>
        </w:rPr>
      </w:pPr>
    </w:p>
    <w:p w:rsidR="00E766EA" w:rsidRPr="00025AF2" w:rsidRDefault="00E766EA"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Walters, S.R., </w:t>
      </w:r>
      <w:proofErr w:type="spellStart"/>
      <w:r w:rsidRPr="00025AF2">
        <w:rPr>
          <w:rFonts w:ascii="Arial" w:hAnsi="Arial" w:cs="Arial"/>
          <w:color w:val="000000" w:themeColor="text1"/>
          <w:sz w:val="22"/>
          <w:szCs w:val="22"/>
          <w:shd w:val="clear" w:color="auto" w:fill="FFFFFF"/>
        </w:rPr>
        <w:t>Raposo</w:t>
      </w:r>
      <w:proofErr w:type="spellEnd"/>
      <w:r w:rsidRPr="00025AF2">
        <w:rPr>
          <w:rFonts w:ascii="Arial" w:hAnsi="Arial" w:cs="Arial"/>
          <w:color w:val="000000" w:themeColor="text1"/>
          <w:sz w:val="22"/>
          <w:szCs w:val="22"/>
          <w:shd w:val="clear" w:color="auto" w:fill="FFFFFF"/>
        </w:rPr>
        <w:t xml:space="preserve"> Ferreira da Silva, P.L. and Nikolai, J.,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2017</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Teaching, learning, and assessment: insights into students’ motivation to learn.</w:t>
      </w:r>
    </w:p>
    <w:p w:rsidR="00E766EA" w:rsidRPr="00025AF2" w:rsidRDefault="00E766EA" w:rsidP="005F68F5">
      <w:pPr>
        <w:spacing w:line="360" w:lineRule="auto"/>
        <w:rPr>
          <w:rFonts w:ascii="Arial" w:hAnsi="Arial" w:cs="Arial"/>
          <w:color w:val="000000" w:themeColor="text1"/>
          <w:sz w:val="22"/>
          <w:szCs w:val="22"/>
        </w:rPr>
      </w:pPr>
    </w:p>
    <w:p w:rsidR="00602E90" w:rsidRPr="00025AF2" w:rsidRDefault="00602E90"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Watkins, C and Wagner, P (2000) Improving school behaviour London: Paul</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Chapman Publishing</w:t>
      </w:r>
    </w:p>
    <w:p w:rsidR="00602E90" w:rsidRPr="00025AF2" w:rsidRDefault="00602E90" w:rsidP="005F68F5">
      <w:pPr>
        <w:spacing w:line="360" w:lineRule="auto"/>
        <w:rPr>
          <w:rFonts w:ascii="Arial" w:hAnsi="Arial" w:cs="Arial"/>
          <w:color w:val="000000" w:themeColor="text1"/>
          <w:sz w:val="22"/>
          <w:szCs w:val="22"/>
        </w:rPr>
      </w:pPr>
    </w:p>
    <w:p w:rsidR="00CD073F" w:rsidRPr="00025AF2" w:rsidRDefault="00CD073F"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shd w:val="clear" w:color="auto" w:fill="FFFFFF"/>
        </w:rPr>
        <w:t xml:space="preserve">Webster, R.S. and </w:t>
      </w:r>
      <w:proofErr w:type="spellStart"/>
      <w:r w:rsidRPr="00025AF2">
        <w:rPr>
          <w:rFonts w:ascii="Arial" w:hAnsi="Arial" w:cs="Arial"/>
          <w:color w:val="000000" w:themeColor="text1"/>
          <w:sz w:val="22"/>
          <w:szCs w:val="22"/>
          <w:shd w:val="clear" w:color="auto" w:fill="FFFFFF"/>
        </w:rPr>
        <w:t>Whelen</w:t>
      </w:r>
      <w:proofErr w:type="spellEnd"/>
      <w:r w:rsidRPr="00025AF2">
        <w:rPr>
          <w:rFonts w:ascii="Arial" w:hAnsi="Arial" w:cs="Arial"/>
          <w:color w:val="000000" w:themeColor="text1"/>
          <w:sz w:val="22"/>
          <w:szCs w:val="22"/>
          <w:shd w:val="clear" w:color="auto" w:fill="FFFFFF"/>
        </w:rPr>
        <w:t xml:space="preserve">, J.D.,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2019</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The Importance of Rethinking Reflection and Ethics for Education. In </w:t>
      </w:r>
      <w:r w:rsidRPr="00025AF2">
        <w:rPr>
          <w:rFonts w:ascii="Arial" w:hAnsi="Arial" w:cs="Arial"/>
          <w:i/>
          <w:iCs/>
          <w:color w:val="000000" w:themeColor="text1"/>
          <w:sz w:val="22"/>
          <w:szCs w:val="22"/>
          <w:shd w:val="clear" w:color="auto" w:fill="FFFFFF"/>
        </w:rPr>
        <w:t>Rethinking Reflection and Ethics for Teachers</w:t>
      </w:r>
      <w:r w:rsidRPr="00025AF2">
        <w:rPr>
          <w:rFonts w:ascii="Arial" w:hAnsi="Arial" w:cs="Arial"/>
          <w:color w:val="000000" w:themeColor="text1"/>
          <w:sz w:val="22"/>
          <w:szCs w:val="22"/>
          <w:shd w:val="clear" w:color="auto" w:fill="FFFFFF"/>
        </w:rPr>
        <w:t> (pp. 1-12). Springer, Singapore.</w:t>
      </w:r>
    </w:p>
    <w:p w:rsidR="00CD073F" w:rsidRPr="00025AF2" w:rsidRDefault="00CD073F" w:rsidP="005F68F5">
      <w:pPr>
        <w:spacing w:line="360" w:lineRule="auto"/>
        <w:rPr>
          <w:rFonts w:ascii="Arial" w:hAnsi="Arial" w:cs="Arial"/>
          <w:b/>
          <w:bCs/>
          <w:color w:val="000000" w:themeColor="text1"/>
          <w:sz w:val="22"/>
          <w:szCs w:val="22"/>
        </w:rPr>
      </w:pPr>
    </w:p>
    <w:p w:rsidR="00602E90" w:rsidRPr="00025AF2" w:rsidRDefault="00602E90" w:rsidP="00552E57">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Welsh Government (2010) Practical Approaches to Behaviour</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Management in the Classroom: A handbook for classroom teachers in secondary</w:t>
      </w:r>
      <w:r w:rsidR="00552E57" w:rsidRPr="00025AF2">
        <w:rPr>
          <w:rFonts w:ascii="Arial" w:hAnsi="Arial" w:cs="Arial"/>
          <w:color w:val="000000" w:themeColor="text1"/>
          <w:sz w:val="22"/>
          <w:szCs w:val="22"/>
        </w:rPr>
        <w:t xml:space="preserve"> </w:t>
      </w:r>
      <w:r w:rsidRPr="00025AF2">
        <w:rPr>
          <w:rFonts w:ascii="Arial" w:hAnsi="Arial" w:cs="Arial"/>
          <w:color w:val="000000" w:themeColor="text1"/>
          <w:sz w:val="22"/>
          <w:szCs w:val="22"/>
        </w:rPr>
        <w:t>schools [online] Young Wales. Available at:</w:t>
      </w:r>
    </w:p>
    <w:p w:rsidR="00932EF7" w:rsidRPr="00025AF2" w:rsidRDefault="00025AF2" w:rsidP="00025AF2">
      <w:pPr>
        <w:spacing w:line="360" w:lineRule="auto"/>
        <w:rPr>
          <w:rFonts w:ascii="Arial" w:hAnsi="Arial" w:cs="Arial"/>
          <w:color w:val="000000" w:themeColor="text1"/>
          <w:sz w:val="22"/>
          <w:szCs w:val="22"/>
        </w:rPr>
      </w:pPr>
      <w:r w:rsidRPr="00025AF2">
        <w:rPr>
          <w:rFonts w:ascii="Arial" w:hAnsi="Arial" w:cs="Arial"/>
          <w:color w:val="0070C0"/>
          <w:sz w:val="22"/>
          <w:szCs w:val="22"/>
        </w:rPr>
        <w:fldChar w:fldCharType="begin"/>
      </w:r>
      <w:r w:rsidRPr="00025AF2">
        <w:rPr>
          <w:rFonts w:ascii="Arial" w:hAnsi="Arial" w:cs="Arial"/>
          <w:color w:val="0070C0"/>
          <w:sz w:val="22"/>
          <w:szCs w:val="22"/>
        </w:rPr>
        <w:instrText xml:space="preserve"> HYPERLINK "http://learning.gov.wales/docs/learningwales/publications/121128practicalen.pdf" </w:instrText>
      </w:r>
      <w:r w:rsidRPr="00025AF2">
        <w:rPr>
          <w:rFonts w:ascii="Arial" w:hAnsi="Arial" w:cs="Arial"/>
          <w:color w:val="0070C0"/>
          <w:sz w:val="22"/>
          <w:szCs w:val="22"/>
        </w:rPr>
        <w:fldChar w:fldCharType="separate"/>
      </w:r>
      <w:r w:rsidRPr="00025AF2">
        <w:rPr>
          <w:rStyle w:val="Hyperlink"/>
          <w:rFonts w:ascii="Arial" w:hAnsi="Arial" w:cs="Arial"/>
          <w:color w:val="0070C0"/>
          <w:sz w:val="22"/>
          <w:szCs w:val="22"/>
        </w:rPr>
        <w:t>http://learning.gov.wales/docs/learningwales/publications/121128practicalen.pdf</w:t>
      </w:r>
      <w:r w:rsidRPr="00025AF2">
        <w:rPr>
          <w:rFonts w:ascii="Arial" w:hAnsi="Arial" w:cs="Arial"/>
          <w:color w:val="0070C0"/>
          <w:sz w:val="22"/>
          <w:szCs w:val="22"/>
        </w:rPr>
        <w:fldChar w:fldCharType="end"/>
      </w:r>
      <w:r w:rsidR="00226BCC" w:rsidRPr="00025AF2">
        <w:rPr>
          <w:rFonts w:ascii="Arial" w:hAnsi="Arial" w:cs="Arial"/>
          <w:color w:val="0070C0"/>
          <w:sz w:val="22"/>
          <w:szCs w:val="22"/>
        </w:rPr>
        <w:t xml:space="preserve"> </w:t>
      </w:r>
      <w:r w:rsidRPr="00025AF2">
        <w:rPr>
          <w:rFonts w:ascii="Arial" w:hAnsi="Arial" w:cs="Arial"/>
          <w:color w:val="0070C0"/>
          <w:sz w:val="22"/>
          <w:szCs w:val="22"/>
        </w:rPr>
        <w:t xml:space="preserve"> </w:t>
      </w:r>
      <w:r w:rsidR="00602E90" w:rsidRPr="00025AF2">
        <w:rPr>
          <w:rFonts w:ascii="Arial" w:hAnsi="Arial" w:cs="Arial"/>
          <w:color w:val="000000" w:themeColor="text1"/>
          <w:sz w:val="22"/>
          <w:szCs w:val="22"/>
        </w:rPr>
        <w:t>[Accessed on 4th October 2019]</w:t>
      </w:r>
    </w:p>
    <w:p w:rsidR="00025AF2" w:rsidRPr="00025AF2" w:rsidRDefault="00025AF2" w:rsidP="00025AF2">
      <w:pPr>
        <w:spacing w:line="360" w:lineRule="auto"/>
        <w:rPr>
          <w:rFonts w:ascii="Arial" w:hAnsi="Arial" w:cs="Arial"/>
          <w:color w:val="000000" w:themeColor="text1"/>
          <w:sz w:val="22"/>
          <w:szCs w:val="22"/>
        </w:rPr>
      </w:pPr>
    </w:p>
    <w:p w:rsidR="007B1C25" w:rsidRPr="00025AF2" w:rsidRDefault="007B1C25" w:rsidP="00025AF2">
      <w:pPr>
        <w:spacing w:line="360" w:lineRule="auto"/>
        <w:rPr>
          <w:rFonts w:ascii="Arial" w:hAnsi="Arial" w:cs="Arial"/>
          <w:color w:val="000000" w:themeColor="text1"/>
          <w:sz w:val="22"/>
          <w:szCs w:val="22"/>
        </w:rPr>
      </w:pPr>
      <w:r w:rsidRPr="00025AF2">
        <w:rPr>
          <w:rFonts w:ascii="Arial" w:hAnsi="Arial" w:cs="Arial"/>
          <w:color w:val="000000" w:themeColor="text1"/>
          <w:sz w:val="22"/>
          <w:szCs w:val="22"/>
        </w:rPr>
        <w:t>Welsh Government (201</w:t>
      </w:r>
      <w:r w:rsidRPr="00025AF2">
        <w:rPr>
          <w:rFonts w:ascii="Arial" w:hAnsi="Arial" w:cs="Arial"/>
          <w:color w:val="000000" w:themeColor="text1"/>
          <w:sz w:val="22"/>
          <w:szCs w:val="22"/>
        </w:rPr>
        <w:t>8</w:t>
      </w:r>
      <w:r w:rsidRPr="00025AF2">
        <w:rPr>
          <w:rFonts w:ascii="Arial" w:hAnsi="Arial" w:cs="Arial"/>
          <w:color w:val="000000" w:themeColor="text1"/>
          <w:sz w:val="22"/>
          <w:szCs w:val="22"/>
        </w:rPr>
        <w:t>) Pr</w:t>
      </w:r>
      <w:r w:rsidRPr="00025AF2">
        <w:rPr>
          <w:rFonts w:ascii="Arial" w:hAnsi="Arial" w:cs="Arial"/>
          <w:color w:val="000000" w:themeColor="text1"/>
          <w:sz w:val="22"/>
          <w:szCs w:val="22"/>
        </w:rPr>
        <w:t xml:space="preserve">ofessional standards for teaching and leadership </w:t>
      </w:r>
      <w:r w:rsidRPr="00025AF2">
        <w:rPr>
          <w:rFonts w:ascii="Arial" w:hAnsi="Arial" w:cs="Arial"/>
          <w:color w:val="000000" w:themeColor="text1"/>
          <w:sz w:val="22"/>
          <w:szCs w:val="22"/>
        </w:rPr>
        <w:t>[online]. Available at:</w:t>
      </w:r>
      <w:r w:rsidR="00025AF2" w:rsidRPr="00025AF2">
        <w:rPr>
          <w:rFonts w:ascii="Arial" w:hAnsi="Arial" w:cs="Arial"/>
          <w:color w:val="000000" w:themeColor="text1"/>
          <w:sz w:val="22"/>
          <w:szCs w:val="22"/>
        </w:rPr>
        <w:t xml:space="preserve"> </w:t>
      </w:r>
      <w:hyperlink r:id="rId8" w:history="1">
        <w:r w:rsidR="00025AF2" w:rsidRPr="00025AF2">
          <w:rPr>
            <w:rStyle w:val="Hyperlink"/>
            <w:rFonts w:ascii="Arial" w:hAnsi="Arial" w:cs="Arial"/>
            <w:color w:val="0070C0"/>
            <w:sz w:val="22"/>
            <w:szCs w:val="22"/>
          </w:rPr>
          <w:t>https://hwb.gov.wales/professional-development/professional-standards/</w:t>
        </w:r>
      </w:hyperlink>
      <w:r w:rsidR="00025AF2" w:rsidRPr="00025AF2">
        <w:rPr>
          <w:rFonts w:ascii="Arial" w:hAnsi="Arial" w:cs="Arial"/>
          <w:color w:val="0070C0"/>
          <w:sz w:val="22"/>
          <w:szCs w:val="22"/>
        </w:rPr>
        <w:t xml:space="preserve"> </w:t>
      </w:r>
      <w:r w:rsidRPr="00025AF2">
        <w:rPr>
          <w:rFonts w:ascii="Arial" w:hAnsi="Arial" w:cs="Arial"/>
          <w:color w:val="000000" w:themeColor="text1"/>
          <w:sz w:val="22"/>
          <w:szCs w:val="22"/>
        </w:rPr>
        <w:t xml:space="preserve">[Accessed on </w:t>
      </w:r>
      <w:r w:rsidRPr="00025AF2">
        <w:rPr>
          <w:rFonts w:ascii="Arial" w:hAnsi="Arial" w:cs="Arial"/>
          <w:color w:val="000000" w:themeColor="text1"/>
          <w:sz w:val="22"/>
          <w:szCs w:val="22"/>
        </w:rPr>
        <w:t>23rd</w:t>
      </w:r>
      <w:r w:rsidRPr="00025AF2">
        <w:rPr>
          <w:rFonts w:ascii="Arial" w:hAnsi="Arial" w:cs="Arial"/>
          <w:color w:val="000000" w:themeColor="text1"/>
          <w:sz w:val="22"/>
          <w:szCs w:val="22"/>
        </w:rPr>
        <w:t xml:space="preserve"> October 2019]</w:t>
      </w:r>
    </w:p>
    <w:p w:rsidR="007B1C25" w:rsidRPr="00025AF2" w:rsidRDefault="007B1C25" w:rsidP="005F68F5">
      <w:pPr>
        <w:spacing w:line="360" w:lineRule="auto"/>
        <w:rPr>
          <w:rFonts w:ascii="Arial" w:hAnsi="Arial" w:cs="Arial"/>
          <w:color w:val="000000" w:themeColor="text1"/>
          <w:sz w:val="22"/>
          <w:szCs w:val="22"/>
        </w:rPr>
      </w:pPr>
    </w:p>
    <w:p w:rsidR="00C62FFB" w:rsidRPr="00025AF2" w:rsidRDefault="00C62FFB" w:rsidP="00025AF2">
      <w:pPr>
        <w:spacing w:line="360" w:lineRule="auto"/>
        <w:rPr>
          <w:rFonts w:ascii="Arial" w:hAnsi="Arial" w:cs="Arial"/>
          <w:color w:val="000000" w:themeColor="text1"/>
          <w:sz w:val="22"/>
          <w:szCs w:val="22"/>
        </w:rPr>
      </w:pPr>
      <w:proofErr w:type="spellStart"/>
      <w:r w:rsidRPr="00025AF2">
        <w:rPr>
          <w:rFonts w:ascii="Arial" w:hAnsi="Arial" w:cs="Arial"/>
          <w:color w:val="000000" w:themeColor="text1"/>
          <w:sz w:val="22"/>
          <w:szCs w:val="22"/>
          <w:shd w:val="clear" w:color="auto" w:fill="FFFFFF"/>
        </w:rPr>
        <w:t>Zwozdiak</w:t>
      </w:r>
      <w:proofErr w:type="spellEnd"/>
      <w:r w:rsidRPr="00025AF2">
        <w:rPr>
          <w:rFonts w:ascii="Arial" w:hAnsi="Arial" w:cs="Arial"/>
          <w:color w:val="000000" w:themeColor="text1"/>
          <w:sz w:val="22"/>
          <w:szCs w:val="22"/>
          <w:shd w:val="clear" w:color="auto" w:fill="FFFFFF"/>
        </w:rPr>
        <w:t xml:space="preserve">-Myers, P., </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2018</w:t>
      </w:r>
      <w:r w:rsidR="00025AF2">
        <w:rPr>
          <w:rFonts w:ascii="Arial" w:hAnsi="Arial" w:cs="Arial"/>
          <w:color w:val="000000" w:themeColor="text1"/>
          <w:sz w:val="22"/>
          <w:szCs w:val="22"/>
          <w:shd w:val="clear" w:color="auto" w:fill="FFFFFF"/>
        </w:rPr>
        <w:t>)</w:t>
      </w:r>
      <w:r w:rsidRPr="00025AF2">
        <w:rPr>
          <w:rFonts w:ascii="Arial" w:hAnsi="Arial" w:cs="Arial"/>
          <w:color w:val="000000" w:themeColor="text1"/>
          <w:sz w:val="22"/>
          <w:szCs w:val="22"/>
          <w:shd w:val="clear" w:color="auto" w:fill="FFFFFF"/>
        </w:rPr>
        <w:t>. </w:t>
      </w:r>
      <w:r w:rsidRPr="00025AF2">
        <w:rPr>
          <w:rFonts w:ascii="Arial" w:hAnsi="Arial" w:cs="Arial"/>
          <w:i/>
          <w:iCs/>
          <w:color w:val="000000" w:themeColor="text1"/>
          <w:sz w:val="22"/>
          <w:szCs w:val="22"/>
          <w:shd w:val="clear" w:color="auto" w:fill="FFFFFF"/>
        </w:rPr>
        <w:t>The teacher's reflective practice handbook: Becoming an extended professional through capturing evidence-informed practice</w:t>
      </w:r>
      <w:r w:rsidRPr="00025AF2">
        <w:rPr>
          <w:rFonts w:ascii="Arial" w:hAnsi="Arial" w:cs="Arial"/>
          <w:color w:val="000000" w:themeColor="text1"/>
          <w:sz w:val="22"/>
          <w:szCs w:val="22"/>
          <w:shd w:val="clear" w:color="auto" w:fill="FFFFFF"/>
        </w:rPr>
        <w:t>. Routledge.</w:t>
      </w:r>
    </w:p>
    <w:p w:rsidR="008D5F8F" w:rsidRPr="005F68F5" w:rsidRDefault="008D5F8F" w:rsidP="005F68F5">
      <w:pPr>
        <w:spacing w:line="360" w:lineRule="auto"/>
        <w:rPr>
          <w:rFonts w:ascii="Arial" w:hAnsi="Arial" w:cs="Arial"/>
          <w:sz w:val="22"/>
          <w:szCs w:val="22"/>
        </w:rPr>
      </w:pPr>
    </w:p>
    <w:sectPr w:rsidR="008D5F8F" w:rsidRPr="005F68F5" w:rsidSect="004B6832">
      <w:headerReference w:type="default" r:id="rId9"/>
      <w:footerReference w:type="even" r:id="rId10"/>
      <w:footerReference w:type="default" r:id="rId11"/>
      <w:pgSz w:w="11900" w:h="16840"/>
      <w:pgMar w:top="1440" w:right="1440" w:bottom="1440" w:left="1440" w:header="708" w:footer="708" w:gutter="0"/>
      <w:pgNumType w:fmt="numberInDash"/>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7756E" w:rsidRDefault="00F7756E" w:rsidP="005E23AC">
      <w:r>
        <w:separator/>
      </w:r>
    </w:p>
  </w:endnote>
  <w:endnote w:type="continuationSeparator" w:id="0">
    <w:p w:rsidR="00F7756E" w:rsidRDefault="00F7756E" w:rsidP="005E23A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35449968"/>
      <w:docPartObj>
        <w:docPartGallery w:val="Page Numbers (Bottom of Page)"/>
        <w:docPartUnique/>
      </w:docPartObj>
    </w:sdtPr>
    <w:sdtContent>
      <w:p w:rsidR="004B6832" w:rsidRDefault="004B6832" w:rsidP="004B68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4B6832" w:rsidRDefault="004B6832" w:rsidP="004B683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1667121"/>
      <w:docPartObj>
        <w:docPartGallery w:val="Page Numbers (Bottom of Page)"/>
        <w:docPartUnique/>
      </w:docPartObj>
    </w:sdtPr>
    <w:sdtContent>
      <w:p w:rsidR="004B6832" w:rsidRDefault="004B6832" w:rsidP="004B683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4B6832" w:rsidRDefault="004B6832" w:rsidP="004B683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7756E" w:rsidRDefault="00F7756E" w:rsidP="005E23AC">
      <w:r>
        <w:separator/>
      </w:r>
    </w:p>
  </w:footnote>
  <w:footnote w:type="continuationSeparator" w:id="0">
    <w:p w:rsidR="00F7756E" w:rsidRDefault="00F7756E" w:rsidP="005E23A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B6832" w:rsidRPr="004B6832" w:rsidRDefault="004B6832">
    <w:pPr>
      <w:pStyle w:val="Header"/>
      <w:rPr>
        <w:rFonts w:ascii="Arial" w:hAnsi="Arial" w:cs="Arial"/>
        <w:sz w:val="22"/>
        <w:szCs w:val="22"/>
      </w:rPr>
    </w:pPr>
    <w:r w:rsidRPr="004B6832">
      <w:rPr>
        <w:rFonts w:ascii="Arial" w:hAnsi="Arial" w:cs="Arial"/>
        <w:sz w:val="22"/>
        <w:szCs w:val="22"/>
      </w:rPr>
      <w:t>ECAD6007</w:t>
    </w:r>
    <w:r>
      <w:rPr>
        <w:rFonts w:ascii="Arial" w:hAnsi="Arial" w:cs="Arial"/>
        <w:sz w:val="22"/>
        <w:szCs w:val="22"/>
      </w:rPr>
      <w:tab/>
    </w:r>
    <w:r>
      <w:rPr>
        <w:rFonts w:ascii="Arial" w:hAnsi="Arial" w:cs="Arial"/>
        <w:sz w:val="22"/>
        <w:szCs w:val="22"/>
      </w:rPr>
      <w:tab/>
      <w:t>Student Number: 1900050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5063D2"/>
    <w:multiLevelType w:val="hybridMultilevel"/>
    <w:tmpl w:val="0C3CB562"/>
    <w:lvl w:ilvl="0" w:tplc="2FAE868C">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DC2EF4"/>
    <w:multiLevelType w:val="hybridMultilevel"/>
    <w:tmpl w:val="EA10E866"/>
    <w:lvl w:ilvl="0" w:tplc="0809000F">
      <w:start w:val="1"/>
      <w:numFmt w:val="decimal"/>
      <w:lvlText w:val="%1."/>
      <w:lvlJc w:val="left"/>
      <w:pPr>
        <w:ind w:left="720" w:hanging="360"/>
      </w:pPr>
      <w:rPr>
        <w:rFonts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EA01235"/>
    <w:multiLevelType w:val="hybridMultilevel"/>
    <w:tmpl w:val="878C7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9F44F86"/>
    <w:multiLevelType w:val="hybridMultilevel"/>
    <w:tmpl w:val="0E0A01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3EB7B34"/>
    <w:multiLevelType w:val="hybridMultilevel"/>
    <w:tmpl w:val="DA00E162"/>
    <w:lvl w:ilvl="0" w:tplc="AD4482DC">
      <w:numFmt w:val="bullet"/>
      <w:lvlText w:val="-"/>
      <w:lvlJc w:val="left"/>
      <w:pPr>
        <w:ind w:left="720" w:hanging="360"/>
      </w:pPr>
      <w:rPr>
        <w:rFonts w:ascii="Arial" w:eastAsia="Times New Roman" w:hAnsi="Arial" w:cs="Arial" w:hint="default"/>
        <w:color w:val="auto"/>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E29"/>
    <w:rsid w:val="00021CC7"/>
    <w:rsid w:val="00025AF2"/>
    <w:rsid w:val="00034CE5"/>
    <w:rsid w:val="00036DDC"/>
    <w:rsid w:val="000406C7"/>
    <w:rsid w:val="00043883"/>
    <w:rsid w:val="0007389D"/>
    <w:rsid w:val="000839D5"/>
    <w:rsid w:val="000A6AFB"/>
    <w:rsid w:val="000B653E"/>
    <w:rsid w:val="000E4DEE"/>
    <w:rsid w:val="00172D15"/>
    <w:rsid w:val="001A5886"/>
    <w:rsid w:val="001B2E3E"/>
    <w:rsid w:val="001D1E7A"/>
    <w:rsid w:val="001F3AFE"/>
    <w:rsid w:val="00220BCA"/>
    <w:rsid w:val="00226BCC"/>
    <w:rsid w:val="00230C08"/>
    <w:rsid w:val="002574E0"/>
    <w:rsid w:val="002C53C1"/>
    <w:rsid w:val="002F0B17"/>
    <w:rsid w:val="002F60C5"/>
    <w:rsid w:val="003078FC"/>
    <w:rsid w:val="003A4654"/>
    <w:rsid w:val="003C7735"/>
    <w:rsid w:val="00423CEE"/>
    <w:rsid w:val="004B2FC3"/>
    <w:rsid w:val="004B6832"/>
    <w:rsid w:val="00501636"/>
    <w:rsid w:val="00552E57"/>
    <w:rsid w:val="00556F72"/>
    <w:rsid w:val="00587B2A"/>
    <w:rsid w:val="005A7F11"/>
    <w:rsid w:val="005E23AC"/>
    <w:rsid w:val="005F2F11"/>
    <w:rsid w:val="005F68F5"/>
    <w:rsid w:val="00602E90"/>
    <w:rsid w:val="00621223"/>
    <w:rsid w:val="00656E38"/>
    <w:rsid w:val="006C74AC"/>
    <w:rsid w:val="006D52E3"/>
    <w:rsid w:val="006E4D24"/>
    <w:rsid w:val="006F5673"/>
    <w:rsid w:val="007476F9"/>
    <w:rsid w:val="00785978"/>
    <w:rsid w:val="00790175"/>
    <w:rsid w:val="00795B6C"/>
    <w:rsid w:val="007B0FDE"/>
    <w:rsid w:val="007B1C25"/>
    <w:rsid w:val="007C6018"/>
    <w:rsid w:val="007F1C5A"/>
    <w:rsid w:val="007F2AAF"/>
    <w:rsid w:val="007F3D01"/>
    <w:rsid w:val="0080279A"/>
    <w:rsid w:val="0085560A"/>
    <w:rsid w:val="00863E29"/>
    <w:rsid w:val="0087747B"/>
    <w:rsid w:val="00893F20"/>
    <w:rsid w:val="008963F2"/>
    <w:rsid w:val="008D5F8F"/>
    <w:rsid w:val="008F2394"/>
    <w:rsid w:val="00901BFB"/>
    <w:rsid w:val="0091230D"/>
    <w:rsid w:val="00932EF7"/>
    <w:rsid w:val="00933698"/>
    <w:rsid w:val="0094059C"/>
    <w:rsid w:val="00947B2F"/>
    <w:rsid w:val="00954E9B"/>
    <w:rsid w:val="009C3C46"/>
    <w:rsid w:val="009F3F95"/>
    <w:rsid w:val="00A04D91"/>
    <w:rsid w:val="00A21EF4"/>
    <w:rsid w:val="00A51275"/>
    <w:rsid w:val="00AB2443"/>
    <w:rsid w:val="00B21230"/>
    <w:rsid w:val="00B23704"/>
    <w:rsid w:val="00B33913"/>
    <w:rsid w:val="00B57B44"/>
    <w:rsid w:val="00B721B2"/>
    <w:rsid w:val="00BA0B61"/>
    <w:rsid w:val="00BB1F60"/>
    <w:rsid w:val="00BD5CF2"/>
    <w:rsid w:val="00BD6EFE"/>
    <w:rsid w:val="00BF1373"/>
    <w:rsid w:val="00C0643B"/>
    <w:rsid w:val="00C30313"/>
    <w:rsid w:val="00C34404"/>
    <w:rsid w:val="00C62FFB"/>
    <w:rsid w:val="00C75A0B"/>
    <w:rsid w:val="00CD073F"/>
    <w:rsid w:val="00CE18E6"/>
    <w:rsid w:val="00D409FE"/>
    <w:rsid w:val="00D57857"/>
    <w:rsid w:val="00DB21FA"/>
    <w:rsid w:val="00E13F9E"/>
    <w:rsid w:val="00E44F4E"/>
    <w:rsid w:val="00E622C1"/>
    <w:rsid w:val="00E67AE9"/>
    <w:rsid w:val="00E766EA"/>
    <w:rsid w:val="00EA261B"/>
    <w:rsid w:val="00EC163D"/>
    <w:rsid w:val="00ED7E68"/>
    <w:rsid w:val="00EE4FBA"/>
    <w:rsid w:val="00EE7CFD"/>
    <w:rsid w:val="00EF7A93"/>
    <w:rsid w:val="00F153F7"/>
    <w:rsid w:val="00F37699"/>
    <w:rsid w:val="00F5396F"/>
    <w:rsid w:val="00F7756E"/>
    <w:rsid w:val="00F92FF5"/>
    <w:rsid w:val="00FC604A"/>
    <w:rsid w:val="00FE5C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35CC8E"/>
  <w15:chartTrackingRefBased/>
  <w15:docId w15:val="{0A4CC4D8-CADC-CC4C-946F-BF29FE2D7C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409FE"/>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2443"/>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226BCC"/>
    <w:rPr>
      <w:color w:val="0563C1" w:themeColor="hyperlink"/>
      <w:u w:val="single"/>
    </w:rPr>
  </w:style>
  <w:style w:type="character" w:styleId="UnresolvedMention">
    <w:name w:val="Unresolved Mention"/>
    <w:basedOn w:val="DefaultParagraphFont"/>
    <w:uiPriority w:val="99"/>
    <w:semiHidden/>
    <w:unhideWhenUsed/>
    <w:rsid w:val="00226BCC"/>
    <w:rPr>
      <w:color w:val="605E5C"/>
      <w:shd w:val="clear" w:color="auto" w:fill="E1DFDD"/>
    </w:rPr>
  </w:style>
  <w:style w:type="paragraph" w:styleId="Header">
    <w:name w:val="header"/>
    <w:basedOn w:val="Normal"/>
    <w:link w:val="HeaderChar"/>
    <w:uiPriority w:val="99"/>
    <w:unhideWhenUsed/>
    <w:rsid w:val="005E23AC"/>
    <w:pPr>
      <w:tabs>
        <w:tab w:val="center" w:pos="4680"/>
        <w:tab w:val="right" w:pos="9360"/>
      </w:tabs>
    </w:pPr>
  </w:style>
  <w:style w:type="character" w:customStyle="1" w:styleId="HeaderChar">
    <w:name w:val="Header Char"/>
    <w:basedOn w:val="DefaultParagraphFont"/>
    <w:link w:val="Header"/>
    <w:uiPriority w:val="99"/>
    <w:rsid w:val="005E23AC"/>
    <w:rPr>
      <w:rFonts w:ascii="Times New Roman" w:eastAsia="Times New Roman" w:hAnsi="Times New Roman" w:cs="Times New Roman"/>
      <w:lang w:eastAsia="en-GB"/>
    </w:rPr>
  </w:style>
  <w:style w:type="paragraph" w:styleId="Footer">
    <w:name w:val="footer"/>
    <w:basedOn w:val="Normal"/>
    <w:link w:val="FooterChar"/>
    <w:uiPriority w:val="99"/>
    <w:unhideWhenUsed/>
    <w:rsid w:val="005E23AC"/>
    <w:pPr>
      <w:tabs>
        <w:tab w:val="center" w:pos="4680"/>
        <w:tab w:val="right" w:pos="9360"/>
      </w:tabs>
    </w:pPr>
  </w:style>
  <w:style w:type="character" w:customStyle="1" w:styleId="FooterChar">
    <w:name w:val="Footer Char"/>
    <w:basedOn w:val="DefaultParagraphFont"/>
    <w:link w:val="Footer"/>
    <w:uiPriority w:val="99"/>
    <w:rsid w:val="005E23AC"/>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4B6832"/>
  </w:style>
  <w:style w:type="character" w:styleId="Emphasis">
    <w:name w:val="Emphasis"/>
    <w:basedOn w:val="DefaultParagraphFont"/>
    <w:uiPriority w:val="20"/>
    <w:qFormat/>
    <w:rsid w:val="001F3AFE"/>
    <w:rPr>
      <w:i/>
      <w:iCs/>
    </w:rPr>
  </w:style>
  <w:style w:type="character" w:styleId="FollowedHyperlink">
    <w:name w:val="FollowedHyperlink"/>
    <w:basedOn w:val="DefaultParagraphFont"/>
    <w:uiPriority w:val="99"/>
    <w:semiHidden/>
    <w:unhideWhenUsed/>
    <w:rsid w:val="007B1C2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728309">
      <w:bodyDiv w:val="1"/>
      <w:marLeft w:val="0"/>
      <w:marRight w:val="0"/>
      <w:marTop w:val="0"/>
      <w:marBottom w:val="0"/>
      <w:divBdr>
        <w:top w:val="none" w:sz="0" w:space="0" w:color="auto"/>
        <w:left w:val="none" w:sz="0" w:space="0" w:color="auto"/>
        <w:bottom w:val="none" w:sz="0" w:space="0" w:color="auto"/>
        <w:right w:val="none" w:sz="0" w:space="0" w:color="auto"/>
      </w:divBdr>
    </w:div>
    <w:div w:id="50809564">
      <w:bodyDiv w:val="1"/>
      <w:marLeft w:val="0"/>
      <w:marRight w:val="0"/>
      <w:marTop w:val="0"/>
      <w:marBottom w:val="0"/>
      <w:divBdr>
        <w:top w:val="none" w:sz="0" w:space="0" w:color="auto"/>
        <w:left w:val="none" w:sz="0" w:space="0" w:color="auto"/>
        <w:bottom w:val="none" w:sz="0" w:space="0" w:color="auto"/>
        <w:right w:val="none" w:sz="0" w:space="0" w:color="auto"/>
      </w:divBdr>
    </w:div>
    <w:div w:id="163515642">
      <w:bodyDiv w:val="1"/>
      <w:marLeft w:val="0"/>
      <w:marRight w:val="0"/>
      <w:marTop w:val="0"/>
      <w:marBottom w:val="0"/>
      <w:divBdr>
        <w:top w:val="none" w:sz="0" w:space="0" w:color="auto"/>
        <w:left w:val="none" w:sz="0" w:space="0" w:color="auto"/>
        <w:bottom w:val="none" w:sz="0" w:space="0" w:color="auto"/>
        <w:right w:val="none" w:sz="0" w:space="0" w:color="auto"/>
      </w:divBdr>
    </w:div>
    <w:div w:id="264045165">
      <w:bodyDiv w:val="1"/>
      <w:marLeft w:val="0"/>
      <w:marRight w:val="0"/>
      <w:marTop w:val="0"/>
      <w:marBottom w:val="0"/>
      <w:divBdr>
        <w:top w:val="none" w:sz="0" w:space="0" w:color="auto"/>
        <w:left w:val="none" w:sz="0" w:space="0" w:color="auto"/>
        <w:bottom w:val="none" w:sz="0" w:space="0" w:color="auto"/>
        <w:right w:val="none" w:sz="0" w:space="0" w:color="auto"/>
      </w:divBdr>
    </w:div>
    <w:div w:id="310645318">
      <w:bodyDiv w:val="1"/>
      <w:marLeft w:val="0"/>
      <w:marRight w:val="0"/>
      <w:marTop w:val="0"/>
      <w:marBottom w:val="0"/>
      <w:divBdr>
        <w:top w:val="none" w:sz="0" w:space="0" w:color="auto"/>
        <w:left w:val="none" w:sz="0" w:space="0" w:color="auto"/>
        <w:bottom w:val="none" w:sz="0" w:space="0" w:color="auto"/>
        <w:right w:val="none" w:sz="0" w:space="0" w:color="auto"/>
      </w:divBdr>
    </w:div>
    <w:div w:id="319886535">
      <w:bodyDiv w:val="1"/>
      <w:marLeft w:val="0"/>
      <w:marRight w:val="0"/>
      <w:marTop w:val="0"/>
      <w:marBottom w:val="0"/>
      <w:divBdr>
        <w:top w:val="none" w:sz="0" w:space="0" w:color="auto"/>
        <w:left w:val="none" w:sz="0" w:space="0" w:color="auto"/>
        <w:bottom w:val="none" w:sz="0" w:space="0" w:color="auto"/>
        <w:right w:val="none" w:sz="0" w:space="0" w:color="auto"/>
      </w:divBdr>
    </w:div>
    <w:div w:id="327174961">
      <w:bodyDiv w:val="1"/>
      <w:marLeft w:val="0"/>
      <w:marRight w:val="0"/>
      <w:marTop w:val="0"/>
      <w:marBottom w:val="0"/>
      <w:divBdr>
        <w:top w:val="none" w:sz="0" w:space="0" w:color="auto"/>
        <w:left w:val="none" w:sz="0" w:space="0" w:color="auto"/>
        <w:bottom w:val="none" w:sz="0" w:space="0" w:color="auto"/>
        <w:right w:val="none" w:sz="0" w:space="0" w:color="auto"/>
      </w:divBdr>
    </w:div>
    <w:div w:id="338508448">
      <w:bodyDiv w:val="1"/>
      <w:marLeft w:val="0"/>
      <w:marRight w:val="0"/>
      <w:marTop w:val="0"/>
      <w:marBottom w:val="0"/>
      <w:divBdr>
        <w:top w:val="none" w:sz="0" w:space="0" w:color="auto"/>
        <w:left w:val="none" w:sz="0" w:space="0" w:color="auto"/>
        <w:bottom w:val="none" w:sz="0" w:space="0" w:color="auto"/>
        <w:right w:val="none" w:sz="0" w:space="0" w:color="auto"/>
      </w:divBdr>
    </w:div>
    <w:div w:id="471409524">
      <w:bodyDiv w:val="1"/>
      <w:marLeft w:val="0"/>
      <w:marRight w:val="0"/>
      <w:marTop w:val="0"/>
      <w:marBottom w:val="0"/>
      <w:divBdr>
        <w:top w:val="none" w:sz="0" w:space="0" w:color="auto"/>
        <w:left w:val="none" w:sz="0" w:space="0" w:color="auto"/>
        <w:bottom w:val="none" w:sz="0" w:space="0" w:color="auto"/>
        <w:right w:val="none" w:sz="0" w:space="0" w:color="auto"/>
      </w:divBdr>
    </w:div>
    <w:div w:id="559362650">
      <w:bodyDiv w:val="1"/>
      <w:marLeft w:val="0"/>
      <w:marRight w:val="0"/>
      <w:marTop w:val="0"/>
      <w:marBottom w:val="0"/>
      <w:divBdr>
        <w:top w:val="none" w:sz="0" w:space="0" w:color="auto"/>
        <w:left w:val="none" w:sz="0" w:space="0" w:color="auto"/>
        <w:bottom w:val="none" w:sz="0" w:space="0" w:color="auto"/>
        <w:right w:val="none" w:sz="0" w:space="0" w:color="auto"/>
      </w:divBdr>
    </w:div>
    <w:div w:id="566261053">
      <w:bodyDiv w:val="1"/>
      <w:marLeft w:val="0"/>
      <w:marRight w:val="0"/>
      <w:marTop w:val="0"/>
      <w:marBottom w:val="0"/>
      <w:divBdr>
        <w:top w:val="none" w:sz="0" w:space="0" w:color="auto"/>
        <w:left w:val="none" w:sz="0" w:space="0" w:color="auto"/>
        <w:bottom w:val="none" w:sz="0" w:space="0" w:color="auto"/>
        <w:right w:val="none" w:sz="0" w:space="0" w:color="auto"/>
      </w:divBdr>
    </w:div>
    <w:div w:id="586425693">
      <w:bodyDiv w:val="1"/>
      <w:marLeft w:val="0"/>
      <w:marRight w:val="0"/>
      <w:marTop w:val="0"/>
      <w:marBottom w:val="0"/>
      <w:divBdr>
        <w:top w:val="none" w:sz="0" w:space="0" w:color="auto"/>
        <w:left w:val="none" w:sz="0" w:space="0" w:color="auto"/>
        <w:bottom w:val="none" w:sz="0" w:space="0" w:color="auto"/>
        <w:right w:val="none" w:sz="0" w:space="0" w:color="auto"/>
      </w:divBdr>
    </w:div>
    <w:div w:id="737477843">
      <w:bodyDiv w:val="1"/>
      <w:marLeft w:val="0"/>
      <w:marRight w:val="0"/>
      <w:marTop w:val="0"/>
      <w:marBottom w:val="0"/>
      <w:divBdr>
        <w:top w:val="none" w:sz="0" w:space="0" w:color="auto"/>
        <w:left w:val="none" w:sz="0" w:space="0" w:color="auto"/>
        <w:bottom w:val="none" w:sz="0" w:space="0" w:color="auto"/>
        <w:right w:val="none" w:sz="0" w:space="0" w:color="auto"/>
      </w:divBdr>
    </w:div>
    <w:div w:id="885751048">
      <w:bodyDiv w:val="1"/>
      <w:marLeft w:val="0"/>
      <w:marRight w:val="0"/>
      <w:marTop w:val="0"/>
      <w:marBottom w:val="0"/>
      <w:divBdr>
        <w:top w:val="none" w:sz="0" w:space="0" w:color="auto"/>
        <w:left w:val="none" w:sz="0" w:space="0" w:color="auto"/>
        <w:bottom w:val="none" w:sz="0" w:space="0" w:color="auto"/>
        <w:right w:val="none" w:sz="0" w:space="0" w:color="auto"/>
      </w:divBdr>
    </w:div>
    <w:div w:id="885794809">
      <w:bodyDiv w:val="1"/>
      <w:marLeft w:val="0"/>
      <w:marRight w:val="0"/>
      <w:marTop w:val="0"/>
      <w:marBottom w:val="0"/>
      <w:divBdr>
        <w:top w:val="none" w:sz="0" w:space="0" w:color="auto"/>
        <w:left w:val="none" w:sz="0" w:space="0" w:color="auto"/>
        <w:bottom w:val="none" w:sz="0" w:space="0" w:color="auto"/>
        <w:right w:val="none" w:sz="0" w:space="0" w:color="auto"/>
      </w:divBdr>
    </w:div>
    <w:div w:id="984701205">
      <w:bodyDiv w:val="1"/>
      <w:marLeft w:val="0"/>
      <w:marRight w:val="0"/>
      <w:marTop w:val="0"/>
      <w:marBottom w:val="0"/>
      <w:divBdr>
        <w:top w:val="none" w:sz="0" w:space="0" w:color="auto"/>
        <w:left w:val="none" w:sz="0" w:space="0" w:color="auto"/>
        <w:bottom w:val="none" w:sz="0" w:space="0" w:color="auto"/>
        <w:right w:val="none" w:sz="0" w:space="0" w:color="auto"/>
      </w:divBdr>
    </w:div>
    <w:div w:id="1012149801">
      <w:bodyDiv w:val="1"/>
      <w:marLeft w:val="0"/>
      <w:marRight w:val="0"/>
      <w:marTop w:val="0"/>
      <w:marBottom w:val="0"/>
      <w:divBdr>
        <w:top w:val="none" w:sz="0" w:space="0" w:color="auto"/>
        <w:left w:val="none" w:sz="0" w:space="0" w:color="auto"/>
        <w:bottom w:val="none" w:sz="0" w:space="0" w:color="auto"/>
        <w:right w:val="none" w:sz="0" w:space="0" w:color="auto"/>
      </w:divBdr>
    </w:div>
    <w:div w:id="1024286584">
      <w:bodyDiv w:val="1"/>
      <w:marLeft w:val="0"/>
      <w:marRight w:val="0"/>
      <w:marTop w:val="0"/>
      <w:marBottom w:val="0"/>
      <w:divBdr>
        <w:top w:val="none" w:sz="0" w:space="0" w:color="auto"/>
        <w:left w:val="none" w:sz="0" w:space="0" w:color="auto"/>
        <w:bottom w:val="none" w:sz="0" w:space="0" w:color="auto"/>
        <w:right w:val="none" w:sz="0" w:space="0" w:color="auto"/>
      </w:divBdr>
    </w:div>
    <w:div w:id="1127236668">
      <w:bodyDiv w:val="1"/>
      <w:marLeft w:val="0"/>
      <w:marRight w:val="0"/>
      <w:marTop w:val="0"/>
      <w:marBottom w:val="0"/>
      <w:divBdr>
        <w:top w:val="none" w:sz="0" w:space="0" w:color="auto"/>
        <w:left w:val="none" w:sz="0" w:space="0" w:color="auto"/>
        <w:bottom w:val="none" w:sz="0" w:space="0" w:color="auto"/>
        <w:right w:val="none" w:sz="0" w:space="0" w:color="auto"/>
      </w:divBdr>
    </w:div>
    <w:div w:id="1150558625">
      <w:bodyDiv w:val="1"/>
      <w:marLeft w:val="0"/>
      <w:marRight w:val="0"/>
      <w:marTop w:val="0"/>
      <w:marBottom w:val="0"/>
      <w:divBdr>
        <w:top w:val="none" w:sz="0" w:space="0" w:color="auto"/>
        <w:left w:val="none" w:sz="0" w:space="0" w:color="auto"/>
        <w:bottom w:val="none" w:sz="0" w:space="0" w:color="auto"/>
        <w:right w:val="none" w:sz="0" w:space="0" w:color="auto"/>
      </w:divBdr>
    </w:div>
    <w:div w:id="1246960409">
      <w:bodyDiv w:val="1"/>
      <w:marLeft w:val="0"/>
      <w:marRight w:val="0"/>
      <w:marTop w:val="0"/>
      <w:marBottom w:val="0"/>
      <w:divBdr>
        <w:top w:val="none" w:sz="0" w:space="0" w:color="auto"/>
        <w:left w:val="none" w:sz="0" w:space="0" w:color="auto"/>
        <w:bottom w:val="none" w:sz="0" w:space="0" w:color="auto"/>
        <w:right w:val="none" w:sz="0" w:space="0" w:color="auto"/>
      </w:divBdr>
    </w:div>
    <w:div w:id="1261522712">
      <w:bodyDiv w:val="1"/>
      <w:marLeft w:val="0"/>
      <w:marRight w:val="0"/>
      <w:marTop w:val="0"/>
      <w:marBottom w:val="0"/>
      <w:divBdr>
        <w:top w:val="none" w:sz="0" w:space="0" w:color="auto"/>
        <w:left w:val="none" w:sz="0" w:space="0" w:color="auto"/>
        <w:bottom w:val="none" w:sz="0" w:space="0" w:color="auto"/>
        <w:right w:val="none" w:sz="0" w:space="0" w:color="auto"/>
      </w:divBdr>
    </w:div>
    <w:div w:id="1264459892">
      <w:bodyDiv w:val="1"/>
      <w:marLeft w:val="0"/>
      <w:marRight w:val="0"/>
      <w:marTop w:val="0"/>
      <w:marBottom w:val="0"/>
      <w:divBdr>
        <w:top w:val="none" w:sz="0" w:space="0" w:color="auto"/>
        <w:left w:val="none" w:sz="0" w:space="0" w:color="auto"/>
        <w:bottom w:val="none" w:sz="0" w:space="0" w:color="auto"/>
        <w:right w:val="none" w:sz="0" w:space="0" w:color="auto"/>
      </w:divBdr>
    </w:div>
    <w:div w:id="1492327780">
      <w:bodyDiv w:val="1"/>
      <w:marLeft w:val="0"/>
      <w:marRight w:val="0"/>
      <w:marTop w:val="0"/>
      <w:marBottom w:val="0"/>
      <w:divBdr>
        <w:top w:val="none" w:sz="0" w:space="0" w:color="auto"/>
        <w:left w:val="none" w:sz="0" w:space="0" w:color="auto"/>
        <w:bottom w:val="none" w:sz="0" w:space="0" w:color="auto"/>
        <w:right w:val="none" w:sz="0" w:space="0" w:color="auto"/>
      </w:divBdr>
    </w:div>
    <w:div w:id="1513183140">
      <w:bodyDiv w:val="1"/>
      <w:marLeft w:val="0"/>
      <w:marRight w:val="0"/>
      <w:marTop w:val="0"/>
      <w:marBottom w:val="0"/>
      <w:divBdr>
        <w:top w:val="none" w:sz="0" w:space="0" w:color="auto"/>
        <w:left w:val="none" w:sz="0" w:space="0" w:color="auto"/>
        <w:bottom w:val="none" w:sz="0" w:space="0" w:color="auto"/>
        <w:right w:val="none" w:sz="0" w:space="0" w:color="auto"/>
      </w:divBdr>
    </w:div>
    <w:div w:id="1571380759">
      <w:bodyDiv w:val="1"/>
      <w:marLeft w:val="0"/>
      <w:marRight w:val="0"/>
      <w:marTop w:val="0"/>
      <w:marBottom w:val="0"/>
      <w:divBdr>
        <w:top w:val="none" w:sz="0" w:space="0" w:color="auto"/>
        <w:left w:val="none" w:sz="0" w:space="0" w:color="auto"/>
        <w:bottom w:val="none" w:sz="0" w:space="0" w:color="auto"/>
        <w:right w:val="none" w:sz="0" w:space="0" w:color="auto"/>
      </w:divBdr>
    </w:div>
    <w:div w:id="1627462615">
      <w:bodyDiv w:val="1"/>
      <w:marLeft w:val="0"/>
      <w:marRight w:val="0"/>
      <w:marTop w:val="0"/>
      <w:marBottom w:val="0"/>
      <w:divBdr>
        <w:top w:val="none" w:sz="0" w:space="0" w:color="auto"/>
        <w:left w:val="none" w:sz="0" w:space="0" w:color="auto"/>
        <w:bottom w:val="none" w:sz="0" w:space="0" w:color="auto"/>
        <w:right w:val="none" w:sz="0" w:space="0" w:color="auto"/>
      </w:divBdr>
    </w:div>
    <w:div w:id="1662348348">
      <w:bodyDiv w:val="1"/>
      <w:marLeft w:val="0"/>
      <w:marRight w:val="0"/>
      <w:marTop w:val="0"/>
      <w:marBottom w:val="0"/>
      <w:divBdr>
        <w:top w:val="none" w:sz="0" w:space="0" w:color="auto"/>
        <w:left w:val="none" w:sz="0" w:space="0" w:color="auto"/>
        <w:bottom w:val="none" w:sz="0" w:space="0" w:color="auto"/>
        <w:right w:val="none" w:sz="0" w:space="0" w:color="auto"/>
      </w:divBdr>
    </w:div>
    <w:div w:id="1731690048">
      <w:bodyDiv w:val="1"/>
      <w:marLeft w:val="0"/>
      <w:marRight w:val="0"/>
      <w:marTop w:val="0"/>
      <w:marBottom w:val="0"/>
      <w:divBdr>
        <w:top w:val="none" w:sz="0" w:space="0" w:color="auto"/>
        <w:left w:val="none" w:sz="0" w:space="0" w:color="auto"/>
        <w:bottom w:val="none" w:sz="0" w:space="0" w:color="auto"/>
        <w:right w:val="none" w:sz="0" w:space="0" w:color="auto"/>
      </w:divBdr>
    </w:div>
    <w:div w:id="1812013164">
      <w:bodyDiv w:val="1"/>
      <w:marLeft w:val="0"/>
      <w:marRight w:val="0"/>
      <w:marTop w:val="0"/>
      <w:marBottom w:val="0"/>
      <w:divBdr>
        <w:top w:val="none" w:sz="0" w:space="0" w:color="auto"/>
        <w:left w:val="none" w:sz="0" w:space="0" w:color="auto"/>
        <w:bottom w:val="none" w:sz="0" w:space="0" w:color="auto"/>
        <w:right w:val="none" w:sz="0" w:space="0" w:color="auto"/>
      </w:divBdr>
    </w:div>
    <w:div w:id="1963729753">
      <w:bodyDiv w:val="1"/>
      <w:marLeft w:val="0"/>
      <w:marRight w:val="0"/>
      <w:marTop w:val="0"/>
      <w:marBottom w:val="0"/>
      <w:divBdr>
        <w:top w:val="none" w:sz="0" w:space="0" w:color="auto"/>
        <w:left w:val="none" w:sz="0" w:space="0" w:color="auto"/>
        <w:bottom w:val="none" w:sz="0" w:space="0" w:color="auto"/>
        <w:right w:val="none" w:sz="0" w:space="0" w:color="auto"/>
      </w:divBdr>
    </w:div>
    <w:div w:id="2073305288">
      <w:bodyDiv w:val="1"/>
      <w:marLeft w:val="0"/>
      <w:marRight w:val="0"/>
      <w:marTop w:val="0"/>
      <w:marBottom w:val="0"/>
      <w:divBdr>
        <w:top w:val="none" w:sz="0" w:space="0" w:color="auto"/>
        <w:left w:val="none" w:sz="0" w:space="0" w:color="auto"/>
        <w:bottom w:val="none" w:sz="0" w:space="0" w:color="auto"/>
        <w:right w:val="none" w:sz="0" w:space="0" w:color="auto"/>
      </w:divBdr>
    </w:div>
    <w:div w:id="20855636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professional-development/professional-standard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eppi.ioe.ac.uk/EPPIWebContent/reel/review_groups/EPPI/EBD/EBD1.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506</TotalTime>
  <Pages>13</Pages>
  <Words>4746</Words>
  <Characters>27054</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Dooley (1705487)</dc:creator>
  <cp:keywords/>
  <dc:description/>
  <cp:lastModifiedBy>Ellie Dooley (1705487)</cp:lastModifiedBy>
  <cp:revision>68</cp:revision>
  <dcterms:created xsi:type="dcterms:W3CDTF">2019-10-07T15:15:00Z</dcterms:created>
  <dcterms:modified xsi:type="dcterms:W3CDTF">2019-10-28T18:44:00Z</dcterms:modified>
</cp:coreProperties>
</file>