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E7C25B" w14:textId="77777777" w:rsidR="00B30AFB" w:rsidRDefault="00B30AFB">
      <w:pPr>
        <w:spacing w:line="360" w:lineRule="auto"/>
        <w:jc w:val="center"/>
        <w:rPr>
          <w:rFonts w:ascii="Aptos" w:eastAsia="Aptos" w:hAnsi="Aptos" w:cs="Aptos"/>
          <w:b/>
          <w:bCs/>
          <w:sz w:val="28"/>
          <w:szCs w:val="28"/>
        </w:rPr>
      </w:pPr>
    </w:p>
    <w:p w14:paraId="6B17DB06" w14:textId="77777777" w:rsidR="00B30AFB" w:rsidRDefault="00B30AFB">
      <w:pPr>
        <w:spacing w:line="360" w:lineRule="auto"/>
        <w:jc w:val="center"/>
        <w:rPr>
          <w:rFonts w:ascii="Aptos" w:eastAsia="Aptos" w:hAnsi="Aptos" w:cs="Aptos"/>
          <w:b/>
          <w:bCs/>
          <w:sz w:val="28"/>
          <w:szCs w:val="28"/>
        </w:rPr>
      </w:pPr>
    </w:p>
    <w:p w14:paraId="0D3A5757" w14:textId="77777777" w:rsidR="00B30AFB" w:rsidRDefault="00B30AFB">
      <w:pPr>
        <w:spacing w:line="360" w:lineRule="auto"/>
        <w:jc w:val="center"/>
        <w:rPr>
          <w:rFonts w:ascii="Aptos" w:eastAsia="Aptos" w:hAnsi="Aptos" w:cs="Aptos"/>
          <w:b/>
          <w:bCs/>
          <w:sz w:val="28"/>
          <w:szCs w:val="28"/>
        </w:rPr>
      </w:pPr>
    </w:p>
    <w:p w14:paraId="12355623" w14:textId="77777777" w:rsidR="00B30AFB" w:rsidRPr="00114AA0" w:rsidRDefault="00000000">
      <w:pPr>
        <w:spacing w:line="360" w:lineRule="auto"/>
        <w:jc w:val="center"/>
        <w:rPr>
          <w:rFonts w:ascii="Arial" w:eastAsia="Arial" w:hAnsi="Arial" w:cs="Arial"/>
          <w:b/>
          <w:bCs/>
          <w:sz w:val="36"/>
          <w:szCs w:val="36"/>
        </w:rPr>
      </w:pPr>
      <w:r w:rsidRPr="00114AA0">
        <w:rPr>
          <w:rFonts w:ascii="Arial" w:eastAsia="Arial" w:hAnsi="Arial" w:cs="Arial"/>
          <w:b/>
          <w:bCs/>
          <w:sz w:val="36"/>
          <w:szCs w:val="36"/>
        </w:rPr>
        <w:t>Course: BSc (Hons) Health and Social Care</w:t>
      </w:r>
    </w:p>
    <w:p w14:paraId="233632AA" w14:textId="77777777" w:rsidR="00B30AFB" w:rsidRPr="00114AA0" w:rsidRDefault="00000000">
      <w:pPr>
        <w:spacing w:line="360" w:lineRule="auto"/>
        <w:jc w:val="center"/>
        <w:rPr>
          <w:rFonts w:ascii="Arial" w:eastAsia="Arial" w:hAnsi="Arial" w:cs="Arial"/>
          <w:b/>
          <w:bCs/>
          <w:sz w:val="36"/>
          <w:szCs w:val="36"/>
        </w:rPr>
      </w:pPr>
      <w:r w:rsidRPr="00114AA0">
        <w:rPr>
          <w:rFonts w:ascii="Arial" w:eastAsia="Arial" w:hAnsi="Arial" w:cs="Arial"/>
          <w:b/>
          <w:bCs/>
          <w:sz w:val="36"/>
          <w:szCs w:val="36"/>
        </w:rPr>
        <w:t>Module: Independent Project (BMHP6020_BIRM)</w:t>
      </w:r>
    </w:p>
    <w:p w14:paraId="71427534" w14:textId="77777777" w:rsidR="00B30AFB" w:rsidRPr="00114AA0" w:rsidRDefault="00B30AFB">
      <w:pPr>
        <w:spacing w:line="360" w:lineRule="auto"/>
        <w:jc w:val="center"/>
        <w:rPr>
          <w:rFonts w:ascii="Arial" w:eastAsia="Arial" w:hAnsi="Arial" w:cs="Arial"/>
          <w:sz w:val="36"/>
          <w:szCs w:val="36"/>
        </w:rPr>
      </w:pPr>
    </w:p>
    <w:p w14:paraId="1D9736BE" w14:textId="77777777" w:rsidR="00B30AFB" w:rsidRPr="00114AA0" w:rsidRDefault="00000000">
      <w:pPr>
        <w:spacing w:line="360" w:lineRule="auto"/>
        <w:jc w:val="center"/>
        <w:rPr>
          <w:rFonts w:ascii="Arial" w:eastAsia="Arial" w:hAnsi="Arial" w:cs="Arial"/>
          <w:b/>
          <w:bCs/>
          <w:sz w:val="36"/>
          <w:szCs w:val="36"/>
        </w:rPr>
      </w:pPr>
      <w:r w:rsidRPr="00114AA0">
        <w:rPr>
          <w:rFonts w:ascii="Arial" w:eastAsia="Arial" w:hAnsi="Arial" w:cs="Arial"/>
          <w:b/>
          <w:bCs/>
          <w:sz w:val="36"/>
          <w:szCs w:val="36"/>
        </w:rPr>
        <w:t xml:space="preserve">Component 1: </w:t>
      </w:r>
      <w:r w:rsidRPr="00114AA0">
        <w:rPr>
          <w:rFonts w:ascii="Arial" w:eastAsia="Arial" w:hAnsi="Arial" w:cs="Arial"/>
          <w:sz w:val="36"/>
          <w:szCs w:val="36"/>
        </w:rPr>
        <w:t>Element 1 - Project Proposal</w:t>
      </w:r>
    </w:p>
    <w:p w14:paraId="4D1BCB3F" w14:textId="77777777" w:rsidR="00B30AFB" w:rsidRPr="00114AA0" w:rsidRDefault="00B30AFB">
      <w:pPr>
        <w:spacing w:line="360" w:lineRule="auto"/>
        <w:jc w:val="center"/>
        <w:rPr>
          <w:rFonts w:ascii="Arial" w:eastAsia="Arial" w:hAnsi="Arial" w:cs="Arial"/>
          <w:sz w:val="36"/>
          <w:szCs w:val="36"/>
        </w:rPr>
      </w:pPr>
    </w:p>
    <w:p w14:paraId="3E5120E1" w14:textId="77777777" w:rsidR="00B30AFB" w:rsidRPr="00114AA0" w:rsidRDefault="00B30AFB">
      <w:pPr>
        <w:spacing w:line="360" w:lineRule="auto"/>
        <w:jc w:val="center"/>
        <w:rPr>
          <w:rFonts w:ascii="Arial" w:eastAsia="Arial" w:hAnsi="Arial" w:cs="Arial"/>
          <w:sz w:val="36"/>
          <w:szCs w:val="36"/>
        </w:rPr>
      </w:pPr>
    </w:p>
    <w:p w14:paraId="49672E48" w14:textId="77777777" w:rsidR="00B30AFB" w:rsidRPr="00114AA0" w:rsidRDefault="00000000">
      <w:pPr>
        <w:spacing w:line="360" w:lineRule="auto"/>
        <w:jc w:val="center"/>
        <w:rPr>
          <w:rFonts w:ascii="Arial" w:eastAsia="Arial" w:hAnsi="Arial" w:cs="Arial"/>
          <w:sz w:val="36"/>
          <w:szCs w:val="36"/>
        </w:rPr>
      </w:pPr>
      <w:r w:rsidRPr="00114AA0">
        <w:rPr>
          <w:rFonts w:ascii="Arial" w:eastAsia="Arial" w:hAnsi="Arial" w:cs="Arial"/>
          <w:b/>
          <w:bCs/>
          <w:sz w:val="36"/>
          <w:szCs w:val="36"/>
        </w:rPr>
        <w:t>Student ID</w:t>
      </w:r>
      <w:r w:rsidRPr="00114AA0">
        <w:rPr>
          <w:rFonts w:ascii="Arial" w:eastAsia="Arial" w:hAnsi="Arial" w:cs="Arial"/>
          <w:sz w:val="36"/>
          <w:szCs w:val="36"/>
        </w:rPr>
        <w:t>:  2319163</w:t>
      </w:r>
    </w:p>
    <w:p w14:paraId="16675221" w14:textId="77777777" w:rsidR="00B30AFB" w:rsidRPr="00114AA0" w:rsidRDefault="00B30AFB">
      <w:pPr>
        <w:spacing w:line="360" w:lineRule="auto"/>
        <w:jc w:val="center"/>
        <w:rPr>
          <w:rFonts w:ascii="Arial" w:eastAsia="Arial" w:hAnsi="Arial" w:cs="Arial"/>
          <w:sz w:val="36"/>
          <w:szCs w:val="36"/>
        </w:rPr>
      </w:pPr>
    </w:p>
    <w:p w14:paraId="14C68AE4" w14:textId="77777777" w:rsidR="00B30AFB" w:rsidRPr="00114AA0" w:rsidRDefault="00000000">
      <w:pPr>
        <w:spacing w:line="360" w:lineRule="auto"/>
        <w:jc w:val="center"/>
        <w:rPr>
          <w:rFonts w:ascii="Arial" w:eastAsia="Arial" w:hAnsi="Arial" w:cs="Arial"/>
          <w:sz w:val="36"/>
          <w:szCs w:val="36"/>
        </w:rPr>
      </w:pPr>
      <w:r w:rsidRPr="00114AA0">
        <w:rPr>
          <w:rFonts w:ascii="Arial" w:eastAsia="Arial" w:hAnsi="Arial" w:cs="Arial"/>
          <w:b/>
          <w:bCs/>
          <w:sz w:val="36"/>
          <w:szCs w:val="36"/>
        </w:rPr>
        <w:t>Student Name</w:t>
      </w:r>
      <w:r w:rsidRPr="00114AA0">
        <w:rPr>
          <w:rFonts w:ascii="Arial" w:eastAsia="Arial" w:hAnsi="Arial" w:cs="Arial"/>
          <w:sz w:val="36"/>
          <w:szCs w:val="36"/>
        </w:rPr>
        <w:t>:  Rozilene Araujo</w:t>
      </w:r>
    </w:p>
    <w:p w14:paraId="1FCB0A92" w14:textId="77777777" w:rsidR="00B30AFB" w:rsidRDefault="00B30AFB">
      <w:pPr>
        <w:spacing w:line="360" w:lineRule="auto"/>
        <w:rPr>
          <w:rFonts w:ascii="Arial" w:eastAsia="Arial" w:hAnsi="Arial" w:cs="Arial"/>
          <w:sz w:val="28"/>
          <w:szCs w:val="28"/>
        </w:rPr>
      </w:pPr>
    </w:p>
    <w:p w14:paraId="4B61504A" w14:textId="77777777" w:rsidR="00B30AFB" w:rsidRDefault="00B30AFB">
      <w:pPr>
        <w:spacing w:line="360" w:lineRule="auto"/>
        <w:rPr>
          <w:rFonts w:ascii="Arial" w:eastAsia="Arial" w:hAnsi="Arial" w:cs="Arial"/>
        </w:rPr>
      </w:pPr>
    </w:p>
    <w:p w14:paraId="6F520B22" w14:textId="77777777" w:rsidR="00B30AFB" w:rsidRDefault="00B30AFB">
      <w:pPr>
        <w:spacing w:line="360" w:lineRule="auto"/>
        <w:rPr>
          <w:rFonts w:ascii="Arial" w:eastAsia="Arial" w:hAnsi="Arial" w:cs="Arial"/>
        </w:rPr>
      </w:pPr>
    </w:p>
    <w:p w14:paraId="398218E7" w14:textId="77777777" w:rsidR="00B30AFB" w:rsidRDefault="00B30AFB">
      <w:pPr>
        <w:spacing w:line="360" w:lineRule="auto"/>
        <w:rPr>
          <w:rFonts w:ascii="Arial" w:eastAsia="Arial" w:hAnsi="Arial" w:cs="Arial"/>
        </w:rPr>
      </w:pPr>
    </w:p>
    <w:p w14:paraId="4F023201" w14:textId="77777777" w:rsidR="00B30AFB" w:rsidRDefault="00B30AFB">
      <w:pPr>
        <w:spacing w:line="360" w:lineRule="auto"/>
        <w:rPr>
          <w:rFonts w:ascii="Arial" w:eastAsia="Arial" w:hAnsi="Arial" w:cs="Arial"/>
        </w:rPr>
      </w:pPr>
    </w:p>
    <w:p w14:paraId="22453345" w14:textId="77777777" w:rsidR="00B30AFB" w:rsidRDefault="00B30AFB">
      <w:pPr>
        <w:spacing w:line="360" w:lineRule="auto"/>
        <w:rPr>
          <w:rFonts w:ascii="Arial" w:eastAsia="Arial" w:hAnsi="Arial" w:cs="Arial"/>
        </w:rPr>
      </w:pPr>
    </w:p>
    <w:p w14:paraId="53CCAEEA" w14:textId="77777777" w:rsidR="00B30AFB" w:rsidRDefault="00B30AFB">
      <w:pPr>
        <w:spacing w:line="360" w:lineRule="auto"/>
        <w:rPr>
          <w:rFonts w:ascii="Arial" w:eastAsia="Arial" w:hAnsi="Arial" w:cs="Arial"/>
        </w:rPr>
      </w:pPr>
    </w:p>
    <w:p w14:paraId="6E5F2078" w14:textId="77777777" w:rsidR="00B30AFB" w:rsidRDefault="00B30AFB">
      <w:pPr>
        <w:spacing w:line="360" w:lineRule="auto"/>
        <w:rPr>
          <w:rFonts w:ascii="Arial" w:eastAsia="Arial" w:hAnsi="Arial" w:cs="Arial"/>
        </w:rPr>
      </w:pPr>
    </w:p>
    <w:p w14:paraId="526D9726" w14:textId="77777777" w:rsidR="00B30AFB" w:rsidRDefault="00B30AFB">
      <w:pPr>
        <w:spacing w:line="360" w:lineRule="auto"/>
        <w:rPr>
          <w:rFonts w:ascii="Arial" w:eastAsia="Arial" w:hAnsi="Arial" w:cs="Arial"/>
        </w:rPr>
      </w:pPr>
    </w:p>
    <w:p w14:paraId="514C7AE0" w14:textId="77777777" w:rsidR="00B30AFB" w:rsidRDefault="00B30AFB">
      <w:pPr>
        <w:spacing w:line="360" w:lineRule="auto"/>
        <w:rPr>
          <w:rFonts w:ascii="Arial" w:eastAsia="Arial" w:hAnsi="Arial" w:cs="Arial"/>
        </w:rPr>
      </w:pPr>
    </w:p>
    <w:p w14:paraId="7E12B6B1" w14:textId="77777777" w:rsidR="00B30AFB" w:rsidRDefault="00B30AFB">
      <w:pPr>
        <w:spacing w:line="360" w:lineRule="auto"/>
        <w:rPr>
          <w:rFonts w:ascii="Arial" w:eastAsia="Arial" w:hAnsi="Arial" w:cs="Arial"/>
        </w:rPr>
      </w:pPr>
    </w:p>
    <w:p w14:paraId="2EF7A3E8" w14:textId="77777777" w:rsidR="00B30AFB" w:rsidRDefault="00B30AFB">
      <w:pPr>
        <w:spacing w:line="360" w:lineRule="auto"/>
        <w:rPr>
          <w:rFonts w:ascii="Arial" w:eastAsia="Arial" w:hAnsi="Arial" w:cs="Arial"/>
        </w:rPr>
      </w:pPr>
    </w:p>
    <w:p w14:paraId="6D57BBA4" w14:textId="77777777" w:rsidR="00B30AFB" w:rsidRDefault="00B30AFB">
      <w:pPr>
        <w:spacing w:line="360" w:lineRule="auto"/>
        <w:rPr>
          <w:rFonts w:ascii="Arial" w:eastAsia="Arial" w:hAnsi="Arial" w:cs="Arial"/>
        </w:rPr>
      </w:pPr>
    </w:p>
    <w:p w14:paraId="59C683E7" w14:textId="77777777" w:rsidR="00B30AFB" w:rsidRDefault="00B30AFB">
      <w:pPr>
        <w:spacing w:line="360" w:lineRule="auto"/>
        <w:rPr>
          <w:rFonts w:ascii="Arial" w:eastAsia="Arial" w:hAnsi="Arial" w:cs="Arial"/>
        </w:rPr>
      </w:pPr>
    </w:p>
    <w:p w14:paraId="2FBF2264" w14:textId="77777777" w:rsidR="00B30AFB" w:rsidRDefault="00B30AFB">
      <w:pPr>
        <w:spacing w:line="360" w:lineRule="auto"/>
        <w:rPr>
          <w:rFonts w:ascii="Arial" w:eastAsia="Arial" w:hAnsi="Arial" w:cs="Arial"/>
          <w:b/>
          <w:bCs/>
          <w:sz w:val="28"/>
          <w:szCs w:val="28"/>
        </w:rPr>
      </w:pPr>
    </w:p>
    <w:p w14:paraId="52971844" w14:textId="77777777" w:rsidR="00B30AFB" w:rsidRDefault="00B30AFB">
      <w:pPr>
        <w:spacing w:line="360" w:lineRule="auto"/>
        <w:rPr>
          <w:rFonts w:ascii="Arial" w:eastAsia="Arial" w:hAnsi="Arial" w:cs="Arial"/>
          <w:b/>
          <w:bCs/>
          <w:sz w:val="28"/>
          <w:szCs w:val="28"/>
        </w:rPr>
      </w:pPr>
    </w:p>
    <w:p w14:paraId="098ABC8D" w14:textId="77777777" w:rsidR="00B30AFB" w:rsidRDefault="00B30AFB">
      <w:pPr>
        <w:spacing w:line="360" w:lineRule="auto"/>
        <w:rPr>
          <w:rFonts w:ascii="Arial" w:eastAsia="Arial" w:hAnsi="Arial" w:cs="Arial"/>
          <w:b/>
          <w:bCs/>
          <w:sz w:val="28"/>
          <w:szCs w:val="28"/>
        </w:rPr>
      </w:pPr>
    </w:p>
    <w:p w14:paraId="2A702A84" w14:textId="77777777" w:rsidR="00B30AFB" w:rsidRDefault="00B30AFB">
      <w:pPr>
        <w:spacing w:line="360" w:lineRule="auto"/>
        <w:rPr>
          <w:rFonts w:ascii="Arial" w:eastAsia="Arial" w:hAnsi="Arial" w:cs="Arial"/>
          <w:b/>
          <w:bCs/>
        </w:rPr>
      </w:pPr>
    </w:p>
    <w:p w14:paraId="2C1BD3C2" w14:textId="77777777" w:rsidR="00B30AFB" w:rsidRPr="00636D95" w:rsidRDefault="00000000" w:rsidP="00636D95">
      <w:pPr>
        <w:spacing w:line="360" w:lineRule="auto"/>
        <w:jc w:val="center"/>
        <w:rPr>
          <w:rFonts w:ascii="Arial" w:eastAsia="Arial" w:hAnsi="Arial" w:cs="Arial"/>
          <w:b/>
          <w:bCs/>
          <w:sz w:val="22"/>
          <w:szCs w:val="22"/>
        </w:rPr>
      </w:pPr>
      <w:r w:rsidRPr="00636D95">
        <w:rPr>
          <w:rFonts w:ascii="Arial" w:eastAsia="Arial" w:hAnsi="Arial" w:cs="Arial"/>
          <w:b/>
          <w:bCs/>
          <w:color w:val="1C1C1C"/>
          <w:sz w:val="22"/>
          <w:szCs w:val="22"/>
          <w:highlight w:val="white"/>
        </w:rPr>
        <w:t>The Impact of Adverse Childhood Experiences on Long-Term Physical Health Outcomes in Adulthood: A Comprehensive Analysis</w:t>
      </w:r>
    </w:p>
    <w:p w14:paraId="42979018" w14:textId="77777777" w:rsidR="00B30AFB" w:rsidRPr="00636D95" w:rsidRDefault="00B30AFB" w:rsidP="00636D95">
      <w:pPr>
        <w:spacing w:line="360" w:lineRule="auto"/>
        <w:rPr>
          <w:rFonts w:ascii="Arial" w:eastAsia="Arial" w:hAnsi="Arial" w:cs="Arial"/>
          <w:sz w:val="22"/>
          <w:szCs w:val="22"/>
        </w:rPr>
      </w:pPr>
    </w:p>
    <w:p w14:paraId="4B7FC1A9" w14:textId="77777777" w:rsidR="00B30AFB" w:rsidRPr="00636D95" w:rsidRDefault="00000000" w:rsidP="00636D95">
      <w:pPr>
        <w:spacing w:line="360" w:lineRule="auto"/>
        <w:rPr>
          <w:rFonts w:ascii="Arial" w:eastAsia="Arial" w:hAnsi="Arial" w:cs="Arial"/>
          <w:b/>
          <w:bCs/>
          <w:sz w:val="22"/>
          <w:szCs w:val="22"/>
        </w:rPr>
      </w:pPr>
      <w:r w:rsidRPr="00636D95">
        <w:rPr>
          <w:rFonts w:ascii="Arial" w:eastAsia="Arial" w:hAnsi="Arial" w:cs="Arial"/>
          <w:b/>
          <w:bCs/>
          <w:sz w:val="22"/>
          <w:szCs w:val="22"/>
        </w:rPr>
        <w:t xml:space="preserve">1) Aim </w:t>
      </w:r>
    </w:p>
    <w:p w14:paraId="7F353B2B" w14:textId="77777777" w:rsidR="00B30AFB" w:rsidRPr="00636D95" w:rsidRDefault="00000000" w:rsidP="00636D95">
      <w:pPr>
        <w:spacing w:line="360" w:lineRule="auto"/>
        <w:jc w:val="both"/>
        <w:rPr>
          <w:rFonts w:ascii="Arial" w:eastAsia="Arial" w:hAnsi="Arial" w:cs="Arial"/>
          <w:sz w:val="22"/>
          <w:szCs w:val="22"/>
        </w:rPr>
      </w:pPr>
      <w:r w:rsidRPr="00636D95">
        <w:rPr>
          <w:rFonts w:ascii="Arial" w:eastAsia="Arial" w:hAnsi="Arial" w:cs="Arial"/>
          <w:sz w:val="22"/>
          <w:szCs w:val="22"/>
        </w:rPr>
        <w:t>This research aims to examine the relationship between adverse childhood experiences (ACEs) and long-term physical health outcomes in adulthood. It will assess how early-life trauma influences the development of chronic illnesses and emphasise the importance of early intervention and trauma-informed care within health and social care practice.</w:t>
      </w:r>
    </w:p>
    <w:p w14:paraId="382BEB77" w14:textId="77777777" w:rsidR="00B30AFB" w:rsidRPr="00636D95" w:rsidRDefault="00B30AFB" w:rsidP="00636D95">
      <w:pPr>
        <w:spacing w:line="360" w:lineRule="auto"/>
        <w:rPr>
          <w:rFonts w:ascii="Arial" w:eastAsia="Arial" w:hAnsi="Arial" w:cs="Arial"/>
          <w:sz w:val="22"/>
          <w:szCs w:val="22"/>
        </w:rPr>
      </w:pPr>
    </w:p>
    <w:p w14:paraId="07F4FE0A" w14:textId="77777777" w:rsidR="00B30AFB" w:rsidRPr="00636D95" w:rsidRDefault="00000000" w:rsidP="00636D95">
      <w:pPr>
        <w:spacing w:line="360" w:lineRule="auto"/>
        <w:rPr>
          <w:rFonts w:ascii="Arial" w:eastAsia="Arial" w:hAnsi="Arial" w:cs="Arial"/>
          <w:b/>
          <w:bCs/>
          <w:sz w:val="22"/>
          <w:szCs w:val="22"/>
        </w:rPr>
      </w:pPr>
      <w:r w:rsidRPr="00636D95">
        <w:rPr>
          <w:rFonts w:ascii="Arial" w:eastAsia="Arial" w:hAnsi="Arial" w:cs="Arial"/>
          <w:b/>
          <w:bCs/>
          <w:sz w:val="22"/>
          <w:szCs w:val="22"/>
        </w:rPr>
        <w:t xml:space="preserve">2) Objectives </w:t>
      </w:r>
    </w:p>
    <w:p w14:paraId="5CC275E3" w14:textId="77777777" w:rsidR="00B30AFB" w:rsidRPr="00636D95" w:rsidRDefault="00B30AFB" w:rsidP="00636D95">
      <w:pPr>
        <w:spacing w:line="360" w:lineRule="auto"/>
        <w:jc w:val="both"/>
        <w:rPr>
          <w:rFonts w:ascii="Arial" w:eastAsia="Arial" w:hAnsi="Arial" w:cs="Arial"/>
          <w:sz w:val="22"/>
          <w:szCs w:val="22"/>
        </w:rPr>
      </w:pPr>
    </w:p>
    <w:p w14:paraId="2B315E68" w14:textId="77777777" w:rsidR="00B30AFB" w:rsidRPr="00636D95" w:rsidRDefault="00000000" w:rsidP="00636D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rPr>
          <w:rFonts w:ascii="Arial" w:eastAsia="Arial" w:hAnsi="Arial" w:cs="Arial"/>
          <w:sz w:val="22"/>
          <w:szCs w:val="22"/>
        </w:rPr>
      </w:pPr>
      <w:r w:rsidRPr="00636D95">
        <w:rPr>
          <w:rFonts w:ascii="Arial" w:eastAsia="Arial" w:hAnsi="Arial" w:cs="Arial"/>
          <w:sz w:val="22"/>
          <w:szCs w:val="22"/>
        </w:rPr>
        <w:t>To achieve this goal, the following research objectives have been established:</w:t>
      </w:r>
    </w:p>
    <w:p w14:paraId="1FFF8690" w14:textId="77777777" w:rsidR="00B30AFB" w:rsidRPr="00636D95" w:rsidRDefault="00000000" w:rsidP="00636D95">
      <w:pPr>
        <w:spacing w:line="360" w:lineRule="auto"/>
        <w:jc w:val="both"/>
        <w:rPr>
          <w:rFonts w:ascii="Arial" w:eastAsia="Arial" w:hAnsi="Arial" w:cs="Arial"/>
          <w:sz w:val="22"/>
          <w:szCs w:val="22"/>
        </w:rPr>
      </w:pPr>
      <w:r w:rsidRPr="00636D95">
        <w:rPr>
          <w:rFonts w:ascii="Arial" w:eastAsia="Arial" w:hAnsi="Arial" w:cs="Arial"/>
          <w:sz w:val="22"/>
          <w:szCs w:val="22"/>
        </w:rPr>
        <w:t xml:space="preserve"> </w:t>
      </w:r>
    </w:p>
    <w:p w14:paraId="28DA006E" w14:textId="77777777" w:rsidR="00B30AFB" w:rsidRPr="00636D95" w:rsidRDefault="00000000" w:rsidP="00636D95">
      <w:pPr>
        <w:numPr>
          <w:ilvl w:val="0"/>
          <w:numId w:val="2"/>
        </w:numPr>
        <w:pBdr>
          <w:top w:val="nil"/>
          <w:left w:val="nil"/>
          <w:bottom w:val="nil"/>
          <w:right w:val="nil"/>
          <w:between w:val="nil"/>
        </w:pBdr>
        <w:spacing w:after="160" w:line="360" w:lineRule="auto"/>
        <w:jc w:val="both"/>
        <w:rPr>
          <w:rFonts w:ascii="Arial" w:eastAsia="Arial" w:hAnsi="Arial" w:cs="Arial"/>
          <w:color w:val="000000"/>
          <w:sz w:val="22"/>
          <w:szCs w:val="22"/>
        </w:rPr>
      </w:pPr>
      <w:r w:rsidRPr="00636D95">
        <w:rPr>
          <w:rFonts w:ascii="Arial" w:eastAsia="Arial" w:hAnsi="Arial" w:cs="Arial"/>
          <w:color w:val="000000"/>
          <w:sz w:val="22"/>
          <w:szCs w:val="22"/>
        </w:rPr>
        <w:t>Define adverse childhood experiences (ACEs) and identify common forms of early-life trauma, including abuse, neglect, and household dysfunction.</w:t>
      </w:r>
    </w:p>
    <w:p w14:paraId="4E4F45B1" w14:textId="77777777" w:rsidR="00B30AFB" w:rsidRPr="00636D95" w:rsidRDefault="00000000" w:rsidP="00636D95">
      <w:pPr>
        <w:numPr>
          <w:ilvl w:val="0"/>
          <w:numId w:val="3"/>
        </w:numPr>
        <w:spacing w:line="360" w:lineRule="auto"/>
        <w:jc w:val="both"/>
        <w:rPr>
          <w:rFonts w:ascii="Arial" w:eastAsia="Arial" w:hAnsi="Arial" w:cs="Arial"/>
          <w:sz w:val="22"/>
          <w:szCs w:val="22"/>
        </w:rPr>
      </w:pPr>
      <w:r w:rsidRPr="00636D95">
        <w:rPr>
          <w:rFonts w:ascii="Arial" w:eastAsia="Arial" w:hAnsi="Arial" w:cs="Arial"/>
          <w:sz w:val="22"/>
          <w:szCs w:val="22"/>
        </w:rPr>
        <w:t>Using valid and appropriate current literature, analyse the association between ACEs and adult physical health conditions, such as cardiovascular disease, diabetes, and immune disorders.</w:t>
      </w:r>
    </w:p>
    <w:p w14:paraId="523166F3" w14:textId="77777777" w:rsidR="00B30AFB" w:rsidRPr="00636D95" w:rsidRDefault="00000000" w:rsidP="00636D95">
      <w:pPr>
        <w:numPr>
          <w:ilvl w:val="0"/>
          <w:numId w:val="2"/>
        </w:numPr>
        <w:pBdr>
          <w:top w:val="nil"/>
          <w:left w:val="nil"/>
          <w:bottom w:val="nil"/>
          <w:right w:val="nil"/>
          <w:between w:val="nil"/>
        </w:pBdr>
        <w:spacing w:line="360" w:lineRule="auto"/>
        <w:jc w:val="both"/>
        <w:rPr>
          <w:rFonts w:ascii="Arial" w:eastAsia="Arial" w:hAnsi="Arial" w:cs="Arial"/>
          <w:color w:val="000000"/>
          <w:sz w:val="22"/>
          <w:szCs w:val="22"/>
        </w:rPr>
      </w:pPr>
      <w:r w:rsidRPr="00636D95">
        <w:rPr>
          <w:rFonts w:ascii="Arial" w:eastAsia="Arial" w:hAnsi="Arial" w:cs="Arial"/>
          <w:color w:val="000000"/>
          <w:sz w:val="22"/>
          <w:szCs w:val="22"/>
        </w:rPr>
        <w:t xml:space="preserve">Evaluate existing evidence on the impact of prolonged stress exposure on biological systems and long-term health </w:t>
      </w:r>
      <w:proofErr w:type="gramStart"/>
      <w:r w:rsidRPr="00636D95">
        <w:rPr>
          <w:rFonts w:ascii="Arial" w:eastAsia="Arial" w:hAnsi="Arial" w:cs="Arial"/>
          <w:color w:val="000000"/>
          <w:sz w:val="22"/>
          <w:szCs w:val="22"/>
        </w:rPr>
        <w:t>outcomes, and</w:t>
      </w:r>
      <w:proofErr w:type="gramEnd"/>
      <w:r w:rsidRPr="00636D95">
        <w:rPr>
          <w:rFonts w:ascii="Arial" w:eastAsia="Arial" w:hAnsi="Arial" w:cs="Arial"/>
          <w:color w:val="000000"/>
          <w:sz w:val="22"/>
          <w:szCs w:val="22"/>
        </w:rPr>
        <w:t xml:space="preserve"> develop themes through a process of thematic analysis.</w:t>
      </w:r>
    </w:p>
    <w:p w14:paraId="4C475556" w14:textId="77777777" w:rsidR="00B30AFB" w:rsidRPr="00636D95" w:rsidRDefault="00000000" w:rsidP="00636D95">
      <w:pPr>
        <w:numPr>
          <w:ilvl w:val="0"/>
          <w:numId w:val="2"/>
        </w:numPr>
        <w:pBdr>
          <w:top w:val="nil"/>
          <w:left w:val="nil"/>
          <w:bottom w:val="nil"/>
          <w:right w:val="nil"/>
          <w:between w:val="nil"/>
        </w:pBdr>
        <w:spacing w:after="160" w:line="360" w:lineRule="auto"/>
        <w:jc w:val="both"/>
        <w:rPr>
          <w:rFonts w:ascii="Arial" w:eastAsia="Arial" w:hAnsi="Arial" w:cs="Arial"/>
          <w:color w:val="000000"/>
          <w:sz w:val="22"/>
          <w:szCs w:val="22"/>
        </w:rPr>
      </w:pPr>
      <w:r w:rsidRPr="00636D95">
        <w:rPr>
          <w:rFonts w:ascii="Arial" w:eastAsia="Arial" w:hAnsi="Arial" w:cs="Arial"/>
          <w:color w:val="000000"/>
          <w:sz w:val="22"/>
          <w:szCs w:val="22"/>
        </w:rPr>
        <w:t>Develop recommendations for health and social care professionals to strengthen early intervention strategies, support services, and trauma-informed approaches to mitigate the long-term effects of ACEs.</w:t>
      </w:r>
    </w:p>
    <w:p w14:paraId="67A1B502" w14:textId="77777777" w:rsidR="00B30AFB" w:rsidRPr="00636D95" w:rsidRDefault="00B30AFB" w:rsidP="00636D95">
      <w:pPr>
        <w:spacing w:line="360" w:lineRule="auto"/>
        <w:rPr>
          <w:rFonts w:ascii="Arial" w:eastAsia="Arial" w:hAnsi="Arial" w:cs="Arial"/>
          <w:sz w:val="22"/>
          <w:szCs w:val="22"/>
        </w:rPr>
      </w:pPr>
    </w:p>
    <w:p w14:paraId="41A9F5BA" w14:textId="77777777" w:rsidR="00B30AFB" w:rsidRPr="00636D95" w:rsidRDefault="00B30AFB" w:rsidP="00636D95">
      <w:pPr>
        <w:spacing w:line="360" w:lineRule="auto"/>
        <w:rPr>
          <w:rFonts w:ascii="Arial" w:eastAsia="Arial" w:hAnsi="Arial" w:cs="Arial"/>
          <w:sz w:val="22"/>
          <w:szCs w:val="22"/>
        </w:rPr>
      </w:pPr>
    </w:p>
    <w:p w14:paraId="3044BEE8" w14:textId="77777777" w:rsidR="00B30AFB" w:rsidRPr="00636D95" w:rsidRDefault="00000000" w:rsidP="00636D95">
      <w:pPr>
        <w:spacing w:line="360" w:lineRule="auto"/>
        <w:rPr>
          <w:rFonts w:ascii="Arial" w:eastAsia="Arial" w:hAnsi="Arial" w:cs="Arial"/>
          <w:b/>
          <w:bCs/>
          <w:sz w:val="22"/>
          <w:szCs w:val="22"/>
        </w:rPr>
      </w:pPr>
      <w:r w:rsidRPr="00636D95">
        <w:rPr>
          <w:rFonts w:ascii="Arial" w:eastAsia="Arial" w:hAnsi="Arial" w:cs="Arial"/>
          <w:b/>
          <w:bCs/>
          <w:sz w:val="22"/>
          <w:szCs w:val="22"/>
        </w:rPr>
        <w:t xml:space="preserve">3) Background / Rationale </w:t>
      </w:r>
    </w:p>
    <w:p w14:paraId="585C980E" w14:textId="77777777" w:rsidR="00B30AFB" w:rsidRPr="00636D95" w:rsidRDefault="00B30AFB" w:rsidP="00636D95">
      <w:pPr>
        <w:spacing w:line="360" w:lineRule="auto"/>
        <w:rPr>
          <w:rFonts w:ascii="Arial" w:eastAsia="Arial" w:hAnsi="Arial" w:cs="Arial"/>
          <w:sz w:val="22"/>
          <w:szCs w:val="22"/>
        </w:rPr>
      </w:pPr>
    </w:p>
    <w:p w14:paraId="73423FC1" w14:textId="77777777" w:rsidR="00B30AFB" w:rsidRPr="00636D95" w:rsidRDefault="00000000" w:rsidP="00636D95">
      <w:pPr>
        <w:spacing w:line="360" w:lineRule="auto"/>
        <w:jc w:val="both"/>
        <w:rPr>
          <w:rFonts w:ascii="Arial" w:eastAsia="Arial" w:hAnsi="Arial" w:cs="Arial"/>
          <w:sz w:val="22"/>
          <w:szCs w:val="22"/>
        </w:rPr>
      </w:pPr>
      <w:r w:rsidRPr="00636D95">
        <w:rPr>
          <w:rFonts w:ascii="Arial" w:eastAsia="Arial" w:hAnsi="Arial" w:cs="Arial"/>
          <w:sz w:val="22"/>
          <w:szCs w:val="22"/>
        </w:rPr>
        <w:t xml:space="preserve">Adverse Childhood Experiences (ACEs) refer to stressful or traumatic events occurring before the age of 18, including abuse, neglect, and household dysfunction (World Health Organisation, 2022; </w:t>
      </w:r>
      <w:proofErr w:type="spellStart"/>
      <w:r w:rsidRPr="00636D95">
        <w:rPr>
          <w:rFonts w:ascii="Arial" w:eastAsia="Arial" w:hAnsi="Arial" w:cs="Arial"/>
          <w:sz w:val="22"/>
          <w:szCs w:val="22"/>
        </w:rPr>
        <w:t>Felitti</w:t>
      </w:r>
      <w:proofErr w:type="spellEnd"/>
      <w:r w:rsidRPr="00636D95">
        <w:rPr>
          <w:rFonts w:ascii="Arial" w:eastAsia="Arial" w:hAnsi="Arial" w:cs="Arial"/>
          <w:sz w:val="22"/>
          <w:szCs w:val="22"/>
        </w:rPr>
        <w:t xml:space="preserve"> </w:t>
      </w:r>
      <w:r w:rsidRPr="00636D95">
        <w:rPr>
          <w:rFonts w:ascii="Arial" w:eastAsia="Arial" w:hAnsi="Arial" w:cs="Arial"/>
          <w:i/>
          <w:iCs/>
          <w:sz w:val="22"/>
          <w:szCs w:val="22"/>
        </w:rPr>
        <w:t>et al.,</w:t>
      </w:r>
      <w:r w:rsidRPr="00636D95">
        <w:rPr>
          <w:rFonts w:ascii="Arial" w:eastAsia="Arial" w:hAnsi="Arial" w:cs="Arial"/>
          <w:sz w:val="22"/>
          <w:szCs w:val="22"/>
        </w:rPr>
        <w:t xml:space="preserve"> 1998). Research has consistently demonstrated that ACEs are strongly associated with poorer physical health outcomes later in life, including chronic diseases such as cardiovascular disease, obesity and diabetes (World Health Organisation, </w:t>
      </w:r>
      <w:r w:rsidRPr="00636D95">
        <w:rPr>
          <w:rFonts w:ascii="Arial" w:eastAsia="Arial" w:hAnsi="Arial" w:cs="Arial"/>
          <w:sz w:val="22"/>
          <w:szCs w:val="22"/>
        </w:rPr>
        <w:lastRenderedPageBreak/>
        <w:t xml:space="preserve">2020; Caglayan </w:t>
      </w:r>
      <w:r w:rsidRPr="00636D95">
        <w:rPr>
          <w:rFonts w:ascii="Arial" w:eastAsia="Arial" w:hAnsi="Arial" w:cs="Arial"/>
          <w:i/>
          <w:iCs/>
          <w:sz w:val="22"/>
          <w:szCs w:val="22"/>
        </w:rPr>
        <w:t>et al.,</w:t>
      </w:r>
      <w:r w:rsidRPr="00636D95">
        <w:rPr>
          <w:rFonts w:ascii="Arial" w:eastAsia="Arial" w:hAnsi="Arial" w:cs="Arial"/>
          <w:sz w:val="22"/>
          <w:szCs w:val="22"/>
        </w:rPr>
        <w:t xml:space="preserve"> 2025). This relationship is often explained through prolonged stress responses, commonly referred to as toxic stress, which can disrupt brain development and alter immune, endocrine and neurological systems (Public Health England, 2020; Burke Harris, 2018; Soares </w:t>
      </w:r>
      <w:r w:rsidRPr="00636D95">
        <w:rPr>
          <w:rFonts w:ascii="Arial" w:eastAsia="Arial" w:hAnsi="Arial" w:cs="Arial"/>
          <w:i/>
          <w:iCs/>
          <w:sz w:val="22"/>
          <w:szCs w:val="22"/>
        </w:rPr>
        <w:t>et al.,</w:t>
      </w:r>
      <w:r w:rsidRPr="00636D95">
        <w:rPr>
          <w:rFonts w:ascii="Arial" w:eastAsia="Arial" w:hAnsi="Arial" w:cs="Arial"/>
          <w:sz w:val="22"/>
          <w:szCs w:val="22"/>
        </w:rPr>
        <w:t xml:space="preserve"> 2021). Furthermore, systematic reviews highlight a dose–response relationship, where exposure to multiple ACEs significantly increases the risk of long-term health problems (Hughes </w:t>
      </w:r>
      <w:r w:rsidRPr="00636D95">
        <w:rPr>
          <w:rFonts w:ascii="Arial" w:eastAsia="Arial" w:hAnsi="Arial" w:cs="Arial"/>
          <w:i/>
          <w:iCs/>
          <w:sz w:val="22"/>
          <w:szCs w:val="22"/>
        </w:rPr>
        <w:t>et al.,</w:t>
      </w:r>
      <w:r w:rsidRPr="00636D95">
        <w:rPr>
          <w:rFonts w:ascii="Arial" w:eastAsia="Arial" w:hAnsi="Arial" w:cs="Arial"/>
          <w:sz w:val="22"/>
          <w:szCs w:val="22"/>
        </w:rPr>
        <w:t xml:space="preserve"> 2017, Silva </w:t>
      </w:r>
      <w:r w:rsidRPr="00636D95">
        <w:rPr>
          <w:rFonts w:ascii="Arial" w:eastAsia="Arial" w:hAnsi="Arial" w:cs="Arial"/>
          <w:i/>
          <w:iCs/>
          <w:sz w:val="22"/>
          <w:szCs w:val="22"/>
        </w:rPr>
        <w:t>et al.,</w:t>
      </w:r>
      <w:r w:rsidRPr="00636D95">
        <w:rPr>
          <w:rFonts w:ascii="Arial" w:eastAsia="Arial" w:hAnsi="Arial" w:cs="Arial"/>
          <w:sz w:val="22"/>
          <w:szCs w:val="22"/>
        </w:rPr>
        <w:t xml:space="preserve"> 2024). This research is particularly important given the increasing burden of chronic disease on healthcare systems such as the NHS </w:t>
      </w:r>
      <w:proofErr w:type="gramStart"/>
      <w:r w:rsidRPr="00636D95">
        <w:rPr>
          <w:rFonts w:ascii="Arial" w:eastAsia="Arial" w:hAnsi="Arial" w:cs="Arial"/>
          <w:sz w:val="22"/>
          <w:szCs w:val="22"/>
        </w:rPr>
        <w:t>( Hughes</w:t>
      </w:r>
      <w:proofErr w:type="gramEnd"/>
      <w:r w:rsidRPr="00636D95">
        <w:rPr>
          <w:rFonts w:ascii="Arial" w:eastAsia="Arial" w:hAnsi="Arial" w:cs="Arial"/>
          <w:sz w:val="22"/>
          <w:szCs w:val="22"/>
        </w:rPr>
        <w:t xml:space="preserve"> </w:t>
      </w:r>
      <w:r w:rsidRPr="00636D95">
        <w:rPr>
          <w:rFonts w:ascii="Arial" w:eastAsia="Arial" w:hAnsi="Arial" w:cs="Arial"/>
          <w:i/>
          <w:iCs/>
          <w:sz w:val="22"/>
          <w:szCs w:val="22"/>
        </w:rPr>
        <w:t>et al.,</w:t>
      </w:r>
      <w:r w:rsidRPr="00636D95">
        <w:rPr>
          <w:rFonts w:ascii="Arial" w:eastAsia="Arial" w:hAnsi="Arial" w:cs="Arial"/>
          <w:sz w:val="22"/>
          <w:szCs w:val="22"/>
        </w:rPr>
        <w:t xml:space="preserve"> 2017). This current study addresses the research gap by analysing how early experiences shape adult health and emphasising the importance of prevention and early intervention strategies. </w:t>
      </w:r>
    </w:p>
    <w:p w14:paraId="4F94B3D1" w14:textId="77777777" w:rsidR="00B30AFB" w:rsidRPr="00636D95" w:rsidRDefault="00B30AFB" w:rsidP="00636D95">
      <w:pPr>
        <w:spacing w:line="360" w:lineRule="auto"/>
        <w:rPr>
          <w:rFonts w:ascii="Arial" w:eastAsia="Arial" w:hAnsi="Arial" w:cs="Arial"/>
          <w:b/>
          <w:bCs/>
          <w:sz w:val="22"/>
          <w:szCs w:val="22"/>
        </w:rPr>
      </w:pPr>
    </w:p>
    <w:p w14:paraId="16C33790" w14:textId="77777777" w:rsidR="00B30AFB" w:rsidRPr="00636D95" w:rsidRDefault="00000000" w:rsidP="00636D95">
      <w:pPr>
        <w:spacing w:line="360" w:lineRule="auto"/>
        <w:rPr>
          <w:rFonts w:ascii="Arial" w:eastAsia="Arial" w:hAnsi="Arial" w:cs="Arial"/>
          <w:b/>
          <w:bCs/>
          <w:sz w:val="22"/>
          <w:szCs w:val="22"/>
        </w:rPr>
      </w:pPr>
      <w:r w:rsidRPr="00636D95">
        <w:rPr>
          <w:rFonts w:ascii="Arial" w:eastAsia="Arial" w:hAnsi="Arial" w:cs="Arial"/>
          <w:b/>
          <w:bCs/>
          <w:sz w:val="22"/>
          <w:szCs w:val="22"/>
        </w:rPr>
        <w:t xml:space="preserve">4) Methods </w:t>
      </w:r>
    </w:p>
    <w:p w14:paraId="5A375299" w14:textId="77777777" w:rsidR="00B30AFB" w:rsidRPr="00636D95" w:rsidRDefault="00B30AFB" w:rsidP="00636D95">
      <w:pPr>
        <w:spacing w:line="360" w:lineRule="auto"/>
        <w:jc w:val="both"/>
        <w:rPr>
          <w:rFonts w:ascii="Arial" w:eastAsia="Arial" w:hAnsi="Arial" w:cs="Arial"/>
          <w:sz w:val="22"/>
          <w:szCs w:val="22"/>
        </w:rPr>
      </w:pPr>
    </w:p>
    <w:p w14:paraId="176895C5" w14:textId="319179B0" w:rsidR="00B30AFB" w:rsidRPr="00636D95" w:rsidRDefault="00000000" w:rsidP="00636D95">
      <w:pPr>
        <w:spacing w:line="360" w:lineRule="auto"/>
        <w:jc w:val="both"/>
        <w:rPr>
          <w:rFonts w:ascii="Arial" w:eastAsia="Arial" w:hAnsi="Arial" w:cs="Arial"/>
          <w:sz w:val="22"/>
          <w:szCs w:val="22"/>
        </w:rPr>
      </w:pPr>
      <w:r w:rsidRPr="00636D95">
        <w:rPr>
          <w:rFonts w:ascii="Arial" w:eastAsia="Arial" w:hAnsi="Arial" w:cs="Arial"/>
          <w:sz w:val="22"/>
          <w:szCs w:val="22"/>
        </w:rPr>
        <w:t>A systematic search strategy will be employed, utilising keywords such as “adverse childhood experiences,” “chronic illness,” and “physical health outcomes.” The inclusion criteria will focus on peer-reviewed studies published within the last 10 years, while the exclusion criteria will eliminate non-English studies and those deemed irrelevant. This study will take a secondary research approach by analysing existing literature, including peer-reviewed journal articles, government reports, and policy documents accessed through academic databases such as JSTOR, PubMed and Google Scholar</w:t>
      </w:r>
      <w:r w:rsidR="00BC5696" w:rsidRPr="00636D95">
        <w:rPr>
          <w:rFonts w:ascii="Arial" w:eastAsia="Arial" w:hAnsi="Arial" w:cs="Arial"/>
          <w:sz w:val="22"/>
          <w:szCs w:val="22"/>
        </w:rPr>
        <w:t xml:space="preserve"> </w:t>
      </w:r>
      <w:r w:rsidR="00BC5696" w:rsidRPr="00636D95">
        <w:rPr>
          <w:rFonts w:ascii="Arial" w:hAnsi="Arial" w:cs="Arial"/>
          <w:sz w:val="22"/>
          <w:szCs w:val="22"/>
        </w:rPr>
        <w:t xml:space="preserve">(Marzi </w:t>
      </w:r>
      <w:r w:rsidR="00BC5696" w:rsidRPr="00636D95">
        <w:rPr>
          <w:rFonts w:ascii="Arial" w:hAnsi="Arial" w:cs="Arial"/>
          <w:i/>
          <w:iCs/>
          <w:sz w:val="22"/>
          <w:szCs w:val="22"/>
        </w:rPr>
        <w:t>et al.</w:t>
      </w:r>
      <w:r w:rsidR="00BC5696" w:rsidRPr="00636D95">
        <w:rPr>
          <w:rFonts w:ascii="Arial" w:hAnsi="Arial" w:cs="Arial"/>
          <w:sz w:val="22"/>
          <w:szCs w:val="22"/>
        </w:rPr>
        <w:t>, 2025)</w:t>
      </w:r>
      <w:proofErr w:type="gramStart"/>
      <w:r w:rsidR="00BC5696" w:rsidRPr="00636D95">
        <w:rPr>
          <w:rFonts w:ascii="Arial" w:hAnsi="Arial" w:cs="Arial"/>
          <w:sz w:val="22"/>
          <w:szCs w:val="22"/>
        </w:rPr>
        <w:t>.</w:t>
      </w:r>
      <w:r w:rsidR="007B19A6" w:rsidRPr="00636D95">
        <w:rPr>
          <w:rFonts w:ascii="Arial" w:hAnsi="Arial" w:cs="Arial"/>
          <w:sz w:val="22"/>
          <w:szCs w:val="22"/>
        </w:rPr>
        <w:t xml:space="preserve"> </w:t>
      </w:r>
      <w:r w:rsidRPr="00636D95">
        <w:rPr>
          <w:rFonts w:ascii="Arial" w:eastAsia="Arial" w:hAnsi="Arial" w:cs="Arial"/>
          <w:sz w:val="22"/>
          <w:szCs w:val="22"/>
        </w:rPr>
        <w:t xml:space="preserve"> </w:t>
      </w:r>
      <w:proofErr w:type="gramEnd"/>
      <w:r w:rsidRPr="00636D95">
        <w:rPr>
          <w:rFonts w:ascii="Arial" w:eastAsia="Arial" w:hAnsi="Arial" w:cs="Arial"/>
          <w:sz w:val="22"/>
          <w:szCs w:val="22"/>
        </w:rPr>
        <w:t>The selection criteria will prioritise credible, recent studies related to adverse childhood experiences and physical health outcomes. Data will be analysed using a thematic approach to identify common patterns, relationships, and key findings, with comparisons made between studies to highlight similarities and differences in the evidence</w:t>
      </w:r>
      <w:r w:rsidR="00160C4A" w:rsidRPr="00636D95">
        <w:rPr>
          <w:rFonts w:ascii="Arial" w:eastAsia="Arial" w:hAnsi="Arial" w:cs="Arial"/>
          <w:sz w:val="22"/>
          <w:szCs w:val="22"/>
        </w:rPr>
        <w:t xml:space="preserve"> (Marzi et al., 2025)</w:t>
      </w:r>
      <w:proofErr w:type="gramStart"/>
      <w:r w:rsidR="00160C4A" w:rsidRPr="00636D95">
        <w:rPr>
          <w:rFonts w:ascii="Arial" w:eastAsia="Arial" w:hAnsi="Arial" w:cs="Arial"/>
          <w:sz w:val="22"/>
          <w:szCs w:val="22"/>
        </w:rPr>
        <w:t xml:space="preserve">. </w:t>
      </w:r>
      <w:r w:rsidRPr="00636D95">
        <w:rPr>
          <w:rFonts w:ascii="Arial" w:eastAsia="Arial" w:hAnsi="Arial" w:cs="Arial"/>
          <w:sz w:val="22"/>
          <w:szCs w:val="22"/>
        </w:rPr>
        <w:t xml:space="preserve"> </w:t>
      </w:r>
      <w:proofErr w:type="gramEnd"/>
      <w:r w:rsidRPr="00636D95">
        <w:rPr>
          <w:rFonts w:ascii="Arial" w:eastAsia="Arial" w:hAnsi="Arial" w:cs="Arial"/>
          <w:sz w:val="22"/>
          <w:szCs w:val="22"/>
        </w:rPr>
        <w:t>Ethical considerations will include accurate referencing, avoidance of plagiarism, and responsible, critical use of all sources.</w:t>
      </w:r>
    </w:p>
    <w:p w14:paraId="22466668" w14:textId="77777777" w:rsidR="00B30AFB" w:rsidRPr="00636D95" w:rsidRDefault="00B30AFB" w:rsidP="00636D95">
      <w:pPr>
        <w:spacing w:line="360" w:lineRule="auto"/>
        <w:jc w:val="both"/>
        <w:rPr>
          <w:rFonts w:ascii="Arial" w:eastAsia="Arial" w:hAnsi="Arial" w:cs="Arial"/>
          <w:sz w:val="22"/>
          <w:szCs w:val="22"/>
        </w:rPr>
      </w:pPr>
    </w:p>
    <w:p w14:paraId="01D37455" w14:textId="77777777" w:rsidR="00B30AFB" w:rsidRPr="00636D95" w:rsidRDefault="00B30AFB" w:rsidP="00636D95">
      <w:pPr>
        <w:spacing w:line="360" w:lineRule="auto"/>
        <w:rPr>
          <w:rFonts w:ascii="Arial" w:eastAsia="Arial" w:hAnsi="Arial" w:cs="Arial"/>
          <w:b/>
          <w:bCs/>
          <w:sz w:val="22"/>
          <w:szCs w:val="22"/>
        </w:rPr>
      </w:pPr>
    </w:p>
    <w:p w14:paraId="28229E79" w14:textId="77777777" w:rsidR="00B30AFB" w:rsidRPr="00636D95" w:rsidRDefault="00000000" w:rsidP="00636D95">
      <w:pPr>
        <w:spacing w:line="360" w:lineRule="auto"/>
        <w:rPr>
          <w:rFonts w:ascii="Arial" w:eastAsia="Arial" w:hAnsi="Arial" w:cs="Arial"/>
          <w:b/>
          <w:bCs/>
          <w:sz w:val="22"/>
          <w:szCs w:val="22"/>
        </w:rPr>
      </w:pPr>
      <w:r w:rsidRPr="00636D95">
        <w:rPr>
          <w:rFonts w:ascii="Arial" w:eastAsia="Arial" w:hAnsi="Arial" w:cs="Arial"/>
          <w:b/>
          <w:bCs/>
          <w:sz w:val="22"/>
          <w:szCs w:val="22"/>
        </w:rPr>
        <w:t xml:space="preserve">5) Resources </w:t>
      </w:r>
    </w:p>
    <w:p w14:paraId="53264746" w14:textId="77777777" w:rsidR="00B30AFB" w:rsidRPr="00636D95" w:rsidRDefault="00B30AFB" w:rsidP="00636D95">
      <w:pPr>
        <w:spacing w:line="360" w:lineRule="auto"/>
        <w:rPr>
          <w:rFonts w:ascii="Arial" w:eastAsia="Arial" w:hAnsi="Arial" w:cs="Arial"/>
          <w:sz w:val="22"/>
          <w:szCs w:val="22"/>
        </w:rPr>
      </w:pPr>
    </w:p>
    <w:p w14:paraId="7E892590" w14:textId="77777777" w:rsidR="00B30AFB" w:rsidRPr="00636D95" w:rsidRDefault="00000000" w:rsidP="00636D95">
      <w:pPr>
        <w:numPr>
          <w:ilvl w:val="0"/>
          <w:numId w:val="1"/>
        </w:numPr>
        <w:pBdr>
          <w:top w:val="nil"/>
          <w:left w:val="nil"/>
          <w:bottom w:val="nil"/>
          <w:right w:val="nil"/>
          <w:between w:val="nil"/>
        </w:pBdr>
        <w:spacing w:line="360" w:lineRule="auto"/>
        <w:rPr>
          <w:rFonts w:ascii="Arial" w:eastAsia="Arial" w:hAnsi="Arial" w:cs="Arial"/>
          <w:color w:val="000000"/>
          <w:sz w:val="22"/>
          <w:szCs w:val="22"/>
        </w:rPr>
      </w:pPr>
      <w:r w:rsidRPr="00636D95">
        <w:rPr>
          <w:rFonts w:ascii="Arial" w:eastAsia="Arial" w:hAnsi="Arial" w:cs="Arial"/>
          <w:color w:val="000000"/>
          <w:sz w:val="22"/>
          <w:szCs w:val="22"/>
        </w:rPr>
        <w:t>Databases: PubMed, JSTOR, Google Scholar (peer</w:t>
      </w:r>
      <w:r w:rsidRPr="00636D95">
        <w:rPr>
          <w:rFonts w:ascii="Cambria Math" w:eastAsia="Arial" w:hAnsi="Cambria Math" w:cs="Cambria Math"/>
          <w:color w:val="000000"/>
          <w:sz w:val="22"/>
          <w:szCs w:val="22"/>
        </w:rPr>
        <w:t>‑</w:t>
      </w:r>
      <w:r w:rsidRPr="00636D95">
        <w:rPr>
          <w:rFonts w:ascii="Arial" w:eastAsia="Arial" w:hAnsi="Arial" w:cs="Arial"/>
          <w:color w:val="000000"/>
          <w:sz w:val="22"/>
          <w:szCs w:val="22"/>
        </w:rPr>
        <w:t>reviewed research)</w:t>
      </w:r>
    </w:p>
    <w:p w14:paraId="6E72FD0C" w14:textId="77777777" w:rsidR="00B30AFB" w:rsidRPr="00636D95" w:rsidRDefault="00000000" w:rsidP="00636D95">
      <w:pPr>
        <w:numPr>
          <w:ilvl w:val="0"/>
          <w:numId w:val="1"/>
        </w:numPr>
        <w:pBdr>
          <w:top w:val="nil"/>
          <w:left w:val="nil"/>
          <w:bottom w:val="nil"/>
          <w:right w:val="nil"/>
          <w:between w:val="nil"/>
        </w:pBdr>
        <w:spacing w:line="360" w:lineRule="auto"/>
        <w:rPr>
          <w:rFonts w:ascii="Arial" w:eastAsia="Arial" w:hAnsi="Arial" w:cs="Arial"/>
          <w:color w:val="000000"/>
          <w:sz w:val="22"/>
          <w:szCs w:val="22"/>
        </w:rPr>
      </w:pPr>
      <w:r w:rsidRPr="00636D95">
        <w:rPr>
          <w:rFonts w:ascii="Arial" w:eastAsia="Arial" w:hAnsi="Arial" w:cs="Arial"/>
          <w:color w:val="000000"/>
          <w:sz w:val="22"/>
          <w:szCs w:val="22"/>
        </w:rPr>
        <w:t>Websites: WHO, NHS, UWTSD library resources</w:t>
      </w:r>
    </w:p>
    <w:p w14:paraId="4C62993D" w14:textId="77777777" w:rsidR="00B30AFB" w:rsidRPr="00636D95" w:rsidRDefault="00000000" w:rsidP="00636D95">
      <w:pPr>
        <w:numPr>
          <w:ilvl w:val="0"/>
          <w:numId w:val="1"/>
        </w:numPr>
        <w:pBdr>
          <w:top w:val="nil"/>
          <w:left w:val="nil"/>
          <w:bottom w:val="nil"/>
          <w:right w:val="nil"/>
          <w:between w:val="nil"/>
        </w:pBdr>
        <w:spacing w:line="360" w:lineRule="auto"/>
        <w:rPr>
          <w:rFonts w:ascii="Arial" w:eastAsia="Arial" w:hAnsi="Arial" w:cs="Arial"/>
          <w:color w:val="000000"/>
          <w:sz w:val="22"/>
          <w:szCs w:val="22"/>
        </w:rPr>
      </w:pPr>
      <w:r w:rsidRPr="00636D95">
        <w:rPr>
          <w:rFonts w:ascii="Arial" w:eastAsia="Arial" w:hAnsi="Arial" w:cs="Arial"/>
          <w:color w:val="000000"/>
          <w:sz w:val="22"/>
          <w:szCs w:val="22"/>
        </w:rPr>
        <w:t xml:space="preserve">Tools: </w:t>
      </w:r>
      <w:proofErr w:type="spellStart"/>
      <w:r w:rsidRPr="00636D95">
        <w:rPr>
          <w:rFonts w:ascii="Arial" w:eastAsia="Arial" w:hAnsi="Arial" w:cs="Arial"/>
          <w:color w:val="000000"/>
          <w:sz w:val="22"/>
          <w:szCs w:val="22"/>
        </w:rPr>
        <w:t>MyBib</w:t>
      </w:r>
      <w:proofErr w:type="spellEnd"/>
      <w:r w:rsidRPr="00636D95">
        <w:rPr>
          <w:rFonts w:ascii="Arial" w:eastAsia="Arial" w:hAnsi="Arial" w:cs="Arial"/>
          <w:color w:val="000000"/>
          <w:sz w:val="22"/>
          <w:szCs w:val="22"/>
        </w:rPr>
        <w:t xml:space="preserve">, </w:t>
      </w:r>
      <w:proofErr w:type="spellStart"/>
      <w:r w:rsidRPr="00636D95">
        <w:rPr>
          <w:rFonts w:ascii="Arial" w:eastAsia="Arial" w:hAnsi="Arial" w:cs="Arial"/>
          <w:color w:val="000000"/>
          <w:sz w:val="22"/>
          <w:szCs w:val="22"/>
        </w:rPr>
        <w:t>Refworks</w:t>
      </w:r>
      <w:proofErr w:type="spellEnd"/>
      <w:r w:rsidRPr="00636D95">
        <w:rPr>
          <w:rFonts w:ascii="Arial" w:eastAsia="Arial" w:hAnsi="Arial" w:cs="Arial"/>
          <w:color w:val="000000"/>
          <w:sz w:val="22"/>
          <w:szCs w:val="22"/>
        </w:rPr>
        <w:t xml:space="preserve"> (referencing), MS Word, Grammarly (writing), </w:t>
      </w:r>
    </w:p>
    <w:p w14:paraId="7D9D97F1" w14:textId="77777777" w:rsidR="00B30AFB" w:rsidRPr="00636D95" w:rsidRDefault="00000000" w:rsidP="00636D95">
      <w:pPr>
        <w:numPr>
          <w:ilvl w:val="0"/>
          <w:numId w:val="1"/>
        </w:numPr>
        <w:pBdr>
          <w:top w:val="nil"/>
          <w:left w:val="nil"/>
          <w:bottom w:val="nil"/>
          <w:right w:val="nil"/>
          <w:between w:val="nil"/>
        </w:pBdr>
        <w:spacing w:line="360" w:lineRule="auto"/>
        <w:rPr>
          <w:rFonts w:ascii="Arial" w:eastAsia="Arial" w:hAnsi="Arial" w:cs="Arial"/>
          <w:color w:val="000000"/>
          <w:sz w:val="22"/>
          <w:szCs w:val="22"/>
        </w:rPr>
      </w:pPr>
      <w:r w:rsidRPr="00636D95">
        <w:rPr>
          <w:rFonts w:ascii="Arial" w:eastAsia="Arial" w:hAnsi="Arial" w:cs="Arial"/>
          <w:color w:val="000000"/>
          <w:sz w:val="22"/>
          <w:szCs w:val="22"/>
        </w:rPr>
        <w:t xml:space="preserve">Support: Lecturer, library staff, tutor, classmates </w:t>
      </w:r>
    </w:p>
    <w:p w14:paraId="539CED4F" w14:textId="04BFC3B6" w:rsidR="00273302" w:rsidRPr="00636D95" w:rsidRDefault="00000000" w:rsidP="00636D95">
      <w:pPr>
        <w:numPr>
          <w:ilvl w:val="0"/>
          <w:numId w:val="1"/>
        </w:numPr>
        <w:pBdr>
          <w:top w:val="nil"/>
          <w:left w:val="nil"/>
          <w:bottom w:val="nil"/>
          <w:right w:val="nil"/>
          <w:between w:val="nil"/>
        </w:pBdr>
        <w:spacing w:after="160" w:line="360" w:lineRule="auto"/>
        <w:rPr>
          <w:rFonts w:ascii="Arial" w:eastAsia="Arial" w:hAnsi="Arial" w:cs="Arial"/>
          <w:color w:val="000000"/>
          <w:sz w:val="22"/>
          <w:szCs w:val="22"/>
        </w:rPr>
      </w:pPr>
      <w:r w:rsidRPr="00636D95">
        <w:rPr>
          <w:rFonts w:ascii="Arial" w:eastAsia="Arial" w:hAnsi="Arial" w:cs="Arial"/>
          <w:color w:val="000000"/>
          <w:sz w:val="22"/>
          <w:szCs w:val="22"/>
        </w:rPr>
        <w:t>Institutional: Library access, workshops, IT support, NViv</w:t>
      </w:r>
      <w:r w:rsidR="00312956" w:rsidRPr="00636D95">
        <w:rPr>
          <w:rFonts w:ascii="Arial" w:eastAsia="Arial" w:hAnsi="Arial" w:cs="Arial"/>
          <w:color w:val="000000"/>
          <w:sz w:val="22"/>
          <w:szCs w:val="22"/>
        </w:rPr>
        <w:t>o</w:t>
      </w:r>
    </w:p>
    <w:p w14:paraId="67C5C7FB" w14:textId="77777777" w:rsidR="00B30AFB" w:rsidRPr="00636D95" w:rsidRDefault="00B30AFB" w:rsidP="00636D95">
      <w:pPr>
        <w:spacing w:line="360" w:lineRule="auto"/>
        <w:rPr>
          <w:rFonts w:ascii="Arial" w:eastAsia="Arial" w:hAnsi="Arial" w:cs="Arial"/>
          <w:b/>
          <w:bCs/>
          <w:sz w:val="22"/>
          <w:szCs w:val="22"/>
        </w:rPr>
      </w:pPr>
    </w:p>
    <w:p w14:paraId="6D2182C0" w14:textId="77777777" w:rsidR="007D44A2" w:rsidRPr="00636D95" w:rsidRDefault="007D44A2" w:rsidP="00636D95">
      <w:pPr>
        <w:shd w:val="clear" w:color="auto" w:fill="FFFFFF"/>
        <w:spacing w:line="360" w:lineRule="auto"/>
        <w:rPr>
          <w:rFonts w:ascii="Arial" w:eastAsia="Arial" w:hAnsi="Arial" w:cs="Arial"/>
          <w:b/>
          <w:bCs/>
          <w:sz w:val="22"/>
          <w:szCs w:val="22"/>
        </w:rPr>
      </w:pPr>
    </w:p>
    <w:p w14:paraId="5C5B2854" w14:textId="77777777" w:rsidR="007D44A2" w:rsidRPr="00636D95" w:rsidRDefault="007D44A2" w:rsidP="00636D95">
      <w:pPr>
        <w:shd w:val="clear" w:color="auto" w:fill="FFFFFF"/>
        <w:spacing w:line="360" w:lineRule="auto"/>
        <w:rPr>
          <w:rFonts w:ascii="Arial" w:eastAsia="Arial" w:hAnsi="Arial" w:cs="Arial"/>
          <w:b/>
          <w:bCs/>
          <w:sz w:val="22"/>
          <w:szCs w:val="22"/>
        </w:rPr>
      </w:pPr>
    </w:p>
    <w:p w14:paraId="64A7AEFC" w14:textId="77777777" w:rsidR="007D44A2" w:rsidRPr="00636D95" w:rsidRDefault="007D44A2" w:rsidP="00636D95">
      <w:pPr>
        <w:shd w:val="clear" w:color="auto" w:fill="FFFFFF"/>
        <w:spacing w:line="360" w:lineRule="auto"/>
        <w:rPr>
          <w:rFonts w:ascii="Arial" w:eastAsia="Arial" w:hAnsi="Arial" w:cs="Arial"/>
          <w:b/>
          <w:bCs/>
          <w:sz w:val="22"/>
          <w:szCs w:val="22"/>
        </w:rPr>
      </w:pPr>
    </w:p>
    <w:p w14:paraId="26883C04" w14:textId="77777777" w:rsidR="007D44A2" w:rsidRPr="00636D95" w:rsidRDefault="007D44A2" w:rsidP="00636D95">
      <w:pPr>
        <w:shd w:val="clear" w:color="auto" w:fill="FFFFFF"/>
        <w:spacing w:line="360" w:lineRule="auto"/>
        <w:rPr>
          <w:rFonts w:ascii="Arial" w:eastAsia="Arial" w:hAnsi="Arial" w:cs="Arial"/>
          <w:b/>
          <w:bCs/>
          <w:sz w:val="22"/>
          <w:szCs w:val="22"/>
        </w:rPr>
      </w:pPr>
    </w:p>
    <w:p w14:paraId="43900F84" w14:textId="0FF0DE2E" w:rsidR="008C0053" w:rsidRPr="00636D95" w:rsidRDefault="00000000" w:rsidP="00636D95">
      <w:pPr>
        <w:shd w:val="clear" w:color="auto" w:fill="FFFFFF"/>
        <w:spacing w:line="360" w:lineRule="auto"/>
        <w:rPr>
          <w:rFonts w:ascii="Arial" w:eastAsia="Arial" w:hAnsi="Arial" w:cs="Arial"/>
          <w:b/>
          <w:bCs/>
          <w:sz w:val="22"/>
          <w:szCs w:val="22"/>
        </w:rPr>
      </w:pPr>
      <w:r w:rsidRPr="00636D95">
        <w:rPr>
          <w:rFonts w:ascii="Arial" w:eastAsia="Arial" w:hAnsi="Arial" w:cs="Arial"/>
          <w:b/>
          <w:bCs/>
          <w:sz w:val="22"/>
          <w:szCs w:val="22"/>
        </w:rPr>
        <w:t xml:space="preserve">6) </w:t>
      </w:r>
      <w:r w:rsidR="007D44A2" w:rsidRPr="00636D95">
        <w:rPr>
          <w:rFonts w:ascii="Arial" w:eastAsia="Arial" w:hAnsi="Arial" w:cs="Arial"/>
          <w:b/>
          <w:bCs/>
          <w:sz w:val="22"/>
          <w:szCs w:val="22"/>
        </w:rPr>
        <w:t>Dissertation</w:t>
      </w:r>
      <w:r w:rsidR="0068428E" w:rsidRPr="00636D95">
        <w:rPr>
          <w:rFonts w:ascii="Arial" w:eastAsia="Arial" w:hAnsi="Arial" w:cs="Arial"/>
          <w:b/>
          <w:bCs/>
          <w:sz w:val="22"/>
          <w:szCs w:val="22"/>
        </w:rPr>
        <w:t xml:space="preserve"> </w:t>
      </w:r>
      <w:r w:rsidRPr="00636D95">
        <w:rPr>
          <w:rFonts w:ascii="Arial" w:eastAsia="Arial" w:hAnsi="Arial" w:cs="Arial"/>
          <w:b/>
          <w:bCs/>
          <w:sz w:val="22"/>
          <w:szCs w:val="22"/>
        </w:rPr>
        <w:t>Time</w:t>
      </w:r>
      <w:r w:rsidR="0068428E" w:rsidRPr="00636D95">
        <w:rPr>
          <w:rFonts w:ascii="Arial" w:eastAsia="Arial" w:hAnsi="Arial" w:cs="Arial"/>
          <w:b/>
          <w:bCs/>
          <w:sz w:val="22"/>
          <w:szCs w:val="22"/>
        </w:rPr>
        <w:t>line</w:t>
      </w:r>
    </w:p>
    <w:p w14:paraId="048CD1BC" w14:textId="77777777" w:rsidR="007D44A2" w:rsidRPr="00636D95" w:rsidRDefault="007D44A2" w:rsidP="00636D95">
      <w:pPr>
        <w:shd w:val="clear" w:color="auto" w:fill="FFFFFF"/>
        <w:spacing w:line="360" w:lineRule="auto"/>
        <w:rPr>
          <w:rFonts w:ascii="Arial" w:eastAsia="Roboto" w:hAnsi="Arial" w:cs="Arial"/>
          <w:b/>
          <w:bCs/>
          <w:color w:val="283041"/>
          <w:sz w:val="22"/>
          <w:szCs w:val="22"/>
        </w:rPr>
      </w:pPr>
    </w:p>
    <w:p w14:paraId="2995D80E" w14:textId="3DC32380" w:rsidR="00B30AFB" w:rsidRPr="00636D95" w:rsidRDefault="006B1F41" w:rsidP="00636D95">
      <w:pPr>
        <w:spacing w:line="360" w:lineRule="auto"/>
        <w:rPr>
          <w:rFonts w:ascii="Arial" w:eastAsia="Arial" w:hAnsi="Arial" w:cs="Arial"/>
          <w:b/>
          <w:bCs/>
          <w:sz w:val="22"/>
          <w:szCs w:val="22"/>
        </w:rPr>
      </w:pPr>
      <w:r w:rsidRPr="006B1F41">
        <w:rPr>
          <w:rFonts w:ascii="Arial" w:eastAsia="Arial" w:hAnsi="Arial" w:cs="Arial"/>
          <w:b/>
          <w:bCs/>
          <w:noProof/>
          <w:sz w:val="22"/>
          <w:szCs w:val="22"/>
        </w:rPr>
        <w:drawing>
          <wp:inline distT="0" distB="0" distL="0" distR="0" wp14:anchorId="0235CC9B" wp14:editId="52E93B7F">
            <wp:extent cx="5731510" cy="5673725"/>
            <wp:effectExtent l="0" t="0" r="0" b="3175"/>
            <wp:docPr id="59548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8352" name=""/>
                    <pic:cNvPicPr/>
                  </pic:nvPicPr>
                  <pic:blipFill>
                    <a:blip r:embed="rId8"/>
                    <a:stretch>
                      <a:fillRect/>
                    </a:stretch>
                  </pic:blipFill>
                  <pic:spPr>
                    <a:xfrm>
                      <a:off x="0" y="0"/>
                      <a:ext cx="5731510" cy="5673725"/>
                    </a:xfrm>
                    <a:prstGeom prst="rect">
                      <a:avLst/>
                    </a:prstGeom>
                  </pic:spPr>
                </pic:pic>
              </a:graphicData>
            </a:graphic>
          </wp:inline>
        </w:drawing>
      </w:r>
    </w:p>
    <w:p w14:paraId="41DA3AC1" w14:textId="77777777" w:rsidR="00B30AFB" w:rsidRPr="00636D95" w:rsidRDefault="00B30AFB" w:rsidP="00636D95">
      <w:pPr>
        <w:spacing w:line="360" w:lineRule="auto"/>
        <w:rPr>
          <w:rFonts w:ascii="Arial" w:eastAsia="Arial" w:hAnsi="Arial" w:cs="Arial"/>
          <w:sz w:val="22"/>
          <w:szCs w:val="22"/>
        </w:rPr>
      </w:pPr>
    </w:p>
    <w:p w14:paraId="6C0CD1CE" w14:textId="77777777" w:rsidR="00B30AFB" w:rsidRPr="00636D95" w:rsidRDefault="00B30AFB" w:rsidP="00636D95">
      <w:pPr>
        <w:spacing w:line="360" w:lineRule="auto"/>
        <w:rPr>
          <w:rFonts w:ascii="Arial" w:eastAsia="Arial" w:hAnsi="Arial" w:cs="Arial"/>
          <w:sz w:val="22"/>
          <w:szCs w:val="22"/>
        </w:rPr>
      </w:pPr>
    </w:p>
    <w:p w14:paraId="42D9C7EB" w14:textId="77777777" w:rsidR="00B30AFB" w:rsidRPr="00636D95" w:rsidRDefault="00000000" w:rsidP="00636D95">
      <w:pPr>
        <w:spacing w:line="360" w:lineRule="auto"/>
        <w:rPr>
          <w:rFonts w:ascii="Arial" w:eastAsia="Arial" w:hAnsi="Arial" w:cs="Arial"/>
          <w:b/>
          <w:bCs/>
          <w:sz w:val="22"/>
          <w:szCs w:val="22"/>
        </w:rPr>
      </w:pPr>
      <w:r w:rsidRPr="00636D95">
        <w:rPr>
          <w:rFonts w:ascii="Arial" w:eastAsia="Arial" w:hAnsi="Arial" w:cs="Arial"/>
          <w:b/>
          <w:bCs/>
          <w:sz w:val="22"/>
          <w:szCs w:val="22"/>
        </w:rPr>
        <w:t xml:space="preserve">7) Self-Reflection as a Researcher </w:t>
      </w:r>
    </w:p>
    <w:p w14:paraId="37D7546B" w14:textId="77777777" w:rsidR="00B30AFB" w:rsidRPr="00636D95" w:rsidRDefault="00B30AFB" w:rsidP="00636D95">
      <w:pPr>
        <w:spacing w:line="360" w:lineRule="auto"/>
        <w:rPr>
          <w:rFonts w:ascii="Arial" w:eastAsia="Arial" w:hAnsi="Arial" w:cs="Arial"/>
          <w:sz w:val="22"/>
          <w:szCs w:val="22"/>
        </w:rPr>
      </w:pPr>
    </w:p>
    <w:p w14:paraId="3AAECCA5" w14:textId="236F3E8A" w:rsidR="00B30AFB" w:rsidRDefault="00000000">
      <w:pPr>
        <w:spacing w:line="360" w:lineRule="auto"/>
        <w:jc w:val="both"/>
        <w:rPr>
          <w:rFonts w:ascii="Arial" w:eastAsia="Arial" w:hAnsi="Arial" w:cs="Arial"/>
          <w:sz w:val="22"/>
          <w:szCs w:val="22"/>
        </w:rPr>
      </w:pPr>
      <w:r w:rsidRPr="00636D95">
        <w:rPr>
          <w:rFonts w:ascii="Arial" w:eastAsia="Arial" w:hAnsi="Arial" w:cs="Arial"/>
          <w:sz w:val="22"/>
          <w:szCs w:val="22"/>
        </w:rPr>
        <w:t>Throughout my degree journey, I have noticed improvements in my reading, note-taking, and critical review of academic materials</w:t>
      </w:r>
      <w:proofErr w:type="gramStart"/>
      <w:r w:rsidRPr="00636D95">
        <w:rPr>
          <w:rFonts w:ascii="Arial" w:eastAsia="Arial" w:hAnsi="Arial" w:cs="Arial"/>
          <w:sz w:val="22"/>
          <w:szCs w:val="22"/>
        </w:rPr>
        <w:t xml:space="preserve">.  </w:t>
      </w:r>
      <w:proofErr w:type="gramEnd"/>
      <w:r w:rsidRPr="00636D95">
        <w:rPr>
          <w:rFonts w:ascii="Arial" w:eastAsia="Arial" w:hAnsi="Arial" w:cs="Arial"/>
          <w:sz w:val="22"/>
          <w:szCs w:val="22"/>
        </w:rPr>
        <w:t xml:space="preserve">However, I have not carried out research to this extent, so I will seek guidance from sources on how to write a literature review, methodology, analysis, </w:t>
      </w:r>
      <w:r w:rsidRPr="00636D95">
        <w:rPr>
          <w:rFonts w:ascii="Arial" w:eastAsia="Arial" w:hAnsi="Arial" w:cs="Arial"/>
          <w:sz w:val="22"/>
          <w:szCs w:val="22"/>
        </w:rPr>
        <w:lastRenderedPageBreak/>
        <w:t>and discussion</w:t>
      </w:r>
      <w:proofErr w:type="gramStart"/>
      <w:r w:rsidRPr="00636D95">
        <w:rPr>
          <w:rFonts w:ascii="Arial" w:eastAsia="Arial" w:hAnsi="Arial" w:cs="Arial"/>
          <w:sz w:val="22"/>
          <w:szCs w:val="22"/>
        </w:rPr>
        <w:t xml:space="preserve">.  </w:t>
      </w:r>
      <w:proofErr w:type="gramEnd"/>
      <w:r w:rsidRPr="00636D95">
        <w:rPr>
          <w:rFonts w:ascii="Arial" w:eastAsia="Arial" w:hAnsi="Arial" w:cs="Arial"/>
          <w:sz w:val="22"/>
          <w:szCs w:val="22"/>
        </w:rPr>
        <w:t>I intend to communicate with my support network, lecturers, library staff, tutor, and classmates, and to utilise any feedback to improve my approach to this research and the outcome as best as possible.</w:t>
      </w:r>
    </w:p>
    <w:p w14:paraId="11EAF700" w14:textId="77777777" w:rsidR="00F57DBE" w:rsidRDefault="00F57DBE" w:rsidP="001A5F33">
      <w:pPr>
        <w:shd w:val="clear" w:color="auto" w:fill="FFFFFF"/>
        <w:spacing w:after="240" w:line="360" w:lineRule="auto"/>
        <w:rPr>
          <w:rFonts w:ascii="Arial" w:eastAsia="Arial" w:hAnsi="Arial" w:cs="Arial"/>
          <w:b/>
          <w:bCs/>
          <w:sz w:val="22"/>
          <w:szCs w:val="22"/>
        </w:rPr>
      </w:pPr>
    </w:p>
    <w:p w14:paraId="2372D803" w14:textId="77777777" w:rsidR="00F57DBE" w:rsidRDefault="00F57DBE" w:rsidP="001A5F33">
      <w:pPr>
        <w:shd w:val="clear" w:color="auto" w:fill="FFFFFF"/>
        <w:spacing w:after="240" w:line="360" w:lineRule="auto"/>
        <w:rPr>
          <w:rFonts w:ascii="Arial" w:eastAsia="Arial" w:hAnsi="Arial" w:cs="Arial"/>
          <w:b/>
          <w:bCs/>
          <w:sz w:val="22"/>
          <w:szCs w:val="22"/>
        </w:rPr>
      </w:pPr>
    </w:p>
    <w:p w14:paraId="2CEB476A" w14:textId="77777777" w:rsidR="00F57DBE" w:rsidRDefault="00F57DBE" w:rsidP="001A5F33">
      <w:pPr>
        <w:shd w:val="clear" w:color="auto" w:fill="FFFFFF"/>
        <w:spacing w:after="240" w:line="360" w:lineRule="auto"/>
        <w:rPr>
          <w:rFonts w:ascii="Arial" w:eastAsia="Arial" w:hAnsi="Arial" w:cs="Arial"/>
          <w:b/>
          <w:bCs/>
          <w:sz w:val="22"/>
          <w:szCs w:val="22"/>
        </w:rPr>
      </w:pPr>
    </w:p>
    <w:p w14:paraId="25B59FC1" w14:textId="77777777" w:rsidR="00F57DBE" w:rsidRDefault="00F57DBE" w:rsidP="001A5F33">
      <w:pPr>
        <w:shd w:val="clear" w:color="auto" w:fill="FFFFFF"/>
        <w:spacing w:after="240" w:line="360" w:lineRule="auto"/>
        <w:rPr>
          <w:rFonts w:ascii="Arial" w:eastAsia="Arial" w:hAnsi="Arial" w:cs="Arial"/>
          <w:b/>
          <w:bCs/>
          <w:sz w:val="22"/>
          <w:szCs w:val="22"/>
        </w:rPr>
      </w:pPr>
    </w:p>
    <w:p w14:paraId="7ABF022E" w14:textId="77777777" w:rsidR="00F57DBE" w:rsidRDefault="00F57DBE" w:rsidP="001A5F33">
      <w:pPr>
        <w:shd w:val="clear" w:color="auto" w:fill="FFFFFF"/>
        <w:spacing w:after="240" w:line="360" w:lineRule="auto"/>
        <w:rPr>
          <w:rFonts w:ascii="Arial" w:eastAsia="Arial" w:hAnsi="Arial" w:cs="Arial"/>
          <w:b/>
          <w:bCs/>
          <w:sz w:val="22"/>
          <w:szCs w:val="22"/>
        </w:rPr>
      </w:pPr>
    </w:p>
    <w:p w14:paraId="443930D8" w14:textId="77777777" w:rsidR="00F57DBE" w:rsidRDefault="00F57DBE" w:rsidP="001A5F33">
      <w:pPr>
        <w:shd w:val="clear" w:color="auto" w:fill="FFFFFF"/>
        <w:spacing w:after="240" w:line="360" w:lineRule="auto"/>
        <w:rPr>
          <w:rFonts w:ascii="Arial" w:eastAsia="Arial" w:hAnsi="Arial" w:cs="Arial"/>
          <w:b/>
          <w:bCs/>
          <w:sz w:val="22"/>
          <w:szCs w:val="22"/>
        </w:rPr>
      </w:pPr>
    </w:p>
    <w:p w14:paraId="4CE17134" w14:textId="77777777" w:rsidR="00F57DBE" w:rsidRDefault="00F57DBE" w:rsidP="001A5F33">
      <w:pPr>
        <w:shd w:val="clear" w:color="auto" w:fill="FFFFFF"/>
        <w:spacing w:after="240" w:line="360" w:lineRule="auto"/>
        <w:rPr>
          <w:rFonts w:ascii="Arial" w:eastAsia="Arial" w:hAnsi="Arial" w:cs="Arial"/>
          <w:b/>
          <w:bCs/>
          <w:sz w:val="22"/>
          <w:szCs w:val="22"/>
        </w:rPr>
      </w:pPr>
    </w:p>
    <w:p w14:paraId="1F01BE03" w14:textId="77777777" w:rsidR="00F57DBE" w:rsidRDefault="00F57DBE" w:rsidP="001A5F33">
      <w:pPr>
        <w:shd w:val="clear" w:color="auto" w:fill="FFFFFF"/>
        <w:spacing w:after="240" w:line="360" w:lineRule="auto"/>
        <w:rPr>
          <w:rFonts w:ascii="Arial" w:eastAsia="Arial" w:hAnsi="Arial" w:cs="Arial"/>
          <w:b/>
          <w:bCs/>
          <w:sz w:val="22"/>
          <w:szCs w:val="22"/>
        </w:rPr>
      </w:pPr>
    </w:p>
    <w:p w14:paraId="4922A677" w14:textId="77777777" w:rsidR="00F57DBE" w:rsidRDefault="00F57DBE" w:rsidP="001A5F33">
      <w:pPr>
        <w:shd w:val="clear" w:color="auto" w:fill="FFFFFF"/>
        <w:spacing w:after="240" w:line="360" w:lineRule="auto"/>
        <w:rPr>
          <w:rFonts w:ascii="Arial" w:eastAsia="Arial" w:hAnsi="Arial" w:cs="Arial"/>
          <w:b/>
          <w:bCs/>
          <w:sz w:val="22"/>
          <w:szCs w:val="22"/>
        </w:rPr>
      </w:pPr>
    </w:p>
    <w:p w14:paraId="5D0B778E" w14:textId="77777777" w:rsidR="00F57DBE" w:rsidRDefault="00F57DBE" w:rsidP="001A5F33">
      <w:pPr>
        <w:shd w:val="clear" w:color="auto" w:fill="FFFFFF"/>
        <w:spacing w:after="240" w:line="360" w:lineRule="auto"/>
        <w:rPr>
          <w:rFonts w:ascii="Arial" w:eastAsia="Arial" w:hAnsi="Arial" w:cs="Arial"/>
          <w:b/>
          <w:bCs/>
          <w:sz w:val="22"/>
          <w:szCs w:val="22"/>
        </w:rPr>
      </w:pPr>
    </w:p>
    <w:p w14:paraId="589D2CBB" w14:textId="77777777" w:rsidR="00F57DBE" w:rsidRDefault="00F57DBE" w:rsidP="001A5F33">
      <w:pPr>
        <w:shd w:val="clear" w:color="auto" w:fill="FFFFFF"/>
        <w:spacing w:after="240" w:line="360" w:lineRule="auto"/>
        <w:rPr>
          <w:rFonts w:ascii="Arial" w:eastAsia="Arial" w:hAnsi="Arial" w:cs="Arial"/>
          <w:b/>
          <w:bCs/>
          <w:sz w:val="22"/>
          <w:szCs w:val="22"/>
        </w:rPr>
      </w:pPr>
    </w:p>
    <w:p w14:paraId="7ADE8E26" w14:textId="77777777" w:rsidR="00F57DBE" w:rsidRDefault="00F57DBE" w:rsidP="001A5F33">
      <w:pPr>
        <w:shd w:val="clear" w:color="auto" w:fill="FFFFFF"/>
        <w:spacing w:after="240" w:line="360" w:lineRule="auto"/>
        <w:rPr>
          <w:rFonts w:ascii="Arial" w:eastAsia="Arial" w:hAnsi="Arial" w:cs="Arial"/>
          <w:b/>
          <w:bCs/>
          <w:sz w:val="22"/>
          <w:szCs w:val="22"/>
        </w:rPr>
      </w:pPr>
    </w:p>
    <w:p w14:paraId="726F741B" w14:textId="77777777" w:rsidR="00F57DBE" w:rsidRDefault="00F57DBE" w:rsidP="001A5F33">
      <w:pPr>
        <w:shd w:val="clear" w:color="auto" w:fill="FFFFFF"/>
        <w:spacing w:after="240" w:line="360" w:lineRule="auto"/>
        <w:rPr>
          <w:rFonts w:ascii="Arial" w:eastAsia="Arial" w:hAnsi="Arial" w:cs="Arial"/>
          <w:b/>
          <w:bCs/>
          <w:sz w:val="22"/>
          <w:szCs w:val="22"/>
        </w:rPr>
      </w:pPr>
    </w:p>
    <w:p w14:paraId="25B11A53" w14:textId="77777777" w:rsidR="00F57DBE" w:rsidRDefault="00F57DBE" w:rsidP="001A5F33">
      <w:pPr>
        <w:shd w:val="clear" w:color="auto" w:fill="FFFFFF"/>
        <w:spacing w:after="240" w:line="360" w:lineRule="auto"/>
        <w:rPr>
          <w:rFonts w:ascii="Arial" w:eastAsia="Arial" w:hAnsi="Arial" w:cs="Arial"/>
          <w:b/>
          <w:bCs/>
          <w:sz w:val="22"/>
          <w:szCs w:val="22"/>
        </w:rPr>
      </w:pPr>
    </w:p>
    <w:p w14:paraId="70360AF0" w14:textId="77777777" w:rsidR="00F57DBE" w:rsidRDefault="00F57DBE" w:rsidP="001A5F33">
      <w:pPr>
        <w:shd w:val="clear" w:color="auto" w:fill="FFFFFF"/>
        <w:spacing w:after="240" w:line="360" w:lineRule="auto"/>
        <w:rPr>
          <w:rFonts w:ascii="Arial" w:eastAsia="Arial" w:hAnsi="Arial" w:cs="Arial"/>
          <w:b/>
          <w:bCs/>
          <w:sz w:val="22"/>
          <w:szCs w:val="22"/>
        </w:rPr>
      </w:pPr>
    </w:p>
    <w:p w14:paraId="33F55ECE" w14:textId="77777777" w:rsidR="00F57DBE" w:rsidRDefault="00F57DBE" w:rsidP="001A5F33">
      <w:pPr>
        <w:shd w:val="clear" w:color="auto" w:fill="FFFFFF"/>
        <w:spacing w:after="240" w:line="360" w:lineRule="auto"/>
        <w:rPr>
          <w:rFonts w:ascii="Arial" w:eastAsia="Arial" w:hAnsi="Arial" w:cs="Arial"/>
          <w:b/>
          <w:bCs/>
          <w:sz w:val="22"/>
          <w:szCs w:val="22"/>
        </w:rPr>
      </w:pPr>
    </w:p>
    <w:p w14:paraId="0BE0FEF6" w14:textId="77777777" w:rsidR="00F57DBE" w:rsidRDefault="00F57DBE" w:rsidP="001A5F33">
      <w:pPr>
        <w:shd w:val="clear" w:color="auto" w:fill="FFFFFF"/>
        <w:spacing w:after="240" w:line="360" w:lineRule="auto"/>
        <w:rPr>
          <w:rFonts w:ascii="Arial" w:eastAsia="Arial" w:hAnsi="Arial" w:cs="Arial"/>
          <w:b/>
          <w:bCs/>
          <w:sz w:val="22"/>
          <w:szCs w:val="22"/>
        </w:rPr>
      </w:pPr>
    </w:p>
    <w:p w14:paraId="4ADB35B3" w14:textId="77777777" w:rsidR="00F57DBE" w:rsidRDefault="00F57DBE" w:rsidP="001A5F33">
      <w:pPr>
        <w:shd w:val="clear" w:color="auto" w:fill="FFFFFF"/>
        <w:spacing w:after="240" w:line="360" w:lineRule="auto"/>
        <w:rPr>
          <w:rFonts w:ascii="Arial" w:eastAsia="Arial" w:hAnsi="Arial" w:cs="Arial"/>
          <w:b/>
          <w:bCs/>
          <w:sz w:val="22"/>
          <w:szCs w:val="22"/>
        </w:rPr>
      </w:pPr>
    </w:p>
    <w:p w14:paraId="018E6425" w14:textId="77777777" w:rsidR="00F57DBE" w:rsidRDefault="00F57DBE" w:rsidP="001A5F33">
      <w:pPr>
        <w:shd w:val="clear" w:color="auto" w:fill="FFFFFF"/>
        <w:spacing w:after="240" w:line="360" w:lineRule="auto"/>
        <w:rPr>
          <w:rFonts w:ascii="Arial" w:eastAsia="Arial" w:hAnsi="Arial" w:cs="Arial"/>
          <w:b/>
          <w:bCs/>
          <w:sz w:val="22"/>
          <w:szCs w:val="22"/>
        </w:rPr>
      </w:pPr>
    </w:p>
    <w:p w14:paraId="1C45E04B" w14:textId="77777777" w:rsidR="00F57DBE" w:rsidRDefault="00F57DBE" w:rsidP="001A5F33">
      <w:pPr>
        <w:shd w:val="clear" w:color="auto" w:fill="FFFFFF"/>
        <w:spacing w:after="240" w:line="360" w:lineRule="auto"/>
        <w:rPr>
          <w:rFonts w:ascii="Arial" w:eastAsia="Arial" w:hAnsi="Arial" w:cs="Arial"/>
          <w:b/>
          <w:bCs/>
          <w:sz w:val="22"/>
          <w:szCs w:val="22"/>
        </w:rPr>
      </w:pPr>
    </w:p>
    <w:p w14:paraId="17541437" w14:textId="77777777" w:rsidR="00F57DBE" w:rsidRDefault="00F57DBE" w:rsidP="001A5F33">
      <w:pPr>
        <w:shd w:val="clear" w:color="auto" w:fill="FFFFFF"/>
        <w:spacing w:after="240" w:line="360" w:lineRule="auto"/>
        <w:rPr>
          <w:rFonts w:ascii="Arial" w:eastAsia="Arial" w:hAnsi="Arial" w:cs="Arial"/>
          <w:b/>
          <w:bCs/>
          <w:sz w:val="22"/>
          <w:szCs w:val="22"/>
        </w:rPr>
      </w:pPr>
    </w:p>
    <w:p w14:paraId="3AC6B7D0" w14:textId="1A21A217" w:rsidR="00DF1F35" w:rsidRPr="00DF1F35" w:rsidRDefault="00DF1F35" w:rsidP="001A5F33">
      <w:pPr>
        <w:shd w:val="clear" w:color="auto" w:fill="FFFFFF"/>
        <w:spacing w:after="240" w:line="360" w:lineRule="auto"/>
        <w:rPr>
          <w:rFonts w:ascii="Arial" w:eastAsia="Arial" w:hAnsi="Arial" w:cs="Arial"/>
          <w:b/>
          <w:bCs/>
          <w:sz w:val="22"/>
          <w:szCs w:val="22"/>
        </w:rPr>
      </w:pPr>
      <w:r w:rsidRPr="00DF1F35">
        <w:rPr>
          <w:rFonts w:ascii="Arial" w:eastAsia="Arial" w:hAnsi="Arial" w:cs="Arial"/>
          <w:b/>
          <w:bCs/>
          <w:sz w:val="22"/>
          <w:szCs w:val="22"/>
        </w:rPr>
        <w:lastRenderedPageBreak/>
        <w:t>Reference:</w:t>
      </w:r>
    </w:p>
    <w:p w14:paraId="11D7A66A" w14:textId="59F5839B" w:rsidR="001A5F33" w:rsidRDefault="001A5F33" w:rsidP="001A5F33">
      <w:pPr>
        <w:shd w:val="clear" w:color="auto" w:fill="FFFFFF"/>
        <w:spacing w:after="240" w:line="360" w:lineRule="auto"/>
      </w:pPr>
      <w:r>
        <w:rPr>
          <w:rFonts w:ascii="Arial" w:eastAsia="Arial" w:hAnsi="Arial" w:cs="Arial"/>
          <w:sz w:val="22"/>
          <w:szCs w:val="22"/>
        </w:rPr>
        <w:t xml:space="preserve">Caglayan, S., Høye, A., Thimm, J.C., Wang, C.E.A. and Grønli, O.K. (2025) 'Association of adverse childhood experiences with physical illness and self-rated health in the population-based Tromsø study', </w:t>
      </w:r>
      <w:r>
        <w:rPr>
          <w:rFonts w:ascii="Arial" w:eastAsia="Arial" w:hAnsi="Arial" w:cs="Arial"/>
          <w:i/>
          <w:iCs/>
          <w:sz w:val="22"/>
          <w:szCs w:val="22"/>
        </w:rPr>
        <w:t>European Journal of Public Health</w:t>
      </w:r>
      <w:r>
        <w:rPr>
          <w:rFonts w:ascii="Arial" w:eastAsia="Arial" w:hAnsi="Arial" w:cs="Arial"/>
          <w:sz w:val="22"/>
          <w:szCs w:val="22"/>
        </w:rPr>
        <w:t>, 35(3), pp. 498–504. Available at:</w:t>
      </w:r>
      <w:hyperlink r:id="rId9">
        <w:r>
          <w:rPr>
            <w:rFonts w:ascii="Arial" w:eastAsia="Arial" w:hAnsi="Arial" w:cs="Arial"/>
            <w:sz w:val="22"/>
            <w:szCs w:val="22"/>
          </w:rPr>
          <w:t xml:space="preserve"> </w:t>
        </w:r>
      </w:hyperlink>
      <w:hyperlink r:id="rId10">
        <w:r>
          <w:rPr>
            <w:rFonts w:ascii="Arial" w:eastAsia="Arial" w:hAnsi="Arial" w:cs="Arial"/>
            <w:color w:val="1155CC"/>
            <w:sz w:val="22"/>
            <w:szCs w:val="22"/>
            <w:u w:val="single"/>
          </w:rPr>
          <w:t>https://doi.org/10.1093/eurpub/ckae223</w:t>
        </w:r>
      </w:hyperlink>
    </w:p>
    <w:p w14:paraId="30D8F534" w14:textId="3DA496BE" w:rsidR="006D321F" w:rsidRPr="006D321F" w:rsidRDefault="006D321F" w:rsidP="006D321F">
      <w:pPr>
        <w:pStyle w:val="NormalWeb"/>
        <w:shd w:val="clear" w:color="auto" w:fill="FFFFFF"/>
        <w:spacing w:before="0" w:beforeAutospacing="0" w:after="173" w:afterAutospacing="0" w:line="360" w:lineRule="auto"/>
        <w:rPr>
          <w:rFonts w:ascii="Arial" w:hAnsi="Arial" w:cs="Arial"/>
          <w:color w:val="000000"/>
          <w:sz w:val="22"/>
          <w:szCs w:val="22"/>
        </w:rPr>
      </w:pPr>
      <w:r w:rsidRPr="001B5D44">
        <w:rPr>
          <w:rFonts w:ascii="Arial" w:hAnsi="Arial" w:cs="Arial"/>
          <w:color w:val="000000"/>
          <w:sz w:val="22"/>
          <w:szCs w:val="22"/>
        </w:rPr>
        <w:t>Clarke, V. and Braun, V. (2017) 'Thematic analysis', </w:t>
      </w:r>
      <w:r w:rsidRPr="001B5D44">
        <w:rPr>
          <w:rFonts w:ascii="Arial" w:hAnsi="Arial" w:cs="Arial"/>
          <w:i/>
          <w:iCs/>
          <w:color w:val="000000"/>
          <w:sz w:val="22"/>
          <w:szCs w:val="22"/>
        </w:rPr>
        <w:t>The Journal of Positive Psychology,</w:t>
      </w:r>
      <w:r w:rsidRPr="001B5D44">
        <w:rPr>
          <w:rFonts w:ascii="Arial" w:hAnsi="Arial" w:cs="Arial"/>
          <w:color w:val="000000"/>
          <w:sz w:val="22"/>
          <w:szCs w:val="22"/>
        </w:rPr>
        <w:t> 12(3), pp. 297–298. Available</w:t>
      </w:r>
      <w:r>
        <w:rPr>
          <w:rFonts w:ascii="Arial" w:hAnsi="Arial" w:cs="Arial"/>
          <w:color w:val="000000"/>
          <w:sz w:val="22"/>
          <w:szCs w:val="22"/>
        </w:rPr>
        <w:t xml:space="preserve"> </w:t>
      </w:r>
      <w:r w:rsidRPr="001B5D44">
        <w:rPr>
          <w:rFonts w:ascii="Arial" w:hAnsi="Arial" w:cs="Arial"/>
          <w:color w:val="000000"/>
          <w:sz w:val="22"/>
          <w:szCs w:val="22"/>
        </w:rPr>
        <w:t>at: </w:t>
      </w:r>
      <w:hyperlink r:id="rId11" w:tgtFrame="_blank" w:history="1">
        <w:r w:rsidRPr="001B5D44">
          <w:rPr>
            <w:rStyle w:val="Hyperlink"/>
            <w:rFonts w:ascii="Arial" w:hAnsi="Arial" w:cs="Arial"/>
            <w:color w:val="0066CC"/>
            <w:sz w:val="22"/>
            <w:szCs w:val="22"/>
            <w:u w:val="none"/>
          </w:rPr>
          <w:t>https://doi.org/10.1080/17439760.2016.1262613</w:t>
        </w:r>
      </w:hyperlink>
      <w:r w:rsidRPr="001B5D44">
        <w:rPr>
          <w:rFonts w:ascii="Arial" w:hAnsi="Arial" w:cs="Arial"/>
          <w:color w:val="000000"/>
          <w:sz w:val="22"/>
          <w:szCs w:val="22"/>
        </w:rPr>
        <w:t>.</w:t>
      </w:r>
    </w:p>
    <w:p w14:paraId="1917EA48" w14:textId="77777777" w:rsidR="001A5F33" w:rsidRDefault="001A5F33" w:rsidP="001A5F33">
      <w:pPr>
        <w:shd w:val="clear" w:color="auto" w:fill="FFFFFF"/>
        <w:spacing w:after="240" w:line="360" w:lineRule="auto"/>
        <w:rPr>
          <w:rFonts w:ascii="Arial" w:eastAsia="Arial" w:hAnsi="Arial" w:cs="Arial"/>
          <w:sz w:val="22"/>
          <w:szCs w:val="22"/>
        </w:rPr>
      </w:pPr>
      <w:r>
        <w:rPr>
          <w:rFonts w:ascii="Arial" w:eastAsia="Arial" w:hAnsi="Arial" w:cs="Arial"/>
          <w:sz w:val="22"/>
          <w:szCs w:val="22"/>
        </w:rPr>
        <w:t xml:space="preserve">Felitti, V.J., Anda, R.F., Nordenberg, D., Williamson, D.F., Spitz, A.M., Edwards, V., Koss, M.P. and Marks, J.S. (1998) 'Relationship of childhood abuse and household dysfunction to many of the leading causes of death in adults: The Adverse Childhood Experiences (ACE) study', </w:t>
      </w:r>
      <w:r>
        <w:rPr>
          <w:rFonts w:ascii="Arial" w:eastAsia="Arial" w:hAnsi="Arial" w:cs="Arial"/>
          <w:i/>
          <w:iCs/>
          <w:sz w:val="22"/>
          <w:szCs w:val="22"/>
        </w:rPr>
        <w:t>American Journal of Preventive Medicine</w:t>
      </w:r>
      <w:r>
        <w:rPr>
          <w:rFonts w:ascii="Arial" w:eastAsia="Arial" w:hAnsi="Arial" w:cs="Arial"/>
          <w:sz w:val="22"/>
          <w:szCs w:val="22"/>
        </w:rPr>
        <w:t>, 14(4), pp. 245–258. Available at:</w:t>
      </w:r>
      <w:hyperlink r:id="rId12">
        <w:r>
          <w:rPr>
            <w:rFonts w:ascii="Arial" w:eastAsia="Arial" w:hAnsi="Arial" w:cs="Arial"/>
            <w:sz w:val="22"/>
            <w:szCs w:val="22"/>
          </w:rPr>
          <w:t xml:space="preserve"> </w:t>
        </w:r>
      </w:hyperlink>
      <w:hyperlink r:id="rId13">
        <w:r>
          <w:rPr>
            <w:rFonts w:ascii="Arial" w:eastAsia="Arial" w:hAnsi="Arial" w:cs="Arial"/>
            <w:color w:val="1155CC"/>
            <w:sz w:val="22"/>
            <w:szCs w:val="22"/>
            <w:u w:val="single"/>
          </w:rPr>
          <w:t>https://doi.org/10.1016/S0749-3797(98)00017-8</w:t>
        </w:r>
      </w:hyperlink>
    </w:p>
    <w:p w14:paraId="4583815B" w14:textId="77777777" w:rsidR="001A5F33" w:rsidRDefault="001A5F33" w:rsidP="001A5F33">
      <w:pPr>
        <w:shd w:val="clear" w:color="auto" w:fill="FFFFFF"/>
        <w:spacing w:after="240" w:line="360" w:lineRule="auto"/>
        <w:rPr>
          <w:rFonts w:ascii="Arial" w:eastAsia="Arial" w:hAnsi="Arial" w:cs="Arial"/>
          <w:sz w:val="22"/>
          <w:szCs w:val="22"/>
        </w:rPr>
      </w:pPr>
      <w:r>
        <w:rPr>
          <w:rFonts w:ascii="Arial" w:eastAsia="Arial" w:hAnsi="Arial" w:cs="Arial"/>
          <w:sz w:val="22"/>
          <w:szCs w:val="22"/>
        </w:rPr>
        <w:t xml:space="preserve">Harris, N.B. (2019) </w:t>
      </w:r>
      <w:r>
        <w:rPr>
          <w:rFonts w:ascii="Arial" w:eastAsia="Arial" w:hAnsi="Arial" w:cs="Arial"/>
          <w:i/>
          <w:iCs/>
          <w:sz w:val="22"/>
          <w:szCs w:val="22"/>
        </w:rPr>
        <w:t>The deepest well: healing the long-term effects of childhood adversity</w:t>
      </w:r>
      <w:r>
        <w:rPr>
          <w:rFonts w:ascii="Arial" w:eastAsia="Arial" w:hAnsi="Arial" w:cs="Arial"/>
          <w:sz w:val="22"/>
          <w:szCs w:val="22"/>
        </w:rPr>
        <w:t>. London: Bluebird.</w:t>
      </w:r>
    </w:p>
    <w:p w14:paraId="6106588C" w14:textId="77777777" w:rsidR="001A5F33" w:rsidRDefault="001A5F33" w:rsidP="001A5F33">
      <w:pPr>
        <w:shd w:val="clear" w:color="auto" w:fill="FFFFFF"/>
        <w:spacing w:after="240" w:line="360" w:lineRule="auto"/>
      </w:pPr>
      <w:r>
        <w:rPr>
          <w:rFonts w:ascii="Arial" w:eastAsia="Arial" w:hAnsi="Arial" w:cs="Arial"/>
          <w:sz w:val="22"/>
          <w:szCs w:val="22"/>
        </w:rPr>
        <w:t xml:space="preserve">Hughes, K., Bellis, M.A., Hardcastle, K.A., Sethi, D., Butchart, A., </w:t>
      </w:r>
      <w:proofErr w:type="spellStart"/>
      <w:r>
        <w:rPr>
          <w:rFonts w:ascii="Arial" w:eastAsia="Arial" w:hAnsi="Arial" w:cs="Arial"/>
          <w:sz w:val="22"/>
          <w:szCs w:val="22"/>
        </w:rPr>
        <w:t>Mikton</w:t>
      </w:r>
      <w:proofErr w:type="spellEnd"/>
      <w:r>
        <w:rPr>
          <w:rFonts w:ascii="Arial" w:eastAsia="Arial" w:hAnsi="Arial" w:cs="Arial"/>
          <w:sz w:val="22"/>
          <w:szCs w:val="22"/>
        </w:rPr>
        <w:t xml:space="preserve">, C., Jones, L. and Dunne, M.P. (2017) 'The effect of multiple adverse childhood experiences on health: a systematic review and meta-analysis', </w:t>
      </w:r>
      <w:r>
        <w:rPr>
          <w:rFonts w:ascii="Arial" w:eastAsia="Arial" w:hAnsi="Arial" w:cs="Arial"/>
          <w:i/>
          <w:iCs/>
          <w:sz w:val="22"/>
          <w:szCs w:val="22"/>
        </w:rPr>
        <w:t>The Lancet Public Health</w:t>
      </w:r>
      <w:r>
        <w:rPr>
          <w:rFonts w:ascii="Arial" w:eastAsia="Arial" w:hAnsi="Arial" w:cs="Arial"/>
          <w:sz w:val="22"/>
          <w:szCs w:val="22"/>
        </w:rPr>
        <w:t>, 2(8), pp. e356–e367. Available at:</w:t>
      </w:r>
      <w:hyperlink r:id="rId14">
        <w:r>
          <w:rPr>
            <w:rFonts w:ascii="Arial" w:eastAsia="Arial" w:hAnsi="Arial" w:cs="Arial"/>
            <w:sz w:val="22"/>
            <w:szCs w:val="22"/>
          </w:rPr>
          <w:t xml:space="preserve"> </w:t>
        </w:r>
      </w:hyperlink>
      <w:hyperlink r:id="rId15">
        <w:r>
          <w:rPr>
            <w:rFonts w:ascii="Arial" w:eastAsia="Arial" w:hAnsi="Arial" w:cs="Arial"/>
            <w:color w:val="1155CC"/>
            <w:sz w:val="22"/>
            <w:szCs w:val="22"/>
            <w:u w:val="single"/>
          </w:rPr>
          <w:t>https://doi.org/10.1016/S2468-2667(17)30118-4</w:t>
        </w:r>
      </w:hyperlink>
    </w:p>
    <w:p w14:paraId="48E8714D" w14:textId="74A53FF3" w:rsidR="00AE0201" w:rsidRPr="00AE0201" w:rsidRDefault="00AE0201" w:rsidP="00AE0201">
      <w:pPr>
        <w:pStyle w:val="NormalWeb"/>
        <w:shd w:val="clear" w:color="auto" w:fill="FFFFFF"/>
        <w:spacing w:before="0" w:beforeAutospacing="0" w:after="173" w:afterAutospacing="0" w:line="360" w:lineRule="auto"/>
        <w:rPr>
          <w:rFonts w:ascii="Arial" w:hAnsi="Arial" w:cs="Arial"/>
          <w:color w:val="000000"/>
          <w:sz w:val="22"/>
          <w:szCs w:val="22"/>
        </w:rPr>
      </w:pPr>
      <w:r w:rsidRPr="001B5D44">
        <w:rPr>
          <w:rFonts w:ascii="Arial" w:hAnsi="Arial" w:cs="Arial"/>
          <w:color w:val="000000"/>
          <w:sz w:val="22"/>
          <w:szCs w:val="22"/>
        </w:rPr>
        <w:t>Marzi, G., Balzano, M., Caputo, A. and Pellegrini, M.M. (2025) 'Guidelines for Bibliometric</w:t>
      </w:r>
      <w:r w:rsidRPr="001B5D44">
        <w:rPr>
          <w:rFonts w:ascii="Cambria Math" w:hAnsi="Cambria Math" w:cs="Cambria Math"/>
          <w:color w:val="000000"/>
          <w:sz w:val="22"/>
          <w:szCs w:val="22"/>
        </w:rPr>
        <w:t>‐</w:t>
      </w:r>
      <w:r w:rsidRPr="001B5D44">
        <w:rPr>
          <w:rFonts w:ascii="Arial" w:hAnsi="Arial" w:cs="Arial"/>
          <w:color w:val="000000"/>
          <w:sz w:val="22"/>
          <w:szCs w:val="22"/>
        </w:rPr>
        <w:t>Systematic literature reviews: 10 steps to combine analysis, synthesis and theory development', </w:t>
      </w:r>
      <w:r w:rsidRPr="001B5D44">
        <w:rPr>
          <w:rFonts w:ascii="Arial" w:hAnsi="Arial" w:cs="Arial"/>
          <w:i/>
          <w:iCs/>
          <w:color w:val="000000"/>
          <w:sz w:val="22"/>
          <w:szCs w:val="22"/>
        </w:rPr>
        <w:t>International Journal of Management Reviews,</w:t>
      </w:r>
      <w:r w:rsidRPr="001B5D44">
        <w:rPr>
          <w:rFonts w:ascii="Arial" w:hAnsi="Arial" w:cs="Arial"/>
          <w:color w:val="000000"/>
          <w:sz w:val="22"/>
          <w:szCs w:val="22"/>
        </w:rPr>
        <w:t> 27(1), pp. 81–103. Available at: </w:t>
      </w:r>
      <w:hyperlink r:id="rId16" w:tgtFrame="_blank" w:history="1">
        <w:r w:rsidRPr="001B5D44">
          <w:rPr>
            <w:rStyle w:val="Hyperlink"/>
            <w:rFonts w:ascii="Arial" w:hAnsi="Arial" w:cs="Arial"/>
            <w:color w:val="0066CC"/>
            <w:sz w:val="22"/>
            <w:szCs w:val="22"/>
            <w:u w:val="none"/>
          </w:rPr>
          <w:t>https://doi.org/10.1111/ijmr.12381</w:t>
        </w:r>
      </w:hyperlink>
    </w:p>
    <w:p w14:paraId="4B7FE08E" w14:textId="77777777" w:rsidR="001A5F33" w:rsidRDefault="001A5F33" w:rsidP="001A5F33">
      <w:pPr>
        <w:shd w:val="clear" w:color="auto" w:fill="FFFFFF"/>
        <w:spacing w:after="240" w:line="360" w:lineRule="auto"/>
        <w:rPr>
          <w:rFonts w:ascii="Arial" w:eastAsia="Arial" w:hAnsi="Arial" w:cs="Arial"/>
          <w:sz w:val="22"/>
          <w:szCs w:val="22"/>
        </w:rPr>
      </w:pPr>
      <w:r>
        <w:rPr>
          <w:rFonts w:ascii="Arial" w:eastAsia="Arial" w:hAnsi="Arial" w:cs="Arial"/>
          <w:sz w:val="22"/>
          <w:szCs w:val="22"/>
        </w:rPr>
        <w:t xml:space="preserve">Public Health England (2020) </w:t>
      </w:r>
      <w:r w:rsidRPr="004727B5">
        <w:rPr>
          <w:rFonts w:ascii="Arial" w:eastAsia="Arial" w:hAnsi="Arial" w:cs="Arial"/>
          <w:i/>
          <w:iCs/>
          <w:sz w:val="22"/>
          <w:szCs w:val="22"/>
        </w:rPr>
        <w:t xml:space="preserve">No child left behind. A public health informed approach to improving outcomes for vulnerable children. </w:t>
      </w:r>
      <w:r>
        <w:rPr>
          <w:rFonts w:ascii="Arial" w:eastAsia="Arial" w:hAnsi="Arial" w:cs="Arial"/>
          <w:sz w:val="22"/>
          <w:szCs w:val="22"/>
        </w:rPr>
        <w:t>Available at:</w:t>
      </w:r>
      <w:hyperlink r:id="rId17">
        <w:r>
          <w:rPr>
            <w:rFonts w:ascii="Arial" w:eastAsia="Arial" w:hAnsi="Arial" w:cs="Arial"/>
            <w:sz w:val="22"/>
            <w:szCs w:val="22"/>
          </w:rPr>
          <w:t xml:space="preserve"> </w:t>
        </w:r>
      </w:hyperlink>
      <w:hyperlink r:id="rId18">
        <w:r>
          <w:rPr>
            <w:rFonts w:ascii="Arial" w:eastAsia="Arial" w:hAnsi="Arial" w:cs="Arial"/>
            <w:color w:val="1155CC"/>
            <w:sz w:val="22"/>
            <w:szCs w:val="22"/>
            <w:u w:val="single"/>
          </w:rPr>
          <w:t>https://assets.publishing.service.gov.uk/media/5f4e8896d3bf7f0a2d41c511/Public_health_approach_to_vulnerability_in_childhood.pdf</w:t>
        </w:r>
      </w:hyperlink>
      <w:r>
        <w:rPr>
          <w:rFonts w:ascii="Arial" w:eastAsia="Arial" w:hAnsi="Arial" w:cs="Arial"/>
          <w:sz w:val="22"/>
          <w:szCs w:val="22"/>
        </w:rPr>
        <w:t xml:space="preserve"> (Accessed: 14 June 2026).</w:t>
      </w:r>
    </w:p>
    <w:p w14:paraId="03D67E6F" w14:textId="77777777" w:rsidR="001A5F33" w:rsidRDefault="001A5F33" w:rsidP="001A5F33">
      <w:pPr>
        <w:shd w:val="clear" w:color="auto" w:fill="FFFFFF"/>
        <w:spacing w:after="240" w:line="360" w:lineRule="auto"/>
      </w:pPr>
      <w:r>
        <w:rPr>
          <w:rFonts w:ascii="Arial" w:eastAsia="Arial" w:hAnsi="Arial" w:cs="Arial"/>
          <w:sz w:val="22"/>
          <w:szCs w:val="22"/>
        </w:rPr>
        <w:t xml:space="preserve">Silva, C., Moreira, P., Moreira, D.S., Rafael, F., Rodrigues, A., Leite, Â., Lopes, S. and Moreira, D. (2024) 'Impact of adverse childhood experiences in young adults and adults: a systematic literature review', </w:t>
      </w:r>
      <w:proofErr w:type="spellStart"/>
      <w:r>
        <w:rPr>
          <w:rFonts w:ascii="Arial" w:eastAsia="Arial" w:hAnsi="Arial" w:cs="Arial"/>
          <w:i/>
          <w:iCs/>
          <w:sz w:val="22"/>
          <w:szCs w:val="22"/>
        </w:rPr>
        <w:t>Pediatric</w:t>
      </w:r>
      <w:proofErr w:type="spellEnd"/>
      <w:r>
        <w:rPr>
          <w:rFonts w:ascii="Arial" w:eastAsia="Arial" w:hAnsi="Arial" w:cs="Arial"/>
          <w:i/>
          <w:iCs/>
          <w:sz w:val="22"/>
          <w:szCs w:val="22"/>
        </w:rPr>
        <w:t xml:space="preserve"> Reports</w:t>
      </w:r>
      <w:r>
        <w:rPr>
          <w:rFonts w:ascii="Arial" w:eastAsia="Arial" w:hAnsi="Arial" w:cs="Arial"/>
          <w:sz w:val="22"/>
          <w:szCs w:val="22"/>
        </w:rPr>
        <w:t>, 16(2), pp. 461–481. Available at:</w:t>
      </w:r>
      <w:hyperlink r:id="rId19">
        <w:r>
          <w:rPr>
            <w:rFonts w:ascii="Arial" w:eastAsia="Arial" w:hAnsi="Arial" w:cs="Arial"/>
            <w:sz w:val="22"/>
            <w:szCs w:val="22"/>
          </w:rPr>
          <w:t xml:space="preserve"> </w:t>
        </w:r>
      </w:hyperlink>
      <w:hyperlink r:id="rId20">
        <w:r>
          <w:rPr>
            <w:rFonts w:ascii="Arial" w:eastAsia="Arial" w:hAnsi="Arial" w:cs="Arial"/>
            <w:color w:val="1155CC"/>
            <w:sz w:val="22"/>
            <w:szCs w:val="22"/>
            <w:u w:val="single"/>
          </w:rPr>
          <w:t>https://doi.org/10.3390/pediatric16020040</w:t>
        </w:r>
      </w:hyperlink>
    </w:p>
    <w:p w14:paraId="56BD0971" w14:textId="77777777" w:rsidR="001A5F33" w:rsidRDefault="001A5F33" w:rsidP="001A5F33">
      <w:pPr>
        <w:shd w:val="clear" w:color="auto" w:fill="FFFFFF"/>
        <w:spacing w:after="240" w:line="360" w:lineRule="auto"/>
        <w:rPr>
          <w:rFonts w:ascii="Arial" w:eastAsia="Arial" w:hAnsi="Arial" w:cs="Arial"/>
          <w:sz w:val="22"/>
          <w:szCs w:val="22"/>
        </w:rPr>
      </w:pPr>
      <w:r>
        <w:rPr>
          <w:rFonts w:ascii="Arial" w:eastAsia="Arial" w:hAnsi="Arial" w:cs="Arial"/>
          <w:sz w:val="22"/>
          <w:szCs w:val="22"/>
        </w:rPr>
        <w:lastRenderedPageBreak/>
        <w:t xml:space="preserve">Soares, S., Rocha, V., Kelly-Irving, M., </w:t>
      </w:r>
      <w:proofErr w:type="spellStart"/>
      <w:r>
        <w:rPr>
          <w:rFonts w:ascii="Arial" w:eastAsia="Arial" w:hAnsi="Arial" w:cs="Arial"/>
          <w:sz w:val="22"/>
          <w:szCs w:val="22"/>
        </w:rPr>
        <w:t>Stringhini</w:t>
      </w:r>
      <w:proofErr w:type="spellEnd"/>
      <w:r>
        <w:rPr>
          <w:rFonts w:ascii="Arial" w:eastAsia="Arial" w:hAnsi="Arial" w:cs="Arial"/>
          <w:sz w:val="22"/>
          <w:szCs w:val="22"/>
        </w:rPr>
        <w:t xml:space="preserve">, S. and Fraga, S. (2021) 'Adverse childhood events and health biomarkers: a systematic review', </w:t>
      </w:r>
      <w:r>
        <w:rPr>
          <w:rFonts w:ascii="Arial" w:eastAsia="Arial" w:hAnsi="Arial" w:cs="Arial"/>
          <w:i/>
          <w:iCs/>
          <w:sz w:val="22"/>
          <w:szCs w:val="22"/>
        </w:rPr>
        <w:t>Frontiers in Public Health</w:t>
      </w:r>
      <w:r>
        <w:rPr>
          <w:rFonts w:ascii="Arial" w:eastAsia="Arial" w:hAnsi="Arial" w:cs="Arial"/>
          <w:sz w:val="22"/>
          <w:szCs w:val="22"/>
        </w:rPr>
        <w:t>, 9, p. 649825. Available at:</w:t>
      </w:r>
      <w:hyperlink r:id="rId21">
        <w:r>
          <w:rPr>
            <w:rFonts w:ascii="Arial" w:eastAsia="Arial" w:hAnsi="Arial" w:cs="Arial"/>
            <w:sz w:val="22"/>
            <w:szCs w:val="22"/>
          </w:rPr>
          <w:t xml:space="preserve"> </w:t>
        </w:r>
      </w:hyperlink>
      <w:hyperlink r:id="rId22">
        <w:r>
          <w:rPr>
            <w:rFonts w:ascii="Arial" w:eastAsia="Arial" w:hAnsi="Arial" w:cs="Arial"/>
            <w:color w:val="1155CC"/>
            <w:sz w:val="22"/>
            <w:szCs w:val="22"/>
            <w:u w:val="single"/>
          </w:rPr>
          <w:t>https://doi.org/10.3389/fpubh.2021.649825</w:t>
        </w:r>
      </w:hyperlink>
    </w:p>
    <w:p w14:paraId="2D2018D5" w14:textId="77777777" w:rsidR="001A5F33" w:rsidRDefault="001A5F33" w:rsidP="001A5F33">
      <w:pPr>
        <w:shd w:val="clear" w:color="auto" w:fill="FFFFFF"/>
        <w:spacing w:after="240" w:line="360" w:lineRule="auto"/>
        <w:rPr>
          <w:rFonts w:ascii="Arial" w:eastAsia="Arial" w:hAnsi="Arial" w:cs="Arial"/>
          <w:sz w:val="22"/>
          <w:szCs w:val="22"/>
        </w:rPr>
      </w:pPr>
      <w:r>
        <w:rPr>
          <w:rFonts w:ascii="Arial" w:eastAsia="Arial" w:hAnsi="Arial" w:cs="Arial"/>
          <w:sz w:val="22"/>
          <w:szCs w:val="22"/>
        </w:rPr>
        <w:t xml:space="preserve">World Health Organization (2020) </w:t>
      </w:r>
      <w:r>
        <w:rPr>
          <w:rFonts w:ascii="Arial" w:eastAsia="Arial" w:hAnsi="Arial" w:cs="Arial"/>
          <w:i/>
          <w:iCs/>
          <w:sz w:val="22"/>
          <w:szCs w:val="22"/>
        </w:rPr>
        <w:t>Adverse Childhood Experiences International Questionnaire (ACE-IQ)</w:t>
      </w:r>
      <w:r>
        <w:rPr>
          <w:rFonts w:ascii="Arial" w:eastAsia="Arial" w:hAnsi="Arial" w:cs="Arial"/>
          <w:sz w:val="22"/>
          <w:szCs w:val="22"/>
        </w:rPr>
        <w:t>. Available at:</w:t>
      </w:r>
      <w:hyperlink r:id="rId23">
        <w:r>
          <w:rPr>
            <w:rFonts w:ascii="Arial" w:eastAsia="Arial" w:hAnsi="Arial" w:cs="Arial"/>
            <w:sz w:val="22"/>
            <w:szCs w:val="22"/>
          </w:rPr>
          <w:t xml:space="preserve"> </w:t>
        </w:r>
      </w:hyperlink>
      <w:hyperlink r:id="rId24">
        <w:r>
          <w:rPr>
            <w:rFonts w:ascii="Arial" w:eastAsia="Arial" w:hAnsi="Arial" w:cs="Arial"/>
            <w:color w:val="1155CC"/>
            <w:sz w:val="22"/>
            <w:szCs w:val="22"/>
            <w:u w:val="single"/>
          </w:rPr>
          <w:t>https://www.who.int/publications/m/item/adverse-childhood-experiences-international-questionnaire-%28ace-iq%29</w:t>
        </w:r>
      </w:hyperlink>
      <w:r>
        <w:rPr>
          <w:rFonts w:ascii="Arial" w:eastAsia="Arial" w:hAnsi="Arial" w:cs="Arial"/>
          <w:sz w:val="22"/>
          <w:szCs w:val="22"/>
        </w:rPr>
        <w:t xml:space="preserve"> (Accessed: 20 May 2026).</w:t>
      </w:r>
    </w:p>
    <w:p w14:paraId="120D7E16" w14:textId="5E3B490F" w:rsidR="001B5D44" w:rsidRDefault="001A5F33" w:rsidP="001A5F33">
      <w:pPr>
        <w:shd w:val="clear" w:color="auto" w:fill="FFFFFF"/>
        <w:spacing w:after="240" w:line="360" w:lineRule="auto"/>
        <w:rPr>
          <w:rFonts w:ascii="Arial" w:eastAsia="Arial" w:hAnsi="Arial" w:cs="Arial"/>
          <w:sz w:val="22"/>
          <w:szCs w:val="22"/>
        </w:rPr>
      </w:pPr>
      <w:r>
        <w:rPr>
          <w:rFonts w:ascii="Arial" w:eastAsia="Arial" w:hAnsi="Arial" w:cs="Arial"/>
          <w:sz w:val="22"/>
          <w:szCs w:val="22"/>
        </w:rPr>
        <w:t xml:space="preserve">World Health Organization (2022) </w:t>
      </w:r>
      <w:r>
        <w:rPr>
          <w:rFonts w:ascii="Arial" w:eastAsia="Arial" w:hAnsi="Arial" w:cs="Arial"/>
          <w:i/>
          <w:iCs/>
          <w:sz w:val="22"/>
          <w:szCs w:val="22"/>
        </w:rPr>
        <w:t>Preventing maltreatment and other adverse childhood experiences</w:t>
      </w:r>
      <w:r>
        <w:rPr>
          <w:rFonts w:ascii="Arial" w:eastAsia="Arial" w:hAnsi="Arial" w:cs="Arial"/>
          <w:sz w:val="22"/>
          <w:szCs w:val="22"/>
        </w:rPr>
        <w:t>. Available at:</w:t>
      </w:r>
      <w:hyperlink r:id="rId25">
        <w:r>
          <w:rPr>
            <w:rFonts w:ascii="Arial" w:eastAsia="Arial" w:hAnsi="Arial" w:cs="Arial"/>
            <w:sz w:val="22"/>
            <w:szCs w:val="22"/>
          </w:rPr>
          <w:t xml:space="preserve"> </w:t>
        </w:r>
      </w:hyperlink>
      <w:hyperlink r:id="rId26">
        <w:r>
          <w:rPr>
            <w:rFonts w:ascii="Arial" w:eastAsia="Arial" w:hAnsi="Arial" w:cs="Arial"/>
            <w:color w:val="1155CC"/>
            <w:sz w:val="22"/>
            <w:szCs w:val="22"/>
            <w:u w:val="single"/>
          </w:rPr>
          <w:t>https://www.who.int/publications/i/item/9789240049785</w:t>
        </w:r>
      </w:hyperlink>
      <w:r>
        <w:rPr>
          <w:rFonts w:ascii="Arial" w:eastAsia="Arial" w:hAnsi="Arial" w:cs="Arial"/>
          <w:sz w:val="22"/>
          <w:szCs w:val="22"/>
        </w:rPr>
        <w:t xml:space="preserve"> (Accessed: 22 May 2026)</w:t>
      </w:r>
      <w:r w:rsidR="006D321F">
        <w:rPr>
          <w:rFonts w:ascii="Arial" w:eastAsia="Arial" w:hAnsi="Arial" w:cs="Arial"/>
          <w:sz w:val="22"/>
          <w:szCs w:val="22"/>
        </w:rPr>
        <w:t>.</w:t>
      </w:r>
    </w:p>
    <w:p w14:paraId="638F7711" w14:textId="77777777" w:rsidR="001A5F33" w:rsidRDefault="001A5F33" w:rsidP="001F3390">
      <w:pPr>
        <w:spacing w:line="360" w:lineRule="auto"/>
        <w:rPr>
          <w:rFonts w:ascii="Arial" w:hAnsi="Arial" w:cs="Arial"/>
        </w:rPr>
      </w:pPr>
    </w:p>
    <w:p w14:paraId="6DFFCC97" w14:textId="77777777" w:rsidR="001F3390" w:rsidRDefault="001F3390" w:rsidP="001F3390">
      <w:pPr>
        <w:spacing w:line="360" w:lineRule="auto"/>
        <w:rPr>
          <w:rFonts w:ascii="Arial" w:hAnsi="Arial" w:cs="Arial"/>
        </w:rPr>
      </w:pPr>
    </w:p>
    <w:p w14:paraId="2BF51EA6" w14:textId="77777777" w:rsidR="001F3390" w:rsidRDefault="001F3390" w:rsidP="001F3390">
      <w:pPr>
        <w:spacing w:line="360" w:lineRule="auto"/>
        <w:rPr>
          <w:rFonts w:ascii="Arial" w:hAnsi="Arial" w:cs="Arial"/>
        </w:rPr>
      </w:pPr>
    </w:p>
    <w:p w14:paraId="6C8AADCB" w14:textId="77777777" w:rsidR="001F3390" w:rsidRDefault="001F3390" w:rsidP="001F3390">
      <w:pPr>
        <w:spacing w:line="360" w:lineRule="auto"/>
        <w:rPr>
          <w:rFonts w:ascii="Arial" w:hAnsi="Arial" w:cs="Arial"/>
        </w:rPr>
      </w:pPr>
    </w:p>
    <w:p w14:paraId="1893BA1D" w14:textId="77777777" w:rsidR="001F3390" w:rsidRDefault="001F3390" w:rsidP="001F3390">
      <w:pPr>
        <w:spacing w:line="360" w:lineRule="auto"/>
        <w:rPr>
          <w:rFonts w:ascii="Arial" w:hAnsi="Arial" w:cs="Arial"/>
        </w:rPr>
      </w:pPr>
    </w:p>
    <w:p w14:paraId="1D7D666C" w14:textId="77777777" w:rsidR="001F3390" w:rsidRDefault="001F3390" w:rsidP="001F3390">
      <w:pPr>
        <w:spacing w:line="360" w:lineRule="auto"/>
        <w:rPr>
          <w:rFonts w:ascii="Arial" w:hAnsi="Arial" w:cs="Arial"/>
        </w:rPr>
      </w:pPr>
    </w:p>
    <w:p w14:paraId="18959282" w14:textId="77777777" w:rsidR="001F3390" w:rsidRDefault="001F3390" w:rsidP="001F3390">
      <w:pPr>
        <w:spacing w:line="360" w:lineRule="auto"/>
        <w:rPr>
          <w:rFonts w:ascii="Arial" w:hAnsi="Arial" w:cs="Arial"/>
        </w:rPr>
      </w:pPr>
    </w:p>
    <w:p w14:paraId="2AE405A2" w14:textId="77777777" w:rsidR="00823E4C" w:rsidRDefault="00823E4C" w:rsidP="001F3390">
      <w:pPr>
        <w:spacing w:line="360" w:lineRule="auto"/>
        <w:rPr>
          <w:rFonts w:ascii="Arial" w:hAnsi="Arial" w:cs="Arial"/>
        </w:rPr>
      </w:pPr>
    </w:p>
    <w:p w14:paraId="28EC4C6E" w14:textId="77777777" w:rsidR="00B30AFB" w:rsidRDefault="00B30AFB">
      <w:pPr>
        <w:spacing w:before="280" w:after="280" w:line="360" w:lineRule="auto"/>
        <w:jc w:val="both"/>
        <w:rPr>
          <w:rFonts w:ascii="Arial" w:eastAsia="Arial" w:hAnsi="Arial" w:cs="Arial"/>
          <w:b/>
          <w:bCs/>
          <w:sz w:val="28"/>
          <w:szCs w:val="28"/>
        </w:rPr>
      </w:pPr>
    </w:p>
    <w:p w14:paraId="0C3CDE19" w14:textId="77777777" w:rsidR="00B30AFB" w:rsidRDefault="00B30AFB">
      <w:pPr>
        <w:spacing w:before="280" w:after="280" w:line="360" w:lineRule="auto"/>
        <w:jc w:val="both"/>
        <w:rPr>
          <w:rFonts w:ascii="Arial" w:eastAsia="Arial" w:hAnsi="Arial" w:cs="Arial"/>
          <w:b/>
          <w:bCs/>
          <w:sz w:val="28"/>
          <w:szCs w:val="28"/>
        </w:rPr>
      </w:pPr>
    </w:p>
    <w:p w14:paraId="16211929" w14:textId="77777777" w:rsidR="00B30AFB" w:rsidRDefault="00B30AFB">
      <w:pPr>
        <w:spacing w:before="280" w:after="280" w:line="360" w:lineRule="auto"/>
        <w:jc w:val="both"/>
        <w:rPr>
          <w:rFonts w:ascii="Arial" w:eastAsia="Arial" w:hAnsi="Arial" w:cs="Arial"/>
          <w:b/>
          <w:bCs/>
          <w:sz w:val="28"/>
          <w:szCs w:val="28"/>
        </w:rPr>
      </w:pPr>
    </w:p>
    <w:p w14:paraId="0ECEF697" w14:textId="77777777" w:rsidR="00B30AFB" w:rsidRDefault="00B30AFB">
      <w:pPr>
        <w:spacing w:before="280" w:after="280" w:line="360" w:lineRule="auto"/>
        <w:jc w:val="both"/>
        <w:rPr>
          <w:rFonts w:ascii="Arial" w:eastAsia="Arial" w:hAnsi="Arial" w:cs="Arial"/>
          <w:b/>
          <w:bCs/>
          <w:sz w:val="28"/>
          <w:szCs w:val="28"/>
        </w:rPr>
      </w:pPr>
    </w:p>
    <w:p w14:paraId="34D6B747" w14:textId="77777777" w:rsidR="00B30AFB" w:rsidRDefault="00B30AFB">
      <w:pPr>
        <w:spacing w:before="280" w:after="280" w:line="360" w:lineRule="auto"/>
        <w:jc w:val="both"/>
        <w:rPr>
          <w:rFonts w:ascii="Arial" w:eastAsia="Arial" w:hAnsi="Arial" w:cs="Arial"/>
          <w:b/>
          <w:bCs/>
          <w:sz w:val="28"/>
          <w:szCs w:val="28"/>
        </w:rPr>
      </w:pPr>
    </w:p>
    <w:p w14:paraId="6334EC9C" w14:textId="77777777" w:rsidR="00B30AFB" w:rsidRDefault="00B30AFB">
      <w:pPr>
        <w:spacing w:line="360" w:lineRule="auto"/>
        <w:rPr>
          <w:rFonts w:ascii="Aptos" w:eastAsia="Aptos" w:hAnsi="Aptos" w:cs="Aptos"/>
        </w:rPr>
      </w:pPr>
    </w:p>
    <w:sectPr w:rsidR="00B30AFB">
      <w:footerReference w:type="default" r:id="rId27"/>
      <w:pgSz w:w="11906" w:h="16838"/>
      <w:pgMar w:top="1440" w:right="1440" w:bottom="1440"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15E7F3E" w14:textId="77777777" w:rsidR="00364103" w:rsidRDefault="00364103">
      <w:r>
        <w:separator/>
      </w:r>
    </w:p>
  </w:endnote>
  <w:endnote w:type="continuationSeparator" w:id="0">
    <w:p w14:paraId="6DDB0CDC" w14:textId="77777777" w:rsidR="00364103" w:rsidRDefault="00364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0C6A187-44E1-5E4A-9288-25BF5A4A11CE}"/>
    <w:embedBold r:id="rId2" w:fontKey="{14D945A4-B8EE-BE42-9EE2-852053B20AEF}"/>
    <w:embedItalic r:id="rId3" w:fontKey="{DE407102-5172-124B-A3BB-968AB826B3CA}"/>
  </w:font>
  <w:font w:name="Noto Sans Symbols">
    <w:altName w:val="Calibri"/>
    <w:panose1 w:val="020B0604020202020204"/>
    <w:charset w:val="00"/>
    <w:family w:val="auto"/>
    <w:pitch w:val="default"/>
    <w:embedRegular r:id="rId4" w:fontKey="{64B635F6-93E1-2445-B632-D57DB7F6F631}"/>
  </w:font>
  <w:font w:name="Courier New">
    <w:panose1 w:val="02070309020205020404"/>
    <w:charset w:val="00"/>
    <w:family w:val="modern"/>
    <w:pitch w:val="fixed"/>
    <w:sig w:usb0="E0002AFF" w:usb1="C0007843" w:usb2="00000009" w:usb3="00000000" w:csb0="000001FF" w:csb1="00000000"/>
    <w:embedRegular r:id="rId5" w:fontKey="{D238CCF1-37DD-6F4C-8B3F-74726409589E}"/>
  </w:font>
  <w:font w:name="Symbol">
    <w:panose1 w:val="05050102010706020507"/>
    <w:charset w:val="02"/>
    <w:family w:val="decorative"/>
    <w:pitch w:val="variable"/>
    <w:sig w:usb0="00000000" w:usb1="10000000" w:usb2="00000000" w:usb3="00000000" w:csb0="80000000" w:csb1="00000000"/>
    <w:embedRegular r:id="rId6" w:fontKey="{F70AF3D0-F514-284B-A438-02204BF0F710}"/>
  </w:font>
  <w:font w:name="Wingdings">
    <w:panose1 w:val="05000000000000000000"/>
    <w:charset w:val="4D"/>
    <w:family w:val="decorative"/>
    <w:pitch w:val="variable"/>
    <w:sig w:usb0="00000003" w:usb1="00000000" w:usb2="00000000" w:usb3="00000000" w:csb0="80000001" w:csb1="00000000"/>
    <w:embedRegular r:id="rId7" w:fontKey="{9A2B68E6-DA51-AB46-9C18-395766FB0C62}"/>
  </w:font>
  <w:font w:name="Arial">
    <w:panose1 w:val="020B0604020202020204"/>
    <w:charset w:val="00"/>
    <w:family w:val="swiss"/>
    <w:pitch w:val="variable"/>
    <w:sig w:usb0="E0002EFF" w:usb1="C000785B" w:usb2="00000009" w:usb3="00000000" w:csb0="000001FF" w:csb1="00000000"/>
    <w:embedRegular r:id="rId8" w:fontKey="{C99798CF-A31F-A349-A2D3-AE76B45997CA}"/>
    <w:embedBold r:id="rId9" w:fontKey="{005CDFE2-F242-014B-996E-BDF5617ADD5E}"/>
    <w:embedItalic r:id="rId10" w:fontKey="{8371CF5A-C71D-B849-9207-9DB407A778FE}"/>
  </w:font>
  <w:font w:name="Georgia">
    <w:panose1 w:val="02040502050405020303"/>
    <w:charset w:val="00"/>
    <w:family w:val="roman"/>
    <w:pitch w:val="variable"/>
    <w:sig w:usb0="00000287" w:usb1="00000000" w:usb2="00000000" w:usb3="00000000" w:csb0="0000009F" w:csb1="00000000"/>
    <w:embedItalic r:id="rId11" w:fontKey="{406BFEDC-7A4C-494A-9825-EDF7BC994669}"/>
  </w:font>
  <w:font w:name="Calibri">
    <w:panose1 w:val="020F0502020204030204"/>
    <w:charset w:val="00"/>
    <w:family w:val="swiss"/>
    <w:pitch w:val="variable"/>
    <w:sig w:usb0="E0002AFF" w:usb1="C000247B" w:usb2="00000009" w:usb3="00000000" w:csb0="000001FF" w:csb1="00000000"/>
    <w:embedRegular r:id="rId12" w:fontKey="{AB08AF54-06F1-AC4F-83A0-91DA293435E7}"/>
  </w:font>
  <w:font w:name="Aptos">
    <w:panose1 w:val="020B0004020202020204"/>
    <w:charset w:val="00"/>
    <w:family w:val="swiss"/>
    <w:pitch w:val="variable"/>
    <w:sig w:usb0="20000287" w:usb1="00000003" w:usb2="00000000" w:usb3="00000000" w:csb0="0000019F" w:csb1="00000000"/>
    <w:embedRegular r:id="rId13" w:fontKey="{2E929057-56CD-0C45-83C2-0806564BDBAB}"/>
    <w:embedBold r:id="rId14" w:fontKey="{6B46A92C-6262-194D-AECD-7D52AADD3F17}"/>
  </w:font>
  <w:font w:name="Cambria Math">
    <w:panose1 w:val="02040503050406030204"/>
    <w:charset w:val="00"/>
    <w:family w:val="roman"/>
    <w:pitch w:val="variable"/>
    <w:sig w:usb0="E00002FF" w:usb1="420024FF" w:usb2="00000000" w:usb3="00000000" w:csb0="0000019F" w:csb1="00000000"/>
    <w:embedRegular r:id="rId15" w:fontKey="{CAB07749-7B91-1845-BEB4-20BA2838BDA5}"/>
  </w:font>
  <w:font w:name="Roboto">
    <w:panose1 w:val="02000000000000000000"/>
    <w:charset w:val="00"/>
    <w:family w:val="auto"/>
    <w:pitch w:val="variable"/>
    <w:sig w:usb0="E0000AFF" w:usb1="5000217F" w:usb2="00000021" w:usb3="00000000" w:csb0="0000019F" w:csb1="00000000"/>
    <w:embedBold r:id="rId16" w:fontKey="{6598B326-5033-F348-AE62-851173C08B06}"/>
  </w:font>
  <w:font w:name="Cambria">
    <w:panose1 w:val="02040503050406030204"/>
    <w:charset w:val="00"/>
    <w:family w:val="roman"/>
    <w:pitch w:val="variable"/>
    <w:sig w:usb0="E00002FF" w:usb1="400004FF" w:usb2="00000000" w:usb3="00000000" w:csb0="0000019F" w:csb1="00000000"/>
    <w:embedRegular r:id="rId17" w:fontKey="{F7FFEA85-91D9-5B43-ACA1-09AB58BDCE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57187E" w14:textId="41953D70" w:rsidR="00B30AFB" w:rsidRDefault="0000000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A861A9">
      <w:rPr>
        <w:noProof/>
        <w:color w:val="000000"/>
      </w:rPr>
      <w:t>2</w:t>
    </w:r>
    <w:r>
      <w:rPr>
        <w:color w:val="000000"/>
      </w:rPr>
      <w:fldChar w:fldCharType="end"/>
    </w:r>
  </w:p>
  <w:p w14:paraId="41537E41" w14:textId="77777777" w:rsidR="00B30AFB" w:rsidRDefault="00B30AFB">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FD1BE78" w14:textId="77777777" w:rsidR="00364103" w:rsidRDefault="00364103">
      <w:r>
        <w:separator/>
      </w:r>
    </w:p>
  </w:footnote>
  <w:footnote w:type="continuationSeparator" w:id="0">
    <w:p w14:paraId="61CBAD02" w14:textId="77777777" w:rsidR="00364103" w:rsidRDefault="003641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7C14CE"/>
    <w:multiLevelType w:val="multilevel"/>
    <w:tmpl w:val="8D8C94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5C5A7C"/>
    <w:multiLevelType w:val="multilevel"/>
    <w:tmpl w:val="05422C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23D66DF"/>
    <w:multiLevelType w:val="multilevel"/>
    <w:tmpl w:val="96467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045919"/>
    <w:multiLevelType w:val="multilevel"/>
    <w:tmpl w:val="D4B840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4674950">
    <w:abstractNumId w:val="3"/>
  </w:num>
  <w:num w:numId="2" w16cid:durableId="2089692531">
    <w:abstractNumId w:val="1"/>
  </w:num>
  <w:num w:numId="3" w16cid:durableId="742028403">
    <w:abstractNumId w:val="0"/>
  </w:num>
  <w:num w:numId="4" w16cid:durableId="145597950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AFB"/>
    <w:rsid w:val="00065730"/>
    <w:rsid w:val="00075DAC"/>
    <w:rsid w:val="000F2D97"/>
    <w:rsid w:val="00101D6E"/>
    <w:rsid w:val="00111B19"/>
    <w:rsid w:val="00114AA0"/>
    <w:rsid w:val="00160C4A"/>
    <w:rsid w:val="001938BC"/>
    <w:rsid w:val="001A5F33"/>
    <w:rsid w:val="001B5D44"/>
    <w:rsid w:val="001E32E6"/>
    <w:rsid w:val="001E579B"/>
    <w:rsid w:val="001F3390"/>
    <w:rsid w:val="00201D18"/>
    <w:rsid w:val="00226BC3"/>
    <w:rsid w:val="00273302"/>
    <w:rsid w:val="0028766E"/>
    <w:rsid w:val="00312956"/>
    <w:rsid w:val="0034449F"/>
    <w:rsid w:val="0034663C"/>
    <w:rsid w:val="003562E7"/>
    <w:rsid w:val="00364103"/>
    <w:rsid w:val="00364658"/>
    <w:rsid w:val="003B39A4"/>
    <w:rsid w:val="003C20E8"/>
    <w:rsid w:val="003F4F9D"/>
    <w:rsid w:val="003F5186"/>
    <w:rsid w:val="0040567E"/>
    <w:rsid w:val="004230FC"/>
    <w:rsid w:val="00465238"/>
    <w:rsid w:val="00470E80"/>
    <w:rsid w:val="004D11E4"/>
    <w:rsid w:val="004E6FDE"/>
    <w:rsid w:val="004F65BA"/>
    <w:rsid w:val="00524439"/>
    <w:rsid w:val="00553FF8"/>
    <w:rsid w:val="00580C47"/>
    <w:rsid w:val="00594465"/>
    <w:rsid w:val="005954FD"/>
    <w:rsid w:val="005C4AF5"/>
    <w:rsid w:val="00611A43"/>
    <w:rsid w:val="00623CC7"/>
    <w:rsid w:val="00636D95"/>
    <w:rsid w:val="0068428E"/>
    <w:rsid w:val="006A4EA9"/>
    <w:rsid w:val="006B1F41"/>
    <w:rsid w:val="006B4DDC"/>
    <w:rsid w:val="006D321F"/>
    <w:rsid w:val="006D6F96"/>
    <w:rsid w:val="00792A77"/>
    <w:rsid w:val="007A25EA"/>
    <w:rsid w:val="007B19A6"/>
    <w:rsid w:val="007D44A2"/>
    <w:rsid w:val="007D67AF"/>
    <w:rsid w:val="0080073E"/>
    <w:rsid w:val="0080589C"/>
    <w:rsid w:val="008058B4"/>
    <w:rsid w:val="00823E4C"/>
    <w:rsid w:val="00831EA1"/>
    <w:rsid w:val="00864311"/>
    <w:rsid w:val="008763D0"/>
    <w:rsid w:val="008809B3"/>
    <w:rsid w:val="008C0053"/>
    <w:rsid w:val="009101A4"/>
    <w:rsid w:val="00932107"/>
    <w:rsid w:val="00996297"/>
    <w:rsid w:val="009C7C3C"/>
    <w:rsid w:val="009D5171"/>
    <w:rsid w:val="009F40A3"/>
    <w:rsid w:val="00A366E6"/>
    <w:rsid w:val="00A36D50"/>
    <w:rsid w:val="00A474E1"/>
    <w:rsid w:val="00A861A9"/>
    <w:rsid w:val="00AC4DCA"/>
    <w:rsid w:val="00AE0201"/>
    <w:rsid w:val="00AE2898"/>
    <w:rsid w:val="00AE395D"/>
    <w:rsid w:val="00B10F00"/>
    <w:rsid w:val="00B30AFB"/>
    <w:rsid w:val="00B50E46"/>
    <w:rsid w:val="00BC5696"/>
    <w:rsid w:val="00BE165A"/>
    <w:rsid w:val="00BF08CF"/>
    <w:rsid w:val="00BF2C48"/>
    <w:rsid w:val="00C16789"/>
    <w:rsid w:val="00C27053"/>
    <w:rsid w:val="00C3224A"/>
    <w:rsid w:val="00C35CAE"/>
    <w:rsid w:val="00C60DA2"/>
    <w:rsid w:val="00CA08B7"/>
    <w:rsid w:val="00CD65DE"/>
    <w:rsid w:val="00CE5F95"/>
    <w:rsid w:val="00CF2F46"/>
    <w:rsid w:val="00D35DCA"/>
    <w:rsid w:val="00D80E0B"/>
    <w:rsid w:val="00DB22B8"/>
    <w:rsid w:val="00DB7519"/>
    <w:rsid w:val="00DF1F35"/>
    <w:rsid w:val="00E45B47"/>
    <w:rsid w:val="00E72F39"/>
    <w:rsid w:val="00EE0DDA"/>
    <w:rsid w:val="00EE1C27"/>
    <w:rsid w:val="00F25C77"/>
    <w:rsid w:val="00F57DBE"/>
    <w:rsid w:val="00F71DBC"/>
    <w:rsid w:val="00F86F12"/>
    <w:rsid w:val="00F93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DA37A"/>
  <w15:docId w15:val="{101F2843-8024-C049-B685-18DED14F9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390"/>
  </w:style>
  <w:style w:type="paragraph" w:styleId="Heading1">
    <w:name w:val="heading 1"/>
    <w:basedOn w:val="Normal"/>
    <w:next w:val="Normal"/>
    <w:uiPriority w:val="9"/>
    <w:qFormat/>
    <w:pPr>
      <w:keepNext/>
      <w:keepLines/>
      <w:spacing w:before="240" w:line="360" w:lineRule="auto"/>
      <w:jc w:val="center"/>
      <w:outlineLvl w:val="0"/>
    </w:pPr>
    <w:rPr>
      <w:rFonts w:ascii="Arial" w:eastAsia="Arial" w:hAnsi="Arial" w:cs="Arial"/>
      <w:b/>
      <w:bCs/>
      <w:sz w:val="32"/>
      <w:szCs w:val="32"/>
    </w:rPr>
  </w:style>
  <w:style w:type="paragraph" w:styleId="Heading2">
    <w:name w:val="heading 2"/>
    <w:basedOn w:val="Normal"/>
    <w:next w:val="Normal"/>
    <w:uiPriority w:val="9"/>
    <w:unhideWhenUsed/>
    <w:qFormat/>
    <w:pPr>
      <w:keepNext/>
      <w:keepLines/>
      <w:spacing w:before="40" w:line="276" w:lineRule="auto"/>
      <w:outlineLvl w:val="1"/>
    </w:pPr>
    <w:rPr>
      <w:rFonts w:ascii="Arial" w:eastAsia="Arial" w:hAnsi="Arial" w:cs="Arial"/>
      <w:color w:val="000000"/>
      <w:sz w:val="28"/>
      <w:szCs w:val="28"/>
    </w:rPr>
  </w:style>
  <w:style w:type="paragraph" w:styleId="Heading3">
    <w:name w:val="heading 3"/>
    <w:basedOn w:val="Normal"/>
    <w:next w:val="Normal"/>
    <w:link w:val="Heading3Char"/>
    <w:uiPriority w:val="9"/>
    <w:unhideWhenUsed/>
    <w:qFormat/>
    <w:pPr>
      <w:outlineLvl w:val="2"/>
    </w:pPr>
    <w:rPr>
      <w:rFonts w:ascii="Arial" w:eastAsia="Arial" w:hAnsi="Arial" w:cs="Arial"/>
      <w:b/>
      <w:bCs/>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Calibri" w:eastAsia="Calibri" w:hAnsi="Calibri" w:cs="Calibri"/>
    </w:rPr>
    <w:tblPr>
      <w:tblStyleRowBandSize w:val="1"/>
      <w:tblStyleColBandSize w:val="1"/>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28766E"/>
    <w:rPr>
      <w:rFonts w:ascii="Arial" w:eastAsia="Arial" w:hAnsi="Arial" w:cs="Arial"/>
      <w:b/>
      <w:bCs/>
    </w:rPr>
  </w:style>
  <w:style w:type="paragraph" w:styleId="NormalWeb">
    <w:name w:val="Normal (Web)"/>
    <w:basedOn w:val="Normal"/>
    <w:uiPriority w:val="99"/>
    <w:unhideWhenUsed/>
    <w:rsid w:val="0028766E"/>
    <w:pPr>
      <w:spacing w:before="100" w:beforeAutospacing="1" w:after="100" w:afterAutospacing="1"/>
    </w:pPr>
  </w:style>
  <w:style w:type="character" w:styleId="Strong">
    <w:name w:val="Strong"/>
    <w:basedOn w:val="DefaultParagraphFont"/>
    <w:uiPriority w:val="22"/>
    <w:qFormat/>
    <w:rsid w:val="0028766E"/>
    <w:rPr>
      <w:b/>
      <w:bCs/>
    </w:rPr>
  </w:style>
  <w:style w:type="character" w:styleId="Emphasis">
    <w:name w:val="Emphasis"/>
    <w:basedOn w:val="DefaultParagraphFont"/>
    <w:uiPriority w:val="20"/>
    <w:qFormat/>
    <w:rsid w:val="008809B3"/>
    <w:rPr>
      <w:i/>
      <w:iCs/>
    </w:rPr>
  </w:style>
  <w:style w:type="character" w:styleId="Hyperlink">
    <w:name w:val="Hyperlink"/>
    <w:basedOn w:val="DefaultParagraphFont"/>
    <w:uiPriority w:val="99"/>
    <w:semiHidden/>
    <w:unhideWhenUsed/>
    <w:rsid w:val="00623C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S0749-3797(98)00017-8" TargetMode="External"/><Relationship Id="rId18" Type="http://schemas.openxmlformats.org/officeDocument/2006/relationships/hyperlink" Target="https://assets.publishing.service.gov.uk/media/5f4e8896d3bf7f0a2d41c511/Public_health_approach_to_vulnerability_in_childhood.pdf" TargetMode="External"/><Relationship Id="rId26" Type="http://schemas.openxmlformats.org/officeDocument/2006/relationships/hyperlink" Target="https://www.who.int/publications/i/item/9789240049785" TargetMode="External"/><Relationship Id="rId3" Type="http://schemas.openxmlformats.org/officeDocument/2006/relationships/styles" Target="styles.xml"/><Relationship Id="rId21" Type="http://schemas.openxmlformats.org/officeDocument/2006/relationships/hyperlink" Target="https://doi.org/10.3389/fpubh.2021.649825" TargetMode="External"/><Relationship Id="rId7" Type="http://schemas.openxmlformats.org/officeDocument/2006/relationships/endnotes" Target="endnotes.xml"/><Relationship Id="rId12" Type="http://schemas.openxmlformats.org/officeDocument/2006/relationships/hyperlink" Target="https://doi.org/10.1016/S0749-3797(98)00017-8" TargetMode="External"/><Relationship Id="rId17" Type="http://schemas.openxmlformats.org/officeDocument/2006/relationships/hyperlink" Target="https://assets.publishing.service.gov.uk/media/5f4e8896d3bf7f0a2d41c511/Public_health_approach_to_vulnerability_in_childhood.pdf" TargetMode="External"/><Relationship Id="rId25" Type="http://schemas.openxmlformats.org/officeDocument/2006/relationships/hyperlink" Target="https://www.who.int/publications/i/item/9789240049785" TargetMode="External"/><Relationship Id="rId2" Type="http://schemas.openxmlformats.org/officeDocument/2006/relationships/numbering" Target="numbering.xml"/><Relationship Id="rId16" Type="http://schemas.openxmlformats.org/officeDocument/2006/relationships/hyperlink" Target="https://doi.org/10.1111/ijmr.12381" TargetMode="External"/><Relationship Id="rId20" Type="http://schemas.openxmlformats.org/officeDocument/2006/relationships/hyperlink" Target="https://doi.org/10.3390/pediatric1602004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7439760.2016.1262613" TargetMode="External"/><Relationship Id="rId24" Type="http://schemas.openxmlformats.org/officeDocument/2006/relationships/hyperlink" Target="https://www.who.int/publications/m/item/adverse-childhood-experiences-international-questionnaire-%28ace-iq%29" TargetMode="External"/><Relationship Id="rId5" Type="http://schemas.openxmlformats.org/officeDocument/2006/relationships/webSettings" Target="webSettings.xml"/><Relationship Id="rId15" Type="http://schemas.openxmlformats.org/officeDocument/2006/relationships/hyperlink" Target="https://doi.org/10.1016/S2468-2667(17)30118-4" TargetMode="External"/><Relationship Id="rId23" Type="http://schemas.openxmlformats.org/officeDocument/2006/relationships/hyperlink" Target="https://www.who.int/publications/m/item/adverse-childhood-experiences-international-questionnaire-%28ace-iq%29" TargetMode="External"/><Relationship Id="rId28" Type="http://schemas.openxmlformats.org/officeDocument/2006/relationships/fontTable" Target="fontTable.xml"/><Relationship Id="rId10" Type="http://schemas.openxmlformats.org/officeDocument/2006/relationships/hyperlink" Target="https://www.google.com/search?q=https://doi.org/10.1093/eurpub/ckae223" TargetMode="External"/><Relationship Id="rId19" Type="http://schemas.openxmlformats.org/officeDocument/2006/relationships/hyperlink" Target="https://doi.org/10.3390/pediatric16020040" TargetMode="External"/><Relationship Id="rId4" Type="http://schemas.openxmlformats.org/officeDocument/2006/relationships/settings" Target="settings.xml"/><Relationship Id="rId9" Type="http://schemas.openxmlformats.org/officeDocument/2006/relationships/hyperlink" Target="https://www.google.com/search?q=https://doi.org/10.1093/eurpub/ckae223" TargetMode="External"/><Relationship Id="rId14" Type="http://schemas.openxmlformats.org/officeDocument/2006/relationships/hyperlink" Target="https://doi.org/10.1016/S2468-2667(17)30118-4" TargetMode="External"/><Relationship Id="rId22" Type="http://schemas.openxmlformats.org/officeDocument/2006/relationships/hyperlink" Target="https://doi.org/10.3389/fpubh.2021.649825"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rvi7eEV/KT0+Z3e1ncQRe+BtRA==">CgMxLjA4AHIhMXUtMGc0TnN2RXdITVBzN29QZnc4MFBlMVppOWRCQUZK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7</Pages>
  <Words>1385</Words>
  <Characters>7901</Characters>
  <Application>Microsoft Office Word</Application>
  <DocSecurity>0</DocSecurity>
  <Lines>65</Lines>
  <Paragraphs>18</Paragraphs>
  <ScaleCrop>false</ScaleCrop>
  <Company/>
  <LinksUpToDate>false</LinksUpToDate>
  <CharactersWithSpaces>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Rose Araujo</cp:lastModifiedBy>
  <cp:revision>103</cp:revision>
  <dcterms:created xsi:type="dcterms:W3CDTF">2026-06-18T08:36:00Z</dcterms:created>
  <dcterms:modified xsi:type="dcterms:W3CDTF">2026-06-18T12:24:00Z</dcterms:modified>
</cp:coreProperties>
</file>