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CA483" w14:textId="77777777" w:rsidR="00123D6D" w:rsidRDefault="00123D6D" w:rsidP="000E4B63">
      <w:pPr>
        <w:jc w:val="both"/>
        <w:rPr>
          <w:rFonts w:ascii="Arial" w:hAnsi="Arial" w:cs="Arial"/>
          <w:sz w:val="22"/>
          <w:szCs w:val="22"/>
        </w:rPr>
      </w:pPr>
    </w:p>
    <w:p w14:paraId="31A97F95" w14:textId="77777777" w:rsidR="00123D6D" w:rsidRDefault="00123D6D" w:rsidP="00123D6D">
      <w:pPr>
        <w:spacing w:line="480" w:lineRule="auto"/>
        <w:jc w:val="both"/>
        <w:rPr>
          <w:rFonts w:ascii="Arial" w:hAnsi="Arial" w:cs="Arial"/>
          <w:b/>
          <w:bCs/>
          <w:sz w:val="22"/>
          <w:szCs w:val="22"/>
        </w:rPr>
      </w:pPr>
      <w:r>
        <w:rPr>
          <w:rFonts w:ascii="Arial" w:hAnsi="Arial" w:cs="Arial"/>
          <w:b/>
          <w:bCs/>
          <w:sz w:val="22"/>
          <w:szCs w:val="22"/>
        </w:rPr>
        <w:t>Name:</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185B1B">
        <w:rPr>
          <w:rFonts w:ascii="Arial" w:hAnsi="Arial" w:cs="Arial"/>
          <w:sz w:val="22"/>
          <w:szCs w:val="22"/>
        </w:rPr>
        <w:t>Emily Amoo-Gottfried</w:t>
      </w:r>
    </w:p>
    <w:p w14:paraId="4E90461A" w14:textId="77777777" w:rsidR="00123D6D" w:rsidRDefault="00123D6D" w:rsidP="00123D6D">
      <w:pPr>
        <w:spacing w:line="480" w:lineRule="auto"/>
        <w:jc w:val="both"/>
        <w:rPr>
          <w:rFonts w:ascii="Arial" w:hAnsi="Arial" w:cs="Arial"/>
          <w:b/>
          <w:bCs/>
          <w:sz w:val="22"/>
          <w:szCs w:val="22"/>
        </w:rPr>
      </w:pPr>
      <w:r>
        <w:rPr>
          <w:rFonts w:ascii="Arial" w:hAnsi="Arial" w:cs="Arial"/>
          <w:b/>
          <w:bCs/>
          <w:sz w:val="22"/>
          <w:szCs w:val="22"/>
        </w:rPr>
        <w:t>Student ID:</w:t>
      </w:r>
      <w:r>
        <w:rPr>
          <w:rFonts w:ascii="Arial" w:hAnsi="Arial" w:cs="Arial"/>
          <w:b/>
          <w:bCs/>
          <w:sz w:val="22"/>
          <w:szCs w:val="22"/>
        </w:rPr>
        <w:tab/>
      </w:r>
      <w:r>
        <w:rPr>
          <w:rFonts w:ascii="Arial" w:hAnsi="Arial" w:cs="Arial"/>
          <w:b/>
          <w:bCs/>
          <w:sz w:val="22"/>
          <w:szCs w:val="22"/>
        </w:rPr>
        <w:tab/>
      </w:r>
      <w:r w:rsidRPr="00185B1B">
        <w:rPr>
          <w:rFonts w:ascii="Arial" w:hAnsi="Arial" w:cs="Arial"/>
          <w:sz w:val="22"/>
          <w:szCs w:val="22"/>
        </w:rPr>
        <w:t>2518106</w:t>
      </w:r>
    </w:p>
    <w:p w14:paraId="0FDE3E85" w14:textId="56A622D6" w:rsidR="00123D6D" w:rsidRDefault="00123D6D" w:rsidP="00123D6D">
      <w:pPr>
        <w:spacing w:line="480" w:lineRule="auto"/>
        <w:jc w:val="both"/>
        <w:rPr>
          <w:rFonts w:ascii="Arial" w:hAnsi="Arial" w:cs="Arial"/>
          <w:b/>
          <w:bCs/>
          <w:sz w:val="22"/>
          <w:szCs w:val="22"/>
        </w:rPr>
      </w:pPr>
      <w:r>
        <w:rPr>
          <w:rFonts w:ascii="Arial" w:hAnsi="Arial" w:cs="Arial"/>
          <w:b/>
          <w:bCs/>
          <w:sz w:val="22"/>
          <w:szCs w:val="22"/>
        </w:rPr>
        <w:t xml:space="preserve">Module code: </w:t>
      </w:r>
      <w:r>
        <w:rPr>
          <w:rFonts w:ascii="Arial" w:hAnsi="Arial" w:cs="Arial"/>
          <w:b/>
          <w:bCs/>
          <w:sz w:val="22"/>
          <w:szCs w:val="22"/>
        </w:rPr>
        <w:tab/>
      </w:r>
      <w:r w:rsidRPr="00185B1B">
        <w:rPr>
          <w:rFonts w:ascii="Arial" w:hAnsi="Arial" w:cs="Arial"/>
          <w:sz w:val="22"/>
          <w:szCs w:val="22"/>
        </w:rPr>
        <w:t>LCHS</w:t>
      </w:r>
      <w:r>
        <w:rPr>
          <w:rFonts w:ascii="Arial" w:hAnsi="Arial" w:cs="Arial"/>
          <w:sz w:val="22"/>
          <w:szCs w:val="22"/>
        </w:rPr>
        <w:t xml:space="preserve"> </w:t>
      </w:r>
      <w:r w:rsidRPr="00185B1B">
        <w:rPr>
          <w:rFonts w:ascii="Arial" w:hAnsi="Arial" w:cs="Arial"/>
          <w:sz w:val="22"/>
          <w:szCs w:val="22"/>
        </w:rPr>
        <w:t>400</w:t>
      </w:r>
      <w:r>
        <w:rPr>
          <w:rFonts w:ascii="Arial" w:hAnsi="Arial" w:cs="Arial"/>
          <w:sz w:val="22"/>
          <w:szCs w:val="22"/>
        </w:rPr>
        <w:t>8</w:t>
      </w:r>
    </w:p>
    <w:p w14:paraId="7D958960" w14:textId="77777777" w:rsidR="00123D6D" w:rsidRDefault="00123D6D" w:rsidP="00123D6D">
      <w:pPr>
        <w:spacing w:line="480" w:lineRule="auto"/>
        <w:jc w:val="both"/>
        <w:rPr>
          <w:rFonts w:ascii="Arial" w:hAnsi="Arial" w:cs="Arial"/>
          <w:sz w:val="22"/>
          <w:szCs w:val="22"/>
        </w:rPr>
      </w:pPr>
      <w:r>
        <w:rPr>
          <w:rFonts w:ascii="Arial" w:hAnsi="Arial" w:cs="Arial"/>
          <w:b/>
          <w:bCs/>
          <w:sz w:val="22"/>
          <w:szCs w:val="22"/>
        </w:rPr>
        <w:t xml:space="preserve">Module title: </w:t>
      </w:r>
      <w:r>
        <w:rPr>
          <w:rFonts w:ascii="Arial" w:hAnsi="Arial" w:cs="Arial"/>
          <w:b/>
          <w:bCs/>
          <w:sz w:val="22"/>
          <w:szCs w:val="22"/>
        </w:rPr>
        <w:tab/>
      </w:r>
      <w:r>
        <w:rPr>
          <w:rFonts w:ascii="Arial" w:hAnsi="Arial" w:cs="Arial"/>
          <w:b/>
          <w:bCs/>
          <w:sz w:val="22"/>
          <w:szCs w:val="22"/>
        </w:rPr>
        <w:tab/>
      </w:r>
      <w:r w:rsidRPr="00185B1B">
        <w:rPr>
          <w:rFonts w:ascii="Arial" w:hAnsi="Arial" w:cs="Arial"/>
          <w:sz w:val="22"/>
          <w:szCs w:val="22"/>
        </w:rPr>
        <w:t xml:space="preserve">Introduction to </w:t>
      </w:r>
      <w:r>
        <w:rPr>
          <w:rFonts w:ascii="Arial" w:hAnsi="Arial" w:cs="Arial"/>
          <w:sz w:val="22"/>
          <w:szCs w:val="22"/>
        </w:rPr>
        <w:t xml:space="preserve">Public </w:t>
      </w:r>
      <w:r w:rsidRPr="00185B1B">
        <w:rPr>
          <w:rFonts w:ascii="Arial" w:hAnsi="Arial" w:cs="Arial"/>
          <w:sz w:val="22"/>
          <w:szCs w:val="22"/>
        </w:rPr>
        <w:t xml:space="preserve">Health </w:t>
      </w:r>
    </w:p>
    <w:p w14:paraId="1C6F230C" w14:textId="0C1DD230" w:rsidR="00123D6D" w:rsidRPr="002F2280" w:rsidRDefault="00123D6D" w:rsidP="00123D6D">
      <w:pPr>
        <w:spacing w:line="480" w:lineRule="auto"/>
        <w:jc w:val="both"/>
        <w:rPr>
          <w:rFonts w:ascii="Arial" w:hAnsi="Arial" w:cs="Arial"/>
          <w:sz w:val="22"/>
          <w:szCs w:val="22"/>
          <w:lang w:val="en-GB"/>
        </w:rPr>
      </w:pPr>
      <w:r>
        <w:rPr>
          <w:rFonts w:ascii="Arial" w:hAnsi="Arial" w:cs="Arial"/>
          <w:b/>
          <w:bCs/>
          <w:sz w:val="22"/>
          <w:szCs w:val="22"/>
        </w:rPr>
        <w:t>Lecturer’s name:</w:t>
      </w:r>
      <w:r w:rsidR="002F2280">
        <w:rPr>
          <w:rFonts w:ascii="Arial" w:hAnsi="Arial" w:cs="Arial"/>
          <w:b/>
          <w:bCs/>
          <w:sz w:val="22"/>
          <w:szCs w:val="22"/>
          <w:lang w:val="en-GB"/>
        </w:rPr>
        <w:tab/>
      </w:r>
      <w:r w:rsidR="002F2280" w:rsidRPr="002F2280">
        <w:rPr>
          <w:rFonts w:ascii="Arial" w:hAnsi="Arial" w:cs="Arial"/>
          <w:sz w:val="22"/>
          <w:szCs w:val="22"/>
          <w:lang w:val="en-GB"/>
        </w:rPr>
        <w:t>Dr Patronella Ganza</w:t>
      </w:r>
    </w:p>
    <w:p w14:paraId="6EA034A9" w14:textId="7EE1EF55" w:rsidR="00123D6D" w:rsidRDefault="00123D6D" w:rsidP="00123D6D">
      <w:pPr>
        <w:spacing w:line="480" w:lineRule="auto"/>
        <w:jc w:val="both"/>
        <w:rPr>
          <w:rFonts w:ascii="Arial" w:hAnsi="Arial" w:cs="Arial"/>
          <w:b/>
          <w:bCs/>
          <w:sz w:val="22"/>
          <w:szCs w:val="22"/>
        </w:rPr>
      </w:pPr>
      <w:r>
        <w:rPr>
          <w:rFonts w:ascii="Arial" w:hAnsi="Arial" w:cs="Arial"/>
          <w:b/>
          <w:bCs/>
          <w:sz w:val="22"/>
          <w:szCs w:val="22"/>
        </w:rPr>
        <w:t xml:space="preserve">Assignment title: </w:t>
      </w:r>
      <w:r>
        <w:rPr>
          <w:rFonts w:ascii="Arial" w:hAnsi="Arial" w:cs="Arial"/>
          <w:b/>
          <w:bCs/>
          <w:sz w:val="22"/>
          <w:szCs w:val="22"/>
        </w:rPr>
        <w:tab/>
      </w:r>
      <w:r>
        <w:rPr>
          <w:rFonts w:ascii="Arial" w:hAnsi="Arial" w:cs="Arial"/>
          <w:sz w:val="22"/>
          <w:szCs w:val="22"/>
        </w:rPr>
        <w:t>Dementia</w:t>
      </w:r>
    </w:p>
    <w:p w14:paraId="4CF41ADF" w14:textId="77777777" w:rsidR="00123D6D" w:rsidRDefault="00123D6D">
      <w:pPr>
        <w:rPr>
          <w:rFonts w:ascii="Arial" w:hAnsi="Arial" w:cs="Arial"/>
          <w:sz w:val="22"/>
          <w:szCs w:val="22"/>
        </w:rPr>
      </w:pPr>
      <w:r>
        <w:rPr>
          <w:rFonts w:ascii="Arial" w:hAnsi="Arial" w:cs="Arial"/>
          <w:sz w:val="22"/>
          <w:szCs w:val="22"/>
        </w:rPr>
        <w:br w:type="page"/>
      </w:r>
    </w:p>
    <w:p w14:paraId="28B78B30" w14:textId="77777777" w:rsidR="00115FA9" w:rsidRDefault="00115FA9" w:rsidP="000E4B63">
      <w:pPr>
        <w:jc w:val="both"/>
        <w:rPr>
          <w:rFonts w:ascii="Arial" w:hAnsi="Arial" w:cs="Arial"/>
          <w:b/>
          <w:bCs/>
          <w:sz w:val="22"/>
          <w:szCs w:val="22"/>
        </w:rPr>
        <w:sectPr w:rsidR="00115FA9" w:rsidSect="000E19D2">
          <w:footerReference w:type="default" r:id="rId7"/>
          <w:pgSz w:w="11907" w:h="16840" w:code="9"/>
          <w:pgMar w:top="1440" w:right="1440" w:bottom="1440" w:left="1440" w:header="709" w:footer="709" w:gutter="0"/>
          <w:cols w:space="708"/>
          <w:docGrid w:linePitch="360"/>
        </w:sectPr>
      </w:pPr>
    </w:p>
    <w:p w14:paraId="7C90DB4E" w14:textId="7890254E" w:rsidR="00C13238" w:rsidRPr="00115FA9" w:rsidRDefault="00F177B7" w:rsidP="000E4B63">
      <w:pPr>
        <w:jc w:val="both"/>
        <w:rPr>
          <w:rFonts w:ascii="Arial" w:hAnsi="Arial" w:cs="Arial"/>
          <w:b/>
          <w:bCs/>
          <w:sz w:val="22"/>
          <w:szCs w:val="22"/>
        </w:rPr>
      </w:pPr>
      <w:r w:rsidRPr="00115FA9">
        <w:rPr>
          <w:rFonts w:ascii="Arial" w:hAnsi="Arial" w:cs="Arial"/>
          <w:b/>
          <w:bCs/>
          <w:sz w:val="22"/>
          <w:szCs w:val="22"/>
        </w:rPr>
        <w:lastRenderedPageBreak/>
        <w:t>Introduction</w:t>
      </w:r>
    </w:p>
    <w:p w14:paraId="5D62C394" w14:textId="34270165" w:rsidR="00F177B7" w:rsidRDefault="00F177B7" w:rsidP="00115FA9">
      <w:pPr>
        <w:spacing w:line="360" w:lineRule="auto"/>
        <w:jc w:val="both"/>
        <w:rPr>
          <w:rFonts w:ascii="Arial" w:hAnsi="Arial" w:cs="Arial"/>
          <w:sz w:val="22"/>
          <w:szCs w:val="22"/>
        </w:rPr>
      </w:pPr>
      <w:r>
        <w:rPr>
          <w:rFonts w:ascii="Arial" w:hAnsi="Arial" w:cs="Arial"/>
          <w:sz w:val="22"/>
          <w:szCs w:val="22"/>
        </w:rPr>
        <w:t>Dementia is a progressive decline in brain function, such as communication, thinking, memory or judgement, which impacts the ability of an individual to undertake everyday activities. Despite popular belief that dementia is associated with old age, it is not a normal condition connected with ageing</w:t>
      </w:r>
      <w:r w:rsidR="000F78F8">
        <w:rPr>
          <w:rFonts w:ascii="Arial" w:hAnsi="Arial" w:cs="Arial"/>
          <w:sz w:val="22"/>
          <w:szCs w:val="22"/>
        </w:rPr>
        <w:t>,</w:t>
      </w:r>
      <w:r>
        <w:rPr>
          <w:rFonts w:ascii="Arial" w:hAnsi="Arial" w:cs="Arial"/>
          <w:sz w:val="22"/>
          <w:szCs w:val="22"/>
        </w:rPr>
        <w:t xml:space="preserve"> even though ageing is a risk factor that contributes to the condition</w:t>
      </w:r>
      <w:r w:rsidR="005143FF">
        <w:rPr>
          <w:rFonts w:ascii="Arial" w:hAnsi="Arial" w:cs="Arial"/>
          <w:sz w:val="22"/>
          <w:szCs w:val="22"/>
        </w:rPr>
        <w:t xml:space="preserve">. </w:t>
      </w:r>
      <w:r>
        <w:rPr>
          <w:rFonts w:ascii="Arial" w:hAnsi="Arial" w:cs="Arial"/>
          <w:sz w:val="22"/>
          <w:szCs w:val="22"/>
        </w:rPr>
        <w:t xml:space="preserve">Dementia is </w:t>
      </w:r>
      <w:r w:rsidR="000F78F8">
        <w:rPr>
          <w:rFonts w:ascii="Arial" w:hAnsi="Arial" w:cs="Arial"/>
          <w:sz w:val="22"/>
          <w:szCs w:val="22"/>
        </w:rPr>
        <w:t xml:space="preserve">a </w:t>
      </w:r>
      <w:r>
        <w:rPr>
          <w:rFonts w:ascii="Arial" w:hAnsi="Arial" w:cs="Arial"/>
          <w:sz w:val="22"/>
          <w:szCs w:val="22"/>
        </w:rPr>
        <w:t xml:space="preserve">mental condition that is shown in individuals who </w:t>
      </w:r>
      <w:r w:rsidR="000F78F8">
        <w:rPr>
          <w:rFonts w:ascii="Arial" w:hAnsi="Arial" w:cs="Arial"/>
          <w:sz w:val="22"/>
          <w:szCs w:val="22"/>
        </w:rPr>
        <w:t>have trouble</w:t>
      </w:r>
      <w:r>
        <w:rPr>
          <w:rFonts w:ascii="Arial" w:hAnsi="Arial" w:cs="Arial"/>
          <w:sz w:val="22"/>
          <w:szCs w:val="22"/>
        </w:rPr>
        <w:t xml:space="preserve"> concentrating and difficulty with spoken language, memory loss, and periodic confusion and mood swings</w:t>
      </w:r>
      <w:r w:rsidR="000F78F8">
        <w:rPr>
          <w:rFonts w:ascii="Arial" w:hAnsi="Arial" w:cs="Arial"/>
          <w:sz w:val="22"/>
          <w:szCs w:val="22"/>
        </w:rPr>
        <w:t xml:space="preserve">. Dementia poses serious health risks and globally, about 57 million people were recorded to live with the condition in 2021, with about 10 million new cases emerging every year </w:t>
      </w:r>
      <w:sdt>
        <w:sdtPr>
          <w:rPr>
            <w:rFonts w:ascii="Arial" w:hAnsi="Arial" w:cs="Arial"/>
            <w:sz w:val="22"/>
            <w:szCs w:val="22"/>
          </w:rPr>
          <w:id w:val="-1722509394"/>
          <w:citation/>
        </w:sdtPr>
        <w:sdtEndPr/>
        <w:sdtContent>
          <w:r w:rsidR="005143FF">
            <w:rPr>
              <w:rFonts w:ascii="Arial" w:hAnsi="Arial" w:cs="Arial"/>
              <w:sz w:val="22"/>
              <w:szCs w:val="22"/>
            </w:rPr>
            <w:fldChar w:fldCharType="begin"/>
          </w:r>
          <w:r w:rsidR="005143FF">
            <w:rPr>
              <w:rFonts w:ascii="Arial" w:hAnsi="Arial" w:cs="Arial"/>
              <w:sz w:val="22"/>
              <w:szCs w:val="22"/>
              <w:lang w:val="en-US"/>
            </w:rPr>
            <w:instrText xml:space="preserve">CITATION Wor \l 1033 </w:instrText>
          </w:r>
          <w:r w:rsidR="005143FF">
            <w:rPr>
              <w:rFonts w:ascii="Arial" w:hAnsi="Arial" w:cs="Arial"/>
              <w:sz w:val="22"/>
              <w:szCs w:val="22"/>
            </w:rPr>
            <w:fldChar w:fldCharType="separate"/>
          </w:r>
          <w:r w:rsidR="005143FF" w:rsidRPr="005143FF">
            <w:rPr>
              <w:rFonts w:ascii="Arial" w:hAnsi="Arial" w:cs="Arial"/>
              <w:noProof/>
              <w:sz w:val="22"/>
              <w:szCs w:val="22"/>
              <w:lang w:val="en-US"/>
            </w:rPr>
            <w:t>(World Health Organization, 2025)</w:t>
          </w:r>
          <w:r w:rsidR="005143FF">
            <w:rPr>
              <w:rFonts w:ascii="Arial" w:hAnsi="Arial" w:cs="Arial"/>
              <w:sz w:val="22"/>
              <w:szCs w:val="22"/>
            </w:rPr>
            <w:fldChar w:fldCharType="end"/>
          </w:r>
        </w:sdtContent>
      </w:sdt>
      <w:r w:rsidR="000F78F8">
        <w:rPr>
          <w:rFonts w:ascii="Arial" w:hAnsi="Arial" w:cs="Arial"/>
          <w:sz w:val="22"/>
          <w:szCs w:val="22"/>
        </w:rPr>
        <w:t xml:space="preserve">. In the United Kingdom, about 1 million people live with dementia, and the number of cases is expected to rise by 40% by the year 2040 </w:t>
      </w:r>
      <w:sdt>
        <w:sdtPr>
          <w:rPr>
            <w:rFonts w:ascii="Arial" w:hAnsi="Arial" w:cs="Arial"/>
            <w:sz w:val="22"/>
            <w:szCs w:val="22"/>
          </w:rPr>
          <w:id w:val="-1480224561"/>
          <w:citation/>
        </w:sdtPr>
        <w:sdtEndPr/>
        <w:sdtContent>
          <w:r w:rsidR="005143FF">
            <w:rPr>
              <w:rFonts w:ascii="Arial" w:hAnsi="Arial" w:cs="Arial"/>
              <w:sz w:val="22"/>
              <w:szCs w:val="22"/>
            </w:rPr>
            <w:fldChar w:fldCharType="begin"/>
          </w:r>
          <w:r w:rsidR="005143FF">
            <w:rPr>
              <w:rFonts w:ascii="Arial" w:hAnsi="Arial" w:cs="Arial"/>
              <w:sz w:val="22"/>
              <w:szCs w:val="22"/>
              <w:lang w:val="en-US"/>
            </w:rPr>
            <w:instrText xml:space="preserve"> CITATION Alz24 \l 1033 </w:instrText>
          </w:r>
          <w:r w:rsidR="005143FF">
            <w:rPr>
              <w:rFonts w:ascii="Arial" w:hAnsi="Arial" w:cs="Arial"/>
              <w:sz w:val="22"/>
              <w:szCs w:val="22"/>
            </w:rPr>
            <w:fldChar w:fldCharType="separate"/>
          </w:r>
          <w:r w:rsidR="005143FF" w:rsidRPr="005143FF">
            <w:rPr>
              <w:rFonts w:ascii="Arial" w:hAnsi="Arial" w:cs="Arial"/>
              <w:noProof/>
              <w:sz w:val="22"/>
              <w:szCs w:val="22"/>
              <w:lang w:val="en-US"/>
            </w:rPr>
            <w:t>(Alzheimer's Society, 2024)</w:t>
          </w:r>
          <w:r w:rsidR="005143FF">
            <w:rPr>
              <w:rFonts w:ascii="Arial" w:hAnsi="Arial" w:cs="Arial"/>
              <w:sz w:val="22"/>
              <w:szCs w:val="22"/>
            </w:rPr>
            <w:fldChar w:fldCharType="end"/>
          </w:r>
        </w:sdtContent>
      </w:sdt>
      <w:r w:rsidR="000F78F8">
        <w:rPr>
          <w:rFonts w:ascii="Arial" w:hAnsi="Arial" w:cs="Arial"/>
          <w:sz w:val="22"/>
          <w:szCs w:val="22"/>
        </w:rPr>
        <w:t xml:space="preserve">. This report discusses how dementia can be measured, monitored and controlled, together with risk factors that expose individuals to the condition and its implications for the health and social care sector. </w:t>
      </w:r>
    </w:p>
    <w:p w14:paraId="607F4576" w14:textId="2DE2D6B2" w:rsidR="009774FB" w:rsidRPr="00115FA9" w:rsidRDefault="009774FB" w:rsidP="00115FA9">
      <w:pPr>
        <w:spacing w:line="360" w:lineRule="auto"/>
        <w:jc w:val="both"/>
        <w:rPr>
          <w:rFonts w:ascii="Arial" w:hAnsi="Arial" w:cs="Arial"/>
          <w:b/>
          <w:bCs/>
          <w:sz w:val="22"/>
          <w:szCs w:val="22"/>
        </w:rPr>
      </w:pPr>
      <w:r w:rsidRPr="00115FA9">
        <w:rPr>
          <w:rFonts w:ascii="Arial" w:hAnsi="Arial" w:cs="Arial"/>
          <w:b/>
          <w:bCs/>
          <w:sz w:val="22"/>
          <w:szCs w:val="22"/>
        </w:rPr>
        <w:t>Monitoring and Measuring of Dementia</w:t>
      </w:r>
    </w:p>
    <w:p w14:paraId="7EC7127C" w14:textId="374B27DC" w:rsidR="009774FB" w:rsidRDefault="000B3CAF" w:rsidP="00115FA9">
      <w:pPr>
        <w:spacing w:line="360" w:lineRule="auto"/>
        <w:jc w:val="both"/>
        <w:rPr>
          <w:rFonts w:ascii="Arial" w:hAnsi="Arial" w:cs="Arial"/>
          <w:sz w:val="22"/>
          <w:szCs w:val="22"/>
        </w:rPr>
      </w:pPr>
      <w:r>
        <w:rPr>
          <w:rFonts w:ascii="Arial" w:hAnsi="Arial" w:cs="Arial"/>
          <w:sz w:val="22"/>
          <w:szCs w:val="22"/>
        </w:rPr>
        <w:t xml:space="preserve">Dementia can be measured and monitored at 2 levels: population and individual levels. At the population level, health and social care organisations use </w:t>
      </w:r>
      <w:r w:rsidR="00724D50">
        <w:rPr>
          <w:rFonts w:ascii="Arial" w:hAnsi="Arial" w:cs="Arial"/>
          <w:sz w:val="22"/>
          <w:szCs w:val="22"/>
        </w:rPr>
        <w:t xml:space="preserve">indicators such as </w:t>
      </w:r>
      <w:r>
        <w:rPr>
          <w:rFonts w:ascii="Arial" w:hAnsi="Arial" w:cs="Arial"/>
          <w:sz w:val="22"/>
          <w:szCs w:val="22"/>
        </w:rPr>
        <w:t>mortality, incidence, morbidity and prevalence rates to monitor the condition. Mortality is simply the number of deaths that are attributable to dementia, while incidence is the number of new cases of dementia over a period. Morbidity, in this case, is seen as the health burden associated with dementia that impacts the independence of dementia patients</w:t>
      </w:r>
      <w:r w:rsidR="00724D50">
        <w:rPr>
          <w:rFonts w:ascii="Arial" w:hAnsi="Arial" w:cs="Arial"/>
          <w:sz w:val="22"/>
          <w:szCs w:val="22"/>
        </w:rPr>
        <w:t>,</w:t>
      </w:r>
      <w:r>
        <w:rPr>
          <w:rFonts w:ascii="Arial" w:hAnsi="Arial" w:cs="Arial"/>
          <w:sz w:val="22"/>
          <w:szCs w:val="22"/>
        </w:rPr>
        <w:t xml:space="preserve"> whereas </w:t>
      </w:r>
      <w:r w:rsidR="00724D50">
        <w:rPr>
          <w:rFonts w:ascii="Arial" w:hAnsi="Arial" w:cs="Arial"/>
          <w:sz w:val="22"/>
          <w:szCs w:val="22"/>
        </w:rPr>
        <w:t xml:space="preserve">prevalence is the number of people living with dementia at a point in time. These indicators are essential because it takes time for dementia to develop, and it usually places a high demand on medical services when the condition is diagnosed in individuals. A report by the NHS England revealed that as of February 2026, about 510,000 patients were diagnosed with dementia, with a diagnosis rate of 66% among individuals aged 65 and above </w:t>
      </w:r>
      <w:sdt>
        <w:sdtPr>
          <w:rPr>
            <w:rFonts w:ascii="Arial" w:hAnsi="Arial" w:cs="Arial"/>
            <w:sz w:val="22"/>
            <w:szCs w:val="22"/>
          </w:rPr>
          <w:id w:val="-1842153052"/>
          <w:citation/>
        </w:sdtPr>
        <w:sdtEndPr/>
        <w:sdtContent>
          <w:r w:rsidR="00253F05">
            <w:rPr>
              <w:rFonts w:ascii="Arial" w:hAnsi="Arial" w:cs="Arial"/>
              <w:sz w:val="22"/>
              <w:szCs w:val="22"/>
            </w:rPr>
            <w:fldChar w:fldCharType="begin"/>
          </w:r>
          <w:r w:rsidR="00253F05">
            <w:rPr>
              <w:rFonts w:ascii="Arial" w:hAnsi="Arial" w:cs="Arial"/>
              <w:sz w:val="22"/>
              <w:szCs w:val="22"/>
              <w:lang w:val="en-US"/>
            </w:rPr>
            <w:instrText xml:space="preserve"> CITATION NHS263 \l 1033 </w:instrText>
          </w:r>
          <w:r w:rsidR="00253F05">
            <w:rPr>
              <w:rFonts w:ascii="Arial" w:hAnsi="Arial" w:cs="Arial"/>
              <w:sz w:val="22"/>
              <w:szCs w:val="22"/>
            </w:rPr>
            <w:fldChar w:fldCharType="separate"/>
          </w:r>
          <w:r w:rsidR="00253F05" w:rsidRPr="00253F05">
            <w:rPr>
              <w:rFonts w:ascii="Arial" w:hAnsi="Arial" w:cs="Arial"/>
              <w:noProof/>
              <w:sz w:val="22"/>
              <w:szCs w:val="22"/>
              <w:lang w:val="en-US"/>
            </w:rPr>
            <w:t>(NHS England, 2026)</w:t>
          </w:r>
          <w:r w:rsidR="00253F05">
            <w:rPr>
              <w:rFonts w:ascii="Arial" w:hAnsi="Arial" w:cs="Arial"/>
              <w:sz w:val="22"/>
              <w:szCs w:val="22"/>
            </w:rPr>
            <w:fldChar w:fldCharType="end"/>
          </w:r>
        </w:sdtContent>
      </w:sdt>
      <w:r w:rsidR="00724D50">
        <w:rPr>
          <w:rFonts w:ascii="Arial" w:hAnsi="Arial" w:cs="Arial"/>
          <w:sz w:val="22"/>
          <w:szCs w:val="22"/>
        </w:rPr>
        <w:t>. There exists a diagnosis gap that is essential because individuals who are not diagnosed on time may miss health and social care planning and support, as well as medical treatment and advice.</w:t>
      </w:r>
      <w:r w:rsidR="00FB7693">
        <w:rPr>
          <w:rFonts w:ascii="Arial" w:hAnsi="Arial" w:cs="Arial"/>
          <w:sz w:val="22"/>
          <w:szCs w:val="22"/>
        </w:rPr>
        <w:t xml:space="preserve"> Mortality data from 2024 showed that dementia combined with Alzheimer’s disease caused up to 68,273 deaths in England and Wales</w:t>
      </w:r>
      <w:r w:rsidR="00607515">
        <w:rPr>
          <w:rFonts w:ascii="Arial" w:hAnsi="Arial" w:cs="Arial"/>
          <w:sz w:val="22"/>
          <w:szCs w:val="22"/>
        </w:rPr>
        <w:t>,</w:t>
      </w:r>
      <w:r w:rsidR="00FB7693">
        <w:rPr>
          <w:rFonts w:ascii="Arial" w:hAnsi="Arial" w:cs="Arial"/>
          <w:sz w:val="22"/>
          <w:szCs w:val="22"/>
        </w:rPr>
        <w:t xml:space="preserve"> which was about 12% of registered deaths.</w:t>
      </w:r>
    </w:p>
    <w:p w14:paraId="4273E6CC" w14:textId="6959C178" w:rsidR="0016378F" w:rsidRDefault="00FB7693" w:rsidP="00115FA9">
      <w:pPr>
        <w:spacing w:line="360" w:lineRule="auto"/>
        <w:jc w:val="both"/>
        <w:rPr>
          <w:rFonts w:ascii="Arial" w:hAnsi="Arial" w:cs="Arial"/>
          <w:sz w:val="22"/>
          <w:szCs w:val="22"/>
        </w:rPr>
      </w:pPr>
      <w:r>
        <w:rPr>
          <w:rFonts w:ascii="Arial" w:hAnsi="Arial" w:cs="Arial"/>
          <w:sz w:val="22"/>
          <w:szCs w:val="22"/>
        </w:rPr>
        <w:t xml:space="preserve">At the individual level, dementia is measured and monitored through medical assessment or diagnosis and medical review. This is done </w:t>
      </w:r>
      <w:r w:rsidR="00607515">
        <w:rPr>
          <w:rFonts w:ascii="Arial" w:hAnsi="Arial" w:cs="Arial"/>
          <w:sz w:val="22"/>
          <w:szCs w:val="22"/>
        </w:rPr>
        <w:t>through clinical assessment and testing</w:t>
      </w:r>
      <w:r w:rsidR="00B453D9">
        <w:rPr>
          <w:rFonts w:ascii="Arial" w:hAnsi="Arial" w:cs="Arial"/>
          <w:sz w:val="22"/>
          <w:szCs w:val="22"/>
        </w:rPr>
        <w:t>,</w:t>
      </w:r>
      <w:r w:rsidR="00607515">
        <w:rPr>
          <w:rFonts w:ascii="Arial" w:hAnsi="Arial" w:cs="Arial"/>
          <w:sz w:val="22"/>
          <w:szCs w:val="22"/>
        </w:rPr>
        <w:t xml:space="preserve"> </w:t>
      </w:r>
      <w:r w:rsidR="00B453D9">
        <w:rPr>
          <w:rFonts w:ascii="Arial" w:hAnsi="Arial" w:cs="Arial"/>
          <w:sz w:val="22"/>
          <w:szCs w:val="22"/>
        </w:rPr>
        <w:t>and observing the symptoms</w:t>
      </w:r>
      <w:r w:rsidR="00607515">
        <w:rPr>
          <w:rFonts w:ascii="Arial" w:hAnsi="Arial" w:cs="Arial"/>
          <w:sz w:val="22"/>
          <w:szCs w:val="22"/>
        </w:rPr>
        <w:t xml:space="preserve"> </w:t>
      </w:r>
      <w:r w:rsidR="00B453D9">
        <w:rPr>
          <w:rFonts w:ascii="Arial" w:hAnsi="Arial" w:cs="Arial"/>
          <w:sz w:val="22"/>
          <w:szCs w:val="22"/>
        </w:rPr>
        <w:t>of the patient. Other medical techniques, such as neurological imaging</w:t>
      </w:r>
      <w:r w:rsidR="00B54683">
        <w:rPr>
          <w:rFonts w:ascii="Arial" w:hAnsi="Arial" w:cs="Arial"/>
          <w:sz w:val="22"/>
          <w:szCs w:val="22"/>
        </w:rPr>
        <w:t xml:space="preserve"> (NHS, 2023). There are also cognitive tests that assess the thinking and memory capabilities of individuals, such as the General Practitioner Assessment of Cognition </w:t>
      </w:r>
      <w:r w:rsidR="00B54683">
        <w:rPr>
          <w:rFonts w:ascii="Arial" w:hAnsi="Arial" w:cs="Arial"/>
          <w:sz w:val="22"/>
          <w:szCs w:val="22"/>
        </w:rPr>
        <w:lastRenderedPageBreak/>
        <w:t>(GPCOG) (NHS, 2023). Moreover, medical tests such as blood tests help to determine other causes of the condition, such as vitamin B12 deficiency, infections or thyroid problems. Neurological imaging</w:t>
      </w:r>
      <w:r w:rsidR="00A72791">
        <w:rPr>
          <w:rFonts w:ascii="Arial" w:hAnsi="Arial" w:cs="Arial"/>
          <w:sz w:val="22"/>
          <w:szCs w:val="22"/>
        </w:rPr>
        <w:t>,</w:t>
      </w:r>
      <w:r w:rsidR="00B54683">
        <w:rPr>
          <w:rFonts w:ascii="Arial" w:hAnsi="Arial" w:cs="Arial"/>
          <w:sz w:val="22"/>
          <w:szCs w:val="22"/>
        </w:rPr>
        <w:t xml:space="preserve"> such as </w:t>
      </w:r>
      <w:r w:rsidR="00A72791">
        <w:rPr>
          <w:rFonts w:ascii="Arial" w:hAnsi="Arial" w:cs="Arial"/>
          <w:sz w:val="22"/>
          <w:szCs w:val="22"/>
        </w:rPr>
        <w:t xml:space="preserve">Magnetic Resonance Imaging (MRI) or Computed Tomography (CT) scans, can be used for diagnosis to differentiate from other conditions such as Alzheimer’s disease (NHS,2023). Furthermore, the </w:t>
      </w:r>
      <w:r w:rsidR="00A72791" w:rsidRPr="00A72791">
        <w:rPr>
          <w:rFonts w:ascii="Arial" w:hAnsi="Arial" w:cs="Arial"/>
          <w:sz w:val="22"/>
          <w:szCs w:val="22"/>
        </w:rPr>
        <w:t>National Institute for Health and Care Excellence</w:t>
      </w:r>
      <w:r w:rsidR="00A72791">
        <w:rPr>
          <w:rFonts w:ascii="Arial" w:hAnsi="Arial" w:cs="Arial"/>
          <w:sz w:val="22"/>
          <w:szCs w:val="22"/>
        </w:rPr>
        <w:t xml:space="preserve"> (NICE) reported that medical specialists have to examine additional metrics such as language barriers, signs of physical disability, sensory impairment and even education level, and not only on cognitive assessments</w:t>
      </w:r>
      <w:r w:rsidR="0016378F">
        <w:rPr>
          <w:rFonts w:ascii="Arial" w:hAnsi="Arial" w:cs="Arial"/>
          <w:sz w:val="22"/>
          <w:szCs w:val="22"/>
        </w:rPr>
        <w:t xml:space="preserve"> and score results </w:t>
      </w:r>
      <w:sdt>
        <w:sdtPr>
          <w:rPr>
            <w:rFonts w:ascii="Arial" w:hAnsi="Arial" w:cs="Arial"/>
            <w:sz w:val="22"/>
            <w:szCs w:val="22"/>
          </w:rPr>
          <w:id w:val="-88240027"/>
          <w:citation/>
        </w:sdtPr>
        <w:sdtEndPr/>
        <w:sdtContent>
          <w:r w:rsidR="00123D6D">
            <w:rPr>
              <w:rFonts w:ascii="Arial" w:hAnsi="Arial" w:cs="Arial"/>
              <w:sz w:val="22"/>
              <w:szCs w:val="22"/>
            </w:rPr>
            <w:fldChar w:fldCharType="begin"/>
          </w:r>
          <w:r w:rsidR="00123D6D">
            <w:rPr>
              <w:rFonts w:ascii="Arial" w:hAnsi="Arial" w:cs="Arial"/>
              <w:sz w:val="22"/>
              <w:szCs w:val="22"/>
              <w:lang w:val="en-US"/>
            </w:rPr>
            <w:instrText xml:space="preserve"> CITATION NIC18 \l 1033 </w:instrText>
          </w:r>
          <w:r w:rsidR="00123D6D">
            <w:rPr>
              <w:rFonts w:ascii="Arial" w:hAnsi="Arial" w:cs="Arial"/>
              <w:sz w:val="22"/>
              <w:szCs w:val="22"/>
            </w:rPr>
            <w:fldChar w:fldCharType="separate"/>
          </w:r>
          <w:r w:rsidR="00123D6D" w:rsidRPr="00123D6D">
            <w:rPr>
              <w:rFonts w:ascii="Arial" w:hAnsi="Arial" w:cs="Arial"/>
              <w:noProof/>
              <w:sz w:val="22"/>
              <w:szCs w:val="22"/>
              <w:lang w:val="en-US"/>
            </w:rPr>
            <w:t>(NICE, 2018)</w:t>
          </w:r>
          <w:r w:rsidR="00123D6D">
            <w:rPr>
              <w:rFonts w:ascii="Arial" w:hAnsi="Arial" w:cs="Arial"/>
              <w:sz w:val="22"/>
              <w:szCs w:val="22"/>
            </w:rPr>
            <w:fldChar w:fldCharType="end"/>
          </w:r>
        </w:sdtContent>
      </w:sdt>
      <w:r w:rsidR="0016378F">
        <w:rPr>
          <w:rFonts w:ascii="Arial" w:hAnsi="Arial" w:cs="Arial"/>
          <w:sz w:val="22"/>
          <w:szCs w:val="22"/>
        </w:rPr>
        <w:t>. Monitoring measures usually include developing a care plan, assessing behavioural changes, nutritional, sleep and pain problems, as well as reviewing medications.</w:t>
      </w:r>
    </w:p>
    <w:p w14:paraId="771BAE1F" w14:textId="495CF79E" w:rsidR="0016378F" w:rsidRPr="00115FA9" w:rsidRDefault="0016378F" w:rsidP="00115FA9">
      <w:pPr>
        <w:spacing w:line="360" w:lineRule="auto"/>
        <w:jc w:val="both"/>
        <w:rPr>
          <w:rFonts w:ascii="Arial" w:hAnsi="Arial" w:cs="Arial"/>
          <w:b/>
          <w:bCs/>
          <w:sz w:val="22"/>
          <w:szCs w:val="22"/>
        </w:rPr>
      </w:pPr>
      <w:r w:rsidRPr="00115FA9">
        <w:rPr>
          <w:rFonts w:ascii="Arial" w:hAnsi="Arial" w:cs="Arial"/>
          <w:b/>
          <w:bCs/>
          <w:sz w:val="22"/>
          <w:szCs w:val="22"/>
        </w:rPr>
        <w:t xml:space="preserve">Control of Dementia </w:t>
      </w:r>
    </w:p>
    <w:p w14:paraId="417DD53B" w14:textId="62A93656" w:rsidR="00DD6A29" w:rsidRPr="00DD6A29" w:rsidRDefault="00DD6A29" w:rsidP="00115FA9">
      <w:pPr>
        <w:spacing w:line="360" w:lineRule="auto"/>
        <w:jc w:val="both"/>
        <w:rPr>
          <w:rFonts w:ascii="Arial" w:hAnsi="Arial" w:cs="Arial"/>
          <w:sz w:val="22"/>
          <w:szCs w:val="22"/>
        </w:rPr>
      </w:pPr>
      <w:r w:rsidRPr="00DD6A29">
        <w:rPr>
          <w:rFonts w:ascii="Arial" w:hAnsi="Arial" w:cs="Arial"/>
          <w:sz w:val="22"/>
          <w:szCs w:val="22"/>
        </w:rPr>
        <w:t xml:space="preserve">The 3Ps of public health </w:t>
      </w:r>
      <w:r>
        <w:rPr>
          <w:rFonts w:ascii="Arial" w:hAnsi="Arial" w:cs="Arial"/>
          <w:sz w:val="22"/>
          <w:szCs w:val="22"/>
        </w:rPr>
        <w:t>usually</w:t>
      </w:r>
      <w:r w:rsidRPr="00DD6A29">
        <w:rPr>
          <w:rFonts w:ascii="Arial" w:hAnsi="Arial" w:cs="Arial"/>
          <w:sz w:val="22"/>
          <w:szCs w:val="22"/>
        </w:rPr>
        <w:t xml:space="preserve"> requested in the evaluation </w:t>
      </w:r>
      <w:r>
        <w:rPr>
          <w:rFonts w:ascii="Arial" w:hAnsi="Arial" w:cs="Arial"/>
          <w:sz w:val="22"/>
          <w:szCs w:val="22"/>
        </w:rPr>
        <w:t>of dementia cases</w:t>
      </w:r>
      <w:r w:rsidRPr="00DD6A29">
        <w:rPr>
          <w:rFonts w:ascii="Arial" w:hAnsi="Arial" w:cs="Arial"/>
          <w:sz w:val="22"/>
          <w:szCs w:val="22"/>
        </w:rPr>
        <w:t xml:space="preserve">, and </w:t>
      </w:r>
      <w:r>
        <w:rPr>
          <w:rFonts w:ascii="Arial" w:hAnsi="Arial" w:cs="Arial"/>
          <w:sz w:val="22"/>
          <w:szCs w:val="22"/>
        </w:rPr>
        <w:t>comprise</w:t>
      </w:r>
      <w:r w:rsidRPr="00DD6A29">
        <w:rPr>
          <w:rFonts w:ascii="Arial" w:hAnsi="Arial" w:cs="Arial"/>
          <w:sz w:val="22"/>
          <w:szCs w:val="22"/>
        </w:rPr>
        <w:t xml:space="preserve"> promotion, prevention, and protection. The goals of health promotion are raising public awareness and enhancing brain health. </w:t>
      </w:r>
      <w:r w:rsidR="000E4B63">
        <w:rPr>
          <w:rFonts w:ascii="Arial" w:hAnsi="Arial" w:cs="Arial"/>
          <w:sz w:val="22"/>
          <w:szCs w:val="22"/>
        </w:rPr>
        <w:t>It is worth noting that</w:t>
      </w:r>
      <w:r w:rsidRPr="00DD6A29">
        <w:rPr>
          <w:rFonts w:ascii="Arial" w:hAnsi="Arial" w:cs="Arial"/>
          <w:sz w:val="22"/>
          <w:szCs w:val="22"/>
        </w:rPr>
        <w:t xml:space="preserve"> dementia risk is shaped throughout life rather than only in old age, public messaging that promote regular exercise, quitting smoking</w:t>
      </w:r>
      <w:r w:rsidR="000E4B63">
        <w:rPr>
          <w:rFonts w:ascii="Arial" w:hAnsi="Arial" w:cs="Arial"/>
          <w:sz w:val="22"/>
          <w:szCs w:val="22"/>
        </w:rPr>
        <w:t xml:space="preserve">, </w:t>
      </w:r>
      <w:r w:rsidR="000E4B63" w:rsidRPr="00DD6A29">
        <w:rPr>
          <w:rFonts w:ascii="Arial" w:hAnsi="Arial" w:cs="Arial"/>
          <w:sz w:val="22"/>
          <w:szCs w:val="22"/>
        </w:rPr>
        <w:t>social interaction</w:t>
      </w:r>
      <w:r w:rsidRPr="00DD6A29">
        <w:rPr>
          <w:rFonts w:ascii="Arial" w:hAnsi="Arial" w:cs="Arial"/>
          <w:sz w:val="22"/>
          <w:szCs w:val="22"/>
        </w:rPr>
        <w:t xml:space="preserve">, a healthy diet, and </w:t>
      </w:r>
      <w:r w:rsidR="000E4B63">
        <w:rPr>
          <w:rFonts w:ascii="Arial" w:hAnsi="Arial" w:cs="Arial"/>
          <w:sz w:val="22"/>
          <w:szCs w:val="22"/>
        </w:rPr>
        <w:t>good</w:t>
      </w:r>
      <w:r w:rsidRPr="00DD6A29">
        <w:rPr>
          <w:rFonts w:ascii="Arial" w:hAnsi="Arial" w:cs="Arial"/>
          <w:sz w:val="22"/>
          <w:szCs w:val="22"/>
        </w:rPr>
        <w:t xml:space="preserve"> cardiovascular health are </w:t>
      </w:r>
      <w:r w:rsidR="000E4B63">
        <w:rPr>
          <w:rFonts w:ascii="Arial" w:hAnsi="Arial" w:cs="Arial"/>
          <w:sz w:val="22"/>
          <w:szCs w:val="22"/>
        </w:rPr>
        <w:t>essential</w:t>
      </w:r>
      <w:r w:rsidRPr="00DD6A29">
        <w:rPr>
          <w:rFonts w:ascii="Arial" w:hAnsi="Arial" w:cs="Arial"/>
          <w:sz w:val="22"/>
          <w:szCs w:val="22"/>
        </w:rPr>
        <w:t xml:space="preserve"> (NICE, 2015; WHO, 2025). </w:t>
      </w:r>
      <w:r w:rsidR="000E4B63">
        <w:rPr>
          <w:rFonts w:ascii="Arial" w:hAnsi="Arial" w:cs="Arial"/>
          <w:sz w:val="22"/>
          <w:szCs w:val="22"/>
        </w:rPr>
        <w:t>Prevention refers to r</w:t>
      </w:r>
      <w:r w:rsidRPr="00DD6A29">
        <w:rPr>
          <w:rFonts w:ascii="Arial" w:hAnsi="Arial" w:cs="Arial"/>
          <w:sz w:val="22"/>
          <w:szCs w:val="22"/>
        </w:rPr>
        <w:t>educing the risk factors that lead to dementia and early detection of the illness. According to the 2024 Lancet Commission, addressing 14 risk factors throughout life</w:t>
      </w:r>
      <w:r w:rsidR="000E4B63">
        <w:rPr>
          <w:rFonts w:ascii="Arial" w:hAnsi="Arial" w:cs="Arial"/>
          <w:sz w:val="22"/>
          <w:szCs w:val="22"/>
        </w:rPr>
        <w:t xml:space="preserve"> such as </w:t>
      </w:r>
      <w:r w:rsidR="000E4B63" w:rsidRPr="00DD6A29">
        <w:rPr>
          <w:rFonts w:ascii="Arial" w:hAnsi="Arial" w:cs="Arial"/>
          <w:sz w:val="22"/>
          <w:szCs w:val="22"/>
        </w:rPr>
        <w:t>hypertension</w:t>
      </w:r>
      <w:r w:rsidR="000E4B63">
        <w:rPr>
          <w:rFonts w:ascii="Arial" w:hAnsi="Arial" w:cs="Arial"/>
          <w:sz w:val="22"/>
          <w:szCs w:val="22"/>
        </w:rPr>
        <w:t xml:space="preserve">, </w:t>
      </w:r>
      <w:r w:rsidRPr="00DD6A29">
        <w:rPr>
          <w:rFonts w:ascii="Arial" w:hAnsi="Arial" w:cs="Arial"/>
          <w:sz w:val="22"/>
          <w:szCs w:val="22"/>
        </w:rPr>
        <w:t>hearing loss,</w:t>
      </w:r>
      <w:r w:rsidR="000E4B63">
        <w:rPr>
          <w:rFonts w:ascii="Arial" w:hAnsi="Arial" w:cs="Arial"/>
          <w:sz w:val="22"/>
          <w:szCs w:val="22"/>
        </w:rPr>
        <w:t xml:space="preserve"> </w:t>
      </w:r>
      <w:r w:rsidRPr="00DD6A29">
        <w:rPr>
          <w:rFonts w:ascii="Arial" w:hAnsi="Arial" w:cs="Arial"/>
          <w:sz w:val="22"/>
          <w:szCs w:val="22"/>
        </w:rPr>
        <w:t xml:space="preserve">obesity, depression, diabetes, </w:t>
      </w:r>
      <w:r w:rsidR="000E4B63" w:rsidRPr="00DD6A29">
        <w:rPr>
          <w:rFonts w:ascii="Arial" w:hAnsi="Arial" w:cs="Arial"/>
          <w:sz w:val="22"/>
          <w:szCs w:val="22"/>
        </w:rPr>
        <w:t>physical inactivity</w:t>
      </w:r>
      <w:r w:rsidR="000E4B63">
        <w:rPr>
          <w:rFonts w:ascii="Arial" w:hAnsi="Arial" w:cs="Arial"/>
          <w:sz w:val="22"/>
          <w:szCs w:val="22"/>
        </w:rPr>
        <w:t xml:space="preserve">, </w:t>
      </w:r>
      <w:r w:rsidRPr="00DD6A29">
        <w:rPr>
          <w:rFonts w:ascii="Arial" w:hAnsi="Arial" w:cs="Arial"/>
          <w:sz w:val="22"/>
          <w:szCs w:val="22"/>
        </w:rPr>
        <w:t xml:space="preserve">smoking, social isolation, excessive alcohol use, air pollution, high cholesterol, and </w:t>
      </w:r>
      <w:r w:rsidR="000E4B63">
        <w:rPr>
          <w:rFonts w:ascii="Arial" w:hAnsi="Arial" w:cs="Arial"/>
          <w:sz w:val="22"/>
          <w:szCs w:val="22"/>
        </w:rPr>
        <w:t>unattended</w:t>
      </w:r>
      <w:r w:rsidRPr="00DD6A29">
        <w:rPr>
          <w:rFonts w:ascii="Arial" w:hAnsi="Arial" w:cs="Arial"/>
          <w:sz w:val="22"/>
          <w:szCs w:val="22"/>
        </w:rPr>
        <w:t xml:space="preserve"> vision loss</w:t>
      </w:r>
      <w:r w:rsidR="000E4B63">
        <w:rPr>
          <w:rFonts w:ascii="Arial" w:hAnsi="Arial" w:cs="Arial"/>
          <w:sz w:val="22"/>
          <w:szCs w:val="22"/>
        </w:rPr>
        <w:t xml:space="preserve"> </w:t>
      </w:r>
      <w:r w:rsidRPr="00DD6A29">
        <w:rPr>
          <w:rFonts w:ascii="Arial" w:hAnsi="Arial" w:cs="Arial"/>
          <w:sz w:val="22"/>
          <w:szCs w:val="22"/>
        </w:rPr>
        <w:t xml:space="preserve">could potentially prevent or delay about 45% of dementia cases </w:t>
      </w:r>
      <w:sdt>
        <w:sdtPr>
          <w:rPr>
            <w:rFonts w:ascii="Arial" w:hAnsi="Arial" w:cs="Arial"/>
            <w:sz w:val="22"/>
            <w:szCs w:val="22"/>
          </w:rPr>
          <w:id w:val="1212232542"/>
          <w:citation/>
        </w:sdtPr>
        <w:sdtEndPr/>
        <w:sdtContent>
          <w:r w:rsidR="005143FF">
            <w:rPr>
              <w:rFonts w:ascii="Arial" w:hAnsi="Arial" w:cs="Arial"/>
              <w:sz w:val="22"/>
              <w:szCs w:val="22"/>
            </w:rPr>
            <w:fldChar w:fldCharType="begin"/>
          </w:r>
          <w:r w:rsidR="005143FF">
            <w:rPr>
              <w:rFonts w:ascii="Arial" w:hAnsi="Arial" w:cs="Arial"/>
              <w:sz w:val="22"/>
              <w:szCs w:val="22"/>
              <w:lang w:val="en-US"/>
            </w:rPr>
            <w:instrText xml:space="preserve"> CITATION Liv24 \l 1033 </w:instrText>
          </w:r>
          <w:r w:rsidR="005143FF">
            <w:rPr>
              <w:rFonts w:ascii="Arial" w:hAnsi="Arial" w:cs="Arial"/>
              <w:sz w:val="22"/>
              <w:szCs w:val="22"/>
            </w:rPr>
            <w:fldChar w:fldCharType="separate"/>
          </w:r>
          <w:r w:rsidR="005143FF" w:rsidRPr="005143FF">
            <w:rPr>
              <w:rFonts w:ascii="Arial" w:hAnsi="Arial" w:cs="Arial"/>
              <w:noProof/>
              <w:sz w:val="22"/>
              <w:szCs w:val="22"/>
              <w:lang w:val="en-US"/>
            </w:rPr>
            <w:t>(Livingston, et al., 2024)</w:t>
          </w:r>
          <w:r w:rsidR="005143FF">
            <w:rPr>
              <w:rFonts w:ascii="Arial" w:hAnsi="Arial" w:cs="Arial"/>
              <w:sz w:val="22"/>
              <w:szCs w:val="22"/>
            </w:rPr>
            <w:fldChar w:fldCharType="end"/>
          </w:r>
        </w:sdtContent>
      </w:sdt>
      <w:r w:rsidRPr="00DD6A29">
        <w:rPr>
          <w:rFonts w:ascii="Arial" w:hAnsi="Arial" w:cs="Arial"/>
          <w:sz w:val="22"/>
          <w:szCs w:val="22"/>
        </w:rPr>
        <w:t xml:space="preserve">. </w:t>
      </w:r>
      <w:r w:rsidR="000E4B63">
        <w:rPr>
          <w:rFonts w:ascii="Arial" w:hAnsi="Arial" w:cs="Arial"/>
          <w:sz w:val="22"/>
          <w:szCs w:val="22"/>
        </w:rPr>
        <w:t>This is because,</w:t>
      </w:r>
      <w:r w:rsidRPr="00DD6A29">
        <w:rPr>
          <w:rFonts w:ascii="Arial" w:hAnsi="Arial" w:cs="Arial"/>
          <w:sz w:val="22"/>
          <w:szCs w:val="22"/>
        </w:rPr>
        <w:t xml:space="preserve"> it enables earlier treatment, planning, and prompt referral</w:t>
      </w:r>
      <w:r w:rsidR="000E4B63">
        <w:rPr>
          <w:rFonts w:ascii="Arial" w:hAnsi="Arial" w:cs="Arial"/>
          <w:sz w:val="22"/>
          <w:szCs w:val="22"/>
        </w:rPr>
        <w:t>s</w:t>
      </w:r>
      <w:r w:rsidRPr="00DD6A29">
        <w:rPr>
          <w:rFonts w:ascii="Arial" w:hAnsi="Arial" w:cs="Arial"/>
          <w:sz w:val="22"/>
          <w:szCs w:val="22"/>
        </w:rPr>
        <w:t xml:space="preserve"> before crisis arises</w:t>
      </w:r>
      <w:r w:rsidR="000E4B63">
        <w:rPr>
          <w:rFonts w:ascii="Arial" w:hAnsi="Arial" w:cs="Arial"/>
          <w:sz w:val="22"/>
          <w:szCs w:val="22"/>
        </w:rPr>
        <w:t>.</w:t>
      </w:r>
      <w:r w:rsidRPr="00DD6A29">
        <w:rPr>
          <w:rFonts w:ascii="Arial" w:hAnsi="Arial" w:cs="Arial"/>
          <w:sz w:val="22"/>
          <w:szCs w:val="22"/>
        </w:rPr>
        <w:t xml:space="preserve"> </w:t>
      </w:r>
      <w:r w:rsidR="000E4B63" w:rsidRPr="00DD6A29">
        <w:rPr>
          <w:rFonts w:ascii="Arial" w:hAnsi="Arial" w:cs="Arial"/>
          <w:sz w:val="22"/>
          <w:szCs w:val="22"/>
        </w:rPr>
        <w:t>E</w:t>
      </w:r>
      <w:r w:rsidRPr="00DD6A29">
        <w:rPr>
          <w:rFonts w:ascii="Arial" w:hAnsi="Arial" w:cs="Arial"/>
          <w:sz w:val="22"/>
          <w:szCs w:val="22"/>
        </w:rPr>
        <w:t>arly diagnosis is also a preventive measure.</w:t>
      </w:r>
    </w:p>
    <w:p w14:paraId="428B3469" w14:textId="48A82B8B" w:rsidR="00DD6A29" w:rsidRPr="00DD6A29" w:rsidRDefault="00DD6A29" w:rsidP="00115FA9">
      <w:pPr>
        <w:spacing w:line="360" w:lineRule="auto"/>
        <w:jc w:val="both"/>
        <w:rPr>
          <w:rFonts w:ascii="Arial" w:hAnsi="Arial" w:cs="Arial"/>
          <w:sz w:val="22"/>
          <w:szCs w:val="22"/>
        </w:rPr>
      </w:pPr>
      <w:r w:rsidRPr="00DD6A29">
        <w:rPr>
          <w:rFonts w:ascii="Arial" w:hAnsi="Arial" w:cs="Arial"/>
          <w:sz w:val="22"/>
          <w:szCs w:val="22"/>
        </w:rPr>
        <w:t xml:space="preserve">In the context of dementia, protection </w:t>
      </w:r>
      <w:r w:rsidR="000E4B63">
        <w:rPr>
          <w:rFonts w:ascii="Arial" w:hAnsi="Arial" w:cs="Arial"/>
          <w:sz w:val="22"/>
          <w:szCs w:val="22"/>
        </w:rPr>
        <w:t>encompasses</w:t>
      </w:r>
      <w:r w:rsidRPr="00DD6A29">
        <w:rPr>
          <w:rFonts w:ascii="Arial" w:hAnsi="Arial" w:cs="Arial"/>
          <w:sz w:val="22"/>
          <w:szCs w:val="22"/>
        </w:rPr>
        <w:t xml:space="preserve"> minimizing harm and guaranteeing that individuals with the illness receive secure, </w:t>
      </w:r>
      <w:r w:rsidR="000E4B63">
        <w:rPr>
          <w:rFonts w:ascii="Arial" w:hAnsi="Arial" w:cs="Arial"/>
          <w:sz w:val="22"/>
          <w:szCs w:val="22"/>
        </w:rPr>
        <w:t xml:space="preserve">and </w:t>
      </w:r>
      <w:r w:rsidRPr="00DD6A29">
        <w:rPr>
          <w:rFonts w:ascii="Arial" w:hAnsi="Arial" w:cs="Arial"/>
          <w:sz w:val="22"/>
          <w:szCs w:val="22"/>
        </w:rPr>
        <w:t>person-centered care. For individuals with mild to moderate dementia, NICE (2018) suggests group cognitive stimulation therapy and, when necessary, cognitive rehabilitation or occupational therapy as interventions to support cognition, independence, and wellbeing. Rather than being a cure, drug treatment is mostly intended to manage symptoms</w:t>
      </w:r>
      <w:r w:rsidR="00244FEA">
        <w:rPr>
          <w:rFonts w:ascii="Arial" w:hAnsi="Arial" w:cs="Arial"/>
          <w:sz w:val="22"/>
          <w:szCs w:val="22"/>
        </w:rPr>
        <w:t xml:space="preserve"> of the condition</w:t>
      </w:r>
      <w:r w:rsidRPr="00DD6A29">
        <w:rPr>
          <w:rFonts w:ascii="Arial" w:hAnsi="Arial" w:cs="Arial"/>
          <w:sz w:val="22"/>
          <w:szCs w:val="22"/>
        </w:rPr>
        <w:t>. Donepezil, galantamine, and rivastigmine may be used for mild to moderate Alzheimer's disease, while memantine may be used for severe or moderate cases (NICE, 2018).</w:t>
      </w:r>
      <w:r>
        <w:rPr>
          <w:rFonts w:ascii="Arial" w:hAnsi="Arial" w:cs="Arial"/>
          <w:sz w:val="22"/>
          <w:szCs w:val="22"/>
        </w:rPr>
        <w:t xml:space="preserve"> </w:t>
      </w:r>
      <w:r w:rsidRPr="00DD6A29">
        <w:rPr>
          <w:rFonts w:ascii="Arial" w:hAnsi="Arial" w:cs="Arial"/>
          <w:sz w:val="22"/>
          <w:szCs w:val="22"/>
        </w:rPr>
        <w:t xml:space="preserve">These medications may help some people with their symptoms and day-to-day functioning, but they do not stop dementia from getting worse. Safeguarding, delirium prevention after hospital admission, falls prevention, pain </w:t>
      </w:r>
      <w:r w:rsidRPr="00DD6A29">
        <w:rPr>
          <w:rFonts w:ascii="Arial" w:hAnsi="Arial" w:cs="Arial"/>
          <w:sz w:val="22"/>
          <w:szCs w:val="22"/>
        </w:rPr>
        <w:lastRenderedPageBreak/>
        <w:t xml:space="preserve">management, sensory assessment, and advance care planning are further aspects of protection (NICE, 2018). </w:t>
      </w:r>
    </w:p>
    <w:p w14:paraId="0159CE7F" w14:textId="77777777" w:rsidR="00DD6A29" w:rsidRPr="00115FA9" w:rsidRDefault="00DD6A29" w:rsidP="00115FA9">
      <w:pPr>
        <w:spacing w:line="360" w:lineRule="auto"/>
        <w:jc w:val="both"/>
        <w:rPr>
          <w:rFonts w:ascii="Arial" w:hAnsi="Arial" w:cs="Arial"/>
          <w:b/>
          <w:bCs/>
          <w:sz w:val="22"/>
          <w:szCs w:val="22"/>
        </w:rPr>
      </w:pPr>
      <w:r w:rsidRPr="00115FA9">
        <w:rPr>
          <w:rFonts w:ascii="Arial" w:hAnsi="Arial" w:cs="Arial"/>
          <w:b/>
          <w:bCs/>
          <w:sz w:val="22"/>
          <w:szCs w:val="22"/>
        </w:rPr>
        <w:t>Risk factors and determinants of Dementia</w:t>
      </w:r>
    </w:p>
    <w:p w14:paraId="78B7E70E" w14:textId="546D467D" w:rsidR="00617D3A" w:rsidRPr="00617D3A" w:rsidRDefault="00617D3A" w:rsidP="00115FA9">
      <w:pPr>
        <w:spacing w:line="360" w:lineRule="auto"/>
        <w:jc w:val="both"/>
        <w:rPr>
          <w:rFonts w:ascii="Arial" w:hAnsi="Arial" w:cs="Arial"/>
          <w:sz w:val="22"/>
          <w:szCs w:val="22"/>
        </w:rPr>
      </w:pPr>
      <w:r w:rsidRPr="00617D3A">
        <w:rPr>
          <w:rFonts w:ascii="Arial" w:hAnsi="Arial" w:cs="Arial"/>
          <w:sz w:val="22"/>
          <w:szCs w:val="22"/>
        </w:rPr>
        <w:t>Dementia is influenced by a number of risk factors and variables. Certain factors, such as growing older and, in fewer instances, inherited genetic traits, cannot be changed. According to Alzheimer's Society (2024), dementia primarily affects those over 65, and the risk increases dramatically with age. Dementia shouldn't be viewed as inevitable, though. Numerous significant factors are controllable and strongly associated with broader health disparities. NICE (2015) identifies obesity, hazardous alcohol consumption, poor diet, smoking, and physical inactivity as preventable risks. Additionally, high blood pressure, inactivity, excessive alcohol use, smoking, and hearing loss are listed by the Alzheimer's Society (</w:t>
      </w:r>
      <w:r w:rsidR="00123D6D">
        <w:rPr>
          <w:rFonts w:ascii="Arial" w:hAnsi="Arial" w:cs="Arial"/>
          <w:sz w:val="22"/>
          <w:szCs w:val="22"/>
        </w:rPr>
        <w:t>2024</w:t>
      </w:r>
      <w:r w:rsidRPr="00617D3A">
        <w:rPr>
          <w:rFonts w:ascii="Arial" w:hAnsi="Arial" w:cs="Arial"/>
          <w:sz w:val="22"/>
          <w:szCs w:val="22"/>
        </w:rPr>
        <w:t>) as significant contributors.</w:t>
      </w:r>
      <w:r>
        <w:rPr>
          <w:rFonts w:ascii="Arial" w:hAnsi="Arial" w:cs="Arial"/>
          <w:sz w:val="22"/>
          <w:szCs w:val="22"/>
        </w:rPr>
        <w:t xml:space="preserve"> </w:t>
      </w:r>
      <w:r w:rsidRPr="00617D3A">
        <w:rPr>
          <w:rFonts w:ascii="Arial" w:hAnsi="Arial" w:cs="Arial"/>
          <w:sz w:val="22"/>
          <w:szCs w:val="22"/>
        </w:rPr>
        <w:t>This demonstrates the link between preventing dementia, preventing cardiovascular disease, and addressing socioeconomic variables like deprivation, loneliness, and education</w:t>
      </w:r>
      <w:r w:rsidR="00123D6D">
        <w:rPr>
          <w:rFonts w:ascii="Arial" w:hAnsi="Arial" w:cs="Arial"/>
          <w:sz w:val="22"/>
          <w:szCs w:val="22"/>
        </w:rPr>
        <w:t xml:space="preserve"> </w:t>
      </w:r>
      <w:sdt>
        <w:sdtPr>
          <w:rPr>
            <w:rFonts w:ascii="Arial" w:hAnsi="Arial" w:cs="Arial"/>
            <w:sz w:val="22"/>
            <w:szCs w:val="22"/>
          </w:rPr>
          <w:id w:val="-1831128825"/>
          <w:citation/>
        </w:sdtPr>
        <w:sdtEndPr/>
        <w:sdtContent>
          <w:r w:rsidR="00123D6D">
            <w:rPr>
              <w:rFonts w:ascii="Arial" w:hAnsi="Arial" w:cs="Arial"/>
              <w:sz w:val="22"/>
              <w:szCs w:val="22"/>
            </w:rPr>
            <w:fldChar w:fldCharType="begin"/>
          </w:r>
          <w:r w:rsidR="00123D6D">
            <w:rPr>
              <w:rFonts w:ascii="Arial" w:hAnsi="Arial" w:cs="Arial"/>
              <w:sz w:val="22"/>
              <w:szCs w:val="22"/>
              <w:lang w:val="en-US"/>
            </w:rPr>
            <w:instrText xml:space="preserve"> CITATION NIC15 \l 1033 </w:instrText>
          </w:r>
          <w:r w:rsidR="00123D6D">
            <w:rPr>
              <w:rFonts w:ascii="Arial" w:hAnsi="Arial" w:cs="Arial"/>
              <w:sz w:val="22"/>
              <w:szCs w:val="22"/>
            </w:rPr>
            <w:fldChar w:fldCharType="separate"/>
          </w:r>
          <w:r w:rsidR="00123D6D" w:rsidRPr="00123D6D">
            <w:rPr>
              <w:rFonts w:ascii="Arial" w:hAnsi="Arial" w:cs="Arial"/>
              <w:noProof/>
              <w:sz w:val="22"/>
              <w:szCs w:val="22"/>
              <w:lang w:val="en-US"/>
            </w:rPr>
            <w:t>(NICE, 2015)</w:t>
          </w:r>
          <w:r w:rsidR="00123D6D">
            <w:rPr>
              <w:rFonts w:ascii="Arial" w:hAnsi="Arial" w:cs="Arial"/>
              <w:sz w:val="22"/>
              <w:szCs w:val="22"/>
            </w:rPr>
            <w:fldChar w:fldCharType="end"/>
          </w:r>
        </w:sdtContent>
      </w:sdt>
      <w:r w:rsidRPr="00617D3A">
        <w:rPr>
          <w:rFonts w:ascii="Arial" w:hAnsi="Arial" w:cs="Arial"/>
          <w:sz w:val="22"/>
          <w:szCs w:val="22"/>
        </w:rPr>
        <w:t>. The Lancet Commission's focus on modifiable risks is particularly significant for public health because it implies that dementia burden can be decreased not only by medical services but also by housing, cleaner air, lifelong learning, access to eye and hearing care, and improved community ties (Livingston et al., 2024). Thus, dementia is a social justice issue as well as a neurological condition.</w:t>
      </w:r>
    </w:p>
    <w:p w14:paraId="0F6BB034" w14:textId="1272E4CB" w:rsidR="00617D3A" w:rsidRPr="00617D3A" w:rsidRDefault="00617D3A" w:rsidP="00115FA9">
      <w:pPr>
        <w:spacing w:line="360" w:lineRule="auto"/>
        <w:jc w:val="both"/>
        <w:rPr>
          <w:rFonts w:ascii="Arial" w:hAnsi="Arial" w:cs="Arial"/>
          <w:b/>
          <w:bCs/>
          <w:sz w:val="22"/>
          <w:szCs w:val="22"/>
        </w:rPr>
      </w:pPr>
      <w:r w:rsidRPr="00617D3A">
        <w:rPr>
          <w:rFonts w:ascii="Arial" w:hAnsi="Arial" w:cs="Arial"/>
          <w:b/>
          <w:bCs/>
          <w:sz w:val="22"/>
          <w:szCs w:val="22"/>
        </w:rPr>
        <w:t>Consequences of Dementia on communities, people and services</w:t>
      </w:r>
    </w:p>
    <w:p w14:paraId="2AF54D7E" w14:textId="5A2F717E" w:rsidR="00617D3A" w:rsidRDefault="00617D3A" w:rsidP="00115FA9">
      <w:pPr>
        <w:spacing w:line="360" w:lineRule="auto"/>
        <w:jc w:val="both"/>
        <w:rPr>
          <w:rFonts w:ascii="Arial" w:hAnsi="Arial" w:cs="Arial"/>
          <w:sz w:val="22"/>
          <w:szCs w:val="22"/>
        </w:rPr>
      </w:pPr>
      <w:r w:rsidRPr="00617D3A">
        <w:rPr>
          <w:rFonts w:ascii="Arial" w:hAnsi="Arial" w:cs="Arial"/>
          <w:sz w:val="22"/>
          <w:szCs w:val="22"/>
        </w:rPr>
        <w:t xml:space="preserve">Dementia has significant effects on both individuals and societies. Dementia can progressively impair a person's memory, direction, speech, judgement, and capacity to handle relationships, money, personal care, and medication. Behavioural and psychological symptoms, such as agitation, anxiety, wandering, hallucinations, and sleep problems, may appear as the illness worsens </w:t>
      </w:r>
      <w:sdt>
        <w:sdtPr>
          <w:rPr>
            <w:rFonts w:ascii="Arial" w:hAnsi="Arial" w:cs="Arial"/>
            <w:sz w:val="22"/>
            <w:szCs w:val="22"/>
          </w:rPr>
          <w:id w:val="-672569950"/>
          <w:citation/>
        </w:sdtPr>
        <w:sdtEndPr/>
        <w:sdtContent>
          <w:r w:rsidR="00253F05">
            <w:rPr>
              <w:rFonts w:ascii="Arial" w:hAnsi="Arial" w:cs="Arial"/>
              <w:sz w:val="22"/>
              <w:szCs w:val="22"/>
            </w:rPr>
            <w:fldChar w:fldCharType="begin"/>
          </w:r>
          <w:r w:rsidR="00253F05">
            <w:rPr>
              <w:rFonts w:ascii="Arial" w:hAnsi="Arial" w:cs="Arial"/>
              <w:sz w:val="22"/>
              <w:szCs w:val="22"/>
              <w:lang w:val="en-US"/>
            </w:rPr>
            <w:instrText xml:space="preserve"> CITATION NHS234 \l 1033 </w:instrText>
          </w:r>
          <w:r w:rsidR="00253F05">
            <w:rPr>
              <w:rFonts w:ascii="Arial" w:hAnsi="Arial" w:cs="Arial"/>
              <w:sz w:val="22"/>
              <w:szCs w:val="22"/>
            </w:rPr>
            <w:fldChar w:fldCharType="separate"/>
          </w:r>
          <w:r w:rsidR="00253F05" w:rsidRPr="00253F05">
            <w:rPr>
              <w:rFonts w:ascii="Arial" w:hAnsi="Arial" w:cs="Arial"/>
              <w:noProof/>
              <w:sz w:val="22"/>
              <w:szCs w:val="22"/>
              <w:lang w:val="en-US"/>
            </w:rPr>
            <w:t>(NHS , 2023)</w:t>
          </w:r>
          <w:r w:rsidR="00253F05">
            <w:rPr>
              <w:rFonts w:ascii="Arial" w:hAnsi="Arial" w:cs="Arial"/>
              <w:sz w:val="22"/>
              <w:szCs w:val="22"/>
            </w:rPr>
            <w:fldChar w:fldCharType="end"/>
          </w:r>
        </w:sdtContent>
      </w:sdt>
      <w:r w:rsidRPr="00617D3A">
        <w:rPr>
          <w:rFonts w:ascii="Arial" w:hAnsi="Arial" w:cs="Arial"/>
          <w:sz w:val="22"/>
          <w:szCs w:val="22"/>
        </w:rPr>
        <w:t>. People may need ongoing supervision and assistance with food, continence, movement, and communication in later phases. Distress, stigma, and a lower quality of life may result from this loss of freedom. Unpaid carers and families are also severely impacted. Taking care of others can be detrimental to one's social connections, career, income, and mental health. Carers of individuals with dementia are more likely to experience depression, according to NICE (2018). Dementia raises the need for general practitioner visits, memory clinics, district nursing, community mental health services, hospital care, residential care, and palliative care at the local level. According to Alzheimer's Society (</w:t>
      </w:r>
      <w:r w:rsidR="00123D6D">
        <w:rPr>
          <w:rFonts w:ascii="Arial" w:hAnsi="Arial" w:cs="Arial"/>
          <w:sz w:val="22"/>
          <w:szCs w:val="22"/>
        </w:rPr>
        <w:t>2024</w:t>
      </w:r>
      <w:r w:rsidRPr="00617D3A">
        <w:rPr>
          <w:rFonts w:ascii="Arial" w:hAnsi="Arial" w:cs="Arial"/>
          <w:sz w:val="22"/>
          <w:szCs w:val="22"/>
        </w:rPr>
        <w:t>), dementia is expected to cost the UK £42 billion in 2024 and £90 billion by 2040. This demonstrates why dementia has significant effects on social and health care planning.</w:t>
      </w:r>
    </w:p>
    <w:p w14:paraId="5C958ED3" w14:textId="77777777" w:rsidR="00005D82" w:rsidRPr="00617D3A" w:rsidRDefault="00005D82" w:rsidP="00115FA9">
      <w:pPr>
        <w:spacing w:line="360" w:lineRule="auto"/>
        <w:jc w:val="both"/>
        <w:rPr>
          <w:rFonts w:ascii="Arial" w:hAnsi="Arial" w:cs="Arial"/>
          <w:sz w:val="22"/>
          <w:szCs w:val="22"/>
        </w:rPr>
      </w:pPr>
    </w:p>
    <w:p w14:paraId="3DCF7BA6" w14:textId="369834EE" w:rsidR="00617D3A" w:rsidRPr="00115FA9" w:rsidRDefault="00617D3A" w:rsidP="00115FA9">
      <w:pPr>
        <w:spacing w:line="360" w:lineRule="auto"/>
        <w:jc w:val="both"/>
        <w:rPr>
          <w:rFonts w:ascii="Arial" w:hAnsi="Arial" w:cs="Arial"/>
          <w:b/>
          <w:bCs/>
          <w:sz w:val="22"/>
          <w:szCs w:val="22"/>
        </w:rPr>
      </w:pPr>
      <w:r w:rsidRPr="00115FA9">
        <w:rPr>
          <w:rFonts w:ascii="Arial" w:hAnsi="Arial" w:cs="Arial"/>
          <w:b/>
          <w:bCs/>
          <w:sz w:val="22"/>
          <w:szCs w:val="22"/>
        </w:rPr>
        <w:lastRenderedPageBreak/>
        <w:t>Health and social care programs for Dementia</w:t>
      </w:r>
    </w:p>
    <w:p w14:paraId="6B5B3AC5" w14:textId="562EF44D" w:rsidR="00A11E46" w:rsidRPr="00A11E46" w:rsidRDefault="00617D3A" w:rsidP="00115FA9">
      <w:pPr>
        <w:spacing w:line="360" w:lineRule="auto"/>
        <w:jc w:val="both"/>
        <w:rPr>
          <w:rFonts w:ascii="Arial" w:hAnsi="Arial" w:cs="Arial"/>
          <w:sz w:val="22"/>
          <w:szCs w:val="22"/>
        </w:rPr>
      </w:pPr>
      <w:r w:rsidRPr="00617D3A">
        <w:rPr>
          <w:rFonts w:ascii="Arial" w:hAnsi="Arial" w:cs="Arial"/>
          <w:sz w:val="22"/>
          <w:szCs w:val="22"/>
        </w:rPr>
        <w:t xml:space="preserve">Support must be coordinated, person-centred, and ongoing in order to address the requirements of community members with dementia. Although the NHS and municipal governments are crucial, charities and nonprofits are equally significant. People should be given clear information about their health, how to plan for the future, and what resources are available to them after receiving a diagnosis (NICE, 2018). According to NHS guidelines, if a person with dementia requires assistance with dressing, cooking, washing, or other everyday duties, they should ask their local council for a needs assessment </w:t>
      </w:r>
      <w:sdt>
        <w:sdtPr>
          <w:rPr>
            <w:rFonts w:ascii="Arial" w:hAnsi="Arial" w:cs="Arial"/>
            <w:sz w:val="22"/>
            <w:szCs w:val="22"/>
          </w:rPr>
          <w:id w:val="-583760055"/>
          <w:citation/>
        </w:sdtPr>
        <w:sdtEndPr/>
        <w:sdtContent>
          <w:r w:rsidR="00253F05">
            <w:rPr>
              <w:rFonts w:ascii="Arial" w:hAnsi="Arial" w:cs="Arial"/>
              <w:sz w:val="22"/>
              <w:szCs w:val="22"/>
            </w:rPr>
            <w:fldChar w:fldCharType="begin"/>
          </w:r>
          <w:r w:rsidR="00253F05">
            <w:rPr>
              <w:rFonts w:ascii="Arial" w:hAnsi="Arial" w:cs="Arial"/>
              <w:sz w:val="22"/>
              <w:szCs w:val="22"/>
              <w:lang w:val="en-US"/>
            </w:rPr>
            <w:instrText xml:space="preserve"> CITATION NHS245 \l 1033 </w:instrText>
          </w:r>
          <w:r w:rsidR="00253F05">
            <w:rPr>
              <w:rFonts w:ascii="Arial" w:hAnsi="Arial" w:cs="Arial"/>
              <w:sz w:val="22"/>
              <w:szCs w:val="22"/>
            </w:rPr>
            <w:fldChar w:fldCharType="separate"/>
          </w:r>
          <w:r w:rsidR="00253F05" w:rsidRPr="00253F05">
            <w:rPr>
              <w:rFonts w:ascii="Arial" w:hAnsi="Arial" w:cs="Arial"/>
              <w:noProof/>
              <w:sz w:val="22"/>
              <w:szCs w:val="22"/>
              <w:lang w:val="en-US"/>
            </w:rPr>
            <w:t>(NHS, 2024)</w:t>
          </w:r>
          <w:r w:rsidR="00253F05">
            <w:rPr>
              <w:rFonts w:ascii="Arial" w:hAnsi="Arial" w:cs="Arial"/>
              <w:sz w:val="22"/>
              <w:szCs w:val="22"/>
            </w:rPr>
            <w:fldChar w:fldCharType="end"/>
          </w:r>
        </w:sdtContent>
      </w:sdt>
      <w:r w:rsidRPr="00617D3A">
        <w:rPr>
          <w:rFonts w:ascii="Arial" w:hAnsi="Arial" w:cs="Arial"/>
          <w:sz w:val="22"/>
          <w:szCs w:val="22"/>
        </w:rPr>
        <w:t xml:space="preserve">. Support might take the form of home care, equipment, adaptations, day services, respite care, advocacy, or residential care, depending on the individual's needs. Some people may be eligible for NHS-funded nursing care or continuing healthcare if their health needs are significant </w:t>
      </w:r>
      <w:sdt>
        <w:sdtPr>
          <w:rPr>
            <w:rFonts w:ascii="Arial" w:hAnsi="Arial" w:cs="Arial"/>
            <w:sz w:val="22"/>
            <w:szCs w:val="22"/>
          </w:rPr>
          <w:id w:val="-446391363"/>
          <w:citation/>
        </w:sdtPr>
        <w:sdtEndPr/>
        <w:sdtContent>
          <w:r w:rsidR="00253F05">
            <w:rPr>
              <w:rFonts w:ascii="Arial" w:hAnsi="Arial" w:cs="Arial"/>
              <w:sz w:val="22"/>
              <w:szCs w:val="22"/>
            </w:rPr>
            <w:fldChar w:fldCharType="begin"/>
          </w:r>
          <w:r w:rsidR="00253F05">
            <w:rPr>
              <w:rFonts w:ascii="Arial" w:hAnsi="Arial" w:cs="Arial"/>
              <w:sz w:val="22"/>
              <w:szCs w:val="22"/>
              <w:lang w:val="en-US"/>
            </w:rPr>
            <w:instrText xml:space="preserve"> CITATION NHS253 \l 1033 </w:instrText>
          </w:r>
          <w:r w:rsidR="00253F05">
            <w:rPr>
              <w:rFonts w:ascii="Arial" w:hAnsi="Arial" w:cs="Arial"/>
              <w:sz w:val="22"/>
              <w:szCs w:val="22"/>
            </w:rPr>
            <w:fldChar w:fldCharType="separate"/>
          </w:r>
          <w:r w:rsidR="00253F05" w:rsidRPr="00253F05">
            <w:rPr>
              <w:rFonts w:ascii="Arial" w:hAnsi="Arial" w:cs="Arial"/>
              <w:noProof/>
              <w:sz w:val="22"/>
              <w:szCs w:val="22"/>
              <w:lang w:val="en-US"/>
            </w:rPr>
            <w:t>(NHS, 2025)</w:t>
          </w:r>
          <w:r w:rsidR="00253F05">
            <w:rPr>
              <w:rFonts w:ascii="Arial" w:hAnsi="Arial" w:cs="Arial"/>
              <w:sz w:val="22"/>
              <w:szCs w:val="22"/>
            </w:rPr>
            <w:fldChar w:fldCharType="end"/>
          </w:r>
        </w:sdtContent>
      </w:sdt>
      <w:r w:rsidRPr="00617D3A">
        <w:rPr>
          <w:rFonts w:ascii="Arial" w:hAnsi="Arial" w:cs="Arial"/>
          <w:sz w:val="22"/>
          <w:szCs w:val="22"/>
        </w:rPr>
        <w:t xml:space="preserve">. </w:t>
      </w:r>
      <w:r w:rsidR="00A11E46" w:rsidRPr="00A11E46">
        <w:rPr>
          <w:rFonts w:ascii="Arial" w:hAnsi="Arial" w:cs="Arial"/>
          <w:sz w:val="22"/>
          <w:szCs w:val="22"/>
        </w:rPr>
        <w:t>While NHS guidelines advise carers to seek a carer's evaluation from their local council (NHS, 2024), NICE (2018) suggests psychoeducation, skills training, information about services, and advice on future planning. Alzheimer's Society, Age UK, and Dementia UK are examples of voluntary organisations that offer peer support, education, helplines, and helpful guidance (NHS, 2024; NHS, 2025).</w:t>
      </w:r>
    </w:p>
    <w:p w14:paraId="6A856B8E" w14:textId="44D20A84" w:rsidR="00617D3A" w:rsidRPr="00115FA9" w:rsidRDefault="00A11E46" w:rsidP="00115FA9">
      <w:pPr>
        <w:spacing w:line="360" w:lineRule="auto"/>
        <w:jc w:val="both"/>
        <w:rPr>
          <w:rFonts w:ascii="Arial" w:hAnsi="Arial" w:cs="Arial"/>
          <w:b/>
          <w:bCs/>
          <w:sz w:val="22"/>
          <w:szCs w:val="22"/>
        </w:rPr>
      </w:pPr>
      <w:r w:rsidRPr="00115FA9">
        <w:rPr>
          <w:rFonts w:ascii="Arial" w:hAnsi="Arial" w:cs="Arial"/>
          <w:b/>
          <w:bCs/>
          <w:sz w:val="22"/>
          <w:szCs w:val="22"/>
        </w:rPr>
        <w:t>Conclusion</w:t>
      </w:r>
    </w:p>
    <w:p w14:paraId="6DC72DD6" w14:textId="59D27D6F" w:rsidR="00A11E46" w:rsidRPr="00A11E46" w:rsidRDefault="00A11E46" w:rsidP="00115FA9">
      <w:pPr>
        <w:spacing w:line="360" w:lineRule="auto"/>
        <w:jc w:val="both"/>
        <w:rPr>
          <w:rFonts w:ascii="Arial" w:hAnsi="Arial" w:cs="Arial"/>
          <w:sz w:val="22"/>
          <w:szCs w:val="22"/>
        </w:rPr>
      </w:pPr>
      <w:r w:rsidRPr="00A11E46">
        <w:rPr>
          <w:rFonts w:ascii="Arial" w:hAnsi="Arial" w:cs="Arial"/>
          <w:sz w:val="22"/>
          <w:szCs w:val="22"/>
        </w:rPr>
        <w:t>dementia is a degenerative syndrome that poses significant problems for people, families, communities, and the health and social care system. Prevalence, incidence, morbidity, mortality, and diagnosis-rate data are used to measure it; evaluation, cognitive testing, blood tests, imaging, and routine review are used to monitor it. The 3Ps of public health—promoting better lifestyles, minimising unnecessary risk and delay, and protecting people via safe, person-centred care—can be used to illustrate its control. A significant percentage of cases may be avoided or postponed by taking action on modifiable hazards, even though age is still the biggest risk factor. Serious social and economic repercussions of dementia include diminished freedom, stress on carers, and increased service expenses. The UK should prioritise early diagnosis and make more regular investments in community-based prevention across the life course, integrated post-diagnostic support, and carer assessments. For both people and society as a whole, this would enhance quality of life and lessen unneeded hardship.</w:t>
      </w:r>
    </w:p>
    <w:p w14:paraId="605C9BB7" w14:textId="77777777" w:rsidR="00A11E46" w:rsidRPr="00617D3A" w:rsidRDefault="00A11E46" w:rsidP="000E4B63">
      <w:pPr>
        <w:jc w:val="both"/>
        <w:rPr>
          <w:rFonts w:ascii="Arial" w:hAnsi="Arial" w:cs="Arial"/>
          <w:sz w:val="22"/>
          <w:szCs w:val="22"/>
        </w:rPr>
      </w:pPr>
    </w:p>
    <w:p w14:paraId="3449C545" w14:textId="0FBB7386" w:rsidR="00115FA9" w:rsidRDefault="00115FA9" w:rsidP="000E4B63">
      <w:pPr>
        <w:jc w:val="both"/>
        <w:rPr>
          <w:rFonts w:ascii="Arial" w:hAnsi="Arial" w:cs="Arial"/>
          <w:sz w:val="22"/>
          <w:szCs w:val="22"/>
        </w:rPr>
      </w:pPr>
    </w:p>
    <w:p w14:paraId="254B96A6" w14:textId="77777777" w:rsidR="00115FA9" w:rsidRDefault="00115FA9">
      <w:pPr>
        <w:rPr>
          <w:rFonts w:ascii="Arial" w:hAnsi="Arial" w:cs="Arial"/>
          <w:sz w:val="22"/>
          <w:szCs w:val="22"/>
        </w:rPr>
      </w:pPr>
      <w:r>
        <w:rPr>
          <w:rFonts w:ascii="Arial" w:hAnsi="Arial" w:cs="Arial"/>
          <w:sz w:val="22"/>
          <w:szCs w:val="22"/>
        </w:rPr>
        <w:br w:type="page"/>
      </w:r>
    </w:p>
    <w:sdt>
      <w:sdtPr>
        <w:rPr>
          <w:rFonts w:ascii="Arial" w:eastAsiaTheme="minorHAnsi" w:hAnsi="Arial" w:cs="Arial"/>
          <w:color w:val="auto"/>
          <w:sz w:val="22"/>
          <w:szCs w:val="22"/>
        </w:rPr>
        <w:id w:val="1818601944"/>
        <w:docPartObj>
          <w:docPartGallery w:val="Bibliographies"/>
          <w:docPartUnique/>
        </w:docPartObj>
      </w:sdtPr>
      <w:sdtEndPr/>
      <w:sdtContent>
        <w:p w14:paraId="5D3EBBCB" w14:textId="4B347329" w:rsidR="00115FA9" w:rsidRPr="00115FA9" w:rsidRDefault="00115FA9">
          <w:pPr>
            <w:pStyle w:val="Heading1"/>
            <w:rPr>
              <w:rFonts w:ascii="Arial" w:hAnsi="Arial" w:cs="Arial"/>
              <w:sz w:val="22"/>
              <w:szCs w:val="22"/>
            </w:rPr>
          </w:pPr>
          <w:r w:rsidRPr="00115FA9">
            <w:rPr>
              <w:rFonts w:ascii="Arial" w:hAnsi="Arial" w:cs="Arial"/>
              <w:sz w:val="22"/>
              <w:szCs w:val="22"/>
            </w:rPr>
            <w:t>References</w:t>
          </w:r>
        </w:p>
        <w:sdt>
          <w:sdtPr>
            <w:rPr>
              <w:rFonts w:ascii="Arial" w:hAnsi="Arial" w:cs="Arial"/>
              <w:sz w:val="22"/>
              <w:szCs w:val="22"/>
            </w:rPr>
            <w:id w:val="-573587230"/>
            <w:bibliography/>
          </w:sdtPr>
          <w:sdtEndPr/>
          <w:sdtContent>
            <w:p w14:paraId="5A07BA2B" w14:textId="77777777" w:rsidR="00115FA9" w:rsidRPr="00115FA9" w:rsidRDefault="00115FA9" w:rsidP="00115FA9">
              <w:pPr>
                <w:pStyle w:val="Bibliography"/>
                <w:rPr>
                  <w:rFonts w:ascii="Arial" w:hAnsi="Arial" w:cs="Arial"/>
                  <w:noProof/>
                  <w:kern w:val="0"/>
                  <w:sz w:val="22"/>
                  <w:szCs w:val="22"/>
                  <w14:ligatures w14:val="none"/>
                </w:rPr>
              </w:pPr>
              <w:r w:rsidRPr="00115FA9">
                <w:rPr>
                  <w:rFonts w:ascii="Arial" w:hAnsi="Arial" w:cs="Arial"/>
                  <w:sz w:val="22"/>
                  <w:szCs w:val="22"/>
                </w:rPr>
                <w:fldChar w:fldCharType="begin"/>
              </w:r>
              <w:r w:rsidRPr="00115FA9">
                <w:rPr>
                  <w:rFonts w:ascii="Arial" w:hAnsi="Arial" w:cs="Arial"/>
                  <w:sz w:val="22"/>
                  <w:szCs w:val="22"/>
                </w:rPr>
                <w:instrText xml:space="preserve"> BIBLIOGRAPHY </w:instrText>
              </w:r>
              <w:r w:rsidRPr="00115FA9">
                <w:rPr>
                  <w:rFonts w:ascii="Arial" w:hAnsi="Arial" w:cs="Arial"/>
                  <w:sz w:val="22"/>
                  <w:szCs w:val="22"/>
                </w:rPr>
                <w:fldChar w:fldCharType="separate"/>
              </w:r>
              <w:r w:rsidRPr="00115FA9">
                <w:rPr>
                  <w:rFonts w:ascii="Arial" w:hAnsi="Arial" w:cs="Arial"/>
                  <w:noProof/>
                  <w:sz w:val="22"/>
                  <w:szCs w:val="22"/>
                </w:rPr>
                <w:t xml:space="preserve">Alzheimer's Society, 2024. </w:t>
              </w:r>
              <w:r w:rsidRPr="00115FA9">
                <w:rPr>
                  <w:rFonts w:ascii="Arial" w:hAnsi="Arial" w:cs="Arial"/>
                  <w:i/>
                  <w:iCs/>
                  <w:noProof/>
                  <w:sz w:val="22"/>
                  <w:szCs w:val="22"/>
                </w:rPr>
                <w:t xml:space="preserve">How many people have dementia in the UK?. </w:t>
              </w:r>
              <w:r w:rsidRPr="00115FA9">
                <w:rPr>
                  <w:rFonts w:ascii="Arial" w:hAnsi="Arial" w:cs="Arial"/>
                  <w:noProof/>
                  <w:sz w:val="22"/>
                  <w:szCs w:val="22"/>
                </w:rPr>
                <w:t xml:space="preserve">[Online] </w:t>
              </w:r>
              <w:r w:rsidRPr="00115FA9">
                <w:rPr>
                  <w:rFonts w:ascii="Arial" w:hAnsi="Arial" w:cs="Arial"/>
                  <w:noProof/>
                  <w:sz w:val="22"/>
                  <w:szCs w:val="22"/>
                </w:rPr>
                <w:br/>
                <w:t xml:space="preserve">Available at: </w:t>
              </w:r>
              <w:r w:rsidRPr="00115FA9">
                <w:rPr>
                  <w:rFonts w:ascii="Arial" w:hAnsi="Arial" w:cs="Arial"/>
                  <w:noProof/>
                  <w:sz w:val="22"/>
                  <w:szCs w:val="22"/>
                  <w:u w:val="single"/>
                </w:rPr>
                <w:t>https://www.alzheimers.org.uk/blog/how-many-people-have-dementia-uk</w:t>
              </w:r>
              <w:r w:rsidRPr="00115FA9">
                <w:rPr>
                  <w:rFonts w:ascii="Arial" w:hAnsi="Arial" w:cs="Arial"/>
                  <w:noProof/>
                  <w:sz w:val="22"/>
                  <w:szCs w:val="22"/>
                </w:rPr>
                <w:br/>
                <w:t>[Accessed 1 April 2026].</w:t>
              </w:r>
            </w:p>
            <w:p w14:paraId="757DDB36" w14:textId="77777777" w:rsidR="00115FA9" w:rsidRPr="00115FA9" w:rsidRDefault="00115FA9" w:rsidP="00115FA9">
              <w:pPr>
                <w:pStyle w:val="Bibliography"/>
                <w:rPr>
                  <w:rFonts w:ascii="Arial" w:hAnsi="Arial" w:cs="Arial"/>
                  <w:noProof/>
                  <w:sz w:val="22"/>
                  <w:szCs w:val="22"/>
                </w:rPr>
              </w:pPr>
              <w:r w:rsidRPr="00115FA9">
                <w:rPr>
                  <w:rFonts w:ascii="Arial" w:hAnsi="Arial" w:cs="Arial"/>
                  <w:noProof/>
                  <w:sz w:val="22"/>
                  <w:szCs w:val="22"/>
                </w:rPr>
                <w:t xml:space="preserve">Livingston, G. et al., 2024. Dementia prevention, intervention, and care: 2024 report of the Lancet standing Commission. </w:t>
              </w:r>
              <w:r w:rsidRPr="00115FA9">
                <w:rPr>
                  <w:rFonts w:ascii="Arial" w:hAnsi="Arial" w:cs="Arial"/>
                  <w:i/>
                  <w:iCs/>
                  <w:noProof/>
                  <w:sz w:val="22"/>
                  <w:szCs w:val="22"/>
                </w:rPr>
                <w:t xml:space="preserve">The Lancet Commissions, </w:t>
              </w:r>
              <w:r w:rsidRPr="00115FA9">
                <w:rPr>
                  <w:rFonts w:ascii="Arial" w:hAnsi="Arial" w:cs="Arial"/>
                  <w:noProof/>
                  <w:sz w:val="22"/>
                  <w:szCs w:val="22"/>
                </w:rPr>
                <w:t>404(10452), pp. 572-628.</w:t>
              </w:r>
            </w:p>
            <w:p w14:paraId="784F8D6A" w14:textId="77777777" w:rsidR="00115FA9" w:rsidRPr="00115FA9" w:rsidRDefault="00115FA9" w:rsidP="00115FA9">
              <w:pPr>
                <w:pStyle w:val="Bibliography"/>
                <w:rPr>
                  <w:rFonts w:ascii="Arial" w:hAnsi="Arial" w:cs="Arial"/>
                  <w:noProof/>
                  <w:sz w:val="22"/>
                  <w:szCs w:val="22"/>
                </w:rPr>
              </w:pPr>
              <w:r w:rsidRPr="00115FA9">
                <w:rPr>
                  <w:rFonts w:ascii="Arial" w:hAnsi="Arial" w:cs="Arial"/>
                  <w:noProof/>
                  <w:sz w:val="22"/>
                  <w:szCs w:val="22"/>
                </w:rPr>
                <w:t xml:space="preserve">NHS , 2023. </w:t>
              </w:r>
              <w:r w:rsidRPr="00115FA9">
                <w:rPr>
                  <w:rFonts w:ascii="Arial" w:hAnsi="Arial" w:cs="Arial"/>
                  <w:i/>
                  <w:iCs/>
                  <w:noProof/>
                  <w:sz w:val="22"/>
                  <w:szCs w:val="22"/>
                </w:rPr>
                <w:t xml:space="preserve">Symptoms of dementia. </w:t>
              </w:r>
              <w:r w:rsidRPr="00115FA9">
                <w:rPr>
                  <w:rFonts w:ascii="Arial" w:hAnsi="Arial" w:cs="Arial"/>
                  <w:noProof/>
                  <w:sz w:val="22"/>
                  <w:szCs w:val="22"/>
                </w:rPr>
                <w:t xml:space="preserve">[Online] </w:t>
              </w:r>
              <w:r w:rsidRPr="00115FA9">
                <w:rPr>
                  <w:rFonts w:ascii="Arial" w:hAnsi="Arial" w:cs="Arial"/>
                  <w:noProof/>
                  <w:sz w:val="22"/>
                  <w:szCs w:val="22"/>
                </w:rPr>
                <w:br/>
                <w:t xml:space="preserve">Available at: </w:t>
              </w:r>
              <w:r w:rsidRPr="00115FA9">
                <w:rPr>
                  <w:rFonts w:ascii="Arial" w:hAnsi="Arial" w:cs="Arial"/>
                  <w:noProof/>
                  <w:sz w:val="22"/>
                  <w:szCs w:val="22"/>
                  <w:u w:val="single"/>
                </w:rPr>
                <w:t>https://www.nhs.uk/conditions/dementia/symptoms-and-diagnosis/symptoms/</w:t>
              </w:r>
              <w:r w:rsidRPr="00115FA9">
                <w:rPr>
                  <w:rFonts w:ascii="Arial" w:hAnsi="Arial" w:cs="Arial"/>
                  <w:noProof/>
                  <w:sz w:val="22"/>
                  <w:szCs w:val="22"/>
                </w:rPr>
                <w:br/>
                <w:t>[Accessed 3 April 2026].</w:t>
              </w:r>
            </w:p>
            <w:p w14:paraId="1EF123CE" w14:textId="77777777" w:rsidR="00115FA9" w:rsidRPr="00115FA9" w:rsidRDefault="00115FA9" w:rsidP="00115FA9">
              <w:pPr>
                <w:pStyle w:val="Bibliography"/>
                <w:rPr>
                  <w:rFonts w:ascii="Arial" w:hAnsi="Arial" w:cs="Arial"/>
                  <w:noProof/>
                  <w:sz w:val="22"/>
                  <w:szCs w:val="22"/>
                </w:rPr>
              </w:pPr>
              <w:r w:rsidRPr="00115FA9">
                <w:rPr>
                  <w:rFonts w:ascii="Arial" w:hAnsi="Arial" w:cs="Arial"/>
                  <w:noProof/>
                  <w:sz w:val="22"/>
                  <w:szCs w:val="22"/>
                </w:rPr>
                <w:t xml:space="preserve">NHS England, 2026. </w:t>
              </w:r>
              <w:r w:rsidRPr="00115FA9">
                <w:rPr>
                  <w:rFonts w:ascii="Arial" w:hAnsi="Arial" w:cs="Arial"/>
                  <w:i/>
                  <w:iCs/>
                  <w:noProof/>
                  <w:sz w:val="22"/>
                  <w:szCs w:val="22"/>
                </w:rPr>
                <w:t xml:space="preserve">Primary Care Dementia Data: Consultation 2026. </w:t>
              </w:r>
              <w:r w:rsidRPr="00115FA9">
                <w:rPr>
                  <w:rFonts w:ascii="Arial" w:hAnsi="Arial" w:cs="Arial"/>
                  <w:noProof/>
                  <w:sz w:val="22"/>
                  <w:szCs w:val="22"/>
                </w:rPr>
                <w:t xml:space="preserve">[Online] </w:t>
              </w:r>
              <w:r w:rsidRPr="00115FA9">
                <w:rPr>
                  <w:rFonts w:ascii="Arial" w:hAnsi="Arial" w:cs="Arial"/>
                  <w:noProof/>
                  <w:sz w:val="22"/>
                  <w:szCs w:val="22"/>
                </w:rPr>
                <w:br/>
                <w:t xml:space="preserve">Available at: </w:t>
              </w:r>
              <w:r w:rsidRPr="00115FA9">
                <w:rPr>
                  <w:rFonts w:ascii="Arial" w:hAnsi="Arial" w:cs="Arial"/>
                  <w:noProof/>
                  <w:sz w:val="22"/>
                  <w:szCs w:val="22"/>
                  <w:u w:val="single"/>
                </w:rPr>
                <w:t>https://digital.nhs.uk/data-and-information/publications/statistical/primary-care-dementia-data/february-2026</w:t>
              </w:r>
              <w:r w:rsidRPr="00115FA9">
                <w:rPr>
                  <w:rFonts w:ascii="Arial" w:hAnsi="Arial" w:cs="Arial"/>
                  <w:noProof/>
                  <w:sz w:val="22"/>
                  <w:szCs w:val="22"/>
                </w:rPr>
                <w:br/>
                <w:t>[Accessed 3 April 2026].</w:t>
              </w:r>
            </w:p>
            <w:p w14:paraId="23F758E6" w14:textId="77777777" w:rsidR="00115FA9" w:rsidRPr="00115FA9" w:rsidRDefault="00115FA9" w:rsidP="00115FA9">
              <w:pPr>
                <w:pStyle w:val="Bibliography"/>
                <w:rPr>
                  <w:rFonts w:ascii="Arial" w:hAnsi="Arial" w:cs="Arial"/>
                  <w:noProof/>
                  <w:sz w:val="22"/>
                  <w:szCs w:val="22"/>
                </w:rPr>
              </w:pPr>
              <w:r w:rsidRPr="00115FA9">
                <w:rPr>
                  <w:rFonts w:ascii="Arial" w:hAnsi="Arial" w:cs="Arial"/>
                  <w:noProof/>
                  <w:sz w:val="22"/>
                  <w:szCs w:val="22"/>
                </w:rPr>
                <w:t xml:space="preserve">NHS, 2024. </w:t>
              </w:r>
              <w:r w:rsidRPr="00115FA9">
                <w:rPr>
                  <w:rFonts w:ascii="Arial" w:hAnsi="Arial" w:cs="Arial"/>
                  <w:i/>
                  <w:iCs/>
                  <w:noProof/>
                  <w:sz w:val="22"/>
                  <w:szCs w:val="22"/>
                </w:rPr>
                <w:t xml:space="preserve">Help and support for people with dementia. </w:t>
              </w:r>
              <w:r w:rsidRPr="00115FA9">
                <w:rPr>
                  <w:rFonts w:ascii="Arial" w:hAnsi="Arial" w:cs="Arial"/>
                  <w:noProof/>
                  <w:sz w:val="22"/>
                  <w:szCs w:val="22"/>
                </w:rPr>
                <w:t xml:space="preserve">[Online] </w:t>
              </w:r>
              <w:r w:rsidRPr="00115FA9">
                <w:rPr>
                  <w:rFonts w:ascii="Arial" w:hAnsi="Arial" w:cs="Arial"/>
                  <w:noProof/>
                  <w:sz w:val="22"/>
                  <w:szCs w:val="22"/>
                </w:rPr>
                <w:br/>
                <w:t xml:space="preserve">Available at: </w:t>
              </w:r>
              <w:r w:rsidRPr="00115FA9">
                <w:rPr>
                  <w:rFonts w:ascii="Arial" w:hAnsi="Arial" w:cs="Arial"/>
                  <w:noProof/>
                  <w:sz w:val="22"/>
                  <w:szCs w:val="22"/>
                  <w:u w:val="single"/>
                </w:rPr>
                <w:t>https://www.nhs.uk/conditions/dementia/care-and-support/help-and-support/</w:t>
              </w:r>
              <w:r w:rsidRPr="00115FA9">
                <w:rPr>
                  <w:rFonts w:ascii="Arial" w:hAnsi="Arial" w:cs="Arial"/>
                  <w:noProof/>
                  <w:sz w:val="22"/>
                  <w:szCs w:val="22"/>
                </w:rPr>
                <w:br/>
                <w:t>[Accessed 4 April 2026].</w:t>
              </w:r>
            </w:p>
            <w:p w14:paraId="631A38D5" w14:textId="77777777" w:rsidR="00115FA9" w:rsidRPr="00115FA9" w:rsidRDefault="00115FA9" w:rsidP="00115FA9">
              <w:pPr>
                <w:pStyle w:val="Bibliography"/>
                <w:rPr>
                  <w:rFonts w:ascii="Arial" w:hAnsi="Arial" w:cs="Arial"/>
                  <w:noProof/>
                  <w:sz w:val="22"/>
                  <w:szCs w:val="22"/>
                </w:rPr>
              </w:pPr>
              <w:r w:rsidRPr="00115FA9">
                <w:rPr>
                  <w:rFonts w:ascii="Arial" w:hAnsi="Arial" w:cs="Arial"/>
                  <w:noProof/>
                  <w:sz w:val="22"/>
                  <w:szCs w:val="22"/>
                </w:rPr>
                <w:t xml:space="preserve">NHS, 2025. </w:t>
              </w:r>
              <w:r w:rsidRPr="00115FA9">
                <w:rPr>
                  <w:rFonts w:ascii="Arial" w:hAnsi="Arial" w:cs="Arial"/>
                  <w:i/>
                  <w:iCs/>
                  <w:noProof/>
                  <w:sz w:val="22"/>
                  <w:szCs w:val="22"/>
                </w:rPr>
                <w:t xml:space="preserve">Dementia, social services and the NHS. </w:t>
              </w:r>
              <w:r w:rsidRPr="00115FA9">
                <w:rPr>
                  <w:rFonts w:ascii="Arial" w:hAnsi="Arial" w:cs="Arial"/>
                  <w:noProof/>
                  <w:sz w:val="22"/>
                  <w:szCs w:val="22"/>
                </w:rPr>
                <w:t xml:space="preserve">[Online] </w:t>
              </w:r>
              <w:r w:rsidRPr="00115FA9">
                <w:rPr>
                  <w:rFonts w:ascii="Arial" w:hAnsi="Arial" w:cs="Arial"/>
                  <w:noProof/>
                  <w:sz w:val="22"/>
                  <w:szCs w:val="22"/>
                </w:rPr>
                <w:br/>
                <w:t xml:space="preserve">Available at: </w:t>
              </w:r>
              <w:r w:rsidRPr="00115FA9">
                <w:rPr>
                  <w:rFonts w:ascii="Arial" w:hAnsi="Arial" w:cs="Arial"/>
                  <w:noProof/>
                  <w:sz w:val="22"/>
                  <w:szCs w:val="22"/>
                  <w:u w:val="single"/>
                </w:rPr>
                <w:t>https://www.nhs.uk/conditions/dementia/care-and-support/social-services-and-the-nhs/</w:t>
              </w:r>
              <w:r w:rsidRPr="00115FA9">
                <w:rPr>
                  <w:rFonts w:ascii="Arial" w:hAnsi="Arial" w:cs="Arial"/>
                  <w:noProof/>
                  <w:sz w:val="22"/>
                  <w:szCs w:val="22"/>
                </w:rPr>
                <w:br/>
                <w:t>[Accessed 2 April 2026].</w:t>
              </w:r>
            </w:p>
            <w:p w14:paraId="000335F3" w14:textId="77777777" w:rsidR="00115FA9" w:rsidRPr="00115FA9" w:rsidRDefault="00115FA9" w:rsidP="00115FA9">
              <w:pPr>
                <w:pStyle w:val="Bibliography"/>
                <w:rPr>
                  <w:rFonts w:ascii="Arial" w:hAnsi="Arial" w:cs="Arial"/>
                  <w:noProof/>
                  <w:sz w:val="22"/>
                  <w:szCs w:val="22"/>
                </w:rPr>
              </w:pPr>
              <w:r w:rsidRPr="00115FA9">
                <w:rPr>
                  <w:rFonts w:ascii="Arial" w:hAnsi="Arial" w:cs="Arial"/>
                  <w:noProof/>
                  <w:sz w:val="22"/>
                  <w:szCs w:val="22"/>
                </w:rPr>
                <w:t xml:space="preserve">NICE, 2015. </w:t>
              </w:r>
              <w:r w:rsidRPr="00115FA9">
                <w:rPr>
                  <w:rFonts w:ascii="Arial" w:hAnsi="Arial" w:cs="Arial"/>
                  <w:i/>
                  <w:iCs/>
                  <w:noProof/>
                  <w:sz w:val="22"/>
                  <w:szCs w:val="22"/>
                </w:rPr>
                <w:t xml:space="preserve">Dementia, disability and frailty in later life – mid-life approaches to delay or prevent onset. </w:t>
              </w:r>
              <w:r w:rsidRPr="00115FA9">
                <w:rPr>
                  <w:rFonts w:ascii="Arial" w:hAnsi="Arial" w:cs="Arial"/>
                  <w:noProof/>
                  <w:sz w:val="22"/>
                  <w:szCs w:val="22"/>
                </w:rPr>
                <w:t xml:space="preserve">[Online] </w:t>
              </w:r>
              <w:r w:rsidRPr="00115FA9">
                <w:rPr>
                  <w:rFonts w:ascii="Arial" w:hAnsi="Arial" w:cs="Arial"/>
                  <w:noProof/>
                  <w:sz w:val="22"/>
                  <w:szCs w:val="22"/>
                </w:rPr>
                <w:br/>
                <w:t xml:space="preserve">Available at: </w:t>
              </w:r>
              <w:r w:rsidRPr="00115FA9">
                <w:rPr>
                  <w:rFonts w:ascii="Arial" w:hAnsi="Arial" w:cs="Arial"/>
                  <w:noProof/>
                  <w:sz w:val="22"/>
                  <w:szCs w:val="22"/>
                  <w:u w:val="single"/>
                </w:rPr>
                <w:t>https://www.nice.org.uk/guidance/ng16</w:t>
              </w:r>
              <w:r w:rsidRPr="00115FA9">
                <w:rPr>
                  <w:rFonts w:ascii="Arial" w:hAnsi="Arial" w:cs="Arial"/>
                  <w:noProof/>
                  <w:sz w:val="22"/>
                  <w:szCs w:val="22"/>
                </w:rPr>
                <w:br/>
                <w:t>[Accessed 3 April 2026].</w:t>
              </w:r>
            </w:p>
            <w:p w14:paraId="16395457" w14:textId="77777777" w:rsidR="00115FA9" w:rsidRPr="00115FA9" w:rsidRDefault="00115FA9" w:rsidP="00115FA9">
              <w:pPr>
                <w:pStyle w:val="Bibliography"/>
                <w:rPr>
                  <w:rFonts w:ascii="Arial" w:hAnsi="Arial" w:cs="Arial"/>
                  <w:noProof/>
                  <w:sz w:val="22"/>
                  <w:szCs w:val="22"/>
                </w:rPr>
              </w:pPr>
              <w:r w:rsidRPr="00115FA9">
                <w:rPr>
                  <w:rFonts w:ascii="Arial" w:hAnsi="Arial" w:cs="Arial"/>
                  <w:noProof/>
                  <w:sz w:val="22"/>
                  <w:szCs w:val="22"/>
                </w:rPr>
                <w:t xml:space="preserve">NICE, 2018. </w:t>
              </w:r>
              <w:r w:rsidRPr="00115FA9">
                <w:rPr>
                  <w:rFonts w:ascii="Arial" w:hAnsi="Arial" w:cs="Arial"/>
                  <w:i/>
                  <w:iCs/>
                  <w:noProof/>
                  <w:sz w:val="22"/>
                  <w:szCs w:val="22"/>
                </w:rPr>
                <w:t xml:space="preserve">Dementia: assessment, management and support for people living with dementia and their carers. </w:t>
              </w:r>
              <w:r w:rsidRPr="00115FA9">
                <w:rPr>
                  <w:rFonts w:ascii="Arial" w:hAnsi="Arial" w:cs="Arial"/>
                  <w:noProof/>
                  <w:sz w:val="22"/>
                  <w:szCs w:val="22"/>
                </w:rPr>
                <w:t xml:space="preserve">[Online] </w:t>
              </w:r>
              <w:r w:rsidRPr="00115FA9">
                <w:rPr>
                  <w:rFonts w:ascii="Arial" w:hAnsi="Arial" w:cs="Arial"/>
                  <w:noProof/>
                  <w:sz w:val="22"/>
                  <w:szCs w:val="22"/>
                </w:rPr>
                <w:br/>
                <w:t xml:space="preserve">Available at: </w:t>
              </w:r>
              <w:r w:rsidRPr="00115FA9">
                <w:rPr>
                  <w:rFonts w:ascii="Arial" w:hAnsi="Arial" w:cs="Arial"/>
                  <w:noProof/>
                  <w:sz w:val="22"/>
                  <w:szCs w:val="22"/>
                  <w:u w:val="single"/>
                </w:rPr>
                <w:t>https://www.nice.org.uk/guidance/ng97</w:t>
              </w:r>
              <w:r w:rsidRPr="00115FA9">
                <w:rPr>
                  <w:rFonts w:ascii="Arial" w:hAnsi="Arial" w:cs="Arial"/>
                  <w:noProof/>
                  <w:sz w:val="22"/>
                  <w:szCs w:val="22"/>
                </w:rPr>
                <w:br/>
                <w:t>[Accessed 4 April 2026].</w:t>
              </w:r>
            </w:p>
            <w:p w14:paraId="306555C4" w14:textId="77777777" w:rsidR="00115FA9" w:rsidRPr="00115FA9" w:rsidRDefault="00115FA9" w:rsidP="00115FA9">
              <w:pPr>
                <w:pStyle w:val="Bibliography"/>
                <w:rPr>
                  <w:rFonts w:ascii="Arial" w:hAnsi="Arial" w:cs="Arial"/>
                  <w:noProof/>
                  <w:sz w:val="22"/>
                  <w:szCs w:val="22"/>
                </w:rPr>
              </w:pPr>
              <w:r w:rsidRPr="00115FA9">
                <w:rPr>
                  <w:rFonts w:ascii="Arial" w:hAnsi="Arial" w:cs="Arial"/>
                  <w:noProof/>
                  <w:sz w:val="22"/>
                  <w:szCs w:val="22"/>
                </w:rPr>
                <w:t xml:space="preserve">World Health Organization, 2025. </w:t>
              </w:r>
              <w:r w:rsidRPr="00115FA9">
                <w:rPr>
                  <w:rFonts w:ascii="Arial" w:hAnsi="Arial" w:cs="Arial"/>
                  <w:i/>
                  <w:iCs/>
                  <w:noProof/>
                  <w:sz w:val="22"/>
                  <w:szCs w:val="22"/>
                </w:rPr>
                <w:t xml:space="preserve">Dementia. </w:t>
              </w:r>
              <w:r w:rsidRPr="00115FA9">
                <w:rPr>
                  <w:rFonts w:ascii="Arial" w:hAnsi="Arial" w:cs="Arial"/>
                  <w:noProof/>
                  <w:sz w:val="22"/>
                  <w:szCs w:val="22"/>
                </w:rPr>
                <w:t xml:space="preserve">[Online] </w:t>
              </w:r>
              <w:r w:rsidRPr="00115FA9">
                <w:rPr>
                  <w:rFonts w:ascii="Arial" w:hAnsi="Arial" w:cs="Arial"/>
                  <w:noProof/>
                  <w:sz w:val="22"/>
                  <w:szCs w:val="22"/>
                </w:rPr>
                <w:br/>
                <w:t xml:space="preserve">Available at: </w:t>
              </w:r>
              <w:r w:rsidRPr="00115FA9">
                <w:rPr>
                  <w:rFonts w:ascii="Arial" w:hAnsi="Arial" w:cs="Arial"/>
                  <w:noProof/>
                  <w:sz w:val="22"/>
                  <w:szCs w:val="22"/>
                  <w:u w:val="single"/>
                </w:rPr>
                <w:t>https://www.who.int/news-room/fact-sheets/detail/dementia</w:t>
              </w:r>
              <w:r w:rsidRPr="00115FA9">
                <w:rPr>
                  <w:rFonts w:ascii="Arial" w:hAnsi="Arial" w:cs="Arial"/>
                  <w:noProof/>
                  <w:sz w:val="22"/>
                  <w:szCs w:val="22"/>
                </w:rPr>
                <w:br/>
                <w:t>[Accessed 2 April 2026].</w:t>
              </w:r>
            </w:p>
            <w:p w14:paraId="4AB754A7" w14:textId="0B54B1C4" w:rsidR="00115FA9" w:rsidRDefault="00115FA9" w:rsidP="00115FA9">
              <w:r w:rsidRPr="00115FA9">
                <w:rPr>
                  <w:rFonts w:ascii="Arial" w:hAnsi="Arial" w:cs="Arial"/>
                  <w:b/>
                  <w:bCs/>
                  <w:noProof/>
                  <w:sz w:val="22"/>
                  <w:szCs w:val="22"/>
                </w:rPr>
                <w:fldChar w:fldCharType="end"/>
              </w:r>
            </w:p>
          </w:sdtContent>
        </w:sdt>
      </w:sdtContent>
    </w:sdt>
    <w:p w14:paraId="6B531216" w14:textId="70B029B0" w:rsidR="0016378F" w:rsidRPr="00F177B7" w:rsidRDefault="0016378F" w:rsidP="000E4B63">
      <w:pPr>
        <w:jc w:val="both"/>
        <w:rPr>
          <w:rFonts w:ascii="Arial" w:hAnsi="Arial" w:cs="Arial"/>
          <w:sz w:val="22"/>
          <w:szCs w:val="22"/>
        </w:rPr>
      </w:pPr>
    </w:p>
    <w:sectPr w:rsidR="0016378F" w:rsidRPr="00F177B7" w:rsidSect="00115FA9">
      <w:pgSz w:w="11907" w:h="16840"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A2ED0" w14:textId="77777777" w:rsidR="006748B8" w:rsidRDefault="006748B8" w:rsidP="00115FA9">
      <w:pPr>
        <w:spacing w:after="0" w:line="240" w:lineRule="auto"/>
      </w:pPr>
      <w:r>
        <w:separator/>
      </w:r>
    </w:p>
  </w:endnote>
  <w:endnote w:type="continuationSeparator" w:id="0">
    <w:p w14:paraId="369A840E" w14:textId="77777777" w:rsidR="006748B8" w:rsidRDefault="006748B8" w:rsidP="00115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6632938"/>
      <w:docPartObj>
        <w:docPartGallery w:val="Page Numbers (Bottom of Page)"/>
        <w:docPartUnique/>
      </w:docPartObj>
    </w:sdtPr>
    <w:sdtEndPr>
      <w:rPr>
        <w:noProof/>
      </w:rPr>
    </w:sdtEndPr>
    <w:sdtContent>
      <w:p w14:paraId="670EEACB" w14:textId="6A5A4E1C" w:rsidR="00115FA9" w:rsidRDefault="00115F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33E1A7" w14:textId="77777777" w:rsidR="00115FA9" w:rsidRDefault="00115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DADE1" w14:textId="77777777" w:rsidR="006748B8" w:rsidRDefault="006748B8" w:rsidP="00115FA9">
      <w:pPr>
        <w:spacing w:after="0" w:line="240" w:lineRule="auto"/>
      </w:pPr>
      <w:r>
        <w:separator/>
      </w:r>
    </w:p>
  </w:footnote>
  <w:footnote w:type="continuationSeparator" w:id="0">
    <w:p w14:paraId="01294120" w14:textId="77777777" w:rsidR="006748B8" w:rsidRDefault="006748B8" w:rsidP="00115F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7B7"/>
    <w:rsid w:val="00005D82"/>
    <w:rsid w:val="000B3CAF"/>
    <w:rsid w:val="000E19D2"/>
    <w:rsid w:val="000E4B63"/>
    <w:rsid w:val="000F78F8"/>
    <w:rsid w:val="00115FA9"/>
    <w:rsid w:val="00123D6D"/>
    <w:rsid w:val="0016378F"/>
    <w:rsid w:val="00244FEA"/>
    <w:rsid w:val="00253F05"/>
    <w:rsid w:val="002F2280"/>
    <w:rsid w:val="00300D83"/>
    <w:rsid w:val="00460DD4"/>
    <w:rsid w:val="00496859"/>
    <w:rsid w:val="004F6103"/>
    <w:rsid w:val="005143FF"/>
    <w:rsid w:val="00556F81"/>
    <w:rsid w:val="00607515"/>
    <w:rsid w:val="00617D3A"/>
    <w:rsid w:val="006748B8"/>
    <w:rsid w:val="0070446F"/>
    <w:rsid w:val="00716E5C"/>
    <w:rsid w:val="00724D50"/>
    <w:rsid w:val="00944730"/>
    <w:rsid w:val="009774FB"/>
    <w:rsid w:val="00A11E46"/>
    <w:rsid w:val="00A27E2F"/>
    <w:rsid w:val="00A72791"/>
    <w:rsid w:val="00B453D9"/>
    <w:rsid w:val="00B54683"/>
    <w:rsid w:val="00B92AD6"/>
    <w:rsid w:val="00C13238"/>
    <w:rsid w:val="00C858E6"/>
    <w:rsid w:val="00CE046F"/>
    <w:rsid w:val="00D61EF6"/>
    <w:rsid w:val="00DD6A29"/>
    <w:rsid w:val="00ED68A3"/>
    <w:rsid w:val="00F177B7"/>
    <w:rsid w:val="00FB769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0993B"/>
  <w15:chartTrackingRefBased/>
  <w15:docId w15:val="{47077D1B-201F-477E-821F-D7ACC57A1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7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77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77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77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77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77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7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7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7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7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77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77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77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77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77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7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7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7B7"/>
    <w:rPr>
      <w:rFonts w:eastAsiaTheme="majorEastAsia" w:cstheme="majorBidi"/>
      <w:color w:val="272727" w:themeColor="text1" w:themeTint="D8"/>
    </w:rPr>
  </w:style>
  <w:style w:type="paragraph" w:styleId="Title">
    <w:name w:val="Title"/>
    <w:basedOn w:val="Normal"/>
    <w:next w:val="Normal"/>
    <w:link w:val="TitleChar"/>
    <w:uiPriority w:val="10"/>
    <w:qFormat/>
    <w:rsid w:val="00F177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7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7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7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7B7"/>
    <w:pPr>
      <w:spacing w:before="160"/>
      <w:jc w:val="center"/>
    </w:pPr>
    <w:rPr>
      <w:i/>
      <w:iCs/>
      <w:color w:val="404040" w:themeColor="text1" w:themeTint="BF"/>
    </w:rPr>
  </w:style>
  <w:style w:type="character" w:customStyle="1" w:styleId="QuoteChar">
    <w:name w:val="Quote Char"/>
    <w:basedOn w:val="DefaultParagraphFont"/>
    <w:link w:val="Quote"/>
    <w:uiPriority w:val="29"/>
    <w:rsid w:val="00F177B7"/>
    <w:rPr>
      <w:i/>
      <w:iCs/>
      <w:color w:val="404040" w:themeColor="text1" w:themeTint="BF"/>
    </w:rPr>
  </w:style>
  <w:style w:type="paragraph" w:styleId="ListParagraph">
    <w:name w:val="List Paragraph"/>
    <w:basedOn w:val="Normal"/>
    <w:uiPriority w:val="34"/>
    <w:qFormat/>
    <w:rsid w:val="00F177B7"/>
    <w:pPr>
      <w:ind w:left="720"/>
      <w:contextualSpacing/>
    </w:pPr>
  </w:style>
  <w:style w:type="character" w:styleId="IntenseEmphasis">
    <w:name w:val="Intense Emphasis"/>
    <w:basedOn w:val="DefaultParagraphFont"/>
    <w:uiPriority w:val="21"/>
    <w:qFormat/>
    <w:rsid w:val="00F177B7"/>
    <w:rPr>
      <w:i/>
      <w:iCs/>
      <w:color w:val="0F4761" w:themeColor="accent1" w:themeShade="BF"/>
    </w:rPr>
  </w:style>
  <w:style w:type="paragraph" w:styleId="IntenseQuote">
    <w:name w:val="Intense Quote"/>
    <w:basedOn w:val="Normal"/>
    <w:next w:val="Normal"/>
    <w:link w:val="IntenseQuoteChar"/>
    <w:uiPriority w:val="30"/>
    <w:qFormat/>
    <w:rsid w:val="00F177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77B7"/>
    <w:rPr>
      <w:i/>
      <w:iCs/>
      <w:color w:val="0F4761" w:themeColor="accent1" w:themeShade="BF"/>
    </w:rPr>
  </w:style>
  <w:style w:type="character" w:styleId="IntenseReference">
    <w:name w:val="Intense Reference"/>
    <w:basedOn w:val="DefaultParagraphFont"/>
    <w:uiPriority w:val="32"/>
    <w:qFormat/>
    <w:rsid w:val="00F177B7"/>
    <w:rPr>
      <w:b/>
      <w:bCs/>
      <w:smallCaps/>
      <w:color w:val="0F4761" w:themeColor="accent1" w:themeShade="BF"/>
      <w:spacing w:val="5"/>
    </w:rPr>
  </w:style>
  <w:style w:type="paragraph" w:styleId="Header">
    <w:name w:val="header"/>
    <w:basedOn w:val="Normal"/>
    <w:link w:val="HeaderChar"/>
    <w:uiPriority w:val="99"/>
    <w:unhideWhenUsed/>
    <w:rsid w:val="00115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FA9"/>
  </w:style>
  <w:style w:type="paragraph" w:styleId="Footer">
    <w:name w:val="footer"/>
    <w:basedOn w:val="Normal"/>
    <w:link w:val="FooterChar"/>
    <w:uiPriority w:val="99"/>
    <w:unhideWhenUsed/>
    <w:rsid w:val="00115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FA9"/>
  </w:style>
  <w:style w:type="paragraph" w:styleId="Bibliography">
    <w:name w:val="Bibliography"/>
    <w:basedOn w:val="Normal"/>
    <w:next w:val="Normal"/>
    <w:uiPriority w:val="37"/>
    <w:unhideWhenUsed/>
    <w:rsid w:val="00115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291388">
      <w:bodyDiv w:val="1"/>
      <w:marLeft w:val="0"/>
      <w:marRight w:val="0"/>
      <w:marTop w:val="0"/>
      <w:marBottom w:val="0"/>
      <w:divBdr>
        <w:top w:val="none" w:sz="0" w:space="0" w:color="auto"/>
        <w:left w:val="none" w:sz="0" w:space="0" w:color="auto"/>
        <w:bottom w:val="none" w:sz="0" w:space="0" w:color="auto"/>
        <w:right w:val="none" w:sz="0" w:space="0" w:color="auto"/>
      </w:divBdr>
    </w:div>
    <w:div w:id="687370963">
      <w:bodyDiv w:val="1"/>
      <w:marLeft w:val="0"/>
      <w:marRight w:val="0"/>
      <w:marTop w:val="0"/>
      <w:marBottom w:val="0"/>
      <w:divBdr>
        <w:top w:val="none" w:sz="0" w:space="0" w:color="auto"/>
        <w:left w:val="none" w:sz="0" w:space="0" w:color="auto"/>
        <w:bottom w:val="none" w:sz="0" w:space="0" w:color="auto"/>
        <w:right w:val="none" w:sz="0" w:space="0" w:color="auto"/>
      </w:divBdr>
    </w:div>
    <w:div w:id="883979296">
      <w:bodyDiv w:val="1"/>
      <w:marLeft w:val="0"/>
      <w:marRight w:val="0"/>
      <w:marTop w:val="0"/>
      <w:marBottom w:val="0"/>
      <w:divBdr>
        <w:top w:val="none" w:sz="0" w:space="0" w:color="auto"/>
        <w:left w:val="none" w:sz="0" w:space="0" w:color="auto"/>
        <w:bottom w:val="none" w:sz="0" w:space="0" w:color="auto"/>
        <w:right w:val="none" w:sz="0" w:space="0" w:color="auto"/>
      </w:divBdr>
    </w:div>
    <w:div w:id="893584387">
      <w:bodyDiv w:val="1"/>
      <w:marLeft w:val="0"/>
      <w:marRight w:val="0"/>
      <w:marTop w:val="0"/>
      <w:marBottom w:val="0"/>
      <w:divBdr>
        <w:top w:val="none" w:sz="0" w:space="0" w:color="auto"/>
        <w:left w:val="none" w:sz="0" w:space="0" w:color="auto"/>
        <w:bottom w:val="none" w:sz="0" w:space="0" w:color="auto"/>
        <w:right w:val="none" w:sz="0" w:space="0" w:color="auto"/>
      </w:divBdr>
    </w:div>
    <w:div w:id="981471378">
      <w:bodyDiv w:val="1"/>
      <w:marLeft w:val="0"/>
      <w:marRight w:val="0"/>
      <w:marTop w:val="0"/>
      <w:marBottom w:val="0"/>
      <w:divBdr>
        <w:top w:val="none" w:sz="0" w:space="0" w:color="auto"/>
        <w:left w:val="none" w:sz="0" w:space="0" w:color="auto"/>
        <w:bottom w:val="none" w:sz="0" w:space="0" w:color="auto"/>
        <w:right w:val="none" w:sz="0" w:space="0" w:color="auto"/>
      </w:divBdr>
    </w:div>
    <w:div w:id="1153370697">
      <w:bodyDiv w:val="1"/>
      <w:marLeft w:val="0"/>
      <w:marRight w:val="0"/>
      <w:marTop w:val="0"/>
      <w:marBottom w:val="0"/>
      <w:divBdr>
        <w:top w:val="none" w:sz="0" w:space="0" w:color="auto"/>
        <w:left w:val="none" w:sz="0" w:space="0" w:color="auto"/>
        <w:bottom w:val="none" w:sz="0" w:space="0" w:color="auto"/>
        <w:right w:val="none" w:sz="0" w:space="0" w:color="auto"/>
      </w:divBdr>
    </w:div>
    <w:div w:id="1178154818">
      <w:bodyDiv w:val="1"/>
      <w:marLeft w:val="0"/>
      <w:marRight w:val="0"/>
      <w:marTop w:val="0"/>
      <w:marBottom w:val="0"/>
      <w:divBdr>
        <w:top w:val="none" w:sz="0" w:space="0" w:color="auto"/>
        <w:left w:val="none" w:sz="0" w:space="0" w:color="auto"/>
        <w:bottom w:val="none" w:sz="0" w:space="0" w:color="auto"/>
        <w:right w:val="none" w:sz="0" w:space="0" w:color="auto"/>
      </w:divBdr>
    </w:div>
    <w:div w:id="1272011315">
      <w:bodyDiv w:val="1"/>
      <w:marLeft w:val="0"/>
      <w:marRight w:val="0"/>
      <w:marTop w:val="0"/>
      <w:marBottom w:val="0"/>
      <w:divBdr>
        <w:top w:val="none" w:sz="0" w:space="0" w:color="auto"/>
        <w:left w:val="none" w:sz="0" w:space="0" w:color="auto"/>
        <w:bottom w:val="none" w:sz="0" w:space="0" w:color="auto"/>
        <w:right w:val="none" w:sz="0" w:space="0" w:color="auto"/>
      </w:divBdr>
    </w:div>
    <w:div w:id="1389572305">
      <w:bodyDiv w:val="1"/>
      <w:marLeft w:val="0"/>
      <w:marRight w:val="0"/>
      <w:marTop w:val="0"/>
      <w:marBottom w:val="0"/>
      <w:divBdr>
        <w:top w:val="none" w:sz="0" w:space="0" w:color="auto"/>
        <w:left w:val="none" w:sz="0" w:space="0" w:color="auto"/>
        <w:bottom w:val="none" w:sz="0" w:space="0" w:color="auto"/>
        <w:right w:val="none" w:sz="0" w:space="0" w:color="auto"/>
      </w:divBdr>
    </w:div>
    <w:div w:id="1623684700">
      <w:bodyDiv w:val="1"/>
      <w:marLeft w:val="0"/>
      <w:marRight w:val="0"/>
      <w:marTop w:val="0"/>
      <w:marBottom w:val="0"/>
      <w:divBdr>
        <w:top w:val="none" w:sz="0" w:space="0" w:color="auto"/>
        <w:left w:val="none" w:sz="0" w:space="0" w:color="auto"/>
        <w:bottom w:val="none" w:sz="0" w:space="0" w:color="auto"/>
        <w:right w:val="none" w:sz="0" w:space="0" w:color="auto"/>
      </w:divBdr>
    </w:div>
    <w:div w:id="1843545091">
      <w:bodyDiv w:val="1"/>
      <w:marLeft w:val="0"/>
      <w:marRight w:val="0"/>
      <w:marTop w:val="0"/>
      <w:marBottom w:val="0"/>
      <w:divBdr>
        <w:top w:val="none" w:sz="0" w:space="0" w:color="auto"/>
        <w:left w:val="none" w:sz="0" w:space="0" w:color="auto"/>
        <w:bottom w:val="none" w:sz="0" w:space="0" w:color="auto"/>
        <w:right w:val="none" w:sz="0" w:space="0" w:color="auto"/>
      </w:divBdr>
    </w:div>
    <w:div w:id="188324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b:Tag>
    <b:SourceType>InternetSite</b:SourceType>
    <b:Guid>{0A3E72E2-6138-4E8C-B4D6-2895F8C74016}</b:Guid>
    <b:Title>Dementia</b:Title>
    <b:Author>
      <b:Author>
        <b:NameList>
          <b:Person>
            <b:Last>World Health Organization</b:Last>
          </b:Person>
        </b:NameList>
      </b:Author>
    </b:Author>
    <b:Year>2025</b:Year>
    <b:YearAccessed>2026</b:YearAccessed>
    <b:MonthAccessed>April</b:MonthAccessed>
    <b:DayAccessed>2</b:DayAccessed>
    <b:URL>https://www.who.int/news-room/fact-sheets/detail/dementia</b:URL>
    <b:RefOrder>1</b:RefOrder>
  </b:Source>
  <b:Source>
    <b:Tag>Alz24</b:Tag>
    <b:SourceType>InternetSite</b:SourceType>
    <b:Guid>{80850407-8F89-4B41-B951-15B12B7659FB}</b:Guid>
    <b:Title>How many people have dementia in the UK?</b:Title>
    <b:Year>2024</b:Year>
    <b:YearAccessed>2026</b:YearAccessed>
    <b:MonthAccessed>April</b:MonthAccessed>
    <b:DayAccessed>1</b:DayAccessed>
    <b:URL>https://www.alzheimers.org.uk/blog/how-many-people-have-dementia-uk</b:URL>
    <b:Author>
      <b:Author>
        <b:NameList>
          <b:Person>
            <b:Last>Alzheimer's Society</b:Last>
          </b:Person>
        </b:NameList>
      </b:Author>
    </b:Author>
    <b:RefOrder>2</b:RefOrder>
  </b:Source>
  <b:Source>
    <b:Tag>Liv24</b:Tag>
    <b:SourceType>JournalArticle</b:SourceType>
    <b:Guid>{B74FC105-67FD-46EF-B302-CDA2C29D9F6B}</b:Guid>
    <b:Title>Dementia prevention, intervention, and care: 2024 report of the Lancet standing Commission</b:Title>
    <b:Year>2024</b:Year>
    <b:Author>
      <b:Author>
        <b:NameList>
          <b:Person>
            <b:Last>Livingston</b:Last>
            <b:First>Gill</b:First>
          </b:Person>
          <b:Person>
            <b:Last>Huntley</b:Last>
            <b:First>Jonathan</b:First>
          </b:Person>
          <b:Person>
            <b:Last>Liu</b:Last>
            <b:First>K. Y.</b:First>
          </b:Person>
          <b:Person>
            <b:Last>Costafreda</b:Last>
            <b:First>S. G.</b:First>
          </b:Person>
          <b:Person>
            <b:Last>Selbaek</b:Last>
            <b:First>G.</b:First>
          </b:Person>
          <b:Person>
            <b:Last>Alladi</b:Last>
            <b:First>S.</b:First>
          </b:Person>
        </b:NameList>
      </b:Author>
    </b:Author>
    <b:JournalName>The Lancet Commissions</b:JournalName>
    <b:Pages>572-628</b:Pages>
    <b:Volume>404</b:Volume>
    <b:Issue>10452</b:Issue>
    <b:RefOrder>5</b:RefOrder>
  </b:Source>
  <b:Source>
    <b:Tag>NHS234</b:Tag>
    <b:SourceType>InternetSite</b:SourceType>
    <b:Guid>{985F4EA8-7218-423C-87F7-0252AE4D506E}</b:Guid>
    <b:Title>Symptoms of dementia</b:Title>
    <b:Year>2023</b:Year>
    <b:YearAccessed>2026</b:YearAccessed>
    <b:MonthAccessed>April</b:MonthAccessed>
    <b:DayAccessed>3</b:DayAccessed>
    <b:URL>https://www.nhs.uk/conditions/dementia/symptoms-and-diagnosis/symptoms/</b:URL>
    <b:Author>
      <b:Author>
        <b:NameList>
          <b:Person>
            <b:Last>NHS </b:Last>
          </b:Person>
        </b:NameList>
      </b:Author>
    </b:Author>
    <b:RefOrder>7</b:RefOrder>
  </b:Source>
  <b:Source>
    <b:Tag>NHS263</b:Tag>
    <b:SourceType>InternetSite</b:SourceType>
    <b:Guid>{938CA511-0AC8-4CBE-9F45-5A2CE8ABBB89}</b:Guid>
    <b:Title>Primary Care Dementia Data: Consultation 2026</b:Title>
    <b:Year>2026</b:Year>
    <b:YearAccessed>2026</b:YearAccessed>
    <b:MonthAccessed>April</b:MonthAccessed>
    <b:DayAccessed>3</b:DayAccessed>
    <b:URL>https://digital.nhs.uk/data-and-information/publications/statistical/primary-care-dementia-data/february-2026</b:URL>
    <b:Author>
      <b:Author>
        <b:NameList>
          <b:Person>
            <b:Last>NHS England</b:Last>
          </b:Person>
        </b:NameList>
      </b:Author>
    </b:Author>
    <b:RefOrder>3</b:RefOrder>
  </b:Source>
  <b:Source>
    <b:Tag>NHS245</b:Tag>
    <b:SourceType>InternetSite</b:SourceType>
    <b:Guid>{F23D3C58-75C4-4AAD-824A-5FFE4B666F33}</b:Guid>
    <b:Title>Help and support for people with dementia</b:Title>
    <b:Year>2024</b:Year>
    <b:YearAccessed>2026</b:YearAccessed>
    <b:MonthAccessed>April</b:MonthAccessed>
    <b:DayAccessed>4</b:DayAccessed>
    <b:URL>https://www.nhs.uk/conditions/dementia/care-and-support/help-and-support/</b:URL>
    <b:Author>
      <b:Author>
        <b:NameList>
          <b:Person>
            <b:Last>NHS</b:Last>
          </b:Person>
        </b:NameList>
      </b:Author>
    </b:Author>
    <b:RefOrder>8</b:RefOrder>
  </b:Source>
  <b:Source>
    <b:Tag>NHS253</b:Tag>
    <b:SourceType>InternetSite</b:SourceType>
    <b:Guid>{C86B88F1-FBF9-4510-946D-71843D575314}</b:Guid>
    <b:Title>Dementia, social services and the NHS</b:Title>
    <b:Year>2025</b:Year>
    <b:YearAccessed>2026</b:YearAccessed>
    <b:MonthAccessed>April</b:MonthAccessed>
    <b:DayAccessed>2</b:DayAccessed>
    <b:URL>https://www.nhs.uk/conditions/dementia/care-and-support/social-services-and-the-nhs/</b:URL>
    <b:Author>
      <b:Author>
        <b:NameList>
          <b:Person>
            <b:Last>NHS</b:Last>
          </b:Person>
        </b:NameList>
      </b:Author>
    </b:Author>
    <b:RefOrder>9</b:RefOrder>
  </b:Source>
  <b:Source>
    <b:Tag>NIC18</b:Tag>
    <b:SourceType>InternetSite</b:SourceType>
    <b:Guid>{ADF653BC-A38E-48AC-AC99-E6F556704D56}</b:Guid>
    <b:Title>Dementia: assessment, management and support for people living with dementia and their carers</b:Title>
    <b:Year>2018</b:Year>
    <b:YearAccessed>2026</b:YearAccessed>
    <b:MonthAccessed>April</b:MonthAccessed>
    <b:DayAccessed>4</b:DayAccessed>
    <b:URL>https://www.nice.org.uk/guidance/ng97</b:URL>
    <b:Author>
      <b:Author>
        <b:NameList>
          <b:Person>
            <b:Last>NICE</b:Last>
          </b:Person>
        </b:NameList>
      </b:Author>
    </b:Author>
    <b:RefOrder>4</b:RefOrder>
  </b:Source>
  <b:Source>
    <b:Tag>NIC15</b:Tag>
    <b:SourceType>InternetSite</b:SourceType>
    <b:Guid>{2F4E6567-EC4C-4A3A-86E5-B3AE79CC8F2A}</b:Guid>
    <b:Title>Dementia, disability and frailty in later life – mid-life approaches to delay or prevent onset</b:Title>
    <b:Year>2015</b:Year>
    <b:YearAccessed>2026</b:YearAccessed>
    <b:MonthAccessed>April</b:MonthAccessed>
    <b:DayAccessed>3</b:DayAccessed>
    <b:URL>https://www.nice.org.uk/guidance/ng16</b:URL>
    <b:Author>
      <b:Author>
        <b:NameList>
          <b:Person>
            <b:Last>NICE</b:Last>
          </b:Person>
        </b:NameList>
      </b:Author>
    </b:Author>
    <b:RefOrder>6</b:RefOrder>
  </b:Source>
</b:Sources>
</file>

<file path=customXml/itemProps1.xml><?xml version="1.0" encoding="utf-8"?>
<ds:datastoreItem xmlns:ds="http://schemas.openxmlformats.org/officeDocument/2006/customXml" ds:itemID="{4660AF0A-4507-4D6C-9310-A4068903B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1978</Words>
  <Characters>11277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Amoo-Gottfried</dc:creator>
  <cp:keywords/>
  <dc:description/>
  <cp:lastModifiedBy>Emily Amoo-Gottfried (2518106)</cp:lastModifiedBy>
  <cp:revision>2</cp:revision>
  <dcterms:created xsi:type="dcterms:W3CDTF">2026-04-17T22:09:00Z</dcterms:created>
  <dcterms:modified xsi:type="dcterms:W3CDTF">2026-04-17T22:09:00Z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56f1c15d-b483-4a34-9cd8-ef966e09dbe2</vt:lpwstr>
  </property>
</Properties>
</file>