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jpeg" ContentType="image/jpe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b/>
          <w:b/>
          <w:u w:val="single"/>
        </w:rPr>
      </w:pPr>
      <w:r>
        <w:rPr>
          <w:rFonts w:cs="Tahoma" w:ascii="Tahoma" w:hAnsi="Tahoma"/>
          <w:b/>
          <w:u w:val="single"/>
        </w:rPr>
      </w:r>
    </w:p>
    <w:p>
      <w:pPr>
        <w:pStyle w:val="Normal"/>
        <w:jc w:val="both"/>
        <w:rPr>
          <w:rFonts w:ascii="Tahoma" w:hAnsi="Tahoma" w:cs="Tahoma"/>
          <w:b/>
          <w:b/>
          <w:u w:val="single"/>
        </w:rPr>
      </w:pPr>
      <w:r>
        <w:rPr>
          <w:rFonts w:cs="Tahoma" w:ascii="Tahoma" w:hAnsi="Tahoma"/>
          <w:b/>
          <w:u w:val="single"/>
        </w:rPr>
      </w:r>
    </w:p>
    <w:p>
      <w:pPr>
        <w:pStyle w:val="Normal"/>
        <w:jc w:val="both"/>
        <w:rPr>
          <w:rFonts w:ascii="Tahoma" w:hAnsi="Tahoma" w:cs="Tahoma"/>
          <w:b/>
          <w:b/>
          <w:u w:val="single"/>
        </w:rPr>
      </w:pPr>
      <w:r>
        <w:rPr>
          <w:rFonts w:cs="Tahoma" w:ascii="Tahoma" w:hAnsi="Tahoma"/>
          <w:b/>
          <w:u w:val="single"/>
        </w:rPr>
      </w:r>
    </w:p>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6"/>
        <w:gridCol w:w="7195"/>
      </w:tblGrid>
      <w:tr>
        <w:trPr/>
        <w:tc>
          <w:tcPr>
            <w:tcW w:w="3986" w:type="dxa"/>
            <w:tcBorders/>
            <w:shd w:color="auto" w:fill="8DB3E2" w:themeFill="text2" w:themeFillTint="66" w:val="clear"/>
          </w:tcPr>
          <w:p>
            <w:pPr>
              <w:pStyle w:val="Normal"/>
              <w:rPr/>
            </w:pPr>
            <w:r>
              <w:rPr>
                <w:rFonts w:cs="Tahoma" w:ascii="Tahoma" w:hAnsi="Tahoma"/>
                <w:b/>
                <w:sz w:val="20"/>
                <w:szCs w:val="20"/>
              </w:rPr>
              <w:t xml:space="preserve">Student Name: </w:t>
            </w:r>
            <w:r>
              <w:rPr>
                <w:rFonts w:cs="Tahoma" w:ascii="Tahoma" w:hAnsi="Tahoma"/>
                <w:b/>
                <w:sz w:val="20"/>
                <w:szCs w:val="20"/>
              </w:rPr>
              <w:t>Anamaria Gabriela Tocila</w:t>
            </w:r>
          </w:p>
          <w:p>
            <w:pPr>
              <w:pStyle w:val="Normal"/>
              <w:rPr>
                <w:rFonts w:ascii="Tahoma" w:hAnsi="Tahoma" w:cs="Tahoma"/>
                <w:b/>
                <w:b/>
                <w:sz w:val="20"/>
                <w:szCs w:val="20"/>
              </w:rPr>
            </w:pPr>
            <w:r>
              <w:rPr>
                <w:rFonts w:cs="Tahoma" w:ascii="Tahoma" w:hAnsi="Tahoma"/>
                <w:b/>
                <w:sz w:val="20"/>
                <w:szCs w:val="20"/>
              </w:rPr>
            </w:r>
          </w:p>
          <w:p>
            <w:pPr>
              <w:pStyle w:val="Normal"/>
              <w:rPr/>
            </w:pPr>
            <w:r>
              <w:rPr>
                <w:rFonts w:cs="Tahoma" w:ascii="Tahoma" w:hAnsi="Tahoma"/>
                <w:b/>
                <w:sz w:val="20"/>
                <w:szCs w:val="20"/>
              </w:rPr>
              <w:t xml:space="preserve">Student Number: </w:t>
            </w:r>
            <w:r>
              <w:rPr>
                <w:rFonts w:cs="Tahoma" w:ascii="Tahoma" w:hAnsi="Tahoma"/>
                <w:b/>
                <w:sz w:val="20"/>
                <w:szCs w:val="20"/>
              </w:rPr>
              <w:t>2120101</w:t>
            </w:r>
          </w:p>
          <w:p>
            <w:pPr>
              <w:pStyle w:val="Normal"/>
              <w:rPr>
                <w:rFonts w:ascii="Tahoma" w:hAnsi="Tahoma" w:cs="Tahoma"/>
                <w:b/>
                <w:b/>
                <w:sz w:val="20"/>
                <w:szCs w:val="20"/>
              </w:rPr>
            </w:pPr>
            <w:r>
              <w:rPr>
                <w:rFonts w:cs="Tahoma" w:ascii="Tahoma" w:hAnsi="Tahoma"/>
                <w:b/>
                <w:sz w:val="20"/>
                <w:szCs w:val="20"/>
              </w:rPr>
            </w:r>
          </w:p>
        </w:tc>
        <w:tc>
          <w:tcPr>
            <w:tcW w:w="7195" w:type="dxa"/>
            <w:tcBorders/>
            <w:shd w:color="auto" w:fill="8DB3E2" w:themeFill="text2" w:themeFillTint="66" w:val="clear"/>
          </w:tcPr>
          <w:p>
            <w:pPr>
              <w:pStyle w:val="Normal"/>
              <w:rPr/>
            </w:pPr>
            <w:r>
              <w:rPr>
                <w:rFonts w:cs="Tahoma" w:ascii="Tahoma" w:hAnsi="Tahoma"/>
                <w:b/>
                <w:sz w:val="20"/>
                <w:szCs w:val="20"/>
              </w:rPr>
              <w:t xml:space="preserve">Module: </w:t>
            </w:r>
            <w:r>
              <w:rPr>
                <w:rFonts w:cs="Tahoma" w:ascii="Tahoma" w:hAnsi="Tahoma"/>
                <w:b/>
                <w:sz w:val="20"/>
                <w:szCs w:val="20"/>
              </w:rPr>
              <w:t xml:space="preserve">Food And Beverage </w:t>
            </w:r>
          </w:p>
          <w:p>
            <w:pPr>
              <w:pStyle w:val="Normal"/>
              <w:rPr>
                <w:rFonts w:ascii="Tahoma" w:hAnsi="Tahoma" w:cs="Tahoma"/>
                <w:b/>
                <w:b/>
                <w:sz w:val="20"/>
                <w:szCs w:val="20"/>
              </w:rPr>
            </w:pPr>
            <w:r>
              <w:rPr>
                <w:rFonts w:cs="Tahoma" w:ascii="Tahoma" w:hAnsi="Tahoma"/>
                <w:b/>
                <w:sz w:val="20"/>
                <w:szCs w:val="20"/>
              </w:rPr>
            </w:r>
          </w:p>
          <w:p>
            <w:pPr>
              <w:pStyle w:val="Normal"/>
              <w:rPr/>
            </w:pPr>
            <w:r>
              <w:rPr>
                <w:rFonts w:cs="Tahoma" w:ascii="Tahoma" w:hAnsi="Tahoma"/>
                <w:b/>
                <w:sz w:val="20"/>
                <w:szCs w:val="20"/>
              </w:rPr>
              <w:t xml:space="preserve">Lecturer: </w:t>
            </w:r>
            <w:r>
              <w:rPr>
                <w:rFonts w:cs="Tahoma" w:ascii="Tahoma" w:hAnsi="Tahoma"/>
                <w:b/>
                <w:sz w:val="20"/>
                <w:szCs w:val="20"/>
              </w:rPr>
              <w:t>Ffion Cumberpatch</w:t>
            </w:r>
          </w:p>
        </w:tc>
      </w:tr>
    </w:tbl>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3"/>
        <w:gridCol w:w="7198"/>
      </w:tblGrid>
      <w:tr>
        <w:trPr/>
        <w:tc>
          <w:tcPr>
            <w:tcW w:w="3983" w:type="dxa"/>
            <w:tcBorders/>
            <w:shd w:color="auto" w:fill="FBD4B4" w:themeFill="accent6" w:themeFillTint="66" w:val="clear"/>
          </w:tcPr>
          <w:p>
            <w:pPr>
              <w:pStyle w:val="Normal"/>
              <w:rPr>
                <w:rFonts w:ascii="Tahoma" w:hAnsi="Tahoma" w:cs="Tahoma"/>
                <w:b/>
                <w:b/>
                <w:sz w:val="20"/>
                <w:szCs w:val="20"/>
              </w:rPr>
            </w:pPr>
            <w:r>
              <w:rPr>
                <w:rFonts w:cs="Tahoma" w:ascii="Tahoma" w:hAnsi="Tahoma"/>
                <w:b/>
                <w:sz w:val="20"/>
                <w:szCs w:val="20"/>
              </w:rPr>
              <w:t>Topic of choice: Allergies and intolerances and the importance within the industry</w:t>
            </w:r>
          </w:p>
        </w:tc>
        <w:tc>
          <w:tcPr>
            <w:tcW w:w="7198" w:type="dxa"/>
            <w:tcBorders/>
            <w:shd w:color="auto" w:fill="FBD4B4" w:themeFill="accent6" w:themeFillTint="66" w:val="clear"/>
          </w:tcPr>
          <w:p>
            <w:pPr>
              <w:pStyle w:val="Normal"/>
              <w:rPr>
                <w:rFonts w:ascii="Tahoma" w:hAnsi="Tahoma" w:cs="Tahoma"/>
                <w:b/>
                <w:b/>
                <w:sz w:val="20"/>
                <w:szCs w:val="20"/>
              </w:rPr>
            </w:pPr>
            <w:r>
              <w:rPr>
                <w:rFonts w:cs="Tahoma" w:ascii="Tahoma" w:hAnsi="Tahoma"/>
                <w:b/>
                <w:sz w:val="20"/>
                <w:szCs w:val="20"/>
              </w:rPr>
            </w:r>
          </w:p>
          <w:p>
            <w:pPr>
              <w:pStyle w:val="Normal"/>
              <w:jc w:val="both"/>
              <w:rPr/>
            </w:pPr>
            <w:r>
              <w:rPr>
                <w:rFonts w:cs="Tahoma" w:ascii="Tahoma" w:hAnsi="Tahoma"/>
                <w:b/>
                <w:sz w:val="20"/>
                <w:szCs w:val="20"/>
              </w:rPr>
              <w:t xml:space="preserve">Date Completed: </w:t>
            </w:r>
            <w:r>
              <w:rPr>
                <w:rFonts w:cs="Tahoma" w:ascii="Tahoma" w:hAnsi="Tahoma"/>
                <w:b/>
                <w:sz w:val="20"/>
                <w:szCs w:val="20"/>
              </w:rPr>
              <w:t>24.05.2022</w:t>
            </w:r>
          </w:p>
          <w:p>
            <w:pPr>
              <w:pStyle w:val="Normal"/>
              <w:jc w:val="center"/>
              <w:rPr>
                <w:rFonts w:ascii="Tahoma" w:hAnsi="Tahoma" w:cs="Tahoma"/>
                <w:b/>
                <w:b/>
                <w:sz w:val="20"/>
                <w:szCs w:val="20"/>
              </w:rPr>
            </w:pPr>
            <w:r>
              <w:rPr>
                <w:rFonts w:cs="Tahoma" w:ascii="Tahoma" w:hAnsi="Tahoma"/>
                <w:b/>
                <w:sz w:val="20"/>
                <w:szCs w:val="20"/>
              </w:rPr>
            </w:r>
          </w:p>
        </w:tc>
      </w:tr>
      <w:tr>
        <w:trPr>
          <w:trHeight w:val="2494" w:hRule="atLeast"/>
        </w:trPr>
        <w:tc>
          <w:tcPr>
            <w:tcW w:w="11181" w:type="dxa"/>
            <w:gridSpan w:val="2"/>
            <w:tcBorders/>
            <w:shd w:fill="auto" w:val="clear"/>
          </w:tcPr>
          <w:p>
            <w:pPr>
              <w:pStyle w:val="Normal"/>
              <w:rPr>
                <w:rFonts w:ascii="Tahoma" w:hAnsi="Tahoma" w:cs="Tahoma"/>
                <w:sz w:val="20"/>
                <w:szCs w:val="20"/>
              </w:rPr>
            </w:pPr>
            <w:r>
              <w:rPr>
                <w:rFonts w:cs="Tahoma" w:ascii="Tahoma" w:hAnsi="Tahoma"/>
                <w:sz w:val="20"/>
                <w:szCs w:val="20"/>
              </w:rPr>
            </w:r>
          </w:p>
          <w:p>
            <w:pPr>
              <w:pStyle w:val="Normal"/>
              <w:spacing w:lineRule="auto" w:line="360"/>
              <w:jc w:val="both"/>
              <w:rPr>
                <w:rFonts w:ascii="Arial" w:hAnsi="Arial" w:cs="Arial"/>
              </w:rPr>
            </w:pPr>
            <w:r>
              <w:rPr>
                <w:rFonts w:cs="Arial" w:ascii="Arial" w:hAnsi="Arial"/>
              </w:rPr>
              <w:t xml:space="preserve">Customers choose and consume the food in the hotel restaurants for the purpose of creating the positive experiences and getting pleasures (Soon, 2019). So, appropriate hospitality facilities should be provided for the guests who are allergic to particular foods. It is one of the most problematic areas that is growing day by day with the numbers of increased food allergens for the guests. So, it is crucial for the people working in this industry to know and gather knowledge about the ingredients, composition of the foods for the purpose of reducing the risks as well as having adequate control. </w:t>
            </w:r>
          </w:p>
          <w:p>
            <w:pPr>
              <w:pStyle w:val="Normal"/>
              <w:spacing w:lineRule="auto" w:line="360"/>
              <w:jc w:val="both"/>
              <w:rPr>
                <w:rFonts w:ascii="Arial" w:hAnsi="Arial" w:cs="Arial"/>
              </w:rPr>
            </w:pPr>
            <w:r>
              <w:rPr>
                <w:rFonts w:cs="Arial" w:ascii="Arial" w:hAnsi="Arial"/>
              </w:rPr>
              <w:t>As the number of food allergies is growing day by day, the staff of the hospitality industry are facing issues for preparing the foods as well as drinks for all kinds of segments that has caused elimination of their presence. So, it is important for the staff of the hospitality industry to ensure the issues of the food safety in the chain of production. I have learned the kinds of foods that are highly responsible for allergic reactions. I have been able to identified several names of these foods from the discussions such as milk, eggs, fish, shells, soybeans, wheat flour, nuts as well as berries etc (van Dam, and Wiersma, 2013). I have also learned the knowledge about the symptoms of the allergic reactions that will help me to be aware of these problems while doing job in a hotel in food and beverage sector. The allergic reactions generally occur within few minutes and few hours after eating the food, so hotels need to gather information about the guests to reduce these problems of the guests and it is crucial for increase the customers attraction as well as customer satisfaction (Lee, and Sozen, 2016). It is very important to know and record the customers food habits while managing the hotels to increase the brand reputation.</w:t>
            </w:r>
          </w:p>
          <w:p>
            <w:pPr>
              <w:pStyle w:val="Normal"/>
              <w:spacing w:lineRule="auto" w:line="360"/>
              <w:jc w:val="both"/>
              <w:rPr>
                <w:rFonts w:ascii="Arial" w:hAnsi="Arial" w:cs="Arial"/>
              </w:rPr>
            </w:pPr>
            <w:r>
              <w:rPr>
                <w:rFonts w:cs="Arial" w:ascii="Arial" w:hAnsi="Arial"/>
              </w:rPr>
              <w:t>We had a very interesting discussion on this food allergies and intolerances for which I had gone through a number of cases for participating in the discussion and by reading those cases I had been able to increase my knowledge base that will help me to serve the customers in hotels in future. I had pointed out the importance of controlling the allergic foods for the customers in which I noticed that the manager as well as the chef are the moat responsible individuals for controlling this food allergies and intolerance issues. So, it is crucial for the restaurants to manage the food allergies appropriately. I have learned the process of managing food allergies and safety management process from the discussion. I have learned that the food allergies management process consists of several activities such as creation of awareness regarding the severity of the allergic reactions and food intolerance, taking food allergy risk management issues (Turnbull, Adams, and Gorard, 2015). Several methods of managing the food allergy and food intolerances are supervising the managers or the supervisors who are involved, establishing the vivid as well as open communication to the customers and staff, asking questions to the chefs, listening carefully to the consumers as well as the cue words. Gathering knowledge about the allergic reactions and food intolerances along with the food risk management is very important for the hotels in this industry. I have learned these terms by digging it deeply that will help me to apply my knowledge in the hotel management of food and beverage sector.</w:t>
            </w:r>
          </w:p>
          <w:p>
            <w:pPr>
              <w:pStyle w:val="Normal"/>
              <w:spacing w:lineRule="auto" w:line="360"/>
              <w:jc w:val="both"/>
              <w:rPr>
                <w:rFonts w:ascii="Arial" w:hAnsi="Arial" w:cs="Arial"/>
              </w:rPr>
            </w:pPr>
            <w:r>
              <w:rPr>
                <w:rFonts w:cs="Arial" w:ascii="Arial" w:hAnsi="Arial"/>
              </w:rPr>
              <w:t xml:space="preserve">To summarise, accommodating the customers the issues of food allergies challenge is crucial in the hotel management. So, hotels need to focus on accommodating as well as notifying the managers according to the guidelines and regulations set for food safety management to control the issue of food intolerances. Moreover, it is the responsibility of the managers of a hotel to communicate the information regarding the food allergy to the customers so that they can aware of this issue. A discussion was taken place on these terms and the knowledge that I have gathered was the restaurants should set the separate menus to control these risks (Taylor, and Baumert, 2012). Moreover, they should focus on including the food ingredients that are allergy free. So, I have learned some importance insights from the lectures and discussions that will be very helpful for me to apply the acquired knowledge in ensuring food safety for the customers while doing the job of a manager in this industry.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sz w:val="20"/>
                <w:szCs w:val="20"/>
              </w:rPr>
            </w:pPr>
            <w:r>
              <w:rPr>
                <w:rFonts w:cs="Arial" w:ascii="Arial" w:hAnsi="Arial"/>
                <w:sz w:val="20"/>
                <w:szCs w:val="20"/>
              </w:rPr>
            </w:r>
          </w:p>
          <w:p>
            <w:pPr>
              <w:pStyle w:val="Normal"/>
              <w:spacing w:lineRule="auto" w:line="360"/>
              <w:jc w:val="both"/>
              <w:rPr>
                <w:rFonts w:ascii="Arial" w:hAnsi="Arial" w:cs="Arial"/>
                <w:sz w:val="20"/>
                <w:szCs w:val="20"/>
              </w:rPr>
            </w:pPr>
            <w:r>
              <w:rPr>
                <w:rFonts w:cs="Arial" w:ascii="Arial" w:hAnsi="Arial"/>
                <w:sz w:val="20"/>
                <w:szCs w:val="20"/>
              </w:rPr>
            </w:r>
          </w:p>
          <w:p>
            <w:pPr>
              <w:pStyle w:val="Normal"/>
              <w:spacing w:lineRule="auto" w:line="360"/>
              <w:jc w:val="both"/>
              <w:rPr>
                <w:rFonts w:ascii="Arial" w:hAnsi="Arial" w:cs="Arial"/>
                <w:sz w:val="20"/>
                <w:szCs w:val="20"/>
              </w:rPr>
            </w:pPr>
            <w:r>
              <w:rPr>
                <w:rFonts w:cs="Arial" w:ascii="Arial" w:hAnsi="Arial"/>
                <w:sz w:val="20"/>
                <w:szCs w:val="20"/>
              </w:rPr>
            </w:r>
          </w:p>
          <w:p>
            <w:pPr>
              <w:pStyle w:val="Normal"/>
              <w:spacing w:lineRule="auto" w:line="360"/>
              <w:jc w:val="both"/>
              <w:rPr>
                <w:rFonts w:ascii="Arial" w:hAnsi="Arial" w:cs="Arial"/>
                <w:sz w:val="20"/>
                <w:szCs w:val="20"/>
              </w:rPr>
            </w:pPr>
            <w:r>
              <w:rPr>
                <w:rFonts w:cs="Arial" w:ascii="Arial" w:hAnsi="Arial"/>
                <w:sz w:val="20"/>
                <w:szCs w:val="20"/>
              </w:rPr>
            </w:r>
          </w:p>
          <w:p>
            <w:pPr>
              <w:pStyle w:val="Normal"/>
              <w:spacing w:lineRule="auto" w:line="360"/>
              <w:jc w:val="both"/>
              <w:rPr>
                <w:rFonts w:ascii="Arial" w:hAnsi="Arial" w:cs="Arial"/>
                <w:sz w:val="20"/>
                <w:szCs w:val="20"/>
              </w:rPr>
            </w:pPr>
            <w:r>
              <w:rPr>
                <w:rFonts w:cs="Arial" w:ascii="Arial" w:hAnsi="Arial"/>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p>
            <w:pPr>
              <w:pStyle w:val="Normal"/>
              <w:jc w:val="both"/>
              <w:rPr>
                <w:rFonts w:ascii="Tahoma" w:hAnsi="Tahoma" w:cs="Tahoma"/>
                <w:sz w:val="20"/>
                <w:szCs w:val="20"/>
              </w:rPr>
            </w:pPr>
            <w:r>
              <w:rPr>
                <w:rFonts w:cs="Tahoma" w:ascii="Tahoma" w:hAnsi="Tahoma"/>
                <w:sz w:val="20"/>
                <w:szCs w:val="20"/>
              </w:rPr>
            </w:r>
          </w:p>
        </w:tc>
      </w:tr>
    </w:tbl>
    <w:p>
      <w:pPr>
        <w:pStyle w:val="Normal"/>
        <w:rPr>
          <w:rFonts w:ascii="Tahoma" w:hAnsi="Tahoma" w:cs="Tahoma"/>
          <w:b/>
          <w:b/>
        </w:rPr>
      </w:pPr>
      <w:r>
        <w:rPr>
          <w:rFonts w:cs="Tahoma" w:ascii="Tahoma" w:hAnsi="Tahoma"/>
          <w:b/>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10909"/>
        <w:gridCol w:w="272"/>
      </w:tblGrid>
      <w:tr>
        <w:trPr/>
        <w:tc>
          <w:tcPr>
            <w:tcW w:w="10909" w:type="dxa"/>
            <w:tcBorders/>
            <w:shd w:color="auto" w:fill="FBD4B4" w:themeFill="accent6" w:themeFillTint="66" w:val="clear"/>
          </w:tcPr>
          <w:p>
            <w:pPr>
              <w:pStyle w:val="Normal"/>
              <w:rPr>
                <w:rFonts w:ascii="Tahoma" w:hAnsi="Tahoma" w:cs="Tahoma"/>
                <w:b/>
                <w:b/>
                <w:sz w:val="20"/>
                <w:szCs w:val="20"/>
              </w:rPr>
            </w:pPr>
            <w:r>
              <w:rPr>
                <w:rFonts w:cs="Tahoma" w:ascii="Tahoma" w:hAnsi="Tahoma"/>
                <w:b/>
                <w:sz w:val="20"/>
                <w:szCs w:val="20"/>
              </w:rPr>
              <w:t xml:space="preserve">REFERENCE LIST </w:t>
            </w:r>
          </w:p>
        </w:tc>
        <w:tc>
          <w:tcPr>
            <w:tcW w:w="272" w:type="dxa"/>
            <w:tcBorders/>
            <w:shd w:color="auto" w:fill="FBD4B4" w:themeFill="accent6" w:themeFillTint="66" w:val="clear"/>
          </w:tcPr>
          <w:p>
            <w:pPr>
              <w:pStyle w:val="Normal"/>
              <w:jc w:val="center"/>
              <w:rPr>
                <w:rFonts w:ascii="Tahoma" w:hAnsi="Tahoma" w:cs="Tahoma"/>
                <w:b/>
                <w:b/>
                <w:sz w:val="20"/>
                <w:szCs w:val="20"/>
              </w:rPr>
            </w:pPr>
            <w:r>
              <w:rPr>
                <w:rFonts w:cs="Tahoma" w:ascii="Tahoma" w:hAnsi="Tahoma"/>
                <w:b/>
                <w:sz w:val="20"/>
                <w:szCs w:val="20"/>
              </w:rPr>
            </w:r>
          </w:p>
          <w:p>
            <w:pPr>
              <w:pStyle w:val="Normal"/>
              <w:jc w:val="center"/>
              <w:rPr>
                <w:rFonts w:ascii="Tahoma" w:hAnsi="Tahoma" w:cs="Tahoma"/>
                <w:b/>
                <w:b/>
                <w:sz w:val="20"/>
                <w:szCs w:val="20"/>
              </w:rPr>
            </w:pPr>
            <w:r>
              <w:rPr>
                <w:rFonts w:cs="Tahoma" w:ascii="Tahoma" w:hAnsi="Tahoma"/>
                <w:b/>
                <w:sz w:val="20"/>
                <w:szCs w:val="20"/>
              </w:rPr>
            </w:r>
          </w:p>
        </w:tc>
      </w:tr>
      <w:tr>
        <w:trPr>
          <w:trHeight w:val="2494" w:hRule="atLeast"/>
        </w:trPr>
        <w:tc>
          <w:tcPr>
            <w:tcW w:w="11181" w:type="dxa"/>
            <w:gridSpan w:val="2"/>
            <w:tcBorders/>
            <w:shd w:fill="auto" w:val="clear"/>
          </w:tcPr>
          <w:p>
            <w:pPr>
              <w:pStyle w:val="Normal"/>
              <w:rPr>
                <w:rFonts w:ascii="Tahoma" w:hAnsi="Tahoma" w:cs="Tahoma"/>
                <w:sz w:val="20"/>
                <w:szCs w:val="20"/>
              </w:rPr>
            </w:pPr>
            <w:r>
              <w:rPr>
                <w:rFonts w:cs="Tahoma" w:ascii="Tahoma" w:hAnsi="Tahoma"/>
                <w:sz w:val="20"/>
                <w:szCs w:val="20"/>
              </w:rPr>
            </w:r>
          </w:p>
          <w:p>
            <w:pPr>
              <w:pStyle w:val="Normal"/>
              <w:spacing w:lineRule="auto" w:line="360"/>
              <w:jc w:val="both"/>
              <w:rPr>
                <w:rFonts w:ascii="Arial" w:hAnsi="Arial" w:cs="Arial"/>
              </w:rPr>
            </w:pPr>
            <w:r>
              <w:rPr>
                <w:rFonts w:cs="Arial" w:ascii="Arial" w:hAnsi="Arial"/>
              </w:rPr>
              <w:t xml:space="preserve">Lee, Y.M. and Sozen, E., 2016. Food allergy knowledge and training among restaurant employees. </w:t>
            </w:r>
            <w:r>
              <w:rPr>
                <w:rFonts w:cs="Arial" w:ascii="Arial" w:hAnsi="Arial"/>
                <w:i/>
                <w:iCs/>
              </w:rPr>
              <w:t>International Journal of Hospitality Management</w:t>
            </w:r>
            <w:r>
              <w:rPr>
                <w:rFonts w:cs="Arial" w:ascii="Arial" w:hAnsi="Arial"/>
              </w:rPr>
              <w:t xml:space="preserve">, </w:t>
            </w:r>
            <w:r>
              <w:rPr>
                <w:rFonts w:cs="Arial" w:ascii="Arial" w:hAnsi="Arial"/>
                <w:i/>
                <w:iCs/>
              </w:rPr>
              <w:t>57</w:t>
            </w:r>
            <w:r>
              <w:rPr>
                <w:rFonts w:cs="Arial" w:ascii="Arial" w:hAnsi="Arial"/>
              </w:rPr>
              <w:t>, pp.52-59.</w:t>
            </w:r>
          </w:p>
          <w:p>
            <w:pPr>
              <w:pStyle w:val="Normal"/>
              <w:spacing w:lineRule="auto" w:line="360"/>
              <w:jc w:val="both"/>
              <w:rPr>
                <w:rFonts w:ascii="Arial" w:hAnsi="Arial" w:cs="Arial"/>
              </w:rPr>
            </w:pPr>
            <w:r>
              <w:rPr>
                <w:rFonts w:cs="Arial" w:ascii="Arial" w:hAnsi="Arial"/>
              </w:rPr>
              <w:t xml:space="preserve">Ortolani, C. and Pastorello, E.A., 2016. Food allergies and food intolerances. </w:t>
            </w:r>
            <w:r>
              <w:rPr>
                <w:rFonts w:cs="Arial" w:ascii="Arial" w:hAnsi="Arial"/>
                <w:i/>
                <w:iCs/>
              </w:rPr>
              <w:t>Best Practice &amp; Research Clinical Gastroenterology</w:t>
            </w:r>
            <w:r>
              <w:rPr>
                <w:rFonts w:cs="Arial" w:ascii="Arial" w:hAnsi="Arial"/>
              </w:rPr>
              <w:t xml:space="preserve">, </w:t>
            </w:r>
            <w:r>
              <w:rPr>
                <w:rFonts w:cs="Arial" w:ascii="Arial" w:hAnsi="Arial"/>
                <w:i/>
                <w:iCs/>
              </w:rPr>
              <w:t>20</w:t>
            </w:r>
            <w:r>
              <w:rPr>
                <w:rFonts w:cs="Arial" w:ascii="Arial" w:hAnsi="Arial"/>
              </w:rPr>
              <w:t>(3), pp.467-483.</w:t>
            </w:r>
          </w:p>
          <w:p>
            <w:pPr>
              <w:pStyle w:val="Normal"/>
              <w:spacing w:lineRule="auto" w:line="360"/>
              <w:jc w:val="both"/>
              <w:rPr>
                <w:rFonts w:ascii="Arial" w:hAnsi="Arial" w:cs="Arial"/>
              </w:rPr>
            </w:pPr>
            <w:r>
              <w:rPr>
                <w:rFonts w:cs="Arial" w:ascii="Arial" w:hAnsi="Arial"/>
              </w:rPr>
              <w:t xml:space="preserve">Soon, J.M., 2019. Food allergen knowledge, attitude and practices among UK consumers: A structural modelling approach. </w:t>
            </w:r>
            <w:r>
              <w:rPr>
                <w:rFonts w:cs="Arial" w:ascii="Arial" w:hAnsi="Arial"/>
                <w:i/>
                <w:iCs/>
              </w:rPr>
              <w:t>Food Research International</w:t>
            </w:r>
            <w:r>
              <w:rPr>
                <w:rFonts w:cs="Arial" w:ascii="Arial" w:hAnsi="Arial"/>
              </w:rPr>
              <w:t xml:space="preserve">, </w:t>
            </w:r>
            <w:r>
              <w:rPr>
                <w:rFonts w:cs="Arial" w:ascii="Arial" w:hAnsi="Arial"/>
                <w:i/>
                <w:iCs/>
              </w:rPr>
              <w:t>120</w:t>
            </w:r>
            <w:r>
              <w:rPr>
                <w:rFonts w:cs="Arial" w:ascii="Arial" w:hAnsi="Arial"/>
              </w:rPr>
              <w:t>, pp.375-381.</w:t>
            </w:r>
          </w:p>
          <w:p>
            <w:pPr>
              <w:pStyle w:val="Normal"/>
              <w:spacing w:lineRule="auto" w:line="360"/>
              <w:jc w:val="both"/>
              <w:rPr>
                <w:rFonts w:ascii="Arial" w:hAnsi="Arial" w:cs="Arial"/>
              </w:rPr>
            </w:pPr>
            <w:r>
              <w:rPr>
                <w:rFonts w:cs="Arial" w:ascii="Arial" w:hAnsi="Arial"/>
              </w:rPr>
              <w:t xml:space="preserve">Taylor, S.L. and Baumert, J.L., 2012. Food allergies and intolerances. In </w:t>
            </w:r>
            <w:r>
              <w:rPr>
                <w:rFonts w:cs="Arial" w:ascii="Arial" w:hAnsi="Arial"/>
                <w:i/>
                <w:iCs/>
              </w:rPr>
              <w:t>Present Knowledge in Nutrition: Tenth Edition</w:t>
            </w:r>
            <w:r>
              <w:rPr>
                <w:rFonts w:cs="Arial" w:ascii="Arial" w:hAnsi="Arial"/>
              </w:rPr>
              <w:t xml:space="preserve"> (pp. 1222-1235). Wiley-Blackwell.</w:t>
            </w:r>
          </w:p>
          <w:p>
            <w:pPr>
              <w:pStyle w:val="Normal"/>
              <w:spacing w:lineRule="auto" w:line="360"/>
              <w:jc w:val="both"/>
              <w:rPr>
                <w:rFonts w:ascii="Arial" w:hAnsi="Arial" w:cs="Arial"/>
              </w:rPr>
            </w:pPr>
            <w:r>
              <w:rPr>
                <w:rFonts w:cs="Arial" w:ascii="Arial" w:hAnsi="Arial"/>
              </w:rPr>
              <w:t xml:space="preserve">Turnbull, J.L., Adams, H.N. and Gorard, D.A., 2015. The diagnosis and management of food allergy and food intolerances. </w:t>
            </w:r>
            <w:r>
              <w:rPr>
                <w:rFonts w:cs="Arial" w:ascii="Arial" w:hAnsi="Arial"/>
                <w:i/>
                <w:iCs/>
              </w:rPr>
              <w:t>Alimentary pharmacology &amp; therapeutics</w:t>
            </w:r>
            <w:r>
              <w:rPr>
                <w:rFonts w:cs="Arial" w:ascii="Arial" w:hAnsi="Arial"/>
              </w:rPr>
              <w:t xml:space="preserve">, </w:t>
            </w:r>
            <w:r>
              <w:rPr>
                <w:rFonts w:cs="Arial" w:ascii="Arial" w:hAnsi="Arial"/>
                <w:i/>
                <w:iCs/>
              </w:rPr>
              <w:t>41</w:t>
            </w:r>
            <w:r>
              <w:rPr>
                <w:rFonts w:cs="Arial" w:ascii="Arial" w:hAnsi="Arial"/>
              </w:rPr>
              <w:t>(1), pp.3-25.</w:t>
            </w:r>
          </w:p>
          <w:p>
            <w:pPr>
              <w:pStyle w:val="Normal"/>
              <w:spacing w:lineRule="auto" w:line="360"/>
              <w:jc w:val="both"/>
              <w:rPr>
                <w:rFonts w:ascii="Arial" w:hAnsi="Arial" w:cs="Arial"/>
              </w:rPr>
            </w:pPr>
            <w:r>
              <w:rPr>
                <w:rFonts w:cs="Arial" w:ascii="Arial" w:hAnsi="Arial"/>
              </w:rPr>
              <w:t xml:space="preserve">van Dam, M. and Wiersma, L., 2013. To what extent are restaurants prepared to respond to the needs of guests with food allergies and intolerances?. </w:t>
            </w:r>
            <w:r>
              <w:rPr>
                <w:rFonts w:cs="Arial" w:ascii="Arial" w:hAnsi="Arial"/>
                <w:i/>
                <w:iCs/>
              </w:rPr>
              <w:t>Research in Hospitality Management</w:t>
            </w:r>
            <w:r>
              <w:rPr>
                <w:rFonts w:cs="Arial" w:ascii="Arial" w:hAnsi="Arial"/>
              </w:rPr>
              <w:t xml:space="preserve">, </w:t>
            </w:r>
            <w:r>
              <w:rPr>
                <w:rFonts w:cs="Arial" w:ascii="Arial" w:hAnsi="Arial"/>
                <w:i/>
                <w:iCs/>
              </w:rPr>
              <w:t>2</w:t>
            </w:r>
            <w:r>
              <w:rPr>
                <w:rFonts w:cs="Arial" w:ascii="Arial" w:hAnsi="Arial"/>
              </w:rPr>
              <w:t>(1-2), pp.63-69.</w:t>
            </w:r>
          </w:p>
          <w:p>
            <w:pPr>
              <w:pStyle w:val="Normal"/>
              <w:rPr/>
            </w:pPr>
            <w:r>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jc w:val="both"/>
              <w:rPr>
                <w:rFonts w:ascii="Tahoma" w:hAnsi="Tahoma" w:cs="Tahoma"/>
                <w:sz w:val="20"/>
                <w:szCs w:val="20"/>
              </w:rPr>
            </w:pPr>
            <w:r>
              <w:rPr>
                <w:rFonts w:cs="Tahoma" w:ascii="Tahoma" w:hAnsi="Tahoma"/>
                <w:sz w:val="20"/>
                <w:szCs w:val="20"/>
              </w:rPr>
            </w:r>
          </w:p>
        </w:tc>
      </w:tr>
    </w:tbl>
    <w:p>
      <w:pPr>
        <w:pStyle w:val="Normal"/>
        <w:rPr/>
      </w:pPr>
      <w:r>
        <w:rPr/>
      </w:r>
    </w:p>
    <w:sectPr>
      <w:headerReference w:type="default" r:id="rId2"/>
      <w:footerReference w:type="default" r:id="rId3"/>
      <w:type w:val="nextPage"/>
      <w:pgSz w:w="11906" w:h="16838"/>
      <w:pgMar w:left="357" w:right="357" w:header="709" w:top="766" w:footer="709" w:bottom="766"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0"/>
    <w:family w:val="swiss"/>
    <w:pitch w:val="variable"/>
  </w:font>
  <w:font w:name="Tahoma">
    <w:charset w:val="00"/>
    <w:family w:val="roman"/>
    <w:pitch w:val="variable"/>
  </w:font>
  <w:font w:name="Arial">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356152685"/>
    </w:sdtPr>
    <w:sdtContent>
      <w:p>
        <w:pPr>
          <w:pStyle w:val="Footer"/>
          <w:jc w:val="right"/>
          <w:rPr/>
        </w:pPr>
        <w:r>
          <w:rPr/>
          <w:fldChar w:fldCharType="begin"/>
        </w:r>
        <w:r>
          <w:rPr/>
          <w:instrText> PAGE </w:instrText>
        </w:r>
        <w:r>
          <w:rPr/>
          <w:fldChar w:fldCharType="separate"/>
        </w:r>
        <w:r>
          <w:rPr/>
          <w:t>4</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rFonts w:ascii="Calibri" w:hAnsi="Calibri" w:asciiTheme="minorHAnsi" w:hAnsiTheme="minorHAnsi"/>
      </w:rPr>
    </w:pPr>
    <w:r>
      <w:drawing>
        <wp:anchor behindDoc="1" distT="0" distB="0" distL="114300" distR="114300" simplePos="0" locked="0" layoutInCell="1" allowOverlap="1" relativeHeight="5">
          <wp:simplePos x="0" y="0"/>
          <wp:positionH relativeFrom="margin">
            <wp:posOffset>1270</wp:posOffset>
          </wp:positionH>
          <wp:positionV relativeFrom="margin">
            <wp:posOffset>-357505</wp:posOffset>
          </wp:positionV>
          <wp:extent cx="2303780" cy="765175"/>
          <wp:effectExtent l="0" t="0" r="0" b="0"/>
          <wp:wrapSquare wrapText="bothSides"/>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1"/>
                  <a:stretch>
                    <a:fillRect/>
                  </a:stretch>
                </pic:blipFill>
                <pic:spPr bwMode="auto">
                  <a:xfrm>
                    <a:off x="0" y="0"/>
                    <a:ext cx="2303780" cy="765175"/>
                  </a:xfrm>
                  <a:prstGeom prst="rect">
                    <a:avLst/>
                  </a:prstGeom>
                </pic:spPr>
              </pic:pic>
            </a:graphicData>
          </a:graphic>
        </wp:anchor>
      </w:drawing>
    </w:r>
    <w:r>
      <w:rPr>
        <w:rFonts w:ascii="Calibri" w:hAnsi="Calibri" w:asciiTheme="minorHAnsi" w:hAnsiTheme="minorHAnsi"/>
      </w:rPr>
      <w:t>I</w:t>
    </w:r>
    <w:r>
      <w:rPr>
        <w:rFonts w:ascii="Calibri" w:hAnsi="Calibri" w:asciiTheme="minorHAnsi" w:hAnsiTheme="minorHAnsi"/>
      </w:rPr>
      <w:t>nternational Hotel Management</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pPr>
      <w:widowControl/>
      <w:bidi w:val="0"/>
      <w:jc w:val="left"/>
    </w:pPr>
    <w:rPr>
      <w:rFonts w:ascii="Times New Roman" w:hAnsi="Times New Roman" w:eastAsia="Times New Roman" w:cs="Times New Roman"/>
      <w:color w:val="auto"/>
      <w:kern w:val="0"/>
      <w:sz w:val="24"/>
      <w:szCs w:val="24"/>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b44b68"/>
    <w:rPr>
      <w:sz w:val="24"/>
      <w:szCs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rsid w:val="00301ad0"/>
    <w:pPr>
      <w:tabs>
        <w:tab w:val="clear" w:pos="720"/>
        <w:tab w:val="center" w:pos="4153" w:leader="none"/>
        <w:tab w:val="right" w:pos="8306" w:leader="none"/>
      </w:tabs>
    </w:pPr>
    <w:rPr/>
  </w:style>
  <w:style w:type="paragraph" w:styleId="Footer">
    <w:name w:val="Footer"/>
    <w:basedOn w:val="Normal"/>
    <w:link w:val="FooterChar"/>
    <w:uiPriority w:val="99"/>
    <w:rsid w:val="00301ad0"/>
    <w:pPr>
      <w:tabs>
        <w:tab w:val="clear" w:pos="720"/>
        <w:tab w:val="center" w:pos="4153" w:leader="none"/>
        <w:tab w:val="right" w:pos="8306" w:leader="none"/>
      </w:tabs>
    </w:pPr>
    <w:rPr/>
  </w:style>
  <w:style w:type="paragraph" w:styleId="BalloonText">
    <w:name w:val="Balloon Text"/>
    <w:basedOn w:val="Normal"/>
    <w:semiHidden/>
    <w:qFormat/>
    <w:rsid w:val="00294842"/>
    <w:pPr/>
    <w:rPr>
      <w:rFonts w:ascii="Tahoma" w:hAnsi="Tahoma" w:cs="Tahoma"/>
      <w:sz w:val="16"/>
      <w:szCs w:val="16"/>
    </w:rPr>
  </w:style>
  <w:style w:type="paragraph" w:styleId="ListParagraph">
    <w:name w:val="List Paragraph"/>
    <w:basedOn w:val="Normal"/>
    <w:uiPriority w:val="34"/>
    <w:qFormat/>
    <w:rsid w:val="00162fe2"/>
    <w:pPr>
      <w:spacing w:before="0" w:after="0"/>
      <w:ind w:left="720" w:hanging="0"/>
      <w:contextualSpacing/>
    </w:pPr>
    <w:rPr/>
  </w:style>
  <w:style w:type="paragraph" w:styleId="NormalWeb">
    <w:name w:val="Normal (Web)"/>
    <w:basedOn w:val="Normal"/>
    <w:uiPriority w:val="99"/>
    <w:semiHidden/>
    <w:unhideWhenUsed/>
    <w:qFormat/>
    <w:rsid w:val="0079230b"/>
    <w:pPr>
      <w:spacing w:beforeAutospacing="1" w:afterAutospacing="1"/>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Application>Neat_Office/6.2.8.2$Windows_x86 LibreOffice_project/</Application>
  <Pages>4</Pages>
  <Words>909</Words>
  <Characters>4808</Characters>
  <CharactersWithSpaces>5703</CharactersWithSpaces>
  <Paragraphs>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2022-05-21T10:05:00Z</dcterms:created>
  <dc:creator/>
  <dc:description/>
  <dc:language>en-GB</dc:language>
  <cp:lastModifiedBy/>
  <dcterms:modified xsi:type="dcterms:W3CDTF">2022-05-25T09:52:41Z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