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423FD" w:rsidRDefault="00B65CF7">
      <w:pPr>
        <w:pBdr>
          <w:top w:val="nil"/>
          <w:left w:val="nil"/>
          <w:bottom w:val="nil"/>
          <w:right w:val="nil"/>
          <w:between w:val="nil"/>
        </w:pBdr>
        <w:spacing w:after="16"/>
        <w:ind w:left="563"/>
        <w:jc w:val="center"/>
        <w:rPr>
          <w:sz w:val="24"/>
          <w:szCs w:val="24"/>
          <w:highlight w:val="yellow"/>
        </w:rPr>
      </w:pPr>
      <w:r>
        <w:rPr>
          <w:b/>
          <w:color w:val="000000"/>
          <w:sz w:val="24"/>
          <w:szCs w:val="24"/>
        </w:rPr>
        <w:t xml:space="preserve"> Essay </w:t>
      </w:r>
      <w:r>
        <w:rPr>
          <w:b/>
          <w:sz w:val="24"/>
          <w:szCs w:val="24"/>
        </w:rPr>
        <w:t>O</w:t>
      </w:r>
      <w:r>
        <w:rPr>
          <w:b/>
          <w:color w:val="000000"/>
          <w:sz w:val="24"/>
          <w:szCs w:val="24"/>
        </w:rPr>
        <w:t>ne – Maintaining Professional Standards</w:t>
      </w:r>
      <w:r>
        <w:rPr>
          <w:color w:val="000000"/>
          <w:sz w:val="24"/>
          <w:szCs w:val="24"/>
        </w:rPr>
        <w:t xml:space="preserve"> </w:t>
      </w:r>
    </w:p>
    <w:p w14:paraId="00000002" w14:textId="77777777" w:rsidR="00A423FD" w:rsidRDefault="00A423FD">
      <w:pPr>
        <w:pBdr>
          <w:top w:val="nil"/>
          <w:left w:val="nil"/>
          <w:bottom w:val="nil"/>
          <w:right w:val="nil"/>
          <w:between w:val="nil"/>
        </w:pBdr>
        <w:spacing w:after="8" w:line="360" w:lineRule="auto"/>
        <w:ind w:left="563" w:right="507"/>
        <w:jc w:val="both"/>
        <w:rPr>
          <w:color w:val="000000"/>
          <w:sz w:val="24"/>
          <w:szCs w:val="24"/>
        </w:rPr>
      </w:pPr>
    </w:p>
    <w:p w14:paraId="00000003" w14:textId="77777777" w:rsidR="00A423FD" w:rsidRDefault="00B65CF7">
      <w:pPr>
        <w:pBdr>
          <w:top w:val="nil"/>
          <w:left w:val="nil"/>
          <w:bottom w:val="nil"/>
          <w:right w:val="nil"/>
          <w:between w:val="nil"/>
        </w:pBdr>
        <w:spacing w:after="8" w:line="360" w:lineRule="auto"/>
        <w:ind w:left="563" w:right="507"/>
        <w:jc w:val="both"/>
        <w:rPr>
          <w:color w:val="000000"/>
          <w:sz w:val="24"/>
          <w:szCs w:val="24"/>
        </w:rPr>
      </w:pPr>
      <w:r>
        <w:rPr>
          <w:color w:val="000000"/>
          <w:sz w:val="24"/>
          <w:szCs w:val="24"/>
        </w:rPr>
        <w:t xml:space="preserve">This essay will critically examine policing policies and procedures including body worn video (BWV) </w:t>
      </w:r>
      <w:r>
        <w:rPr>
          <w:sz w:val="24"/>
          <w:szCs w:val="24"/>
        </w:rPr>
        <w:t>that</w:t>
      </w:r>
      <w:r>
        <w:rPr>
          <w:color w:val="000000"/>
          <w:sz w:val="24"/>
          <w:szCs w:val="24"/>
        </w:rPr>
        <w:t xml:space="preserve"> aims to reduce misconduct and malpractice by Police </w:t>
      </w:r>
      <w:r>
        <w:rPr>
          <w:sz w:val="24"/>
          <w:szCs w:val="24"/>
        </w:rPr>
        <w:t>O</w:t>
      </w:r>
      <w:r>
        <w:rPr>
          <w:color w:val="000000"/>
          <w:sz w:val="24"/>
          <w:szCs w:val="24"/>
        </w:rPr>
        <w:t>fficers, therefore increasing public confidence. To better understand maintaining professional standards, this essay will also define misconduct and malpractice and its link with the code of ethics enforced by The College of Policing.</w:t>
      </w:r>
    </w:p>
    <w:p w14:paraId="00000004" w14:textId="77777777" w:rsidR="00A423FD" w:rsidRDefault="00A423FD">
      <w:pPr>
        <w:pBdr>
          <w:top w:val="nil"/>
          <w:left w:val="nil"/>
          <w:bottom w:val="nil"/>
          <w:right w:val="nil"/>
          <w:between w:val="nil"/>
        </w:pBdr>
        <w:spacing w:after="8" w:line="360" w:lineRule="auto"/>
        <w:ind w:left="563" w:right="507"/>
        <w:jc w:val="both"/>
        <w:rPr>
          <w:color w:val="000000"/>
          <w:sz w:val="24"/>
          <w:szCs w:val="24"/>
        </w:rPr>
      </w:pPr>
    </w:p>
    <w:p w14:paraId="00000005" w14:textId="77777777" w:rsidR="00A423FD" w:rsidRDefault="00B65CF7">
      <w:pPr>
        <w:pBdr>
          <w:top w:val="nil"/>
          <w:left w:val="nil"/>
          <w:bottom w:val="nil"/>
          <w:right w:val="nil"/>
          <w:between w:val="nil"/>
        </w:pBdr>
        <w:spacing w:after="8" w:line="360" w:lineRule="auto"/>
        <w:ind w:left="563" w:right="507"/>
        <w:jc w:val="both"/>
        <w:rPr>
          <w:color w:val="000000"/>
          <w:sz w:val="24"/>
          <w:szCs w:val="24"/>
        </w:rPr>
      </w:pPr>
      <w:r>
        <w:rPr>
          <w:color w:val="000000"/>
          <w:sz w:val="24"/>
          <w:szCs w:val="24"/>
        </w:rPr>
        <w:t xml:space="preserve">Ivkovich (2014) defines Police misconduct as ‘an omission or act that contravenes legal rules.’ The official statistics from Home Office (2021) </w:t>
      </w:r>
      <w:r>
        <w:rPr>
          <w:sz w:val="24"/>
          <w:szCs w:val="24"/>
        </w:rPr>
        <w:t>demonstrates</w:t>
      </w:r>
      <w:r>
        <w:rPr>
          <w:color w:val="000000"/>
          <w:sz w:val="24"/>
          <w:szCs w:val="24"/>
        </w:rPr>
        <w:t xml:space="preserve"> that of cases involving Police officers recorded by the 43 Police forces in England and Wales in 2021, 1,675 of these were conduct matters with 45% of these resulting in misconduct meetings but only 11% going onto a misconduct hearing. This shows that of the reported misconduct matters, cases are dealt with internally and only a small amount result in misconduct hearings. </w:t>
      </w:r>
    </w:p>
    <w:p w14:paraId="00000006" w14:textId="77777777" w:rsidR="00A423FD" w:rsidRDefault="00A423FD">
      <w:pPr>
        <w:pBdr>
          <w:top w:val="nil"/>
          <w:left w:val="nil"/>
          <w:bottom w:val="nil"/>
          <w:right w:val="nil"/>
          <w:between w:val="nil"/>
        </w:pBdr>
        <w:spacing w:after="8" w:line="360" w:lineRule="auto"/>
        <w:ind w:left="563" w:right="507"/>
        <w:jc w:val="both"/>
        <w:rPr>
          <w:color w:val="000000"/>
          <w:sz w:val="24"/>
          <w:szCs w:val="24"/>
        </w:rPr>
      </w:pPr>
    </w:p>
    <w:p w14:paraId="00000007" w14:textId="77777777" w:rsidR="00A423FD" w:rsidRDefault="00B65CF7">
      <w:pPr>
        <w:pBdr>
          <w:top w:val="nil"/>
          <w:left w:val="nil"/>
          <w:bottom w:val="nil"/>
          <w:right w:val="nil"/>
          <w:between w:val="nil"/>
        </w:pBdr>
        <w:spacing w:after="8" w:line="360" w:lineRule="auto"/>
        <w:ind w:left="563" w:right="507"/>
        <w:jc w:val="both"/>
        <w:rPr>
          <w:color w:val="000000"/>
          <w:sz w:val="24"/>
          <w:szCs w:val="24"/>
        </w:rPr>
      </w:pPr>
      <w:r>
        <w:rPr>
          <w:color w:val="000000"/>
          <w:sz w:val="24"/>
          <w:szCs w:val="24"/>
        </w:rPr>
        <w:t>Stewart (2014) defines a ‘policy’ as ‘a set of guidelines and principles imposed by an organisation’. Police enforce many policies as it is a requirement which is governed by legislation. For instance, the College of Policing (2023) abides by the Authorised Professional Practice (APP) which is a statutory responsibility to abide by the Data Protection Act (DPA) 2018 and sets out policy on breaches of the DPA. COP (2023) also set out the ‘code of ethics’ where if you were to breach DPA 2018 then you would al</w:t>
      </w:r>
      <w:r>
        <w:rPr>
          <w:color w:val="000000"/>
          <w:sz w:val="24"/>
          <w:szCs w:val="24"/>
        </w:rPr>
        <w:t>so be in breach of a standard of professional behaviour, ‘honesty and integrity’.  Policy is also utilised to ensure all staff across the forces are completing their role in line with the same policies and procedures with clear direction so that it cannot be argued. Porter, Lainie</w:t>
      </w:r>
      <w:r>
        <w:rPr>
          <w:sz w:val="24"/>
          <w:szCs w:val="24"/>
        </w:rPr>
        <w:t xml:space="preserve"> and </w:t>
      </w:r>
      <w:r>
        <w:rPr>
          <w:color w:val="000000"/>
          <w:sz w:val="24"/>
          <w:szCs w:val="24"/>
        </w:rPr>
        <w:t>McGinty (2018) state that ‘</w:t>
      </w:r>
      <w:r>
        <w:rPr>
          <w:sz w:val="24"/>
          <w:szCs w:val="24"/>
        </w:rPr>
        <w:t>p</w:t>
      </w:r>
      <w:r>
        <w:rPr>
          <w:color w:val="000000"/>
          <w:sz w:val="24"/>
          <w:szCs w:val="24"/>
        </w:rPr>
        <w:t xml:space="preserve">olicies with clear and detailed regulations are more likely to be implemented than policies that are subject to interpretation’. </w:t>
      </w:r>
    </w:p>
    <w:p w14:paraId="00000008" w14:textId="77777777" w:rsidR="00A423FD" w:rsidRDefault="00A423FD">
      <w:pPr>
        <w:pBdr>
          <w:top w:val="nil"/>
          <w:left w:val="nil"/>
          <w:bottom w:val="nil"/>
          <w:right w:val="nil"/>
          <w:between w:val="nil"/>
        </w:pBdr>
        <w:spacing w:after="8" w:line="360" w:lineRule="auto"/>
        <w:ind w:left="563" w:right="507"/>
        <w:jc w:val="both"/>
        <w:rPr>
          <w:color w:val="000000"/>
          <w:sz w:val="24"/>
          <w:szCs w:val="24"/>
        </w:rPr>
      </w:pPr>
    </w:p>
    <w:p w14:paraId="00000009" w14:textId="77777777" w:rsidR="00A423FD" w:rsidRDefault="00B65CF7">
      <w:pPr>
        <w:pBdr>
          <w:top w:val="nil"/>
          <w:left w:val="nil"/>
          <w:bottom w:val="nil"/>
          <w:right w:val="nil"/>
          <w:between w:val="nil"/>
        </w:pBdr>
        <w:spacing w:after="8" w:line="360" w:lineRule="auto"/>
        <w:ind w:left="563" w:right="507"/>
        <w:jc w:val="both"/>
        <w:rPr>
          <w:color w:val="000000"/>
          <w:sz w:val="24"/>
          <w:szCs w:val="24"/>
        </w:rPr>
      </w:pPr>
      <w:r>
        <w:rPr>
          <w:color w:val="000000"/>
          <w:sz w:val="24"/>
          <w:szCs w:val="24"/>
        </w:rPr>
        <w:t xml:space="preserve">Policing in its entirety is under scrutiny by the public and as the digital world is developing, policies are continuously being developed in line with them to ensure officers are behaving in a professional manner as they are accountable to the </w:t>
      </w:r>
      <w:r>
        <w:rPr>
          <w:color w:val="000000"/>
          <w:sz w:val="24"/>
          <w:szCs w:val="24"/>
        </w:rPr>
        <w:lastRenderedPageBreak/>
        <w:t>public. Body Worn Videos (BWVs) are recording devices worn by Police which are capable of capturing audio and video when dealing with members of the public and were first established in Devon and Cornwall Constabulary in 2006</w:t>
      </w:r>
      <w:r>
        <w:rPr>
          <w:sz w:val="24"/>
          <w:szCs w:val="24"/>
        </w:rPr>
        <w:t xml:space="preserve"> </w:t>
      </w:r>
      <w:r>
        <w:rPr>
          <w:color w:val="000000"/>
          <w:sz w:val="24"/>
          <w:szCs w:val="24"/>
        </w:rPr>
        <w:t xml:space="preserve">(Scottish Police Authority 2021). BWV is regularly utilised for evidential purposes where it can be used as evidence in a case as it shows exactly what happened during the incident and </w:t>
      </w:r>
      <w:r>
        <w:rPr>
          <w:sz w:val="24"/>
          <w:szCs w:val="24"/>
        </w:rPr>
        <w:t>has</w:t>
      </w:r>
      <w:r>
        <w:rPr>
          <w:color w:val="000000"/>
          <w:sz w:val="24"/>
          <w:szCs w:val="24"/>
        </w:rPr>
        <w:t xml:space="preserve"> been regularly scrutinised in misconduct cases against officers and complaints made by members of</w:t>
      </w:r>
      <w:r>
        <w:rPr>
          <w:color w:val="000000"/>
          <w:sz w:val="24"/>
          <w:szCs w:val="24"/>
        </w:rPr>
        <w:t xml:space="preserve"> the public (College of Policing 2023). </w:t>
      </w:r>
    </w:p>
    <w:p w14:paraId="0000000A" w14:textId="77777777" w:rsidR="00A423FD" w:rsidRDefault="00A423FD">
      <w:pPr>
        <w:pBdr>
          <w:top w:val="nil"/>
          <w:left w:val="nil"/>
          <w:bottom w:val="nil"/>
          <w:right w:val="nil"/>
          <w:between w:val="nil"/>
        </w:pBdr>
        <w:spacing w:after="8" w:line="360" w:lineRule="auto"/>
        <w:ind w:left="563" w:right="507"/>
        <w:jc w:val="both"/>
        <w:rPr>
          <w:color w:val="000000"/>
          <w:sz w:val="24"/>
          <w:szCs w:val="24"/>
        </w:rPr>
      </w:pPr>
    </w:p>
    <w:p w14:paraId="0000000B" w14:textId="77777777" w:rsidR="00A423FD" w:rsidRDefault="00B65CF7">
      <w:pPr>
        <w:pBdr>
          <w:top w:val="nil"/>
          <w:left w:val="nil"/>
          <w:bottom w:val="nil"/>
          <w:right w:val="nil"/>
          <w:between w:val="nil"/>
        </w:pBdr>
        <w:spacing w:after="8" w:line="360" w:lineRule="auto"/>
        <w:ind w:left="563" w:right="507"/>
        <w:jc w:val="both"/>
        <w:rPr>
          <w:color w:val="000000"/>
          <w:sz w:val="24"/>
          <w:szCs w:val="24"/>
        </w:rPr>
      </w:pPr>
      <w:r>
        <w:rPr>
          <w:color w:val="000000"/>
          <w:sz w:val="24"/>
          <w:szCs w:val="24"/>
        </w:rPr>
        <w:t xml:space="preserve">A strength of BWV is that it protects the public and Police officers as it ensures officers behave appropriately and abide by the behaviours outlined by the code of ethics. BWV shows exactly what happened and what was said during an incident and </w:t>
      </w:r>
      <w:r>
        <w:rPr>
          <w:sz w:val="24"/>
          <w:szCs w:val="24"/>
        </w:rPr>
        <w:t>protects</w:t>
      </w:r>
      <w:r>
        <w:rPr>
          <w:color w:val="000000"/>
          <w:sz w:val="24"/>
          <w:szCs w:val="24"/>
        </w:rPr>
        <w:t xml:space="preserve"> officers from malicious complaints. However, The </w:t>
      </w:r>
      <w:r>
        <w:rPr>
          <w:sz w:val="24"/>
          <w:szCs w:val="24"/>
        </w:rPr>
        <w:t>I</w:t>
      </w:r>
      <w:r>
        <w:rPr>
          <w:color w:val="000000"/>
          <w:sz w:val="24"/>
          <w:szCs w:val="24"/>
        </w:rPr>
        <w:t xml:space="preserve">ndependent </w:t>
      </w:r>
      <w:r>
        <w:rPr>
          <w:sz w:val="24"/>
          <w:szCs w:val="24"/>
        </w:rPr>
        <w:t>O</w:t>
      </w:r>
      <w:r>
        <w:rPr>
          <w:color w:val="000000"/>
          <w:sz w:val="24"/>
          <w:szCs w:val="24"/>
        </w:rPr>
        <w:t>ffice for Police Conduct (IOPC 2023) published its annual report on Police complaints for England and Wales and found there was an 8% rise in complaints logged in comparison to the previous year. Overall, BWV increases public confidence in the Police because if a news article is released regarding an officer’s inappropriate use of force, this can be evidenced through BWV to show the public to allay any allegations. Charles et al (2014) s</w:t>
      </w:r>
      <w:r>
        <w:rPr>
          <w:color w:val="000000"/>
          <w:sz w:val="24"/>
          <w:szCs w:val="24"/>
        </w:rPr>
        <w:t>tate that ‘we believe BWV might increase accountability with the public and the police, decrease citizen complaints and result in trust and satisfaction with the Police’.</w:t>
      </w:r>
    </w:p>
    <w:p w14:paraId="0000000C" w14:textId="77777777" w:rsidR="00A423FD" w:rsidRDefault="00A423FD">
      <w:pPr>
        <w:pBdr>
          <w:top w:val="nil"/>
          <w:left w:val="nil"/>
          <w:bottom w:val="nil"/>
          <w:right w:val="nil"/>
          <w:between w:val="nil"/>
        </w:pBdr>
        <w:spacing w:after="8" w:line="360" w:lineRule="auto"/>
        <w:ind w:left="563" w:right="507"/>
        <w:jc w:val="both"/>
        <w:rPr>
          <w:color w:val="000000"/>
          <w:sz w:val="24"/>
          <w:szCs w:val="24"/>
        </w:rPr>
      </w:pPr>
    </w:p>
    <w:p w14:paraId="0000000D" w14:textId="77777777" w:rsidR="00A423FD" w:rsidRDefault="00B65CF7">
      <w:pPr>
        <w:pBdr>
          <w:top w:val="nil"/>
          <w:left w:val="nil"/>
          <w:bottom w:val="nil"/>
          <w:right w:val="nil"/>
          <w:between w:val="nil"/>
        </w:pBdr>
        <w:spacing w:after="8" w:line="360" w:lineRule="auto"/>
        <w:ind w:left="563" w:right="507"/>
        <w:jc w:val="both"/>
        <w:rPr>
          <w:color w:val="000000"/>
          <w:sz w:val="24"/>
          <w:szCs w:val="24"/>
        </w:rPr>
      </w:pPr>
      <w:r>
        <w:rPr>
          <w:color w:val="000000"/>
          <w:sz w:val="24"/>
          <w:szCs w:val="24"/>
        </w:rPr>
        <w:t>Another strength of BWV is transparency which ensures officers are honest and open with any actions and decisions made with colleagues or members of the public (COP, 2023). Lum et al (2020) conducted a systematic review which found that ‘BWVs purpose was to document interactions with the public and to increase transparency, including matters of Police misconduct’. However in contrast to this, Harrison, L’Hoiry</w:t>
      </w:r>
      <w:r>
        <w:rPr>
          <w:sz w:val="24"/>
          <w:szCs w:val="24"/>
        </w:rPr>
        <w:t xml:space="preserve"> and </w:t>
      </w:r>
      <w:r>
        <w:rPr>
          <w:color w:val="000000"/>
          <w:sz w:val="24"/>
          <w:szCs w:val="24"/>
        </w:rPr>
        <w:t xml:space="preserve">Santoroso (2021) found that there was a negative to this as officers had the option to redact footage by using the drag back function to ensure the footage did not contain anything inappropriate which could result in a misconduct matter. This would decrease the public’s confidence policing as having the option to erase footage leaves officers open to scrutiny if a complaint was made. </w:t>
      </w:r>
    </w:p>
    <w:p w14:paraId="0000000E" w14:textId="77777777" w:rsidR="00A423FD" w:rsidRDefault="00A423FD">
      <w:pPr>
        <w:pBdr>
          <w:top w:val="nil"/>
          <w:left w:val="nil"/>
          <w:bottom w:val="nil"/>
          <w:right w:val="nil"/>
          <w:between w:val="nil"/>
        </w:pBdr>
        <w:spacing w:after="8" w:line="360" w:lineRule="auto"/>
        <w:ind w:right="507"/>
        <w:jc w:val="both"/>
        <w:rPr>
          <w:color w:val="000000"/>
          <w:sz w:val="24"/>
          <w:szCs w:val="24"/>
        </w:rPr>
      </w:pPr>
    </w:p>
    <w:p w14:paraId="0000000F" w14:textId="77777777" w:rsidR="00A423FD" w:rsidRDefault="00B65CF7">
      <w:pPr>
        <w:pBdr>
          <w:top w:val="nil"/>
          <w:left w:val="nil"/>
          <w:bottom w:val="nil"/>
          <w:right w:val="nil"/>
          <w:between w:val="nil"/>
        </w:pBdr>
        <w:spacing w:after="8" w:line="360" w:lineRule="auto"/>
        <w:ind w:left="576" w:right="507"/>
        <w:jc w:val="both"/>
        <w:rPr>
          <w:color w:val="000000"/>
          <w:sz w:val="24"/>
          <w:szCs w:val="24"/>
        </w:rPr>
      </w:pPr>
      <w:r>
        <w:rPr>
          <w:color w:val="000000"/>
          <w:sz w:val="24"/>
          <w:szCs w:val="24"/>
        </w:rPr>
        <w:t xml:space="preserve">In contrast to this, Freund (2016) states that there are numerous factors that need to be considered in relation to body worn video such as the potential for harm to members of the public, the effect on free speech and the impact on privacy rights of Police officers and the public. Officers have a growing concern in their personal privacy when not attending incidents and may feel that BWV is </w:t>
      </w:r>
      <w:r>
        <w:rPr>
          <w:sz w:val="24"/>
          <w:szCs w:val="24"/>
        </w:rPr>
        <w:t>in fact</w:t>
      </w:r>
      <w:r>
        <w:rPr>
          <w:color w:val="000000"/>
          <w:sz w:val="24"/>
          <w:szCs w:val="24"/>
        </w:rPr>
        <w:t xml:space="preserve"> an invasion of their privacy. Harrison, L’Hoiry</w:t>
      </w:r>
      <w:r>
        <w:rPr>
          <w:sz w:val="24"/>
          <w:szCs w:val="24"/>
        </w:rPr>
        <w:t xml:space="preserve"> and</w:t>
      </w:r>
      <w:r>
        <w:rPr>
          <w:color w:val="000000"/>
          <w:sz w:val="24"/>
          <w:szCs w:val="24"/>
        </w:rPr>
        <w:t xml:space="preserve"> Santoroso (2021) conducted a survey where many officers explained they had forgotten to turn the camera off when going to the toilet, but most laughed about this rather than being concerned. A study has also shown the concern relating to the privacy for members of the public, the majority of the public raise no concern in relation to the invasion of their privacy through the use of BWV whereas it is believed that interactions with vulnerable people</w:t>
      </w:r>
      <w:r>
        <w:rPr>
          <w:color w:val="000000"/>
          <w:sz w:val="24"/>
          <w:szCs w:val="24"/>
        </w:rPr>
        <w:t>, victims, children and people suffering from mental health issues should be kept private</w:t>
      </w:r>
      <w:r>
        <w:rPr>
          <w:sz w:val="24"/>
          <w:szCs w:val="24"/>
        </w:rPr>
        <w:t xml:space="preserve"> (</w:t>
      </w:r>
      <w:r>
        <w:rPr>
          <w:color w:val="000000"/>
          <w:sz w:val="24"/>
          <w:szCs w:val="24"/>
        </w:rPr>
        <w:t>Poirier et al, 2023).</w:t>
      </w:r>
    </w:p>
    <w:p w14:paraId="00000010" w14:textId="77777777" w:rsidR="00A423FD" w:rsidRDefault="00A423FD">
      <w:pPr>
        <w:pBdr>
          <w:top w:val="nil"/>
          <w:left w:val="nil"/>
          <w:bottom w:val="nil"/>
          <w:right w:val="nil"/>
          <w:between w:val="nil"/>
        </w:pBdr>
        <w:spacing w:after="8" w:line="360" w:lineRule="auto"/>
        <w:ind w:left="576" w:right="507"/>
        <w:jc w:val="both"/>
        <w:rPr>
          <w:color w:val="000000"/>
          <w:sz w:val="24"/>
          <w:szCs w:val="24"/>
        </w:rPr>
      </w:pPr>
    </w:p>
    <w:p w14:paraId="00000011" w14:textId="77777777" w:rsidR="00A423FD" w:rsidRDefault="00B65CF7">
      <w:pPr>
        <w:pBdr>
          <w:top w:val="nil"/>
          <w:left w:val="nil"/>
          <w:bottom w:val="nil"/>
          <w:right w:val="nil"/>
          <w:between w:val="nil"/>
        </w:pBdr>
        <w:spacing w:after="8" w:line="360" w:lineRule="auto"/>
        <w:ind w:left="563" w:right="507"/>
        <w:jc w:val="both"/>
        <w:rPr>
          <w:color w:val="000000"/>
          <w:sz w:val="24"/>
          <w:szCs w:val="24"/>
        </w:rPr>
      </w:pPr>
      <w:r>
        <w:rPr>
          <w:color w:val="000000"/>
          <w:sz w:val="24"/>
          <w:szCs w:val="24"/>
        </w:rPr>
        <w:t xml:space="preserve">To summarise, BWV is an essential tool if utilised correctly by officers in an attempt to reduce misconduct and malpractice. BWV is vital in protecting officers and the public by ensuring officers behave appropriately and abide by the behaviours set out by the code of ethics as it shows exactly what happened and what was said during an incident. However, the IOPC found an 8% rise in complaints in comparison to the previous year (IOPC, 2023). BWV also ensures policing </w:t>
      </w:r>
      <w:r>
        <w:rPr>
          <w:sz w:val="24"/>
          <w:szCs w:val="24"/>
        </w:rPr>
        <w:t>is transparent,</w:t>
      </w:r>
      <w:r>
        <w:rPr>
          <w:color w:val="000000"/>
          <w:sz w:val="24"/>
          <w:szCs w:val="24"/>
        </w:rPr>
        <w:t xml:space="preserve"> ensuring officers are honest and open with any actions or decisions made with colleagues or members of the public (COP, 2023). However, Harrison, L’Hoiry</w:t>
      </w:r>
      <w:r>
        <w:rPr>
          <w:sz w:val="24"/>
          <w:szCs w:val="24"/>
        </w:rPr>
        <w:t xml:space="preserve"> and</w:t>
      </w:r>
      <w:r>
        <w:rPr>
          <w:color w:val="000000"/>
          <w:sz w:val="24"/>
          <w:szCs w:val="24"/>
        </w:rPr>
        <w:t xml:space="preserve"> Santoroso (2021) found that officers had the option to redact footage to ensure it did not contain anything inappropriate that could potentially become a misconduct matter. In recent months, we have seen tension with the public and free speech including the Black Lives Matter movement</w:t>
      </w:r>
      <w:r>
        <w:rPr>
          <w:sz w:val="24"/>
          <w:szCs w:val="24"/>
        </w:rPr>
        <w:t>.</w:t>
      </w:r>
      <w:r>
        <w:rPr>
          <w:color w:val="000000"/>
          <w:sz w:val="24"/>
          <w:szCs w:val="24"/>
        </w:rPr>
        <w:t xml:space="preserve"> Freund (2016) states that there are numerous factor</w:t>
      </w:r>
      <w:r>
        <w:rPr>
          <w:color w:val="000000"/>
          <w:sz w:val="24"/>
          <w:szCs w:val="24"/>
        </w:rPr>
        <w:t xml:space="preserve">s to be considered in relation to BWV such as the effect of free speech and privacy to members of the public. </w:t>
      </w:r>
    </w:p>
    <w:p w14:paraId="00000012" w14:textId="77777777" w:rsidR="00A423FD" w:rsidRDefault="00A423FD">
      <w:pPr>
        <w:pBdr>
          <w:top w:val="nil"/>
          <w:left w:val="nil"/>
          <w:bottom w:val="nil"/>
          <w:right w:val="nil"/>
          <w:between w:val="nil"/>
        </w:pBdr>
        <w:spacing w:after="8" w:line="360" w:lineRule="auto"/>
        <w:ind w:left="563" w:right="507"/>
        <w:jc w:val="both"/>
        <w:rPr>
          <w:color w:val="000000"/>
          <w:sz w:val="24"/>
          <w:szCs w:val="24"/>
        </w:rPr>
      </w:pPr>
    </w:p>
    <w:p w14:paraId="00000013" w14:textId="77777777" w:rsidR="00A423FD" w:rsidRDefault="00B65CF7">
      <w:pPr>
        <w:pBdr>
          <w:top w:val="nil"/>
          <w:left w:val="nil"/>
          <w:bottom w:val="nil"/>
          <w:right w:val="nil"/>
          <w:between w:val="nil"/>
        </w:pBdr>
        <w:spacing w:after="8" w:line="360" w:lineRule="auto"/>
        <w:ind w:left="563" w:right="507"/>
        <w:jc w:val="both"/>
        <w:rPr>
          <w:color w:val="000000"/>
          <w:sz w:val="24"/>
          <w:szCs w:val="24"/>
        </w:rPr>
      </w:pPr>
      <w:r>
        <w:rPr>
          <w:color w:val="000000"/>
          <w:sz w:val="24"/>
          <w:szCs w:val="24"/>
        </w:rPr>
        <w:t xml:space="preserve"> Word</w:t>
      </w:r>
      <w:r>
        <w:rPr>
          <w:sz w:val="24"/>
          <w:szCs w:val="24"/>
        </w:rPr>
        <w:t xml:space="preserve"> Count: 1063</w:t>
      </w:r>
    </w:p>
    <w:p w14:paraId="00000014" w14:textId="77777777" w:rsidR="00A423FD" w:rsidRDefault="00B65CF7">
      <w:pPr>
        <w:pBdr>
          <w:top w:val="nil"/>
          <w:left w:val="nil"/>
          <w:bottom w:val="nil"/>
          <w:right w:val="nil"/>
          <w:between w:val="nil"/>
        </w:pBdr>
        <w:spacing w:after="16"/>
        <w:ind w:left="563"/>
        <w:jc w:val="center"/>
        <w:rPr>
          <w:color w:val="000000"/>
          <w:sz w:val="24"/>
          <w:szCs w:val="24"/>
        </w:rPr>
      </w:pPr>
      <w:bookmarkStart w:id="0" w:name="_30j0zll" w:colFirst="0" w:colLast="0"/>
      <w:bookmarkEnd w:id="0"/>
      <w:r>
        <w:rPr>
          <w:sz w:val="24"/>
          <w:szCs w:val="24"/>
        </w:rPr>
        <w:br/>
      </w:r>
      <w:r>
        <w:rPr>
          <w:b/>
          <w:color w:val="000000"/>
          <w:sz w:val="24"/>
          <w:szCs w:val="24"/>
        </w:rPr>
        <w:t xml:space="preserve">Essay </w:t>
      </w:r>
      <w:r>
        <w:rPr>
          <w:b/>
          <w:sz w:val="24"/>
          <w:szCs w:val="24"/>
        </w:rPr>
        <w:t>T</w:t>
      </w:r>
      <w:r>
        <w:rPr>
          <w:b/>
          <w:color w:val="000000"/>
          <w:sz w:val="24"/>
          <w:szCs w:val="24"/>
        </w:rPr>
        <w:t xml:space="preserve">wo – Public Protection </w:t>
      </w:r>
    </w:p>
    <w:p w14:paraId="00000015" w14:textId="77777777" w:rsidR="00A423FD" w:rsidRDefault="00A423FD">
      <w:pPr>
        <w:pBdr>
          <w:top w:val="nil"/>
          <w:left w:val="nil"/>
          <w:bottom w:val="nil"/>
          <w:right w:val="nil"/>
          <w:between w:val="nil"/>
        </w:pBdr>
        <w:spacing w:after="8" w:line="264" w:lineRule="auto"/>
        <w:ind w:left="563" w:right="507"/>
        <w:rPr>
          <w:color w:val="000000"/>
          <w:sz w:val="24"/>
          <w:szCs w:val="24"/>
        </w:rPr>
      </w:pPr>
    </w:p>
    <w:p w14:paraId="00000016" w14:textId="77777777" w:rsidR="00A423FD" w:rsidRDefault="00A423FD">
      <w:pPr>
        <w:pBdr>
          <w:top w:val="nil"/>
          <w:left w:val="nil"/>
          <w:bottom w:val="nil"/>
          <w:right w:val="nil"/>
          <w:between w:val="nil"/>
        </w:pBdr>
        <w:spacing w:after="8" w:line="360" w:lineRule="auto"/>
        <w:ind w:left="563" w:right="507"/>
        <w:jc w:val="both"/>
        <w:rPr>
          <w:color w:val="000000"/>
          <w:sz w:val="24"/>
          <w:szCs w:val="24"/>
        </w:rPr>
      </w:pPr>
    </w:p>
    <w:p w14:paraId="00000017" w14:textId="77777777" w:rsidR="00A423FD" w:rsidRDefault="00B65CF7">
      <w:pPr>
        <w:pBdr>
          <w:top w:val="nil"/>
          <w:left w:val="nil"/>
          <w:bottom w:val="nil"/>
          <w:right w:val="nil"/>
          <w:between w:val="nil"/>
        </w:pBdr>
        <w:spacing w:after="8" w:line="360" w:lineRule="auto"/>
        <w:ind w:left="563" w:right="507"/>
        <w:jc w:val="both"/>
        <w:rPr>
          <w:color w:val="000000"/>
          <w:sz w:val="24"/>
          <w:szCs w:val="24"/>
        </w:rPr>
      </w:pPr>
      <w:r>
        <w:rPr>
          <w:color w:val="000000"/>
          <w:sz w:val="24"/>
          <w:szCs w:val="24"/>
        </w:rPr>
        <w:t>The College of Policing (COP, 2023) defines a person as being vulnerable due to their current situation or circumstances</w:t>
      </w:r>
      <w:r>
        <w:rPr>
          <w:sz w:val="24"/>
          <w:szCs w:val="24"/>
        </w:rPr>
        <w:t xml:space="preserve">, </w:t>
      </w:r>
      <w:r>
        <w:rPr>
          <w:color w:val="000000"/>
          <w:sz w:val="24"/>
          <w:szCs w:val="24"/>
        </w:rPr>
        <w:t xml:space="preserve">that means they are unable to protect or care for themselves or others from exploitation. Personal characteristics such as socio-economic factors and psychological conditions will be considered as a cause of vulnerability when evaluating the likeliness of being exploited by criminal gangs. </w:t>
      </w:r>
    </w:p>
    <w:p w14:paraId="00000018" w14:textId="77777777" w:rsidR="00A423FD" w:rsidRDefault="00A423FD">
      <w:pPr>
        <w:pBdr>
          <w:top w:val="nil"/>
          <w:left w:val="nil"/>
          <w:bottom w:val="nil"/>
          <w:right w:val="nil"/>
          <w:between w:val="nil"/>
        </w:pBdr>
        <w:spacing w:after="8" w:line="360" w:lineRule="auto"/>
        <w:ind w:left="563" w:right="507"/>
        <w:jc w:val="both"/>
        <w:rPr>
          <w:color w:val="000000"/>
          <w:sz w:val="24"/>
          <w:szCs w:val="24"/>
        </w:rPr>
      </w:pPr>
    </w:p>
    <w:p w14:paraId="00000019" w14:textId="77777777" w:rsidR="00A423FD" w:rsidRDefault="00B65CF7">
      <w:pPr>
        <w:pBdr>
          <w:top w:val="nil"/>
          <w:left w:val="nil"/>
          <w:bottom w:val="nil"/>
          <w:right w:val="nil"/>
          <w:between w:val="nil"/>
        </w:pBdr>
        <w:spacing w:after="8" w:line="360" w:lineRule="auto"/>
        <w:ind w:left="563" w:right="507"/>
        <w:jc w:val="both"/>
        <w:rPr>
          <w:color w:val="000000"/>
          <w:sz w:val="24"/>
          <w:szCs w:val="24"/>
        </w:rPr>
      </w:pPr>
      <w:r>
        <w:rPr>
          <w:color w:val="000000"/>
          <w:sz w:val="24"/>
          <w:szCs w:val="24"/>
        </w:rPr>
        <w:t xml:space="preserve">In recent years, referrals for victims of exploitation have risen </w:t>
      </w:r>
      <w:r>
        <w:rPr>
          <w:sz w:val="24"/>
          <w:szCs w:val="24"/>
        </w:rPr>
        <w:t>as</w:t>
      </w:r>
      <w:r>
        <w:rPr>
          <w:color w:val="000000"/>
          <w:sz w:val="24"/>
          <w:szCs w:val="24"/>
        </w:rPr>
        <w:t xml:space="preserve"> 7,936 </w:t>
      </w:r>
      <w:r>
        <w:rPr>
          <w:sz w:val="24"/>
          <w:szCs w:val="24"/>
        </w:rPr>
        <w:t xml:space="preserve">referrals </w:t>
      </w:r>
      <w:r>
        <w:rPr>
          <w:color w:val="000000"/>
          <w:sz w:val="24"/>
          <w:szCs w:val="24"/>
        </w:rPr>
        <w:t xml:space="preserve">were made in the UK, which is an increase of over 10% compared with the previous year (National </w:t>
      </w:r>
      <w:r>
        <w:rPr>
          <w:sz w:val="24"/>
          <w:szCs w:val="24"/>
        </w:rPr>
        <w:t>C</w:t>
      </w:r>
      <w:r>
        <w:rPr>
          <w:color w:val="000000"/>
          <w:sz w:val="24"/>
          <w:szCs w:val="24"/>
        </w:rPr>
        <w:t xml:space="preserve">rime </w:t>
      </w:r>
      <w:r>
        <w:rPr>
          <w:sz w:val="24"/>
          <w:szCs w:val="24"/>
        </w:rPr>
        <w:t>A</w:t>
      </w:r>
      <w:r>
        <w:rPr>
          <w:color w:val="000000"/>
          <w:sz w:val="24"/>
          <w:szCs w:val="24"/>
        </w:rPr>
        <w:t xml:space="preserve">gency, 2023). This is partially due to the established ‘county lines’ model </w:t>
      </w:r>
      <w:r>
        <w:rPr>
          <w:sz w:val="24"/>
          <w:szCs w:val="24"/>
        </w:rPr>
        <w:t>that</w:t>
      </w:r>
      <w:r>
        <w:rPr>
          <w:color w:val="000000"/>
          <w:sz w:val="24"/>
          <w:szCs w:val="24"/>
        </w:rPr>
        <w:t xml:space="preserve"> exploits vulnerable people by using many methods in order to coerce them to commit crime. The Home Office </w:t>
      </w:r>
      <w:r>
        <w:rPr>
          <w:sz w:val="24"/>
          <w:szCs w:val="24"/>
        </w:rPr>
        <w:t>S</w:t>
      </w:r>
      <w:r>
        <w:rPr>
          <w:color w:val="000000"/>
          <w:sz w:val="24"/>
          <w:szCs w:val="24"/>
        </w:rPr>
        <w:t xml:space="preserve">erious </w:t>
      </w:r>
      <w:r>
        <w:rPr>
          <w:sz w:val="24"/>
          <w:szCs w:val="24"/>
        </w:rPr>
        <w:t>V</w:t>
      </w:r>
      <w:r>
        <w:rPr>
          <w:color w:val="000000"/>
          <w:sz w:val="24"/>
          <w:szCs w:val="24"/>
        </w:rPr>
        <w:t xml:space="preserve">iolence </w:t>
      </w:r>
      <w:r>
        <w:rPr>
          <w:sz w:val="24"/>
          <w:szCs w:val="24"/>
        </w:rPr>
        <w:t>S</w:t>
      </w:r>
      <w:r>
        <w:rPr>
          <w:color w:val="000000"/>
          <w:sz w:val="24"/>
          <w:szCs w:val="24"/>
        </w:rPr>
        <w:t>trategy (2018) refers to ‘county lines’ as gangs and organised crime groups who use violence, coercion, and prey on the vulnerabilities of individuals in their adolescent years to carry</w:t>
      </w:r>
      <w:r>
        <w:rPr>
          <w:color w:val="000000"/>
          <w:sz w:val="24"/>
          <w:szCs w:val="24"/>
        </w:rPr>
        <w:t xml:space="preserve"> out crimes for them. A ‘county lines working group’ was established in 2016 to deliver a partnership approach to disrupt county lines and its harm to vulnerable people. </w:t>
      </w:r>
    </w:p>
    <w:p w14:paraId="0000001A" w14:textId="77777777" w:rsidR="00A423FD" w:rsidRDefault="00A423FD">
      <w:pPr>
        <w:pBdr>
          <w:top w:val="nil"/>
          <w:left w:val="nil"/>
          <w:bottom w:val="nil"/>
          <w:right w:val="nil"/>
          <w:between w:val="nil"/>
        </w:pBdr>
        <w:spacing w:after="8" w:line="360" w:lineRule="auto"/>
        <w:ind w:left="563" w:right="507"/>
        <w:jc w:val="both"/>
        <w:rPr>
          <w:color w:val="000000"/>
          <w:sz w:val="24"/>
          <w:szCs w:val="24"/>
        </w:rPr>
      </w:pPr>
    </w:p>
    <w:p w14:paraId="0000001B" w14:textId="77777777" w:rsidR="00A423FD" w:rsidRDefault="00B65CF7">
      <w:pPr>
        <w:pBdr>
          <w:top w:val="nil"/>
          <w:left w:val="nil"/>
          <w:bottom w:val="nil"/>
          <w:right w:val="nil"/>
          <w:between w:val="nil"/>
        </w:pBdr>
        <w:spacing w:after="8" w:line="360" w:lineRule="auto"/>
        <w:ind w:left="576" w:right="507"/>
        <w:jc w:val="both"/>
        <w:rPr>
          <w:color w:val="000000"/>
          <w:sz w:val="24"/>
          <w:szCs w:val="24"/>
        </w:rPr>
      </w:pPr>
      <w:r>
        <w:rPr>
          <w:color w:val="000000"/>
          <w:sz w:val="24"/>
          <w:szCs w:val="24"/>
        </w:rPr>
        <w:t xml:space="preserve">Vulnerability of exploitation to criminal gangs is down to an array of individual socio-economic and psychological characteristics such as the link between county lines and young people being exploited to criminal gangs. The </w:t>
      </w:r>
      <w:r>
        <w:rPr>
          <w:sz w:val="24"/>
          <w:szCs w:val="24"/>
        </w:rPr>
        <w:t>Children's</w:t>
      </w:r>
      <w:r>
        <w:rPr>
          <w:color w:val="000000"/>
          <w:sz w:val="24"/>
          <w:szCs w:val="24"/>
        </w:rPr>
        <w:t xml:space="preserve"> </w:t>
      </w:r>
      <w:r>
        <w:rPr>
          <w:sz w:val="24"/>
          <w:szCs w:val="24"/>
        </w:rPr>
        <w:t>C</w:t>
      </w:r>
      <w:r>
        <w:rPr>
          <w:color w:val="000000"/>
          <w:sz w:val="24"/>
          <w:szCs w:val="24"/>
        </w:rPr>
        <w:t xml:space="preserve">ommissioner (2019) </w:t>
      </w:r>
      <w:r>
        <w:rPr>
          <w:sz w:val="24"/>
          <w:szCs w:val="24"/>
        </w:rPr>
        <w:t>summarises</w:t>
      </w:r>
      <w:r>
        <w:rPr>
          <w:color w:val="000000"/>
          <w:sz w:val="24"/>
          <w:szCs w:val="24"/>
        </w:rPr>
        <w:t xml:space="preserve"> that there are over 25,000 children who state they are a gang member and 13,000 children over 10 years of age who know someone they would state is a gang member. Young people, especially of school age are always at risk themselves to exploitation due to their nativity and their need to fit in and be accepted </w:t>
      </w:r>
      <w:r>
        <w:rPr>
          <w:sz w:val="24"/>
          <w:szCs w:val="24"/>
        </w:rPr>
        <w:t>into social</w:t>
      </w:r>
      <w:r>
        <w:rPr>
          <w:color w:val="000000"/>
          <w:sz w:val="24"/>
          <w:szCs w:val="24"/>
        </w:rPr>
        <w:t xml:space="preserve"> groups. As part of a recent government safeguarding initiative, teachers have a duty of care to report any children who are suddenly absent from sch</w:t>
      </w:r>
      <w:r>
        <w:rPr>
          <w:color w:val="000000"/>
          <w:sz w:val="24"/>
          <w:szCs w:val="24"/>
        </w:rPr>
        <w:t xml:space="preserve">ool without a legitimate reason and have concerns if they are being exploited. GOV (2023) shows that from the year ending 2023, over 20% of students were persistently absent during the autumn and spring terms. </w:t>
      </w:r>
    </w:p>
    <w:p w14:paraId="0000001C" w14:textId="77777777" w:rsidR="00A423FD" w:rsidRDefault="00A423FD">
      <w:pPr>
        <w:pBdr>
          <w:top w:val="nil"/>
          <w:left w:val="nil"/>
          <w:bottom w:val="nil"/>
          <w:right w:val="nil"/>
          <w:between w:val="nil"/>
        </w:pBdr>
        <w:spacing w:after="8" w:line="360" w:lineRule="auto"/>
        <w:ind w:left="576" w:right="507"/>
        <w:jc w:val="both"/>
        <w:rPr>
          <w:color w:val="000000"/>
          <w:sz w:val="24"/>
          <w:szCs w:val="24"/>
        </w:rPr>
      </w:pPr>
    </w:p>
    <w:p w14:paraId="0000001D" w14:textId="77777777" w:rsidR="00A423FD" w:rsidRDefault="00B65CF7">
      <w:pPr>
        <w:pBdr>
          <w:top w:val="nil"/>
          <w:left w:val="nil"/>
          <w:bottom w:val="nil"/>
          <w:right w:val="nil"/>
          <w:between w:val="nil"/>
        </w:pBdr>
        <w:spacing w:after="8" w:line="360" w:lineRule="auto"/>
        <w:ind w:left="576" w:right="507"/>
        <w:jc w:val="both"/>
        <w:rPr>
          <w:color w:val="000000"/>
          <w:sz w:val="24"/>
          <w:szCs w:val="24"/>
        </w:rPr>
      </w:pPr>
      <w:r>
        <w:rPr>
          <w:color w:val="000000"/>
          <w:sz w:val="24"/>
          <w:szCs w:val="24"/>
        </w:rPr>
        <w:t xml:space="preserve">Another issue relating to young people being vulnerable to exploitations in schools is those who have </w:t>
      </w:r>
      <w:r>
        <w:rPr>
          <w:sz w:val="24"/>
          <w:szCs w:val="24"/>
        </w:rPr>
        <w:t>been</w:t>
      </w:r>
      <w:r>
        <w:rPr>
          <w:color w:val="000000"/>
          <w:sz w:val="24"/>
          <w:szCs w:val="24"/>
        </w:rPr>
        <w:t xml:space="preserve"> excluded, where teachers may or may not have concerns for them regarding exploitation. The </w:t>
      </w:r>
      <w:r>
        <w:rPr>
          <w:sz w:val="24"/>
          <w:szCs w:val="24"/>
        </w:rPr>
        <w:t xml:space="preserve">Department of Education (DOE) </w:t>
      </w:r>
      <w:r>
        <w:rPr>
          <w:color w:val="000000"/>
          <w:sz w:val="24"/>
          <w:szCs w:val="24"/>
        </w:rPr>
        <w:t>(2019) conduct</w:t>
      </w:r>
      <w:r>
        <w:rPr>
          <w:sz w:val="24"/>
          <w:szCs w:val="24"/>
        </w:rPr>
        <w:t xml:space="preserve">ed a Timpson review </w:t>
      </w:r>
      <w:r>
        <w:rPr>
          <w:color w:val="000000"/>
          <w:sz w:val="24"/>
          <w:szCs w:val="24"/>
        </w:rPr>
        <w:t>of school exclusion</w:t>
      </w:r>
      <w:r>
        <w:rPr>
          <w:sz w:val="24"/>
          <w:szCs w:val="24"/>
        </w:rPr>
        <w:t xml:space="preserve"> and </w:t>
      </w:r>
      <w:r>
        <w:rPr>
          <w:color w:val="000000"/>
          <w:sz w:val="24"/>
          <w:szCs w:val="24"/>
        </w:rPr>
        <w:t xml:space="preserve">found that exclusion </w:t>
      </w:r>
      <w:r>
        <w:rPr>
          <w:sz w:val="24"/>
          <w:szCs w:val="24"/>
        </w:rPr>
        <w:t>is</w:t>
      </w:r>
      <w:r>
        <w:rPr>
          <w:color w:val="000000"/>
          <w:sz w:val="24"/>
          <w:szCs w:val="24"/>
        </w:rPr>
        <w:t xml:space="preserve"> a high-risk factor of a pupil becoming a victim or perpetrator of a </w:t>
      </w:r>
      <w:r>
        <w:rPr>
          <w:sz w:val="24"/>
          <w:szCs w:val="24"/>
        </w:rPr>
        <w:t>crime</w:t>
      </w:r>
      <w:r>
        <w:rPr>
          <w:color w:val="000000"/>
          <w:sz w:val="24"/>
          <w:szCs w:val="24"/>
        </w:rPr>
        <w:t xml:space="preserve">. Over 20% of young people being sentenced to less than 12 months in custody, had previously been excluded from school. Furthermore, young people </w:t>
      </w:r>
      <w:r>
        <w:rPr>
          <w:sz w:val="24"/>
          <w:szCs w:val="24"/>
        </w:rPr>
        <w:t>that are</w:t>
      </w:r>
      <w:r>
        <w:rPr>
          <w:color w:val="000000"/>
          <w:sz w:val="24"/>
          <w:szCs w:val="24"/>
        </w:rPr>
        <w:t xml:space="preserve"> excluded from school </w:t>
      </w:r>
      <w:r>
        <w:rPr>
          <w:sz w:val="24"/>
          <w:szCs w:val="24"/>
        </w:rPr>
        <w:t>become</w:t>
      </w:r>
      <w:r>
        <w:rPr>
          <w:color w:val="000000"/>
          <w:sz w:val="24"/>
          <w:szCs w:val="24"/>
        </w:rPr>
        <w:t xml:space="preserve"> </w:t>
      </w:r>
      <w:r>
        <w:rPr>
          <w:sz w:val="24"/>
          <w:szCs w:val="24"/>
        </w:rPr>
        <w:t>more</w:t>
      </w:r>
      <w:r>
        <w:rPr>
          <w:color w:val="000000"/>
          <w:sz w:val="24"/>
          <w:szCs w:val="24"/>
        </w:rPr>
        <w:t xml:space="preserve"> susceptible to exploitation </w:t>
      </w:r>
      <w:r>
        <w:rPr>
          <w:sz w:val="24"/>
          <w:szCs w:val="24"/>
        </w:rPr>
        <w:t>by criminal</w:t>
      </w:r>
      <w:r>
        <w:rPr>
          <w:color w:val="000000"/>
          <w:sz w:val="24"/>
          <w:szCs w:val="24"/>
        </w:rPr>
        <w:t xml:space="preserve"> gan</w:t>
      </w:r>
      <w:r>
        <w:rPr>
          <w:color w:val="000000"/>
          <w:sz w:val="24"/>
          <w:szCs w:val="24"/>
        </w:rPr>
        <w:t xml:space="preserve">gs </w:t>
      </w:r>
      <w:r>
        <w:rPr>
          <w:sz w:val="24"/>
          <w:szCs w:val="24"/>
        </w:rPr>
        <w:t>as</w:t>
      </w:r>
      <w:r>
        <w:rPr>
          <w:color w:val="000000"/>
          <w:sz w:val="24"/>
          <w:szCs w:val="24"/>
        </w:rPr>
        <w:t xml:space="preserve"> gang affiliates encourage young people to carry a weapon to protect themselves when ‘running’ the line. The Ministry of Justice (MOJ) (2018) found that young people of school age convicted of knife possession </w:t>
      </w:r>
      <w:r>
        <w:rPr>
          <w:sz w:val="24"/>
          <w:szCs w:val="24"/>
        </w:rPr>
        <w:t>are more</w:t>
      </w:r>
      <w:r>
        <w:rPr>
          <w:color w:val="000000"/>
          <w:sz w:val="24"/>
          <w:szCs w:val="24"/>
        </w:rPr>
        <w:t xml:space="preserve"> prevalent in those excluded from school. </w:t>
      </w:r>
    </w:p>
    <w:p w14:paraId="0000001E" w14:textId="77777777" w:rsidR="00A423FD" w:rsidRDefault="00A423FD">
      <w:pPr>
        <w:pBdr>
          <w:top w:val="nil"/>
          <w:left w:val="nil"/>
          <w:bottom w:val="nil"/>
          <w:right w:val="nil"/>
          <w:between w:val="nil"/>
        </w:pBdr>
        <w:spacing w:after="8" w:line="360" w:lineRule="auto"/>
        <w:ind w:left="576" w:right="507"/>
        <w:jc w:val="both"/>
        <w:rPr>
          <w:color w:val="000000"/>
          <w:sz w:val="24"/>
          <w:szCs w:val="24"/>
        </w:rPr>
      </w:pPr>
    </w:p>
    <w:p w14:paraId="0000001F" w14:textId="77777777" w:rsidR="00A423FD" w:rsidRDefault="00B65CF7">
      <w:pPr>
        <w:pBdr>
          <w:top w:val="nil"/>
          <w:left w:val="nil"/>
          <w:bottom w:val="nil"/>
          <w:right w:val="nil"/>
          <w:between w:val="nil"/>
        </w:pBdr>
        <w:spacing w:after="8" w:line="360" w:lineRule="auto"/>
        <w:ind w:left="576" w:right="507"/>
        <w:jc w:val="both"/>
        <w:rPr>
          <w:color w:val="000000"/>
          <w:sz w:val="24"/>
          <w:szCs w:val="24"/>
        </w:rPr>
      </w:pPr>
      <w:r>
        <w:rPr>
          <w:color w:val="000000"/>
          <w:sz w:val="24"/>
          <w:szCs w:val="24"/>
        </w:rPr>
        <w:t xml:space="preserve">Alongside absence and school exclusions, a lack of parent interaction and support with their children has a detrimental impact on the child’s psychological health which in turn, increases their vulnerability to exploitation to criminal gangs. Sharkey et al (2011) states that gangs use a tactic of showing affection, loyalty, understanding and physical protection which the individual may not receive at home which will coerce them into believing that they are family and will complete anything to receive those </w:t>
      </w:r>
      <w:r>
        <w:rPr>
          <w:color w:val="000000"/>
          <w:sz w:val="24"/>
          <w:szCs w:val="24"/>
        </w:rPr>
        <w:t xml:space="preserve">feelings such as drug trafficking. To coincide with this, the individual may suffer ill-mental health or behavioural issues from their upbringing and leave them susceptible to exploitation </w:t>
      </w:r>
      <w:r>
        <w:rPr>
          <w:sz w:val="24"/>
          <w:szCs w:val="24"/>
        </w:rPr>
        <w:t>by criminal</w:t>
      </w:r>
      <w:r>
        <w:rPr>
          <w:color w:val="000000"/>
          <w:sz w:val="24"/>
          <w:szCs w:val="24"/>
        </w:rPr>
        <w:t xml:space="preserve"> gangs. The serious violence strategy (2018) found that mental health issues </w:t>
      </w:r>
      <w:r>
        <w:rPr>
          <w:sz w:val="24"/>
          <w:szCs w:val="24"/>
        </w:rPr>
        <w:t>are more common</w:t>
      </w:r>
      <w:r>
        <w:rPr>
          <w:color w:val="000000"/>
          <w:sz w:val="24"/>
          <w:szCs w:val="24"/>
        </w:rPr>
        <w:t xml:space="preserve"> in those involved in violence and gangs than other groups.</w:t>
      </w:r>
    </w:p>
    <w:p w14:paraId="00000020" w14:textId="77777777" w:rsidR="00A423FD" w:rsidRDefault="00A423FD">
      <w:pPr>
        <w:pBdr>
          <w:top w:val="nil"/>
          <w:left w:val="nil"/>
          <w:bottom w:val="nil"/>
          <w:right w:val="nil"/>
          <w:between w:val="nil"/>
        </w:pBdr>
        <w:spacing w:after="8" w:line="360" w:lineRule="auto"/>
        <w:ind w:left="576" w:right="507"/>
        <w:jc w:val="both"/>
        <w:rPr>
          <w:color w:val="000000"/>
          <w:sz w:val="24"/>
          <w:szCs w:val="24"/>
        </w:rPr>
      </w:pPr>
    </w:p>
    <w:p w14:paraId="00000021" w14:textId="77777777" w:rsidR="00A423FD" w:rsidRDefault="00B65CF7">
      <w:pPr>
        <w:pBdr>
          <w:top w:val="nil"/>
          <w:left w:val="nil"/>
          <w:bottom w:val="nil"/>
          <w:right w:val="nil"/>
          <w:between w:val="nil"/>
        </w:pBdr>
        <w:spacing w:after="8" w:line="360" w:lineRule="auto"/>
        <w:ind w:left="576" w:right="507"/>
        <w:jc w:val="both"/>
        <w:rPr>
          <w:color w:val="000000"/>
          <w:sz w:val="24"/>
          <w:szCs w:val="24"/>
        </w:rPr>
      </w:pPr>
      <w:r>
        <w:rPr>
          <w:color w:val="000000"/>
          <w:sz w:val="24"/>
          <w:szCs w:val="24"/>
        </w:rPr>
        <w:t xml:space="preserve">Considering the above characteristics, an </w:t>
      </w:r>
      <w:r>
        <w:rPr>
          <w:sz w:val="24"/>
          <w:szCs w:val="24"/>
        </w:rPr>
        <w:t>overarching</w:t>
      </w:r>
      <w:r>
        <w:rPr>
          <w:color w:val="000000"/>
          <w:sz w:val="24"/>
          <w:szCs w:val="24"/>
        </w:rPr>
        <w:t xml:space="preserve"> factor to exploitation can stem from socio-economic vulnerabilities, with unemployment rates in the UK rising 4.2% from previous years (Census, 2021). Since the COVID-19 pandemic and the ongoing rise of inflation, low-socio economic status households are more likely to fall into problematic debt (TNS report, 2014). With unemployment at its lowest, this leaves vulnerable individuals susceptible to being exploited as they are desperate to make an income and may turn to drug use to deal with the st</w:t>
      </w:r>
      <w:r>
        <w:rPr>
          <w:color w:val="000000"/>
          <w:sz w:val="24"/>
          <w:szCs w:val="24"/>
        </w:rPr>
        <w:t xml:space="preserve">ress of this or drug trafficking to make an income. Densley, McLean and Robinson (2018) state that vulnerable people find themselves in an impossible situation where criminal gangs feed their drug addiction to gain power and control which results in the individual owing the gang debt which they must traffic drugs in an attempt to pay off their indefinite debt. </w:t>
      </w:r>
    </w:p>
    <w:p w14:paraId="00000022" w14:textId="77777777" w:rsidR="00A423FD" w:rsidRDefault="00A423FD">
      <w:pPr>
        <w:pBdr>
          <w:top w:val="nil"/>
          <w:left w:val="nil"/>
          <w:bottom w:val="nil"/>
          <w:right w:val="nil"/>
          <w:between w:val="nil"/>
        </w:pBdr>
        <w:spacing w:after="8" w:line="360" w:lineRule="auto"/>
        <w:ind w:left="576" w:right="507"/>
        <w:jc w:val="both"/>
        <w:rPr>
          <w:color w:val="000000"/>
          <w:sz w:val="24"/>
          <w:szCs w:val="24"/>
        </w:rPr>
      </w:pPr>
    </w:p>
    <w:p w14:paraId="00000023" w14:textId="77777777" w:rsidR="00A423FD" w:rsidRDefault="00B65CF7">
      <w:pPr>
        <w:pBdr>
          <w:top w:val="nil"/>
          <w:left w:val="nil"/>
          <w:bottom w:val="nil"/>
          <w:right w:val="nil"/>
          <w:between w:val="nil"/>
        </w:pBdr>
        <w:spacing w:after="8" w:line="360" w:lineRule="auto"/>
        <w:ind w:left="576" w:right="507"/>
        <w:jc w:val="both"/>
        <w:rPr>
          <w:color w:val="000000"/>
          <w:sz w:val="24"/>
          <w:szCs w:val="24"/>
        </w:rPr>
      </w:pPr>
      <w:r>
        <w:rPr>
          <w:color w:val="000000"/>
          <w:sz w:val="24"/>
          <w:szCs w:val="24"/>
        </w:rPr>
        <w:t xml:space="preserve">To summarise, victims of criminal exploitation </w:t>
      </w:r>
      <w:r>
        <w:rPr>
          <w:sz w:val="24"/>
          <w:szCs w:val="24"/>
        </w:rPr>
        <w:t>have</w:t>
      </w:r>
      <w:r>
        <w:rPr>
          <w:color w:val="000000"/>
          <w:sz w:val="24"/>
          <w:szCs w:val="24"/>
        </w:rPr>
        <w:t xml:space="preserve"> risen in the UK and </w:t>
      </w:r>
      <w:r>
        <w:rPr>
          <w:sz w:val="24"/>
          <w:szCs w:val="24"/>
        </w:rPr>
        <w:t>have</w:t>
      </w:r>
      <w:r>
        <w:rPr>
          <w:color w:val="000000"/>
          <w:sz w:val="24"/>
          <w:szCs w:val="24"/>
        </w:rPr>
        <w:t xml:space="preserve"> been accelerated by the developing ‘county lines’ model of criminality </w:t>
      </w:r>
      <w:r>
        <w:rPr>
          <w:sz w:val="24"/>
          <w:szCs w:val="24"/>
        </w:rPr>
        <w:t>that</w:t>
      </w:r>
      <w:r>
        <w:rPr>
          <w:color w:val="000000"/>
          <w:sz w:val="24"/>
          <w:szCs w:val="24"/>
        </w:rPr>
        <w:t xml:space="preserve"> preys on vulnerable people who are coerced to commit crime for gang members. Adolescents are </w:t>
      </w:r>
      <w:r>
        <w:rPr>
          <w:sz w:val="24"/>
          <w:szCs w:val="24"/>
        </w:rPr>
        <w:t xml:space="preserve">the </w:t>
      </w:r>
      <w:r>
        <w:rPr>
          <w:color w:val="000000"/>
          <w:sz w:val="24"/>
          <w:szCs w:val="24"/>
        </w:rPr>
        <w:t xml:space="preserve">main target </w:t>
      </w:r>
      <w:r>
        <w:rPr>
          <w:sz w:val="24"/>
          <w:szCs w:val="24"/>
        </w:rPr>
        <w:t>of exploitation</w:t>
      </w:r>
      <w:r>
        <w:rPr>
          <w:color w:val="000000"/>
          <w:sz w:val="24"/>
          <w:szCs w:val="24"/>
        </w:rPr>
        <w:t xml:space="preserve"> within county lines due to their innocence and lack of suspicion to law enforcement, with over 25,000 children stating they are a gang member. With young people being a target of exploitation to criminal gangs, those that are excluded from school are more likely to offend, with over 20% of these children being given a 12 months or less custodial sentence (</w:t>
      </w:r>
      <w:r>
        <w:rPr>
          <w:sz w:val="24"/>
          <w:szCs w:val="24"/>
        </w:rPr>
        <w:t xml:space="preserve">DOE, </w:t>
      </w:r>
      <w:r>
        <w:rPr>
          <w:color w:val="000000"/>
          <w:sz w:val="24"/>
          <w:szCs w:val="24"/>
        </w:rPr>
        <w:t>2019). Of these childre</w:t>
      </w:r>
      <w:r>
        <w:rPr>
          <w:color w:val="000000"/>
          <w:sz w:val="24"/>
          <w:szCs w:val="24"/>
        </w:rPr>
        <w:t>n being excluded and exploited by criminal gangs, they are coerced through intimidation or violence to carry drugs for gang members who brainwash them as if they are a ‘</w:t>
      </w:r>
      <w:r>
        <w:rPr>
          <w:sz w:val="24"/>
          <w:szCs w:val="24"/>
        </w:rPr>
        <w:t>gangster' and</w:t>
      </w:r>
      <w:r>
        <w:rPr>
          <w:color w:val="000000"/>
          <w:sz w:val="24"/>
          <w:szCs w:val="24"/>
        </w:rPr>
        <w:t xml:space="preserve"> told to carry knives for protection. MOJ (2018) found that knife possession offences in young people </w:t>
      </w:r>
      <w:r>
        <w:rPr>
          <w:sz w:val="24"/>
          <w:szCs w:val="24"/>
        </w:rPr>
        <w:t>are more</w:t>
      </w:r>
      <w:r>
        <w:rPr>
          <w:color w:val="000000"/>
          <w:sz w:val="24"/>
          <w:szCs w:val="24"/>
        </w:rPr>
        <w:t xml:space="preserve"> prevalent in those excluded from school. Furthermore, lack of parent support is another characteristic leaving them vulnerable to exploitation as these young people are craving love and affection which they might not re</w:t>
      </w:r>
      <w:r>
        <w:rPr>
          <w:color w:val="000000"/>
          <w:sz w:val="24"/>
          <w:szCs w:val="24"/>
        </w:rPr>
        <w:t xml:space="preserve">ceive in their own home. Therefore, gang members will prey on this and use this to their advantage to </w:t>
      </w:r>
      <w:r>
        <w:rPr>
          <w:sz w:val="24"/>
          <w:szCs w:val="24"/>
        </w:rPr>
        <w:t>build young</w:t>
      </w:r>
      <w:r>
        <w:rPr>
          <w:color w:val="000000"/>
          <w:sz w:val="24"/>
          <w:szCs w:val="24"/>
        </w:rPr>
        <w:t xml:space="preserve"> persons trust.</w:t>
      </w:r>
      <w:r>
        <w:rPr>
          <w:sz w:val="24"/>
          <w:szCs w:val="24"/>
        </w:rPr>
        <w:t xml:space="preserve"> </w:t>
      </w:r>
      <w:r>
        <w:rPr>
          <w:color w:val="000000"/>
          <w:sz w:val="24"/>
          <w:szCs w:val="24"/>
        </w:rPr>
        <w:t>To coincide with the vulnerabilities of young people, socio-economic factors such as low-income families and low employment rates are an alarming characteristic to exploitation. Poverty-stricken families are more likely to get themselves into unaffordable debt and thus becoming vulnerable to exploitation due to either turning to drug use as a coping mechanism or to drug traffickin</w:t>
      </w:r>
      <w:r>
        <w:rPr>
          <w:color w:val="000000"/>
          <w:sz w:val="24"/>
          <w:szCs w:val="24"/>
        </w:rPr>
        <w:t>g to gain an income. To conclude, there are copious characteristics which influence vulnerability to exploitation to criminal gangs with a multitude of socio-economic and psychological factors.</w:t>
      </w:r>
    </w:p>
    <w:p w14:paraId="00000024" w14:textId="77777777" w:rsidR="00A423FD" w:rsidRDefault="00A423FD">
      <w:pPr>
        <w:pBdr>
          <w:top w:val="nil"/>
          <w:left w:val="nil"/>
          <w:bottom w:val="nil"/>
          <w:right w:val="nil"/>
          <w:between w:val="nil"/>
        </w:pBdr>
        <w:spacing w:after="8" w:line="264" w:lineRule="auto"/>
        <w:ind w:left="576" w:right="507"/>
        <w:rPr>
          <w:color w:val="000000"/>
          <w:sz w:val="24"/>
          <w:szCs w:val="24"/>
        </w:rPr>
      </w:pPr>
    </w:p>
    <w:p w14:paraId="00000025" w14:textId="77777777" w:rsidR="00A423FD" w:rsidRDefault="00B65CF7">
      <w:pPr>
        <w:pBdr>
          <w:top w:val="nil"/>
          <w:left w:val="nil"/>
          <w:bottom w:val="nil"/>
          <w:right w:val="nil"/>
          <w:between w:val="nil"/>
        </w:pBdr>
        <w:spacing w:after="8" w:line="264" w:lineRule="auto"/>
        <w:ind w:left="576" w:right="507"/>
        <w:rPr>
          <w:color w:val="000000"/>
          <w:sz w:val="24"/>
          <w:szCs w:val="24"/>
        </w:rPr>
      </w:pPr>
      <w:r>
        <w:rPr>
          <w:color w:val="000000"/>
          <w:sz w:val="24"/>
          <w:szCs w:val="24"/>
        </w:rPr>
        <w:t>Word</w:t>
      </w:r>
      <w:r>
        <w:rPr>
          <w:sz w:val="24"/>
          <w:szCs w:val="24"/>
        </w:rPr>
        <w:t xml:space="preserve"> Count </w:t>
      </w:r>
      <w:r>
        <w:rPr>
          <w:color w:val="000000"/>
          <w:sz w:val="24"/>
          <w:szCs w:val="24"/>
        </w:rPr>
        <w:t>= 10</w:t>
      </w:r>
      <w:r>
        <w:rPr>
          <w:sz w:val="24"/>
          <w:szCs w:val="24"/>
        </w:rPr>
        <w:t>52</w:t>
      </w:r>
    </w:p>
    <w:p w14:paraId="00000026" w14:textId="77777777" w:rsidR="00A423FD" w:rsidRDefault="00A423FD">
      <w:pPr>
        <w:pBdr>
          <w:top w:val="nil"/>
          <w:left w:val="nil"/>
          <w:bottom w:val="nil"/>
          <w:right w:val="nil"/>
          <w:between w:val="nil"/>
        </w:pBdr>
        <w:spacing w:after="8" w:line="264" w:lineRule="auto"/>
        <w:ind w:right="507"/>
        <w:jc w:val="both"/>
        <w:rPr>
          <w:color w:val="000000"/>
          <w:sz w:val="24"/>
          <w:szCs w:val="24"/>
        </w:rPr>
      </w:pPr>
    </w:p>
    <w:p w14:paraId="00000027" w14:textId="77777777" w:rsidR="00A423FD" w:rsidRDefault="00B65CF7">
      <w:pPr>
        <w:pBdr>
          <w:top w:val="nil"/>
          <w:left w:val="nil"/>
          <w:bottom w:val="nil"/>
          <w:right w:val="nil"/>
          <w:between w:val="nil"/>
        </w:pBdr>
        <w:spacing w:after="16"/>
        <w:ind w:left="563"/>
        <w:jc w:val="center"/>
        <w:rPr>
          <w:color w:val="000000"/>
          <w:sz w:val="24"/>
          <w:szCs w:val="24"/>
        </w:rPr>
      </w:pPr>
      <w:r>
        <w:rPr>
          <w:b/>
          <w:color w:val="000000"/>
          <w:sz w:val="24"/>
          <w:szCs w:val="24"/>
        </w:rPr>
        <w:t xml:space="preserve">Essay </w:t>
      </w:r>
      <w:r>
        <w:rPr>
          <w:b/>
          <w:sz w:val="24"/>
          <w:szCs w:val="24"/>
        </w:rPr>
        <w:t>T</w:t>
      </w:r>
      <w:r>
        <w:rPr>
          <w:b/>
          <w:color w:val="000000"/>
          <w:sz w:val="24"/>
          <w:szCs w:val="24"/>
        </w:rPr>
        <w:t>hree – Vulnerability &amp; Risk</w:t>
      </w:r>
      <w:r>
        <w:rPr>
          <w:color w:val="000000"/>
          <w:sz w:val="24"/>
          <w:szCs w:val="24"/>
        </w:rPr>
        <w:t xml:space="preserve"> </w:t>
      </w:r>
      <w:r>
        <w:rPr>
          <w:color w:val="000000"/>
          <w:sz w:val="24"/>
          <w:szCs w:val="24"/>
          <w:highlight w:val="yellow"/>
        </w:rPr>
        <w:br/>
      </w:r>
      <w:r>
        <w:rPr>
          <w:color w:val="000000"/>
          <w:sz w:val="24"/>
          <w:szCs w:val="24"/>
          <w:highlight w:val="yellow"/>
        </w:rPr>
        <w:br/>
      </w:r>
    </w:p>
    <w:p w14:paraId="00000028" w14:textId="77777777" w:rsidR="00A423FD" w:rsidRDefault="00B65CF7">
      <w:pPr>
        <w:pBdr>
          <w:top w:val="nil"/>
          <w:left w:val="nil"/>
          <w:bottom w:val="nil"/>
          <w:right w:val="nil"/>
          <w:between w:val="nil"/>
        </w:pBdr>
        <w:spacing w:after="8" w:line="360" w:lineRule="auto"/>
        <w:ind w:left="563" w:right="507"/>
        <w:jc w:val="both"/>
        <w:rPr>
          <w:color w:val="000000"/>
          <w:sz w:val="24"/>
          <w:szCs w:val="24"/>
        </w:rPr>
      </w:pPr>
      <w:r>
        <w:rPr>
          <w:color w:val="000000"/>
          <w:sz w:val="24"/>
          <w:szCs w:val="24"/>
        </w:rPr>
        <w:t>Crime rates in England and Wales have marginally decreased since the COVID-19 global pandemic</w:t>
      </w:r>
      <w:r>
        <w:rPr>
          <w:sz w:val="24"/>
          <w:szCs w:val="24"/>
        </w:rPr>
        <w:t>. C</w:t>
      </w:r>
      <w:r>
        <w:rPr>
          <w:color w:val="000000"/>
          <w:sz w:val="24"/>
          <w:szCs w:val="24"/>
        </w:rPr>
        <w:t xml:space="preserve">urrent crime rates are 17% lower </w:t>
      </w:r>
      <w:r>
        <w:rPr>
          <w:sz w:val="24"/>
          <w:szCs w:val="24"/>
        </w:rPr>
        <w:t xml:space="preserve">in 2023 than in 2020, </w:t>
      </w:r>
      <w:r>
        <w:rPr>
          <w:color w:val="000000"/>
          <w:sz w:val="24"/>
          <w:szCs w:val="24"/>
        </w:rPr>
        <w:t>with over 10.2 million offences being committed (</w:t>
      </w:r>
      <w:r>
        <w:rPr>
          <w:sz w:val="24"/>
          <w:szCs w:val="24"/>
        </w:rPr>
        <w:t>Census, 2021, 2023</w:t>
      </w:r>
      <w:r>
        <w:rPr>
          <w:color w:val="000000"/>
          <w:sz w:val="24"/>
          <w:szCs w:val="24"/>
        </w:rPr>
        <w:t>). The Youth Justice Board (YJ</w:t>
      </w:r>
      <w:r>
        <w:rPr>
          <w:sz w:val="24"/>
          <w:szCs w:val="24"/>
        </w:rPr>
        <w:t>B)</w:t>
      </w:r>
      <w:r>
        <w:rPr>
          <w:color w:val="000000"/>
          <w:sz w:val="24"/>
          <w:szCs w:val="24"/>
        </w:rPr>
        <w:t xml:space="preserve"> (2024) published a review </w:t>
      </w:r>
      <w:r>
        <w:rPr>
          <w:sz w:val="24"/>
          <w:szCs w:val="24"/>
        </w:rPr>
        <w:t>that</w:t>
      </w:r>
      <w:r>
        <w:rPr>
          <w:color w:val="000000"/>
          <w:sz w:val="24"/>
          <w:szCs w:val="24"/>
        </w:rPr>
        <w:t xml:space="preserve"> summarises a reduction in cautions and sentences for children involv</w:t>
      </w:r>
      <w:r>
        <w:rPr>
          <w:sz w:val="24"/>
          <w:szCs w:val="24"/>
        </w:rPr>
        <w:t>ed in</w:t>
      </w:r>
      <w:r>
        <w:rPr>
          <w:color w:val="000000"/>
          <w:sz w:val="24"/>
          <w:szCs w:val="24"/>
        </w:rPr>
        <w:t xml:space="preserve"> knife crime and a decline in sentencing. However, the statistics are returning to pre-pandemic figures with a 1% decrease in children aged 15-17 years old entering the youth justice system for the first time. In contrast to this, there has been an i</w:t>
      </w:r>
      <w:r>
        <w:rPr>
          <w:color w:val="000000"/>
          <w:sz w:val="24"/>
          <w:szCs w:val="24"/>
        </w:rPr>
        <w:t xml:space="preserve">ncrease of 7% of children aged between 10 and 14 years old who are first time offenders. </w:t>
      </w:r>
    </w:p>
    <w:p w14:paraId="00000029" w14:textId="77777777" w:rsidR="00A423FD" w:rsidRDefault="00A423FD">
      <w:pPr>
        <w:pBdr>
          <w:top w:val="nil"/>
          <w:left w:val="nil"/>
          <w:bottom w:val="nil"/>
          <w:right w:val="nil"/>
          <w:between w:val="nil"/>
        </w:pBdr>
        <w:spacing w:after="8" w:line="360" w:lineRule="auto"/>
        <w:ind w:left="563" w:right="507"/>
        <w:jc w:val="both"/>
        <w:rPr>
          <w:color w:val="000000"/>
          <w:sz w:val="24"/>
          <w:szCs w:val="24"/>
        </w:rPr>
      </w:pPr>
    </w:p>
    <w:p w14:paraId="0000002A" w14:textId="77777777" w:rsidR="00A423FD" w:rsidRDefault="00B65CF7">
      <w:pPr>
        <w:pBdr>
          <w:top w:val="nil"/>
          <w:left w:val="nil"/>
          <w:bottom w:val="nil"/>
          <w:right w:val="nil"/>
          <w:between w:val="nil"/>
        </w:pBdr>
        <w:spacing w:after="8" w:line="360" w:lineRule="auto"/>
        <w:ind w:left="553" w:right="507"/>
        <w:jc w:val="both"/>
        <w:rPr>
          <w:color w:val="000000"/>
          <w:sz w:val="24"/>
          <w:szCs w:val="24"/>
        </w:rPr>
      </w:pPr>
      <w:r>
        <w:rPr>
          <w:color w:val="000000"/>
          <w:sz w:val="24"/>
          <w:szCs w:val="24"/>
        </w:rPr>
        <w:t>Youth offending has been an ongoing problem for decades and is a complex community issue that has seen substantial changes in its implementation (Smith, 20</w:t>
      </w:r>
      <w:r>
        <w:rPr>
          <w:sz w:val="24"/>
          <w:szCs w:val="24"/>
        </w:rPr>
        <w:t>13</w:t>
      </w:r>
      <w:r>
        <w:rPr>
          <w:color w:val="000000"/>
          <w:sz w:val="24"/>
          <w:szCs w:val="24"/>
        </w:rPr>
        <w:t>).</w:t>
      </w:r>
      <w:r>
        <w:rPr>
          <w:sz w:val="24"/>
          <w:szCs w:val="24"/>
        </w:rPr>
        <w:t xml:space="preserve"> A study found</w:t>
      </w:r>
      <w:r>
        <w:rPr>
          <w:color w:val="000000"/>
          <w:sz w:val="24"/>
          <w:szCs w:val="24"/>
        </w:rPr>
        <w:t xml:space="preserve"> that </w:t>
      </w:r>
      <w:r>
        <w:rPr>
          <w:sz w:val="24"/>
          <w:szCs w:val="24"/>
        </w:rPr>
        <w:t>i</w:t>
      </w:r>
      <w:r>
        <w:rPr>
          <w:color w:val="000000"/>
          <w:sz w:val="24"/>
          <w:szCs w:val="24"/>
        </w:rPr>
        <w:t>nvolving young children i</w:t>
      </w:r>
      <w:r>
        <w:rPr>
          <w:sz w:val="24"/>
          <w:szCs w:val="24"/>
        </w:rPr>
        <w:t>n</w:t>
      </w:r>
      <w:r>
        <w:rPr>
          <w:color w:val="000000"/>
          <w:sz w:val="24"/>
          <w:szCs w:val="24"/>
        </w:rPr>
        <w:t xml:space="preserve"> the criminal justice system at an early age, can ultimately increase future offending, leaving youth offending teams </w:t>
      </w:r>
      <w:r>
        <w:rPr>
          <w:sz w:val="24"/>
          <w:szCs w:val="24"/>
        </w:rPr>
        <w:t>struggling with maintaining the</w:t>
      </w:r>
      <w:r>
        <w:rPr>
          <w:color w:val="000000"/>
          <w:sz w:val="24"/>
          <w:szCs w:val="24"/>
        </w:rPr>
        <w:t xml:space="preserve"> balanc</w:t>
      </w:r>
      <w:r>
        <w:rPr>
          <w:sz w:val="24"/>
          <w:szCs w:val="24"/>
        </w:rPr>
        <w:t>e between</w:t>
      </w:r>
      <w:r>
        <w:rPr>
          <w:color w:val="000000"/>
          <w:sz w:val="24"/>
          <w:szCs w:val="24"/>
        </w:rPr>
        <w:t xml:space="preserve"> protecting the public and rehabilitat</w:t>
      </w:r>
      <w:r>
        <w:rPr>
          <w:sz w:val="24"/>
          <w:szCs w:val="24"/>
        </w:rPr>
        <w:t>ing</w:t>
      </w:r>
      <w:r>
        <w:rPr>
          <w:color w:val="000000"/>
          <w:sz w:val="24"/>
          <w:szCs w:val="24"/>
        </w:rPr>
        <w:t xml:space="preserve"> the offender </w:t>
      </w:r>
      <w:r>
        <w:rPr>
          <w:sz w:val="24"/>
          <w:szCs w:val="24"/>
        </w:rPr>
        <w:t>and</w:t>
      </w:r>
      <w:r>
        <w:rPr>
          <w:color w:val="000000"/>
          <w:sz w:val="24"/>
          <w:szCs w:val="24"/>
        </w:rPr>
        <w:t xml:space="preserve"> trying to avoid early exposure into the criminal justice syste</w:t>
      </w:r>
      <w:r>
        <w:rPr>
          <w:sz w:val="24"/>
          <w:szCs w:val="24"/>
        </w:rPr>
        <w:t>m (YJB, 2017).</w:t>
      </w:r>
      <w:r>
        <w:rPr>
          <w:color w:val="000000"/>
          <w:sz w:val="24"/>
          <w:szCs w:val="24"/>
        </w:rPr>
        <w:t xml:space="preserve"> A </w:t>
      </w:r>
      <w:r>
        <w:rPr>
          <w:sz w:val="24"/>
          <w:szCs w:val="24"/>
        </w:rPr>
        <w:t>method</w:t>
      </w:r>
      <w:r>
        <w:rPr>
          <w:color w:val="000000"/>
          <w:sz w:val="24"/>
          <w:szCs w:val="24"/>
        </w:rPr>
        <w:t xml:space="preserve"> of addressing youth offending and not criminalising children at a young age i</w:t>
      </w:r>
      <w:r>
        <w:rPr>
          <w:sz w:val="24"/>
          <w:szCs w:val="24"/>
        </w:rPr>
        <w:t>s through</w:t>
      </w:r>
      <w:r>
        <w:rPr>
          <w:color w:val="000000"/>
          <w:sz w:val="24"/>
          <w:szCs w:val="24"/>
        </w:rPr>
        <w:t xml:space="preserve"> utilising a holistic approach</w:t>
      </w:r>
      <w:r>
        <w:rPr>
          <w:sz w:val="24"/>
          <w:szCs w:val="24"/>
        </w:rPr>
        <w:t xml:space="preserve">. </w:t>
      </w:r>
      <w:r>
        <w:rPr>
          <w:color w:val="000000"/>
          <w:sz w:val="24"/>
          <w:szCs w:val="24"/>
        </w:rPr>
        <w:t>Haydon</w:t>
      </w:r>
      <w:r>
        <w:rPr>
          <w:sz w:val="24"/>
          <w:szCs w:val="24"/>
        </w:rPr>
        <w:t xml:space="preserve"> (</w:t>
      </w:r>
      <w:r>
        <w:rPr>
          <w:color w:val="000000"/>
          <w:sz w:val="24"/>
          <w:szCs w:val="24"/>
        </w:rPr>
        <w:t xml:space="preserve">2014) </w:t>
      </w:r>
      <w:r>
        <w:rPr>
          <w:sz w:val="24"/>
          <w:szCs w:val="24"/>
        </w:rPr>
        <w:t>states that</w:t>
      </w:r>
      <w:r>
        <w:rPr>
          <w:color w:val="000000"/>
          <w:sz w:val="24"/>
          <w:szCs w:val="24"/>
        </w:rPr>
        <w:t xml:space="preserve"> </w:t>
      </w:r>
      <w:r>
        <w:rPr>
          <w:sz w:val="24"/>
          <w:szCs w:val="24"/>
        </w:rPr>
        <w:t>by</w:t>
      </w:r>
      <w:r>
        <w:rPr>
          <w:color w:val="000000"/>
          <w:sz w:val="24"/>
          <w:szCs w:val="24"/>
        </w:rPr>
        <w:t xml:space="preserve"> increas</w:t>
      </w:r>
      <w:r>
        <w:rPr>
          <w:sz w:val="24"/>
          <w:szCs w:val="24"/>
        </w:rPr>
        <w:t>ing</w:t>
      </w:r>
      <w:r>
        <w:rPr>
          <w:color w:val="000000"/>
          <w:sz w:val="24"/>
          <w:szCs w:val="24"/>
        </w:rPr>
        <w:t xml:space="preserve"> ‘risk factors’ that a child experiences, </w:t>
      </w:r>
      <w:r>
        <w:rPr>
          <w:sz w:val="24"/>
          <w:szCs w:val="24"/>
        </w:rPr>
        <w:t>then t</w:t>
      </w:r>
      <w:r>
        <w:rPr>
          <w:color w:val="000000"/>
          <w:sz w:val="24"/>
          <w:szCs w:val="24"/>
        </w:rPr>
        <w:t>hey are more likely</w:t>
      </w:r>
      <w:r>
        <w:rPr>
          <w:sz w:val="24"/>
          <w:szCs w:val="24"/>
        </w:rPr>
        <w:t xml:space="preserve"> </w:t>
      </w:r>
      <w:r>
        <w:rPr>
          <w:color w:val="000000"/>
          <w:sz w:val="24"/>
          <w:szCs w:val="24"/>
        </w:rPr>
        <w:t>to be involved in criminal behaviour and this led to targeting the individual through ‘early intervention’.</w:t>
      </w:r>
      <w:r>
        <w:rPr>
          <w:color w:val="FF0000"/>
          <w:sz w:val="24"/>
          <w:szCs w:val="24"/>
        </w:rPr>
        <w:t xml:space="preserve"> </w:t>
      </w:r>
      <w:r>
        <w:rPr>
          <w:color w:val="000000"/>
          <w:sz w:val="24"/>
          <w:szCs w:val="24"/>
        </w:rPr>
        <w:t>Blyth</w:t>
      </w:r>
      <w:r>
        <w:rPr>
          <w:sz w:val="24"/>
          <w:szCs w:val="24"/>
        </w:rPr>
        <w:t xml:space="preserve"> and</w:t>
      </w:r>
      <w:r>
        <w:rPr>
          <w:color w:val="000000"/>
          <w:sz w:val="24"/>
          <w:szCs w:val="24"/>
        </w:rPr>
        <w:t xml:space="preserve"> Solomon (2009) stated that since 1997, the labour government adopted a holistic ap</w:t>
      </w:r>
      <w:r>
        <w:rPr>
          <w:color w:val="000000"/>
          <w:sz w:val="24"/>
          <w:szCs w:val="24"/>
        </w:rPr>
        <w:t xml:space="preserve">proach to prevention strategies </w:t>
      </w:r>
      <w:r>
        <w:rPr>
          <w:sz w:val="24"/>
          <w:szCs w:val="24"/>
        </w:rPr>
        <w:t>that</w:t>
      </w:r>
      <w:r>
        <w:rPr>
          <w:color w:val="000000"/>
          <w:sz w:val="24"/>
          <w:szCs w:val="24"/>
        </w:rPr>
        <w:t xml:space="preserve"> were directed </w:t>
      </w:r>
      <w:r>
        <w:rPr>
          <w:sz w:val="24"/>
          <w:szCs w:val="24"/>
        </w:rPr>
        <w:t>to</w:t>
      </w:r>
      <w:r>
        <w:rPr>
          <w:color w:val="000000"/>
          <w:sz w:val="24"/>
          <w:szCs w:val="24"/>
        </w:rPr>
        <w:t xml:space="preserve"> young people at risk of criminality and delivered this through ‘early intervention’ projects. The YJB (2017) </w:t>
      </w:r>
      <w:r>
        <w:rPr>
          <w:sz w:val="24"/>
          <w:szCs w:val="24"/>
        </w:rPr>
        <w:t>implemented</w:t>
      </w:r>
      <w:r>
        <w:rPr>
          <w:color w:val="000000"/>
          <w:sz w:val="24"/>
          <w:szCs w:val="24"/>
        </w:rPr>
        <w:t xml:space="preserve"> ‘diversion’ programmes in an attempt to keep young people away from the criminal justice system and have stated that evidence suggests that the most effective programmes refer young people to services depending on their individual needs such as keeping extra-curricular activities which resulted in less offending. </w:t>
      </w:r>
    </w:p>
    <w:p w14:paraId="0000002B" w14:textId="77777777" w:rsidR="00A423FD" w:rsidRDefault="00A423FD">
      <w:pPr>
        <w:pBdr>
          <w:top w:val="nil"/>
          <w:left w:val="nil"/>
          <w:bottom w:val="nil"/>
          <w:right w:val="nil"/>
          <w:between w:val="nil"/>
        </w:pBdr>
        <w:spacing w:after="8" w:line="360" w:lineRule="auto"/>
        <w:ind w:left="553" w:right="507"/>
        <w:jc w:val="both"/>
        <w:rPr>
          <w:color w:val="000000"/>
          <w:sz w:val="24"/>
          <w:szCs w:val="24"/>
        </w:rPr>
      </w:pPr>
    </w:p>
    <w:p w14:paraId="0000002C" w14:textId="77777777" w:rsidR="00A423FD" w:rsidRDefault="00B65CF7">
      <w:pPr>
        <w:pBdr>
          <w:top w:val="nil"/>
          <w:left w:val="nil"/>
          <w:bottom w:val="nil"/>
          <w:right w:val="nil"/>
          <w:between w:val="nil"/>
        </w:pBdr>
        <w:spacing w:after="8" w:line="360" w:lineRule="auto"/>
        <w:ind w:left="553" w:right="507"/>
        <w:jc w:val="both"/>
        <w:rPr>
          <w:color w:val="000000"/>
          <w:sz w:val="24"/>
          <w:szCs w:val="24"/>
        </w:rPr>
      </w:pPr>
      <w:r>
        <w:rPr>
          <w:color w:val="000000"/>
          <w:sz w:val="24"/>
          <w:szCs w:val="24"/>
        </w:rPr>
        <w:t xml:space="preserve">The YJB (2017) also </w:t>
      </w:r>
      <w:r>
        <w:rPr>
          <w:sz w:val="24"/>
          <w:szCs w:val="24"/>
        </w:rPr>
        <w:t>states</w:t>
      </w:r>
      <w:r>
        <w:rPr>
          <w:color w:val="000000"/>
          <w:sz w:val="24"/>
          <w:szCs w:val="24"/>
        </w:rPr>
        <w:t xml:space="preserve"> that the evaluation of prevention implementation is underdeveloped but shows that targeting the risk factors can reduce behavioural problems and therefore reduce offending. There are numerous intervention programmes available to target these risk factors in young people which can be delivered via education. The Department of Education (2011) found that interventions such as counselling and skills training were effective, whereas programmes focusing on discipline can oppose what is trying to be achiev</w:t>
      </w:r>
      <w:r>
        <w:rPr>
          <w:color w:val="000000"/>
          <w:sz w:val="24"/>
          <w:szCs w:val="24"/>
        </w:rPr>
        <w:t>ed and lead to an increase in offending. Intervention programmes such as ‘scared straight’ were established to shock young people on the repercussions of criminality by taking them to maximum security prisons</w:t>
      </w:r>
      <w:r>
        <w:rPr>
          <w:sz w:val="24"/>
          <w:szCs w:val="24"/>
        </w:rPr>
        <w:t>.</w:t>
      </w:r>
      <w:r>
        <w:rPr>
          <w:color w:val="000000"/>
          <w:sz w:val="24"/>
          <w:szCs w:val="24"/>
        </w:rPr>
        <w:t xml:space="preserve"> Farrington et al (2002) argues that discipline programmes including ‘shock’ tactics are ineffective as they do not target the needs and risk factors which lead young people to offending.</w:t>
      </w:r>
    </w:p>
    <w:p w14:paraId="0000002D" w14:textId="77777777" w:rsidR="00A423FD" w:rsidRDefault="00A423FD">
      <w:pPr>
        <w:pBdr>
          <w:top w:val="nil"/>
          <w:left w:val="nil"/>
          <w:bottom w:val="nil"/>
          <w:right w:val="nil"/>
          <w:between w:val="nil"/>
        </w:pBdr>
        <w:spacing w:after="8" w:line="360" w:lineRule="auto"/>
        <w:ind w:left="553" w:right="507"/>
        <w:jc w:val="both"/>
        <w:rPr>
          <w:color w:val="000000"/>
          <w:sz w:val="24"/>
          <w:szCs w:val="24"/>
        </w:rPr>
      </w:pPr>
    </w:p>
    <w:p w14:paraId="0000002E" w14:textId="77777777" w:rsidR="00A423FD" w:rsidRDefault="00B65CF7">
      <w:pPr>
        <w:pBdr>
          <w:top w:val="nil"/>
          <w:left w:val="nil"/>
          <w:bottom w:val="nil"/>
          <w:right w:val="nil"/>
          <w:between w:val="nil"/>
        </w:pBdr>
        <w:spacing w:after="8" w:line="360" w:lineRule="auto"/>
        <w:ind w:left="553" w:right="507"/>
        <w:jc w:val="both"/>
        <w:rPr>
          <w:color w:val="000000"/>
          <w:sz w:val="24"/>
          <w:szCs w:val="24"/>
        </w:rPr>
      </w:pPr>
      <w:r>
        <w:rPr>
          <w:color w:val="000000"/>
          <w:sz w:val="24"/>
          <w:szCs w:val="24"/>
        </w:rPr>
        <w:t xml:space="preserve">There are several challenges that influence or hinder the effectiveness of early intervention to prevent young people from offending. A challenge for agencies is the </w:t>
      </w:r>
      <w:r>
        <w:rPr>
          <w:sz w:val="24"/>
          <w:szCs w:val="24"/>
        </w:rPr>
        <w:t>offender's</w:t>
      </w:r>
      <w:r>
        <w:rPr>
          <w:color w:val="000000"/>
          <w:sz w:val="24"/>
          <w:szCs w:val="24"/>
        </w:rPr>
        <w:t xml:space="preserve"> age and an unwillingness to criminalise them to prevent them becoming involved in crime at an early age. Mcara, Mcvie (2010) found that young people involved in serious crime are the most victimised and vulnerable in the community which creates challenges for policy makers in terms of </w:t>
      </w:r>
      <w:r>
        <w:rPr>
          <w:sz w:val="24"/>
          <w:szCs w:val="24"/>
        </w:rPr>
        <w:t>criminalising</w:t>
      </w:r>
      <w:r>
        <w:rPr>
          <w:color w:val="000000"/>
          <w:sz w:val="24"/>
          <w:szCs w:val="24"/>
        </w:rPr>
        <w:t xml:space="preserve"> them. This creates tension in the community as repeat victims of crime are not getting the justice they expect due to the young offenders not being criminalised. Mcara, Mcvie (2010) found there </w:t>
      </w:r>
      <w:r>
        <w:rPr>
          <w:sz w:val="24"/>
          <w:szCs w:val="24"/>
        </w:rPr>
        <w:t>were</w:t>
      </w:r>
      <w:r>
        <w:rPr>
          <w:color w:val="000000"/>
          <w:sz w:val="24"/>
          <w:szCs w:val="24"/>
        </w:rPr>
        <w:t xml:space="preserve"> hi</w:t>
      </w:r>
      <w:r>
        <w:rPr>
          <w:color w:val="000000"/>
          <w:sz w:val="24"/>
          <w:szCs w:val="24"/>
        </w:rPr>
        <w:t>gh tensions between tackling the needs of young offenders and delivering justice for communities and victims of crime. The ‘child first’ strategic approach was introduced and is aimed at preventing children having contact with the YJS by implementing interventions focusing on the child’s needs rather than their offending behaviour (YJB</w:t>
      </w:r>
      <w:r>
        <w:rPr>
          <w:sz w:val="24"/>
          <w:szCs w:val="24"/>
        </w:rPr>
        <w:t xml:space="preserve">, </w:t>
      </w:r>
      <w:r>
        <w:rPr>
          <w:color w:val="000000"/>
          <w:sz w:val="24"/>
          <w:szCs w:val="24"/>
        </w:rPr>
        <w:t xml:space="preserve">2021-2024). Since the implementation of this strategy being hindered following the COVID-19 lockdown, there was an increase in re-offending of young people by 31.2% between </w:t>
      </w:r>
      <w:r>
        <w:rPr>
          <w:color w:val="000000"/>
          <w:sz w:val="24"/>
          <w:szCs w:val="24"/>
        </w:rPr>
        <w:t>2021/2022 whereas, there was only a 0.9% increase the following year showing the impact of the pandemic on the effectiveness of early interventions due to them being unable to be attended, (YJ, 2021-2023).</w:t>
      </w:r>
    </w:p>
    <w:p w14:paraId="0000002F" w14:textId="77777777" w:rsidR="00A423FD" w:rsidRDefault="00A423FD">
      <w:pPr>
        <w:pBdr>
          <w:top w:val="nil"/>
          <w:left w:val="nil"/>
          <w:bottom w:val="nil"/>
          <w:right w:val="nil"/>
          <w:between w:val="nil"/>
        </w:pBdr>
        <w:spacing w:after="8" w:line="360" w:lineRule="auto"/>
        <w:ind w:left="553" w:right="507"/>
        <w:jc w:val="both"/>
        <w:rPr>
          <w:color w:val="000000"/>
          <w:sz w:val="24"/>
          <w:szCs w:val="24"/>
        </w:rPr>
      </w:pPr>
    </w:p>
    <w:p w14:paraId="00000030" w14:textId="77777777" w:rsidR="00A423FD" w:rsidRDefault="00B65CF7">
      <w:pPr>
        <w:pBdr>
          <w:top w:val="nil"/>
          <w:left w:val="nil"/>
          <w:bottom w:val="nil"/>
          <w:right w:val="nil"/>
          <w:between w:val="nil"/>
        </w:pBdr>
        <w:spacing w:after="8" w:line="360" w:lineRule="auto"/>
        <w:ind w:left="553" w:right="507"/>
        <w:jc w:val="both"/>
        <w:rPr>
          <w:color w:val="000000"/>
          <w:sz w:val="24"/>
          <w:szCs w:val="24"/>
        </w:rPr>
      </w:pPr>
      <w:r>
        <w:rPr>
          <w:color w:val="000000"/>
          <w:sz w:val="24"/>
          <w:szCs w:val="24"/>
        </w:rPr>
        <w:t>An over-arching factor which hinders the overall effectiveness of early intervention is the cost of implementing these programmes</w:t>
      </w:r>
      <w:r>
        <w:rPr>
          <w:sz w:val="24"/>
          <w:szCs w:val="24"/>
        </w:rPr>
        <w:t xml:space="preserve">. </w:t>
      </w:r>
      <w:r>
        <w:rPr>
          <w:color w:val="000000"/>
          <w:sz w:val="24"/>
          <w:szCs w:val="24"/>
        </w:rPr>
        <w:t>In the early 2000’s preventing youth crime was a low priority where only 2.5% of the YJB budget is spent on offender prevention which has increased incrementally annually</w:t>
      </w:r>
      <w:r>
        <w:rPr>
          <w:sz w:val="24"/>
          <w:szCs w:val="24"/>
        </w:rPr>
        <w:t xml:space="preserve"> (</w:t>
      </w:r>
      <w:r>
        <w:rPr>
          <w:color w:val="000000"/>
          <w:sz w:val="24"/>
          <w:szCs w:val="24"/>
        </w:rPr>
        <w:t>Arthur,</w:t>
      </w:r>
      <w:r>
        <w:rPr>
          <w:sz w:val="24"/>
          <w:szCs w:val="24"/>
        </w:rPr>
        <w:t xml:space="preserve"> </w:t>
      </w:r>
      <w:r>
        <w:rPr>
          <w:color w:val="000000"/>
          <w:sz w:val="24"/>
          <w:szCs w:val="24"/>
        </w:rPr>
        <w:t>2007). However, since the ‘turnaround’ initiative was introduced in 2022 which provided £55 million to Youth Offending Teams in England and Wales to fund early intervention programmes, to prevent children entering the youth justice system and since has found a 15% reduction in youth convictions and over 30% decrease in custodial</w:t>
      </w:r>
      <w:r>
        <w:rPr>
          <w:color w:val="000000"/>
          <w:sz w:val="24"/>
          <w:szCs w:val="24"/>
        </w:rPr>
        <w:t xml:space="preserve"> sentences (</w:t>
      </w:r>
      <w:r>
        <w:rPr>
          <w:sz w:val="24"/>
          <w:szCs w:val="24"/>
        </w:rPr>
        <w:t>GOV</w:t>
      </w:r>
      <w:r>
        <w:rPr>
          <w:color w:val="000000"/>
          <w:sz w:val="24"/>
          <w:szCs w:val="24"/>
        </w:rPr>
        <w:t>,  2022).</w:t>
      </w:r>
    </w:p>
    <w:p w14:paraId="00000031" w14:textId="77777777" w:rsidR="00A423FD" w:rsidRDefault="00B65CF7">
      <w:pPr>
        <w:pBdr>
          <w:top w:val="nil"/>
          <w:left w:val="nil"/>
          <w:bottom w:val="nil"/>
          <w:right w:val="nil"/>
          <w:between w:val="nil"/>
        </w:pBdr>
        <w:spacing w:after="8" w:line="360" w:lineRule="auto"/>
        <w:ind w:left="576" w:right="507"/>
        <w:jc w:val="both"/>
        <w:rPr>
          <w:color w:val="000000"/>
          <w:sz w:val="24"/>
          <w:szCs w:val="24"/>
        </w:rPr>
      </w:pPr>
      <w:r>
        <w:rPr>
          <w:sz w:val="24"/>
          <w:szCs w:val="24"/>
        </w:rPr>
        <w:br/>
      </w:r>
      <w:r>
        <w:rPr>
          <w:color w:val="000000"/>
          <w:sz w:val="24"/>
          <w:szCs w:val="24"/>
        </w:rPr>
        <w:t>Labelling and stigma can also impact the effectiveness of early intervention by labelling young people as ‘criminals’ by participating in these programmes. Deakin</w:t>
      </w:r>
      <w:r>
        <w:rPr>
          <w:sz w:val="24"/>
          <w:szCs w:val="24"/>
        </w:rPr>
        <w:t xml:space="preserve"> and</w:t>
      </w:r>
      <w:r>
        <w:rPr>
          <w:color w:val="000000"/>
          <w:sz w:val="24"/>
          <w:szCs w:val="24"/>
        </w:rPr>
        <w:t xml:space="preserve"> Fox (2020) conducted a study and found that young people participating in crime or behavioural interventions</w:t>
      </w:r>
      <w:r>
        <w:rPr>
          <w:sz w:val="24"/>
          <w:szCs w:val="24"/>
        </w:rPr>
        <w:t xml:space="preserve"> </w:t>
      </w:r>
      <w:r>
        <w:rPr>
          <w:color w:val="000000"/>
          <w:sz w:val="24"/>
          <w:szCs w:val="24"/>
        </w:rPr>
        <w:t>considered that the interventions to be part of the problem, rather than the solution, as it increases the stigma around their criminality and thus resulting in them being disengaged or withdrawing from the intervention.</w:t>
      </w:r>
    </w:p>
    <w:p w14:paraId="00000032" w14:textId="77777777" w:rsidR="00A423FD" w:rsidRDefault="00A423FD">
      <w:pPr>
        <w:pBdr>
          <w:top w:val="nil"/>
          <w:left w:val="nil"/>
          <w:bottom w:val="nil"/>
          <w:right w:val="nil"/>
          <w:between w:val="nil"/>
        </w:pBdr>
        <w:spacing w:after="8" w:line="360" w:lineRule="auto"/>
        <w:ind w:left="576" w:right="507"/>
        <w:jc w:val="both"/>
        <w:rPr>
          <w:color w:val="000000"/>
          <w:sz w:val="24"/>
          <w:szCs w:val="24"/>
        </w:rPr>
      </w:pPr>
    </w:p>
    <w:p w14:paraId="00000033" w14:textId="77777777" w:rsidR="00A423FD" w:rsidRDefault="00B65CF7">
      <w:pPr>
        <w:pBdr>
          <w:top w:val="nil"/>
          <w:left w:val="nil"/>
          <w:bottom w:val="nil"/>
          <w:right w:val="nil"/>
          <w:between w:val="nil"/>
        </w:pBdr>
        <w:spacing w:after="8" w:line="360" w:lineRule="auto"/>
        <w:ind w:left="553" w:right="507"/>
        <w:jc w:val="both"/>
        <w:rPr>
          <w:sz w:val="24"/>
          <w:szCs w:val="24"/>
        </w:rPr>
      </w:pPr>
      <w:r>
        <w:rPr>
          <w:sz w:val="24"/>
          <w:szCs w:val="24"/>
        </w:rPr>
        <w:t>To</w:t>
      </w:r>
      <w:r>
        <w:rPr>
          <w:color w:val="000000"/>
          <w:sz w:val="24"/>
          <w:szCs w:val="24"/>
        </w:rPr>
        <w:t xml:space="preserve"> </w:t>
      </w:r>
      <w:r>
        <w:rPr>
          <w:sz w:val="24"/>
          <w:szCs w:val="24"/>
        </w:rPr>
        <w:t>summarise</w:t>
      </w:r>
      <w:r>
        <w:rPr>
          <w:color w:val="000000"/>
          <w:sz w:val="24"/>
          <w:szCs w:val="24"/>
        </w:rPr>
        <w:t>, crime in England and Wales has acutely decreased which is as a result of the COVID-19 pandemic seeing a reduction in offences involving young people. However, in contrast to this there has been an increase in young people entering the youth justice system for the first time. The YJB (2017) have for decades found difficulty with balancing protecting the public and rehabilitating young offenders through early intervention and have been stuck in this cycle since. There are several early intervention programm</w:t>
      </w:r>
      <w:r>
        <w:rPr>
          <w:color w:val="000000"/>
          <w:sz w:val="24"/>
          <w:szCs w:val="24"/>
        </w:rPr>
        <w:t xml:space="preserve">es which </w:t>
      </w:r>
      <w:r>
        <w:rPr>
          <w:sz w:val="24"/>
          <w:szCs w:val="24"/>
        </w:rPr>
        <w:t>have been found</w:t>
      </w:r>
      <w:r>
        <w:rPr>
          <w:color w:val="000000"/>
          <w:sz w:val="24"/>
          <w:szCs w:val="24"/>
        </w:rPr>
        <w:t xml:space="preserve"> to be successful but can be depending on the individual and their circumstances. Since the introduction of the ‘child first’ initiative, there was an increase in re-offending of young people by over 30% between 2021/2022. However, there was only </w:t>
      </w:r>
      <w:r>
        <w:rPr>
          <w:sz w:val="24"/>
          <w:szCs w:val="24"/>
        </w:rPr>
        <w:t>a slight</w:t>
      </w:r>
      <w:r>
        <w:rPr>
          <w:color w:val="000000"/>
          <w:sz w:val="24"/>
          <w:szCs w:val="24"/>
        </w:rPr>
        <w:t xml:space="preserve"> increase the following year.</w:t>
      </w:r>
    </w:p>
    <w:p w14:paraId="00000034" w14:textId="77777777" w:rsidR="00A423FD" w:rsidRDefault="00A423FD">
      <w:pPr>
        <w:pBdr>
          <w:top w:val="nil"/>
          <w:left w:val="nil"/>
          <w:bottom w:val="nil"/>
          <w:right w:val="nil"/>
          <w:between w:val="nil"/>
        </w:pBdr>
        <w:spacing w:after="8" w:line="264" w:lineRule="auto"/>
        <w:ind w:left="553" w:right="507"/>
        <w:rPr>
          <w:color w:val="000000"/>
          <w:sz w:val="24"/>
          <w:szCs w:val="24"/>
        </w:rPr>
      </w:pPr>
    </w:p>
    <w:p w14:paraId="00000035" w14:textId="77777777" w:rsidR="00A423FD" w:rsidRDefault="00B65CF7">
      <w:pPr>
        <w:pBdr>
          <w:top w:val="nil"/>
          <w:left w:val="nil"/>
          <w:bottom w:val="nil"/>
          <w:right w:val="nil"/>
          <w:between w:val="nil"/>
        </w:pBdr>
        <w:spacing w:after="8" w:line="264" w:lineRule="auto"/>
        <w:ind w:left="553" w:right="507"/>
        <w:rPr>
          <w:color w:val="000000"/>
          <w:sz w:val="24"/>
          <w:szCs w:val="24"/>
        </w:rPr>
      </w:pPr>
      <w:r>
        <w:rPr>
          <w:color w:val="000000"/>
          <w:sz w:val="24"/>
          <w:szCs w:val="24"/>
        </w:rPr>
        <w:t>Word</w:t>
      </w:r>
      <w:r>
        <w:rPr>
          <w:sz w:val="24"/>
          <w:szCs w:val="24"/>
        </w:rPr>
        <w:t xml:space="preserve"> Count</w:t>
      </w:r>
      <w:r>
        <w:rPr>
          <w:color w:val="000000"/>
          <w:sz w:val="24"/>
          <w:szCs w:val="24"/>
        </w:rPr>
        <w:t xml:space="preserve"> – </w:t>
      </w:r>
      <w:r>
        <w:rPr>
          <w:sz w:val="24"/>
          <w:szCs w:val="24"/>
        </w:rPr>
        <w:t>994</w:t>
      </w:r>
    </w:p>
    <w:p w14:paraId="00000036" w14:textId="77777777" w:rsidR="00A423FD" w:rsidRDefault="00A423FD">
      <w:pPr>
        <w:pBdr>
          <w:top w:val="nil"/>
          <w:left w:val="nil"/>
          <w:bottom w:val="nil"/>
          <w:right w:val="nil"/>
          <w:between w:val="nil"/>
        </w:pBdr>
        <w:spacing w:after="8" w:line="264" w:lineRule="auto"/>
        <w:ind w:left="553" w:right="507"/>
        <w:rPr>
          <w:color w:val="000000"/>
          <w:sz w:val="24"/>
          <w:szCs w:val="24"/>
        </w:rPr>
      </w:pPr>
    </w:p>
    <w:p w14:paraId="00000037" w14:textId="77777777" w:rsidR="00A423FD" w:rsidRDefault="00B65CF7">
      <w:pPr>
        <w:pBdr>
          <w:top w:val="nil"/>
          <w:left w:val="nil"/>
          <w:bottom w:val="nil"/>
          <w:right w:val="nil"/>
          <w:between w:val="nil"/>
        </w:pBdr>
        <w:spacing w:after="16" w:line="246" w:lineRule="auto"/>
        <w:ind w:left="563"/>
        <w:jc w:val="center"/>
        <w:rPr>
          <w:color w:val="000000"/>
          <w:sz w:val="24"/>
          <w:szCs w:val="24"/>
        </w:rPr>
      </w:pPr>
      <w:r>
        <w:rPr>
          <w:b/>
          <w:color w:val="000000"/>
          <w:sz w:val="24"/>
          <w:szCs w:val="24"/>
        </w:rPr>
        <w:t xml:space="preserve">Essay </w:t>
      </w:r>
      <w:r>
        <w:rPr>
          <w:b/>
          <w:sz w:val="24"/>
          <w:szCs w:val="24"/>
        </w:rPr>
        <w:t>F</w:t>
      </w:r>
      <w:r>
        <w:rPr>
          <w:b/>
          <w:color w:val="000000"/>
          <w:sz w:val="24"/>
          <w:szCs w:val="24"/>
        </w:rPr>
        <w:t>our – Valuing Difference &amp; Inclusion</w:t>
      </w:r>
      <w:r>
        <w:rPr>
          <w:color w:val="000000"/>
          <w:sz w:val="24"/>
          <w:szCs w:val="24"/>
        </w:rPr>
        <w:t xml:space="preserve"> </w:t>
      </w:r>
    </w:p>
    <w:p w14:paraId="00000038" w14:textId="77777777" w:rsidR="00A423FD" w:rsidRDefault="00A423FD">
      <w:pPr>
        <w:pBdr>
          <w:top w:val="nil"/>
          <w:left w:val="nil"/>
          <w:bottom w:val="nil"/>
          <w:right w:val="nil"/>
          <w:between w:val="nil"/>
        </w:pBdr>
        <w:spacing w:after="8" w:line="264" w:lineRule="auto"/>
        <w:ind w:left="553" w:right="507"/>
        <w:rPr>
          <w:color w:val="000000"/>
          <w:sz w:val="24"/>
          <w:szCs w:val="24"/>
        </w:rPr>
      </w:pPr>
    </w:p>
    <w:p w14:paraId="00000039" w14:textId="77777777" w:rsidR="00A423FD" w:rsidRDefault="00B65CF7">
      <w:pPr>
        <w:pBdr>
          <w:top w:val="nil"/>
          <w:left w:val="nil"/>
          <w:bottom w:val="nil"/>
          <w:right w:val="nil"/>
          <w:between w:val="nil"/>
        </w:pBdr>
        <w:spacing w:after="8" w:line="360" w:lineRule="auto"/>
        <w:ind w:left="553" w:right="507"/>
        <w:jc w:val="both"/>
        <w:rPr>
          <w:color w:val="000000"/>
          <w:sz w:val="24"/>
          <w:szCs w:val="24"/>
        </w:rPr>
      </w:pPr>
      <w:r>
        <w:rPr>
          <w:color w:val="000000"/>
          <w:sz w:val="24"/>
          <w:szCs w:val="24"/>
        </w:rPr>
        <w:t xml:space="preserve">The founder of the Police service, Sir Robert Peel’s famous quote ‘Police are the public and the public are the police’ </w:t>
      </w:r>
      <w:r>
        <w:rPr>
          <w:sz w:val="24"/>
          <w:szCs w:val="24"/>
        </w:rPr>
        <w:t>displayed</w:t>
      </w:r>
      <w:r>
        <w:rPr>
          <w:color w:val="000000"/>
          <w:sz w:val="24"/>
          <w:szCs w:val="24"/>
        </w:rPr>
        <w:t xml:space="preserve"> his outlook of the Police service reflecting the communities it serves</w:t>
      </w:r>
      <w:r>
        <w:rPr>
          <w:sz w:val="24"/>
          <w:szCs w:val="24"/>
        </w:rPr>
        <w:t xml:space="preserve"> (</w:t>
      </w:r>
      <w:r>
        <w:rPr>
          <w:color w:val="000000"/>
          <w:sz w:val="24"/>
          <w:szCs w:val="24"/>
        </w:rPr>
        <w:t xml:space="preserve">South Yorkshire Police and Crime </w:t>
      </w:r>
      <w:r>
        <w:rPr>
          <w:sz w:val="24"/>
          <w:szCs w:val="24"/>
        </w:rPr>
        <w:t>C</w:t>
      </w:r>
      <w:r>
        <w:rPr>
          <w:color w:val="000000"/>
          <w:sz w:val="24"/>
          <w:szCs w:val="24"/>
        </w:rPr>
        <w:t>ommissioner</w:t>
      </w:r>
      <w:r>
        <w:rPr>
          <w:sz w:val="24"/>
          <w:szCs w:val="24"/>
        </w:rPr>
        <w:t xml:space="preserve">, </w:t>
      </w:r>
      <w:r>
        <w:rPr>
          <w:color w:val="000000"/>
          <w:sz w:val="24"/>
          <w:szCs w:val="24"/>
        </w:rPr>
        <w:t xml:space="preserve">2016). However, with the population of England and Wales being 59.6 million and over 80% of that population being white </w:t>
      </w:r>
      <w:r>
        <w:rPr>
          <w:sz w:val="24"/>
          <w:szCs w:val="24"/>
        </w:rPr>
        <w:t>and</w:t>
      </w:r>
      <w:r>
        <w:rPr>
          <w:color w:val="000000"/>
          <w:sz w:val="24"/>
          <w:szCs w:val="24"/>
        </w:rPr>
        <w:t xml:space="preserve"> only approximately 15% of that belonging to minority ethnic groups, Peel’s outlook on Policing is not currently being met (Census, 2021). Inegbedion et al (2020) state that race, ethnicity, geographic and socioeconomic factors distinguish one person from anot</w:t>
      </w:r>
      <w:r>
        <w:rPr>
          <w:color w:val="000000"/>
          <w:sz w:val="24"/>
          <w:szCs w:val="24"/>
        </w:rPr>
        <w:t xml:space="preserve">her which all amount to being diverse. </w:t>
      </w:r>
    </w:p>
    <w:p w14:paraId="0000003A" w14:textId="77777777" w:rsidR="00A423FD" w:rsidRDefault="00A423FD">
      <w:pPr>
        <w:pBdr>
          <w:top w:val="nil"/>
          <w:left w:val="nil"/>
          <w:bottom w:val="nil"/>
          <w:right w:val="nil"/>
          <w:between w:val="nil"/>
        </w:pBdr>
        <w:spacing w:after="8" w:line="360" w:lineRule="auto"/>
        <w:ind w:left="553" w:right="507"/>
        <w:jc w:val="both"/>
        <w:rPr>
          <w:color w:val="000000"/>
          <w:sz w:val="24"/>
          <w:szCs w:val="24"/>
        </w:rPr>
      </w:pPr>
    </w:p>
    <w:p w14:paraId="0000003B" w14:textId="77777777" w:rsidR="00A423FD" w:rsidRDefault="00B65CF7">
      <w:pPr>
        <w:pBdr>
          <w:top w:val="nil"/>
          <w:left w:val="nil"/>
          <w:bottom w:val="nil"/>
          <w:right w:val="nil"/>
          <w:between w:val="nil"/>
        </w:pBdr>
        <w:spacing w:after="8" w:line="360" w:lineRule="auto"/>
        <w:ind w:left="576" w:right="507"/>
        <w:jc w:val="both"/>
        <w:rPr>
          <w:color w:val="000000"/>
          <w:sz w:val="24"/>
          <w:szCs w:val="24"/>
        </w:rPr>
      </w:pPr>
      <w:r>
        <w:rPr>
          <w:color w:val="000000"/>
          <w:sz w:val="24"/>
          <w:szCs w:val="24"/>
        </w:rPr>
        <w:t xml:space="preserve">The United Kingdom is evolving and becoming more </w:t>
      </w:r>
      <w:r>
        <w:rPr>
          <w:sz w:val="24"/>
          <w:szCs w:val="24"/>
        </w:rPr>
        <w:t>multiculturally</w:t>
      </w:r>
      <w:r>
        <w:rPr>
          <w:color w:val="000000"/>
          <w:sz w:val="24"/>
          <w:szCs w:val="24"/>
        </w:rPr>
        <w:t xml:space="preserve"> diverse since the MacPherson report in 1999.</w:t>
      </w:r>
      <w:r>
        <w:rPr>
          <w:sz w:val="24"/>
          <w:szCs w:val="24"/>
        </w:rPr>
        <w:t xml:space="preserve"> The</w:t>
      </w:r>
      <w:r>
        <w:rPr>
          <w:color w:val="000000"/>
          <w:sz w:val="24"/>
          <w:szCs w:val="24"/>
        </w:rPr>
        <w:t xml:space="preserve"> </w:t>
      </w:r>
      <w:r>
        <w:rPr>
          <w:sz w:val="24"/>
          <w:szCs w:val="24"/>
        </w:rPr>
        <w:t>enquiry</w:t>
      </w:r>
      <w:r>
        <w:rPr>
          <w:color w:val="000000"/>
          <w:sz w:val="24"/>
          <w:szCs w:val="24"/>
        </w:rPr>
        <w:t xml:space="preserve"> into the murder of Stephen Lawrence</w:t>
      </w:r>
      <w:r>
        <w:rPr>
          <w:sz w:val="24"/>
          <w:szCs w:val="24"/>
        </w:rPr>
        <w:t xml:space="preserve">, </w:t>
      </w:r>
      <w:r>
        <w:rPr>
          <w:color w:val="000000"/>
          <w:sz w:val="24"/>
          <w:szCs w:val="24"/>
        </w:rPr>
        <w:t>found failings within the Metropolitan Police service and brandished them to be institutionally racist</w:t>
      </w:r>
      <w:r>
        <w:rPr>
          <w:sz w:val="24"/>
          <w:szCs w:val="24"/>
        </w:rPr>
        <w:t xml:space="preserve"> (</w:t>
      </w:r>
      <w:r>
        <w:rPr>
          <w:color w:val="000000"/>
          <w:sz w:val="24"/>
          <w:szCs w:val="24"/>
        </w:rPr>
        <w:t>Bhugowandeen</w:t>
      </w:r>
      <w:r>
        <w:rPr>
          <w:sz w:val="24"/>
          <w:szCs w:val="24"/>
        </w:rPr>
        <w:t xml:space="preserve">, </w:t>
      </w:r>
      <w:r>
        <w:rPr>
          <w:color w:val="000000"/>
          <w:sz w:val="24"/>
          <w:szCs w:val="24"/>
        </w:rPr>
        <w:t>2013). The upshot to this was the government setting targets to forces across England and Wales</w:t>
      </w:r>
      <w:r>
        <w:rPr>
          <w:sz w:val="24"/>
          <w:szCs w:val="24"/>
        </w:rPr>
        <w:t>.</w:t>
      </w:r>
      <w:r>
        <w:rPr>
          <w:color w:val="000000"/>
          <w:sz w:val="24"/>
          <w:szCs w:val="24"/>
        </w:rPr>
        <w:t xml:space="preserve"> </w:t>
      </w:r>
      <w:r>
        <w:rPr>
          <w:sz w:val="24"/>
          <w:szCs w:val="24"/>
        </w:rPr>
        <w:t>O</w:t>
      </w:r>
      <w:r>
        <w:rPr>
          <w:color w:val="000000"/>
          <w:sz w:val="24"/>
          <w:szCs w:val="24"/>
        </w:rPr>
        <w:t>ne being to actively recruit more people from black and ethnic minority groups (BAME) to reflect the communities that they serve (Macpherson</w:t>
      </w:r>
      <w:r>
        <w:rPr>
          <w:sz w:val="24"/>
          <w:szCs w:val="24"/>
        </w:rPr>
        <w:t xml:space="preserve">, </w:t>
      </w:r>
      <w:r>
        <w:rPr>
          <w:color w:val="000000"/>
          <w:sz w:val="24"/>
          <w:szCs w:val="24"/>
        </w:rPr>
        <w:t>1999). Bela (2013) argues that forces used ‘</w:t>
      </w:r>
      <w:r>
        <w:rPr>
          <w:color w:val="000000"/>
          <w:sz w:val="24"/>
          <w:szCs w:val="24"/>
        </w:rPr>
        <w:t xml:space="preserve">illegal’ methods such as positive discrimination to hit these targets which included Gloucestershire Police </w:t>
      </w:r>
      <w:r>
        <w:rPr>
          <w:sz w:val="24"/>
          <w:szCs w:val="24"/>
        </w:rPr>
        <w:t>who</w:t>
      </w:r>
      <w:r>
        <w:rPr>
          <w:color w:val="000000"/>
          <w:sz w:val="24"/>
          <w:szCs w:val="24"/>
        </w:rPr>
        <w:t xml:space="preserve"> used a ‘deselection policy’ by rejecting white applicants. In contrast to this, Miles-Johnson (2019) conducted a study and argues that the Police must focus on recruiting officers from a diverse background as it is vital in the reduction of negative encounters with the public. As of March 2023, there are 147,430 serving Police officers in England and Wales with over 11,000 officers from minority e</w:t>
      </w:r>
      <w:r>
        <w:rPr>
          <w:color w:val="000000"/>
          <w:sz w:val="24"/>
          <w:szCs w:val="24"/>
        </w:rPr>
        <w:t>thnic groups which has marginally increased from previous years (Home Office, 2023).</w:t>
      </w:r>
    </w:p>
    <w:p w14:paraId="0000003C" w14:textId="77777777" w:rsidR="00A423FD" w:rsidRDefault="00A423FD">
      <w:pPr>
        <w:pBdr>
          <w:top w:val="nil"/>
          <w:left w:val="nil"/>
          <w:bottom w:val="nil"/>
          <w:right w:val="nil"/>
          <w:between w:val="nil"/>
        </w:pBdr>
        <w:spacing w:after="8" w:line="360" w:lineRule="auto"/>
        <w:ind w:left="576" w:right="507"/>
        <w:jc w:val="both"/>
        <w:rPr>
          <w:color w:val="000000"/>
          <w:sz w:val="24"/>
          <w:szCs w:val="24"/>
        </w:rPr>
      </w:pPr>
    </w:p>
    <w:p w14:paraId="0000003D" w14:textId="77777777" w:rsidR="00A423FD" w:rsidRDefault="00B65CF7">
      <w:pPr>
        <w:pBdr>
          <w:top w:val="nil"/>
          <w:left w:val="nil"/>
          <w:bottom w:val="nil"/>
          <w:right w:val="nil"/>
          <w:between w:val="nil"/>
        </w:pBdr>
        <w:spacing w:after="8" w:line="360" w:lineRule="auto"/>
        <w:ind w:left="576" w:right="507"/>
        <w:jc w:val="both"/>
        <w:rPr>
          <w:color w:val="000000"/>
          <w:sz w:val="24"/>
          <w:szCs w:val="24"/>
        </w:rPr>
      </w:pPr>
      <w:r>
        <w:rPr>
          <w:color w:val="000000"/>
          <w:sz w:val="24"/>
          <w:szCs w:val="24"/>
        </w:rPr>
        <w:t xml:space="preserve">Racial discrimination and prejudice have been a highly scrutinised area within Policing for the last decade and has been negatively portrayed by the media. Awan et al (2018) conducted a study </w:t>
      </w:r>
      <w:r>
        <w:rPr>
          <w:sz w:val="24"/>
          <w:szCs w:val="24"/>
        </w:rPr>
        <w:t>that</w:t>
      </w:r>
      <w:r>
        <w:rPr>
          <w:color w:val="000000"/>
          <w:sz w:val="24"/>
          <w:szCs w:val="24"/>
        </w:rPr>
        <w:t xml:space="preserve"> found that of the BME participants, some stated that they had not been subject to prejudice from the Police whereas participants from a non-BME background stated they felt as though they were being judged based on the circumstances which they found themselves in with the Police or due to the Police’s perception of them.</w:t>
      </w:r>
    </w:p>
    <w:p w14:paraId="0000003E" w14:textId="77777777" w:rsidR="00A423FD" w:rsidRDefault="00A423FD">
      <w:pPr>
        <w:pBdr>
          <w:top w:val="nil"/>
          <w:left w:val="nil"/>
          <w:bottom w:val="nil"/>
          <w:right w:val="nil"/>
          <w:between w:val="nil"/>
        </w:pBdr>
        <w:spacing w:after="8" w:line="360" w:lineRule="auto"/>
        <w:ind w:left="576" w:right="507"/>
        <w:jc w:val="both"/>
        <w:rPr>
          <w:color w:val="000000"/>
          <w:sz w:val="24"/>
          <w:szCs w:val="24"/>
        </w:rPr>
      </w:pPr>
    </w:p>
    <w:p w14:paraId="0000003F" w14:textId="77777777" w:rsidR="00A423FD" w:rsidRDefault="00B65CF7">
      <w:pPr>
        <w:pBdr>
          <w:top w:val="nil"/>
          <w:left w:val="nil"/>
          <w:bottom w:val="nil"/>
          <w:right w:val="nil"/>
          <w:between w:val="nil"/>
        </w:pBdr>
        <w:spacing w:after="8" w:line="360" w:lineRule="auto"/>
        <w:ind w:left="576" w:right="507"/>
        <w:jc w:val="both"/>
        <w:rPr>
          <w:color w:val="000000"/>
          <w:sz w:val="24"/>
          <w:szCs w:val="24"/>
        </w:rPr>
      </w:pPr>
      <w:r>
        <w:rPr>
          <w:color w:val="000000"/>
          <w:sz w:val="24"/>
          <w:szCs w:val="24"/>
        </w:rPr>
        <w:t>The 43 Police forces in England and Wales have adapted to accommodate this, seeing an implementation of diversity and inclusion training to educate new officers as a result of targets set by the government to tackle any diverse related issues. Miles-Johnson (2019) conducted a study involving Police recruits of how occupational attitudes and background characteristics shape the Police recruits’ perceptions and found that implementing diversity awareness training and misconduct and professional standards will</w:t>
      </w:r>
      <w:r>
        <w:rPr>
          <w:color w:val="000000"/>
          <w:sz w:val="24"/>
          <w:szCs w:val="24"/>
        </w:rPr>
        <w:t xml:space="preserve"> have a positive effect on recruit’s bias held towards BAME groups. Therefore, policing performance as a whole will improve.</w:t>
      </w:r>
    </w:p>
    <w:p w14:paraId="00000040" w14:textId="77777777" w:rsidR="00A423FD" w:rsidRDefault="00A423FD">
      <w:pPr>
        <w:pBdr>
          <w:top w:val="nil"/>
          <w:left w:val="nil"/>
          <w:bottom w:val="nil"/>
          <w:right w:val="nil"/>
          <w:between w:val="nil"/>
        </w:pBdr>
        <w:spacing w:after="8" w:line="360" w:lineRule="auto"/>
        <w:ind w:left="576" w:right="507"/>
        <w:jc w:val="both"/>
        <w:rPr>
          <w:color w:val="000000"/>
          <w:sz w:val="24"/>
          <w:szCs w:val="24"/>
        </w:rPr>
      </w:pPr>
    </w:p>
    <w:p w14:paraId="00000041" w14:textId="77777777" w:rsidR="00A423FD" w:rsidRDefault="00B65CF7">
      <w:pPr>
        <w:pBdr>
          <w:top w:val="nil"/>
          <w:left w:val="nil"/>
          <w:bottom w:val="nil"/>
          <w:right w:val="nil"/>
          <w:between w:val="nil"/>
        </w:pBdr>
        <w:spacing w:after="8" w:line="360" w:lineRule="auto"/>
        <w:ind w:left="576" w:right="507"/>
        <w:jc w:val="both"/>
        <w:rPr>
          <w:color w:val="000000"/>
          <w:sz w:val="24"/>
          <w:szCs w:val="24"/>
        </w:rPr>
      </w:pPr>
      <w:r>
        <w:rPr>
          <w:color w:val="000000"/>
          <w:sz w:val="24"/>
          <w:szCs w:val="24"/>
        </w:rPr>
        <w:t>An internal policing focus is the career prospects for officers who are from a minority ethnic background. Nearly 3,000 officers were promoted in the 43 police forces in 2018/19. Of these, only 123 identified themselves as BME. Graham et al</w:t>
      </w:r>
      <w:r>
        <w:rPr>
          <w:sz w:val="24"/>
          <w:szCs w:val="24"/>
        </w:rPr>
        <w:t xml:space="preserve"> </w:t>
      </w:r>
      <w:r>
        <w:rPr>
          <w:color w:val="000000"/>
          <w:sz w:val="24"/>
          <w:szCs w:val="24"/>
        </w:rPr>
        <w:t xml:space="preserve">(2019) conducted a study and found that 20% of BAME police officers and 13% of BAME Police staff strongly agreed that their career promotion opportunities were negatively influenced due to their ethnicity. This shows that there is a clear internal problem within Policing in regard to equal opportunities which needs to be addressed to show communities that policing has officers who hold rank who are from a BAME community which in turn, can build trust. </w:t>
      </w:r>
    </w:p>
    <w:p w14:paraId="00000042" w14:textId="77777777" w:rsidR="00A423FD" w:rsidRDefault="00A423FD">
      <w:pPr>
        <w:pBdr>
          <w:top w:val="nil"/>
          <w:left w:val="nil"/>
          <w:bottom w:val="nil"/>
          <w:right w:val="nil"/>
          <w:between w:val="nil"/>
        </w:pBdr>
        <w:spacing w:after="8" w:line="360" w:lineRule="auto"/>
        <w:ind w:right="507"/>
        <w:jc w:val="both"/>
        <w:rPr>
          <w:color w:val="000000"/>
          <w:sz w:val="24"/>
          <w:szCs w:val="24"/>
        </w:rPr>
      </w:pPr>
    </w:p>
    <w:p w14:paraId="00000043" w14:textId="77777777" w:rsidR="00A423FD" w:rsidRDefault="00B65CF7">
      <w:pPr>
        <w:pBdr>
          <w:top w:val="nil"/>
          <w:left w:val="nil"/>
          <w:bottom w:val="nil"/>
          <w:right w:val="nil"/>
          <w:between w:val="nil"/>
        </w:pBdr>
        <w:spacing w:after="8" w:line="360" w:lineRule="auto"/>
        <w:ind w:left="576" w:right="507"/>
        <w:jc w:val="both"/>
        <w:rPr>
          <w:color w:val="000000"/>
          <w:sz w:val="24"/>
          <w:szCs w:val="24"/>
        </w:rPr>
      </w:pPr>
      <w:r>
        <w:rPr>
          <w:color w:val="000000"/>
          <w:sz w:val="24"/>
          <w:szCs w:val="24"/>
        </w:rPr>
        <w:t xml:space="preserve">Community engagement is another focus which the Police utilise to adapt to its diverse communities within the UK which is aided with the implementation of Police community Support Officers (Police Reform Act 2002). The College of Policing (COP, 2024) states it aims to ‘represent and reflect the diversity and backgrounds in the communities we serve.’ However, as of March 2023, over 16,000 people were recruited into the Police as part of the national uplift. Of those people, only 10% identified as being part </w:t>
      </w:r>
      <w:r>
        <w:rPr>
          <w:color w:val="000000"/>
          <w:sz w:val="24"/>
          <w:szCs w:val="24"/>
        </w:rPr>
        <w:t xml:space="preserve">of an ethnic minority group. Bullock and Johnson (2017) argues that gaining trust with Muslim communities is only possible if the Police can demonstrate being able to fully omit ‘institutional racism’ which can be successful by delivering effective services to Muslim communities through encouraging officer engagement. </w:t>
      </w:r>
    </w:p>
    <w:p w14:paraId="00000044" w14:textId="77777777" w:rsidR="00A423FD" w:rsidRDefault="00A423FD">
      <w:pPr>
        <w:pBdr>
          <w:top w:val="nil"/>
          <w:left w:val="nil"/>
          <w:bottom w:val="nil"/>
          <w:right w:val="nil"/>
          <w:between w:val="nil"/>
        </w:pBdr>
        <w:spacing w:after="8" w:line="360" w:lineRule="auto"/>
        <w:ind w:left="566" w:right="507"/>
        <w:jc w:val="both"/>
        <w:rPr>
          <w:color w:val="000000"/>
          <w:sz w:val="24"/>
          <w:szCs w:val="24"/>
        </w:rPr>
      </w:pPr>
    </w:p>
    <w:p w14:paraId="00000045" w14:textId="77777777" w:rsidR="00A423FD" w:rsidRDefault="00B65CF7">
      <w:pPr>
        <w:pBdr>
          <w:top w:val="nil"/>
          <w:left w:val="nil"/>
          <w:bottom w:val="nil"/>
          <w:right w:val="nil"/>
          <w:between w:val="nil"/>
        </w:pBdr>
        <w:spacing w:after="8" w:line="360" w:lineRule="auto"/>
        <w:ind w:left="566" w:right="507"/>
        <w:jc w:val="both"/>
        <w:rPr>
          <w:color w:val="000000"/>
          <w:sz w:val="24"/>
          <w:szCs w:val="24"/>
        </w:rPr>
      </w:pPr>
      <w:r>
        <w:rPr>
          <w:color w:val="000000"/>
          <w:sz w:val="24"/>
          <w:szCs w:val="24"/>
        </w:rPr>
        <w:t>In contrast to this, there has been many negative interactions with the Police and BAME groups which has a damaging effect on the public’s perception of the Police.</w:t>
      </w:r>
      <w:r>
        <w:rPr>
          <w:color w:val="FF0000"/>
          <w:sz w:val="24"/>
          <w:szCs w:val="24"/>
        </w:rPr>
        <w:t xml:space="preserve"> </w:t>
      </w:r>
      <w:r>
        <w:rPr>
          <w:color w:val="000000"/>
          <w:sz w:val="24"/>
          <w:szCs w:val="24"/>
        </w:rPr>
        <w:t xml:space="preserve">The Police Race Action Plan states that per 1000 people, 54 black people are being </w:t>
      </w:r>
      <w:r>
        <w:rPr>
          <w:sz w:val="24"/>
          <w:szCs w:val="24"/>
        </w:rPr>
        <w:t>stopped and</w:t>
      </w:r>
      <w:r>
        <w:rPr>
          <w:color w:val="000000"/>
          <w:sz w:val="24"/>
          <w:szCs w:val="24"/>
        </w:rPr>
        <w:t xml:space="preserve"> searched whereas only 6 white people per 1000 are being </w:t>
      </w:r>
      <w:r>
        <w:rPr>
          <w:sz w:val="24"/>
          <w:szCs w:val="24"/>
        </w:rPr>
        <w:t>stopped (COP, 2024)</w:t>
      </w:r>
      <w:r>
        <w:rPr>
          <w:color w:val="000000"/>
          <w:sz w:val="24"/>
          <w:szCs w:val="24"/>
        </w:rPr>
        <w:t>. However, they have since made efforts to adapt to diversity by developing and implementing a new national approach to help identify and tackle racial bias in the use of search powers.</w:t>
      </w:r>
    </w:p>
    <w:p w14:paraId="00000046" w14:textId="77777777" w:rsidR="00A423FD" w:rsidRDefault="00B65CF7">
      <w:pPr>
        <w:pBdr>
          <w:top w:val="nil"/>
          <w:left w:val="nil"/>
          <w:bottom w:val="nil"/>
          <w:right w:val="nil"/>
          <w:between w:val="nil"/>
        </w:pBdr>
        <w:spacing w:after="8" w:line="360" w:lineRule="auto"/>
        <w:ind w:left="576" w:right="507"/>
        <w:jc w:val="both"/>
        <w:rPr>
          <w:color w:val="000000"/>
          <w:sz w:val="24"/>
          <w:szCs w:val="24"/>
        </w:rPr>
      </w:pPr>
      <w:r>
        <w:rPr>
          <w:color w:val="000000"/>
          <w:sz w:val="24"/>
          <w:szCs w:val="24"/>
        </w:rPr>
        <w:t xml:space="preserve">To summarise, Policing is attempting to adapt and accommodate diversity within the UK both internally and through community engagement. Since the Machperson report and the enquiry into the murder of Stephen Lawrence in 1999, the Metropolitan Police and its counterpart forces have been branded as ‘institutionally racist’ resulting in mistrust from the public. </w:t>
      </w:r>
    </w:p>
    <w:p w14:paraId="00000047" w14:textId="77777777" w:rsidR="00A423FD" w:rsidRDefault="00B65CF7">
      <w:pPr>
        <w:pBdr>
          <w:top w:val="nil"/>
          <w:left w:val="nil"/>
          <w:bottom w:val="nil"/>
          <w:right w:val="nil"/>
          <w:between w:val="nil"/>
        </w:pBdr>
        <w:spacing w:after="8" w:line="360" w:lineRule="auto"/>
        <w:ind w:left="566" w:right="507"/>
        <w:jc w:val="both"/>
        <w:rPr>
          <w:color w:val="000000"/>
          <w:sz w:val="24"/>
          <w:szCs w:val="24"/>
        </w:rPr>
      </w:pPr>
      <w:r>
        <w:rPr>
          <w:sz w:val="24"/>
          <w:szCs w:val="24"/>
        </w:rPr>
        <w:t xml:space="preserve">The government </w:t>
      </w:r>
      <w:r>
        <w:rPr>
          <w:color w:val="000000"/>
          <w:sz w:val="24"/>
          <w:szCs w:val="24"/>
        </w:rPr>
        <w:t>reacted to this report to adapt to the diverse needs of its communities, by setting targets for forces to actively recruit people from BAME backgrounds to reflect the communities they serve (MacPherson</w:t>
      </w:r>
      <w:r>
        <w:rPr>
          <w:sz w:val="24"/>
          <w:szCs w:val="24"/>
        </w:rPr>
        <w:t xml:space="preserve">, </w:t>
      </w:r>
      <w:r>
        <w:rPr>
          <w:color w:val="000000"/>
          <w:sz w:val="24"/>
          <w:szCs w:val="24"/>
        </w:rPr>
        <w:t>1999). Policing ha</w:t>
      </w:r>
      <w:r>
        <w:rPr>
          <w:sz w:val="24"/>
          <w:szCs w:val="24"/>
        </w:rPr>
        <w:t>ve</w:t>
      </w:r>
      <w:r>
        <w:rPr>
          <w:color w:val="000000"/>
          <w:sz w:val="24"/>
          <w:szCs w:val="24"/>
        </w:rPr>
        <w:t xml:space="preserve"> also implemented diversity and inclusion training to new recruits set out by the government to educate new officers on the impacts of bias. Miles-Johnson (2019) conducted a study with new recruits and found it to have a positive effect on recruits’ bias towards BAME groups which in turn </w:t>
      </w:r>
      <w:r>
        <w:rPr>
          <w:color w:val="000000"/>
          <w:sz w:val="24"/>
          <w:szCs w:val="24"/>
        </w:rPr>
        <w:t>will improve policing performance. Policing is also focusing on career prospects for officers from BAME backgrounds but found that 20% of BAME Police officers and 13% of BAME police staff strongly agreed that their career opportunities were hindered by their ethnicity which has a negative effect of policing adapting to diversity meaning people from those communities are less likely to join due to the lack of career opportunities.</w:t>
      </w:r>
      <w:r>
        <w:rPr>
          <w:sz w:val="24"/>
          <w:szCs w:val="24"/>
        </w:rPr>
        <w:t xml:space="preserve"> </w:t>
      </w:r>
      <w:r>
        <w:rPr>
          <w:color w:val="000000"/>
          <w:sz w:val="24"/>
          <w:szCs w:val="24"/>
        </w:rPr>
        <w:t>Policing has experienced negative encounters with the public during stop and s</w:t>
      </w:r>
      <w:r>
        <w:rPr>
          <w:color w:val="000000"/>
          <w:sz w:val="24"/>
          <w:szCs w:val="24"/>
        </w:rPr>
        <w:t xml:space="preserve">earch which has been portrayed by the media in a negative light. The research shows that people from BAME backgrounds are substantially more likely to be </w:t>
      </w:r>
      <w:r>
        <w:rPr>
          <w:sz w:val="24"/>
          <w:szCs w:val="24"/>
        </w:rPr>
        <w:t>stopped and</w:t>
      </w:r>
      <w:r>
        <w:rPr>
          <w:color w:val="000000"/>
          <w:sz w:val="24"/>
          <w:szCs w:val="24"/>
        </w:rPr>
        <w:t xml:space="preserve"> searched than a white person causing BAME communities feeling targeted resulting in them mistrusting the Police and tarnishing policing as institutionally racist. </w:t>
      </w:r>
    </w:p>
    <w:p w14:paraId="00000048" w14:textId="77777777" w:rsidR="00A423FD" w:rsidRDefault="00A423FD">
      <w:pPr>
        <w:pBdr>
          <w:top w:val="nil"/>
          <w:left w:val="nil"/>
          <w:bottom w:val="nil"/>
          <w:right w:val="nil"/>
          <w:between w:val="nil"/>
        </w:pBdr>
        <w:spacing w:after="8" w:line="264" w:lineRule="auto"/>
        <w:ind w:left="566" w:right="507"/>
        <w:rPr>
          <w:color w:val="000000"/>
          <w:sz w:val="24"/>
          <w:szCs w:val="24"/>
        </w:rPr>
      </w:pPr>
    </w:p>
    <w:p w14:paraId="00000049" w14:textId="77777777" w:rsidR="00A423FD" w:rsidRDefault="00A423FD">
      <w:pPr>
        <w:pBdr>
          <w:top w:val="nil"/>
          <w:left w:val="nil"/>
          <w:bottom w:val="nil"/>
          <w:right w:val="nil"/>
          <w:between w:val="nil"/>
        </w:pBdr>
        <w:spacing w:after="8" w:line="264" w:lineRule="auto"/>
        <w:ind w:left="566" w:right="507"/>
        <w:rPr>
          <w:color w:val="000000"/>
          <w:sz w:val="24"/>
          <w:szCs w:val="24"/>
        </w:rPr>
      </w:pPr>
    </w:p>
    <w:p w14:paraId="0000004A" w14:textId="77777777" w:rsidR="00A423FD" w:rsidRDefault="00B65CF7">
      <w:pPr>
        <w:pBdr>
          <w:top w:val="nil"/>
          <w:left w:val="nil"/>
          <w:bottom w:val="nil"/>
          <w:right w:val="nil"/>
          <w:between w:val="nil"/>
        </w:pBdr>
        <w:spacing w:after="8" w:line="264" w:lineRule="auto"/>
        <w:ind w:left="566" w:right="507"/>
        <w:rPr>
          <w:color w:val="000000"/>
          <w:sz w:val="24"/>
          <w:szCs w:val="24"/>
        </w:rPr>
      </w:pPr>
      <w:r>
        <w:rPr>
          <w:color w:val="000000"/>
          <w:sz w:val="24"/>
          <w:szCs w:val="24"/>
        </w:rPr>
        <w:t>Word</w:t>
      </w:r>
      <w:r>
        <w:rPr>
          <w:sz w:val="24"/>
          <w:szCs w:val="24"/>
        </w:rPr>
        <w:t xml:space="preserve"> Count: 1063</w:t>
      </w:r>
    </w:p>
    <w:p w14:paraId="0000004B" w14:textId="77777777" w:rsidR="00A423FD" w:rsidRDefault="00A423FD">
      <w:pPr>
        <w:pBdr>
          <w:top w:val="nil"/>
          <w:left w:val="nil"/>
          <w:bottom w:val="nil"/>
          <w:right w:val="nil"/>
          <w:between w:val="nil"/>
        </w:pBdr>
        <w:spacing w:after="8" w:line="264" w:lineRule="auto"/>
        <w:ind w:left="576" w:right="507"/>
        <w:rPr>
          <w:color w:val="000000"/>
          <w:sz w:val="24"/>
          <w:szCs w:val="24"/>
        </w:rPr>
      </w:pPr>
    </w:p>
    <w:p w14:paraId="0000004C" w14:textId="77777777" w:rsidR="00A423FD" w:rsidRDefault="00A423FD">
      <w:pPr>
        <w:pBdr>
          <w:top w:val="nil"/>
          <w:left w:val="nil"/>
          <w:bottom w:val="nil"/>
          <w:right w:val="nil"/>
          <w:between w:val="nil"/>
        </w:pBdr>
        <w:spacing w:after="8" w:line="264" w:lineRule="auto"/>
        <w:ind w:left="576" w:right="507"/>
        <w:rPr>
          <w:color w:val="000000"/>
          <w:sz w:val="24"/>
          <w:szCs w:val="24"/>
        </w:rPr>
      </w:pPr>
    </w:p>
    <w:p w14:paraId="0000004D" w14:textId="77777777" w:rsidR="00A423FD" w:rsidRDefault="00A423FD">
      <w:pPr>
        <w:pBdr>
          <w:top w:val="nil"/>
          <w:left w:val="nil"/>
          <w:bottom w:val="nil"/>
          <w:right w:val="nil"/>
          <w:between w:val="nil"/>
        </w:pBdr>
        <w:spacing w:after="8" w:line="264" w:lineRule="auto"/>
        <w:ind w:left="566" w:right="507"/>
        <w:rPr>
          <w:color w:val="000000"/>
          <w:sz w:val="24"/>
          <w:szCs w:val="24"/>
        </w:rPr>
      </w:pPr>
    </w:p>
    <w:p w14:paraId="0000004E" w14:textId="77777777" w:rsidR="00A423FD" w:rsidRDefault="00A423FD">
      <w:pPr>
        <w:pBdr>
          <w:top w:val="nil"/>
          <w:left w:val="nil"/>
          <w:bottom w:val="nil"/>
          <w:right w:val="nil"/>
          <w:between w:val="nil"/>
        </w:pBdr>
        <w:spacing w:after="8" w:line="264" w:lineRule="auto"/>
        <w:ind w:left="576" w:right="507"/>
        <w:rPr>
          <w:color w:val="000000"/>
          <w:sz w:val="24"/>
          <w:szCs w:val="24"/>
        </w:rPr>
      </w:pPr>
    </w:p>
    <w:p w14:paraId="0000004F" w14:textId="77777777" w:rsidR="00A423FD" w:rsidRDefault="00A423FD">
      <w:pPr>
        <w:pBdr>
          <w:top w:val="nil"/>
          <w:left w:val="nil"/>
          <w:bottom w:val="nil"/>
          <w:right w:val="nil"/>
          <w:between w:val="nil"/>
        </w:pBdr>
        <w:spacing w:after="8" w:line="264" w:lineRule="auto"/>
        <w:ind w:left="553" w:right="507"/>
        <w:rPr>
          <w:color w:val="000000"/>
          <w:sz w:val="24"/>
          <w:szCs w:val="24"/>
        </w:rPr>
      </w:pPr>
    </w:p>
    <w:p w14:paraId="00000050" w14:textId="77777777" w:rsidR="00A423FD" w:rsidRDefault="00A423FD">
      <w:pPr>
        <w:pBdr>
          <w:top w:val="nil"/>
          <w:left w:val="nil"/>
          <w:bottom w:val="nil"/>
          <w:right w:val="nil"/>
          <w:between w:val="nil"/>
        </w:pBdr>
        <w:spacing w:after="8" w:line="264" w:lineRule="auto"/>
        <w:ind w:left="553" w:right="507"/>
        <w:rPr>
          <w:color w:val="000000"/>
          <w:sz w:val="24"/>
          <w:szCs w:val="24"/>
        </w:rPr>
      </w:pPr>
    </w:p>
    <w:p w14:paraId="00000051" w14:textId="77777777" w:rsidR="00A423FD" w:rsidRDefault="00A423FD">
      <w:pPr>
        <w:pBdr>
          <w:top w:val="nil"/>
          <w:left w:val="nil"/>
          <w:bottom w:val="nil"/>
          <w:right w:val="nil"/>
          <w:between w:val="nil"/>
        </w:pBdr>
        <w:spacing w:after="8" w:line="264" w:lineRule="auto"/>
        <w:ind w:left="553" w:right="507"/>
        <w:rPr>
          <w:color w:val="000000"/>
          <w:sz w:val="24"/>
          <w:szCs w:val="24"/>
        </w:rPr>
      </w:pPr>
    </w:p>
    <w:p w14:paraId="00000052" w14:textId="77777777" w:rsidR="00A423FD" w:rsidRDefault="00A423FD">
      <w:pPr>
        <w:pBdr>
          <w:top w:val="nil"/>
          <w:left w:val="nil"/>
          <w:bottom w:val="nil"/>
          <w:right w:val="nil"/>
          <w:between w:val="nil"/>
        </w:pBdr>
        <w:spacing w:after="8" w:line="264" w:lineRule="auto"/>
        <w:ind w:right="507"/>
        <w:rPr>
          <w:sz w:val="24"/>
          <w:szCs w:val="24"/>
        </w:rPr>
      </w:pPr>
    </w:p>
    <w:p w14:paraId="00000053" w14:textId="77777777" w:rsidR="00A423FD" w:rsidRDefault="00B65CF7">
      <w:pPr>
        <w:pBdr>
          <w:top w:val="nil"/>
          <w:left w:val="nil"/>
          <w:bottom w:val="nil"/>
          <w:right w:val="nil"/>
          <w:between w:val="nil"/>
        </w:pBdr>
        <w:spacing w:after="8" w:line="264" w:lineRule="auto"/>
        <w:ind w:right="507"/>
        <w:jc w:val="center"/>
        <w:rPr>
          <w:sz w:val="24"/>
          <w:szCs w:val="24"/>
        </w:rPr>
      </w:pPr>
      <w:r>
        <w:rPr>
          <w:sz w:val="24"/>
          <w:szCs w:val="24"/>
        </w:rPr>
        <w:t xml:space="preserve">Reference List: </w:t>
      </w:r>
    </w:p>
    <w:p w14:paraId="00000054" w14:textId="77777777" w:rsidR="00A423FD" w:rsidRDefault="00A423FD">
      <w:pPr>
        <w:pBdr>
          <w:top w:val="nil"/>
          <w:left w:val="nil"/>
          <w:bottom w:val="nil"/>
          <w:right w:val="nil"/>
          <w:between w:val="nil"/>
        </w:pBdr>
        <w:spacing w:after="8" w:line="264" w:lineRule="auto"/>
        <w:ind w:left="563" w:right="507"/>
        <w:rPr>
          <w:sz w:val="24"/>
          <w:szCs w:val="24"/>
        </w:rPr>
      </w:pPr>
    </w:p>
    <w:p w14:paraId="00000055" w14:textId="77777777" w:rsidR="00A423FD" w:rsidRDefault="00A423FD">
      <w:pPr>
        <w:spacing w:after="8" w:line="268" w:lineRule="auto"/>
        <w:ind w:right="1426"/>
        <w:rPr>
          <w:sz w:val="24"/>
          <w:szCs w:val="24"/>
        </w:rPr>
      </w:pPr>
    </w:p>
    <w:p w14:paraId="00000056" w14:textId="77777777" w:rsidR="00A423FD" w:rsidRDefault="00B65CF7">
      <w:pPr>
        <w:spacing w:after="0" w:line="268" w:lineRule="auto"/>
        <w:jc w:val="both"/>
        <w:rPr>
          <w:sz w:val="24"/>
          <w:szCs w:val="24"/>
        </w:rPr>
      </w:pPr>
      <w:r>
        <w:rPr>
          <w:color w:val="222222"/>
          <w:sz w:val="24"/>
          <w:szCs w:val="24"/>
        </w:rPr>
        <w:t>Annan, L., Borges, M., Gaoua, N. and Mileva, K. (2021)</w:t>
      </w:r>
      <w:r>
        <w:rPr>
          <w:i/>
          <w:color w:val="222222"/>
          <w:sz w:val="24"/>
          <w:szCs w:val="24"/>
        </w:rPr>
        <w:t xml:space="preserve"> ‘What makes young people get involved with street gangs in London? A study of the perceived risk factors’ </w:t>
      </w:r>
      <w:r>
        <w:rPr>
          <w:color w:val="222222"/>
          <w:sz w:val="24"/>
          <w:szCs w:val="24"/>
        </w:rPr>
        <w:t>Available at:</w:t>
      </w:r>
      <w:r>
        <w:rPr>
          <w:i/>
          <w:color w:val="222222"/>
          <w:sz w:val="24"/>
          <w:szCs w:val="24"/>
        </w:rPr>
        <w:t xml:space="preserve"> </w:t>
      </w:r>
      <w:hyperlink r:id="rId4">
        <w:r>
          <w:rPr>
            <w:color w:val="1155CC"/>
            <w:sz w:val="24"/>
            <w:szCs w:val="24"/>
            <w:u w:val="single"/>
          </w:rPr>
          <w:t>What makes young people get involved with street gangs in London? A study of the perceived risk factors - Annan - 2022 - Journal of Community Psychology - Wiley Online Library</w:t>
        </w:r>
      </w:hyperlink>
      <w:r>
        <w:rPr>
          <w:color w:val="222222"/>
          <w:sz w:val="24"/>
          <w:szCs w:val="24"/>
        </w:rPr>
        <w:t xml:space="preserve"> (Accessed: March the 30th, 2024) </w:t>
      </w:r>
    </w:p>
    <w:p w14:paraId="00000057" w14:textId="77777777" w:rsidR="00A423FD" w:rsidRDefault="00A423FD">
      <w:pPr>
        <w:spacing w:after="8" w:line="268" w:lineRule="auto"/>
        <w:ind w:right="1426"/>
        <w:jc w:val="both"/>
        <w:rPr>
          <w:sz w:val="24"/>
          <w:szCs w:val="24"/>
        </w:rPr>
      </w:pPr>
    </w:p>
    <w:p w14:paraId="00000058" w14:textId="77777777" w:rsidR="00A423FD" w:rsidRDefault="00B65CF7">
      <w:pPr>
        <w:spacing w:after="8" w:line="268" w:lineRule="auto"/>
        <w:ind w:right="1426"/>
        <w:jc w:val="both"/>
        <w:rPr>
          <w:sz w:val="24"/>
          <w:szCs w:val="24"/>
        </w:rPr>
      </w:pPr>
      <w:r>
        <w:rPr>
          <w:sz w:val="24"/>
          <w:szCs w:val="24"/>
        </w:rPr>
        <w:t xml:space="preserve">Bhugowandeen, B. (2013) </w:t>
      </w:r>
      <w:r>
        <w:rPr>
          <w:i/>
          <w:sz w:val="24"/>
          <w:szCs w:val="24"/>
        </w:rPr>
        <w:t xml:space="preserve">Diversity in the British police: adapting to a multicultural society. </w:t>
      </w:r>
      <w:r>
        <w:rPr>
          <w:sz w:val="24"/>
          <w:szCs w:val="24"/>
        </w:rPr>
        <w:t xml:space="preserve">Available at: </w:t>
      </w:r>
      <w:hyperlink r:id="rId5">
        <w:r>
          <w:rPr>
            <w:color w:val="1155CC"/>
            <w:sz w:val="24"/>
            <w:szCs w:val="24"/>
            <w:u w:val="single"/>
          </w:rPr>
          <w:t>https://journals.openedition.org/mimmoc/1340</w:t>
        </w:r>
      </w:hyperlink>
      <w:r>
        <w:rPr>
          <w:sz w:val="24"/>
          <w:szCs w:val="24"/>
        </w:rPr>
        <w:t xml:space="preserve"> (Accessed: 12th of April, 2024) </w:t>
      </w:r>
    </w:p>
    <w:p w14:paraId="00000059" w14:textId="77777777" w:rsidR="00A423FD" w:rsidRDefault="00A423FD">
      <w:pPr>
        <w:spacing w:after="8" w:line="268" w:lineRule="auto"/>
        <w:ind w:right="1426"/>
        <w:jc w:val="both"/>
        <w:rPr>
          <w:sz w:val="24"/>
          <w:szCs w:val="24"/>
        </w:rPr>
      </w:pPr>
    </w:p>
    <w:p w14:paraId="0000005A" w14:textId="77777777" w:rsidR="00A423FD" w:rsidRDefault="00B65CF7">
      <w:pPr>
        <w:spacing w:line="259" w:lineRule="auto"/>
        <w:jc w:val="both"/>
        <w:rPr>
          <w:sz w:val="24"/>
          <w:szCs w:val="24"/>
        </w:rPr>
      </w:pPr>
      <w:r>
        <w:rPr>
          <w:sz w:val="24"/>
          <w:szCs w:val="24"/>
        </w:rPr>
        <w:t xml:space="preserve">Blyth, M. and Solomon, E. (2009) ‘Prevention and Youth Crime’ </w:t>
      </w:r>
      <w:r>
        <w:rPr>
          <w:i/>
          <w:sz w:val="24"/>
          <w:szCs w:val="24"/>
        </w:rPr>
        <w:t xml:space="preserve">Is Early Intervention Working? </w:t>
      </w:r>
      <w:r>
        <w:rPr>
          <w:sz w:val="24"/>
          <w:szCs w:val="24"/>
        </w:rPr>
        <w:t xml:space="preserve">Available at: </w:t>
      </w:r>
      <w:hyperlink r:id="rId6" w:anchor="v=onepage&amp;q=what%20is%20early%20intervention%20in%20crime&amp;f=false">
        <w:r>
          <w:rPr>
            <w:color w:val="1155CC"/>
            <w:sz w:val="24"/>
            <w:szCs w:val="24"/>
            <w:u w:val="single"/>
          </w:rPr>
          <w:t>https://books.google.co.uk/books?hl=en&amp;lr=&amp;id=i901DwAAQBAJ&amp;oi=fnd&amp;pg=PR3&amp;dq=what+is+early+intervention+in+crime&amp;ots=4hevNl-sev&amp;sig=ANigrBlWSwkUKJHTZOy2w11pBEw&amp;redir_esc=y#v=onepage&amp;q=what%20is%20early%20intervention%20in%20crime&amp;f=false</w:t>
        </w:r>
      </w:hyperlink>
      <w:r>
        <w:rPr>
          <w:sz w:val="24"/>
          <w:szCs w:val="24"/>
        </w:rPr>
        <w:t xml:space="preserve"> (April the 3rd, 2024) </w:t>
      </w:r>
    </w:p>
    <w:p w14:paraId="0000005B" w14:textId="77777777" w:rsidR="00A423FD" w:rsidRDefault="00A423FD">
      <w:pPr>
        <w:spacing w:after="8" w:line="268" w:lineRule="auto"/>
        <w:ind w:right="1426"/>
        <w:jc w:val="both"/>
        <w:rPr>
          <w:sz w:val="24"/>
          <w:szCs w:val="24"/>
        </w:rPr>
      </w:pPr>
    </w:p>
    <w:p w14:paraId="0000005C" w14:textId="77777777" w:rsidR="00A423FD" w:rsidRDefault="00B65CF7">
      <w:pPr>
        <w:spacing w:after="8" w:line="268" w:lineRule="auto"/>
        <w:ind w:right="1426"/>
        <w:jc w:val="both"/>
        <w:rPr>
          <w:sz w:val="24"/>
          <w:szCs w:val="24"/>
        </w:rPr>
      </w:pPr>
      <w:r>
        <w:rPr>
          <w:sz w:val="24"/>
          <w:szCs w:val="24"/>
        </w:rPr>
        <w:t xml:space="preserve">Brooks, M., Powell, M. and Stanwell, S. (2018) </w:t>
      </w:r>
      <w:r>
        <w:rPr>
          <w:i/>
          <w:sz w:val="24"/>
          <w:szCs w:val="24"/>
        </w:rPr>
        <w:t xml:space="preserve">Understanding the public perception and satisfaction of a UK police constabulary. </w:t>
      </w:r>
      <w:r>
        <w:rPr>
          <w:sz w:val="24"/>
          <w:szCs w:val="24"/>
        </w:rPr>
        <w:t xml:space="preserve">Available at: </w:t>
      </w:r>
      <w:hyperlink r:id="rId7">
        <w:r>
          <w:rPr>
            <w:color w:val="1155CC"/>
            <w:sz w:val="24"/>
            <w:szCs w:val="24"/>
            <w:u w:val="single"/>
          </w:rPr>
          <w:t>https://login.ezproxy.uwtsd.ac.uk/login?qurl=https://www.tandfonline.com%2fdoi%2ffull%2f10.1080%2f15614263.2018.1428098</w:t>
        </w:r>
      </w:hyperlink>
      <w:r>
        <w:rPr>
          <w:sz w:val="24"/>
          <w:szCs w:val="24"/>
        </w:rPr>
        <w:t xml:space="preserve"> (Accessed: 13th of April, 2024) </w:t>
      </w:r>
    </w:p>
    <w:p w14:paraId="0000005D" w14:textId="77777777" w:rsidR="00A423FD" w:rsidRDefault="00A423FD">
      <w:pPr>
        <w:spacing w:after="8" w:line="268" w:lineRule="auto"/>
        <w:ind w:right="1426"/>
        <w:jc w:val="both"/>
        <w:rPr>
          <w:i/>
          <w:sz w:val="24"/>
          <w:szCs w:val="24"/>
        </w:rPr>
      </w:pPr>
    </w:p>
    <w:p w14:paraId="0000005E" w14:textId="77777777" w:rsidR="00A423FD" w:rsidRDefault="00B65CF7">
      <w:pPr>
        <w:spacing w:after="8" w:line="268" w:lineRule="auto"/>
        <w:ind w:right="1426"/>
        <w:jc w:val="both"/>
        <w:rPr>
          <w:sz w:val="24"/>
          <w:szCs w:val="24"/>
        </w:rPr>
      </w:pPr>
      <w:r>
        <w:rPr>
          <w:sz w:val="24"/>
          <w:szCs w:val="24"/>
        </w:rPr>
        <w:t xml:space="preserve">Bullock, K. and Johnson, P. (2017) </w:t>
      </w:r>
      <w:r>
        <w:rPr>
          <w:i/>
          <w:sz w:val="24"/>
          <w:szCs w:val="24"/>
        </w:rPr>
        <w:t xml:space="preserve">Police engagement with muslim communities: breaking out, breaking in and breaking through. </w:t>
      </w:r>
      <w:r>
        <w:rPr>
          <w:sz w:val="24"/>
          <w:szCs w:val="24"/>
        </w:rPr>
        <w:t xml:space="preserve">Available at: </w:t>
      </w:r>
      <w:hyperlink r:id="rId8">
        <w:r>
          <w:rPr>
            <w:color w:val="1155CC"/>
            <w:sz w:val="24"/>
            <w:szCs w:val="24"/>
            <w:u w:val="single"/>
          </w:rPr>
          <w:t>https://login.ezproxy.uwtsd.ac.uk/login?qurl=https://www.tandfonline.com%2fdoi%2ffull%2f10.1080%2f10439463.2017.1339706</w:t>
        </w:r>
      </w:hyperlink>
      <w:r>
        <w:rPr>
          <w:sz w:val="24"/>
          <w:szCs w:val="24"/>
        </w:rPr>
        <w:t xml:space="preserve"> (Accessed: 12th of April, 2024) </w:t>
      </w:r>
    </w:p>
    <w:p w14:paraId="0000005F" w14:textId="77777777" w:rsidR="00A423FD" w:rsidRDefault="00A423FD">
      <w:pPr>
        <w:spacing w:after="8" w:line="268" w:lineRule="auto"/>
        <w:ind w:right="1426"/>
        <w:jc w:val="both"/>
        <w:rPr>
          <w:sz w:val="24"/>
          <w:szCs w:val="24"/>
        </w:rPr>
      </w:pPr>
    </w:p>
    <w:p w14:paraId="00000060" w14:textId="77777777" w:rsidR="00A423FD" w:rsidRDefault="00B65CF7">
      <w:pPr>
        <w:spacing w:after="0" w:line="259" w:lineRule="auto"/>
        <w:jc w:val="both"/>
        <w:rPr>
          <w:sz w:val="24"/>
          <w:szCs w:val="24"/>
        </w:rPr>
      </w:pPr>
      <w:r>
        <w:rPr>
          <w:sz w:val="24"/>
          <w:szCs w:val="24"/>
        </w:rPr>
        <w:t xml:space="preserve">Census (2021) </w:t>
      </w:r>
      <w:r>
        <w:rPr>
          <w:i/>
          <w:sz w:val="24"/>
          <w:szCs w:val="24"/>
        </w:rPr>
        <w:t xml:space="preserve">Office for National Statistics. </w:t>
      </w:r>
      <w:r>
        <w:rPr>
          <w:sz w:val="24"/>
          <w:szCs w:val="24"/>
        </w:rPr>
        <w:t xml:space="preserve">Available at: </w:t>
      </w:r>
      <w:hyperlink r:id="rId9">
        <w:r>
          <w:rPr>
            <w:color w:val="1155CC"/>
            <w:sz w:val="24"/>
            <w:szCs w:val="24"/>
            <w:u w:val="single"/>
          </w:rPr>
          <w:t>https://www.ons.gov.uk</w:t>
        </w:r>
      </w:hyperlink>
      <w:r>
        <w:rPr>
          <w:sz w:val="24"/>
          <w:szCs w:val="24"/>
        </w:rPr>
        <w:t xml:space="preserve"> (Accessed: April, 5th, 2024) </w:t>
      </w:r>
    </w:p>
    <w:p w14:paraId="00000061" w14:textId="77777777" w:rsidR="00A423FD" w:rsidRDefault="00A423FD">
      <w:pPr>
        <w:spacing w:after="8" w:line="268" w:lineRule="auto"/>
        <w:ind w:right="1426"/>
        <w:jc w:val="both"/>
        <w:rPr>
          <w:i/>
          <w:sz w:val="24"/>
          <w:szCs w:val="24"/>
        </w:rPr>
      </w:pPr>
    </w:p>
    <w:p w14:paraId="00000062" w14:textId="77777777" w:rsidR="00A423FD" w:rsidRDefault="00B65CF7">
      <w:pPr>
        <w:spacing w:line="259" w:lineRule="auto"/>
        <w:jc w:val="both"/>
        <w:rPr>
          <w:color w:val="222222"/>
          <w:sz w:val="24"/>
          <w:szCs w:val="24"/>
        </w:rPr>
      </w:pPr>
      <w:r>
        <w:rPr>
          <w:sz w:val="24"/>
          <w:szCs w:val="24"/>
        </w:rPr>
        <w:t xml:space="preserve">Census (2021) </w:t>
      </w:r>
      <w:r>
        <w:rPr>
          <w:i/>
          <w:sz w:val="24"/>
          <w:szCs w:val="24"/>
        </w:rPr>
        <w:t xml:space="preserve">Crime in England and Wales- Office for National Statistics. </w:t>
      </w:r>
      <w:r>
        <w:rPr>
          <w:sz w:val="24"/>
          <w:szCs w:val="24"/>
        </w:rPr>
        <w:t xml:space="preserve">Available at: </w:t>
      </w:r>
      <w:hyperlink r:id="rId10" w:anchor="overall-estimates-of-crime">
        <w:r>
          <w:rPr>
            <w:color w:val="1155CC"/>
            <w:sz w:val="24"/>
            <w:szCs w:val="24"/>
            <w:u w:val="single"/>
          </w:rPr>
          <w:t>https://www.ons.gov.uk/peoplepopulationandcommunity/crimeandjustice/bulletins/crimeinenglandandwales/yearendingseptember2023#overall-estimates-of-crime</w:t>
        </w:r>
      </w:hyperlink>
      <w:r>
        <w:rPr>
          <w:sz w:val="24"/>
          <w:szCs w:val="24"/>
        </w:rPr>
        <w:t xml:space="preserve"> (Accessed: April the 5th, 2024) </w:t>
      </w:r>
      <w:r>
        <w:rPr>
          <w:sz w:val="24"/>
          <w:szCs w:val="24"/>
        </w:rPr>
        <w:br/>
      </w:r>
      <w:r>
        <w:rPr>
          <w:sz w:val="24"/>
          <w:szCs w:val="24"/>
        </w:rPr>
        <w:br/>
        <w:t xml:space="preserve">Chavez-Lopez, L., Norris, E., Sass, L., Sharkey, D. and Shekhtmeyster, Z, (2011) </w:t>
      </w:r>
      <w:r>
        <w:rPr>
          <w:i/>
          <w:sz w:val="24"/>
          <w:szCs w:val="24"/>
        </w:rPr>
        <w:t>‘</w:t>
      </w:r>
      <w:r>
        <w:rPr>
          <w:i/>
          <w:color w:val="1F1F1F"/>
          <w:sz w:val="24"/>
          <w:szCs w:val="24"/>
        </w:rPr>
        <w:t>The protective influence of gangs: Can schools compensate?</w:t>
      </w:r>
      <w:r>
        <w:rPr>
          <w:i/>
          <w:color w:val="222222"/>
          <w:sz w:val="24"/>
          <w:szCs w:val="24"/>
        </w:rPr>
        <w:t>’</w:t>
      </w:r>
      <w:r>
        <w:rPr>
          <w:color w:val="222222"/>
          <w:sz w:val="24"/>
          <w:szCs w:val="24"/>
        </w:rPr>
        <w:t xml:space="preserve"> </w:t>
      </w:r>
      <w:r>
        <w:rPr>
          <w:color w:val="0563C1"/>
          <w:sz w:val="24"/>
          <w:szCs w:val="24"/>
        </w:rPr>
        <w:t>Available at</w:t>
      </w:r>
      <w:r>
        <w:rPr>
          <w:color w:val="0563C1"/>
          <w:sz w:val="24"/>
          <w:szCs w:val="24"/>
          <w:u w:val="single"/>
        </w:rPr>
        <w:t xml:space="preserve">: </w:t>
      </w:r>
      <w:hyperlink r:id="rId11">
        <w:r>
          <w:rPr>
            <w:color w:val="1155CC"/>
            <w:sz w:val="24"/>
            <w:szCs w:val="24"/>
            <w:u w:val="single"/>
          </w:rPr>
          <w:t>The protective influence of gangs: Can schools compensate? - ScienceDirect (uwtsd.ac.uk)</w:t>
        </w:r>
      </w:hyperlink>
      <w:r>
        <w:rPr>
          <w:color w:val="222222"/>
          <w:sz w:val="24"/>
          <w:szCs w:val="24"/>
        </w:rPr>
        <w:t xml:space="preserve"> (Accessed: March the 30th, 2024)</w:t>
      </w:r>
    </w:p>
    <w:p w14:paraId="00000063" w14:textId="77777777" w:rsidR="00A423FD" w:rsidRDefault="00A423FD">
      <w:pPr>
        <w:spacing w:line="259" w:lineRule="auto"/>
        <w:jc w:val="both"/>
        <w:rPr>
          <w:sz w:val="24"/>
          <w:szCs w:val="24"/>
        </w:rPr>
      </w:pPr>
    </w:p>
    <w:p w14:paraId="00000064" w14:textId="77777777" w:rsidR="00A423FD" w:rsidRDefault="00A423FD">
      <w:pPr>
        <w:spacing w:line="259" w:lineRule="auto"/>
        <w:jc w:val="both"/>
        <w:rPr>
          <w:sz w:val="24"/>
          <w:szCs w:val="24"/>
        </w:rPr>
      </w:pPr>
    </w:p>
    <w:p w14:paraId="00000065" w14:textId="77777777" w:rsidR="00A423FD" w:rsidRDefault="00B65CF7">
      <w:pPr>
        <w:spacing w:line="259" w:lineRule="auto"/>
        <w:jc w:val="both"/>
        <w:rPr>
          <w:sz w:val="24"/>
          <w:szCs w:val="24"/>
        </w:rPr>
      </w:pPr>
      <w:r>
        <w:rPr>
          <w:sz w:val="24"/>
          <w:szCs w:val="24"/>
        </w:rPr>
        <w:t xml:space="preserve">Childrens Commissioner (2019) </w:t>
      </w:r>
      <w:r>
        <w:rPr>
          <w:i/>
          <w:sz w:val="24"/>
          <w:szCs w:val="24"/>
        </w:rPr>
        <w:t xml:space="preserve">Keeping Kids Safe. </w:t>
      </w:r>
      <w:r>
        <w:rPr>
          <w:sz w:val="24"/>
          <w:szCs w:val="24"/>
        </w:rPr>
        <w:t xml:space="preserve">Available at: </w:t>
      </w:r>
      <w:hyperlink r:id="rId12">
        <w:r>
          <w:rPr>
            <w:color w:val="1155CC"/>
            <w:sz w:val="24"/>
            <w:szCs w:val="24"/>
            <w:u w:val="single"/>
          </w:rPr>
          <w:t>https://dera.ioe.ac.uk/id/eprint/32954/1/CCO-Gangs.pdf</w:t>
        </w:r>
      </w:hyperlink>
      <w:r>
        <w:rPr>
          <w:sz w:val="24"/>
          <w:szCs w:val="24"/>
        </w:rPr>
        <w:t xml:space="preserve"> (Accessed: April the 1st, 2024) </w:t>
      </w:r>
      <w:r>
        <w:rPr>
          <w:sz w:val="24"/>
          <w:szCs w:val="24"/>
        </w:rPr>
        <w:br/>
      </w:r>
      <w:r>
        <w:rPr>
          <w:sz w:val="24"/>
          <w:szCs w:val="24"/>
        </w:rPr>
        <w:br/>
      </w:r>
      <w:r>
        <w:rPr>
          <w:color w:val="222222"/>
          <w:sz w:val="24"/>
          <w:szCs w:val="24"/>
        </w:rPr>
        <w:t xml:space="preserve">College of Policing (2020) </w:t>
      </w:r>
      <w:r>
        <w:rPr>
          <w:i/>
          <w:color w:val="222222"/>
          <w:sz w:val="24"/>
          <w:szCs w:val="24"/>
        </w:rPr>
        <w:t xml:space="preserve">Briefing and Debriefing. </w:t>
      </w:r>
      <w:r>
        <w:rPr>
          <w:color w:val="222222"/>
          <w:sz w:val="24"/>
          <w:szCs w:val="24"/>
        </w:rPr>
        <w:t xml:space="preserve">Available at: </w:t>
      </w:r>
      <w:hyperlink r:id="rId13">
        <w:r>
          <w:rPr>
            <w:color w:val="1155CC"/>
            <w:sz w:val="24"/>
            <w:szCs w:val="24"/>
            <w:u w:val="single"/>
          </w:rPr>
          <w:t>Briefing and debriefing | College of Policing</w:t>
        </w:r>
      </w:hyperlink>
      <w:r>
        <w:rPr>
          <w:color w:val="222222"/>
          <w:sz w:val="24"/>
          <w:szCs w:val="24"/>
        </w:rPr>
        <w:t xml:space="preserve"> (Accessed: February the 9th, 2024)</w:t>
      </w:r>
      <w:r>
        <w:rPr>
          <w:sz w:val="24"/>
          <w:szCs w:val="24"/>
        </w:rPr>
        <w:br/>
      </w:r>
    </w:p>
    <w:p w14:paraId="00000066" w14:textId="77777777" w:rsidR="00A423FD" w:rsidRDefault="00B65CF7">
      <w:pPr>
        <w:spacing w:after="8" w:line="268" w:lineRule="auto"/>
        <w:ind w:right="1426"/>
        <w:jc w:val="both"/>
        <w:rPr>
          <w:sz w:val="24"/>
          <w:szCs w:val="24"/>
        </w:rPr>
      </w:pPr>
      <w:r>
        <w:rPr>
          <w:sz w:val="24"/>
          <w:szCs w:val="24"/>
        </w:rPr>
        <w:t xml:space="preserve">College of Policing (2022) </w:t>
      </w:r>
      <w:r>
        <w:rPr>
          <w:i/>
          <w:sz w:val="24"/>
          <w:szCs w:val="24"/>
        </w:rPr>
        <w:t xml:space="preserve">Police Race Action Plan: Improving policing for black people. </w:t>
      </w:r>
      <w:r>
        <w:rPr>
          <w:sz w:val="24"/>
          <w:szCs w:val="24"/>
        </w:rPr>
        <w:t xml:space="preserve">Available at: </w:t>
      </w:r>
      <w:hyperlink r:id="rId14">
        <w:r>
          <w:rPr>
            <w:color w:val="1155CC"/>
            <w:sz w:val="24"/>
            <w:szCs w:val="24"/>
            <w:u w:val="single"/>
          </w:rPr>
          <w:t>https://assets.production.copweb.aws.college.police.uk/s3fs-public/Police-Race-Action-Plan.pdf</w:t>
        </w:r>
      </w:hyperlink>
      <w:r>
        <w:rPr>
          <w:sz w:val="24"/>
          <w:szCs w:val="24"/>
        </w:rPr>
        <w:t xml:space="preserve"> (Accessed: 12th of April, 2024)</w:t>
      </w:r>
    </w:p>
    <w:p w14:paraId="00000067" w14:textId="77777777" w:rsidR="00A423FD" w:rsidRDefault="00B65CF7">
      <w:pPr>
        <w:spacing w:after="8" w:line="268" w:lineRule="auto"/>
        <w:ind w:right="1426"/>
        <w:jc w:val="both"/>
        <w:rPr>
          <w:sz w:val="24"/>
          <w:szCs w:val="24"/>
        </w:rPr>
      </w:pPr>
      <w:r>
        <w:rPr>
          <w:sz w:val="24"/>
          <w:szCs w:val="24"/>
        </w:rPr>
        <w:br/>
        <w:t xml:space="preserve">College of Policing (2024) </w:t>
      </w:r>
      <w:r>
        <w:rPr>
          <w:i/>
          <w:sz w:val="24"/>
          <w:szCs w:val="24"/>
        </w:rPr>
        <w:t xml:space="preserve">Data protection </w:t>
      </w:r>
      <w:r>
        <w:rPr>
          <w:sz w:val="24"/>
          <w:szCs w:val="24"/>
        </w:rPr>
        <w:t>Available at: https://www.college.police.uk/app/information-management/data-protection (Accessed date: 2</w:t>
      </w:r>
      <w:r>
        <w:rPr>
          <w:sz w:val="24"/>
          <w:szCs w:val="24"/>
          <w:vertAlign w:val="superscript"/>
        </w:rPr>
        <w:t>nd</w:t>
      </w:r>
      <w:r>
        <w:rPr>
          <w:sz w:val="24"/>
          <w:szCs w:val="24"/>
        </w:rPr>
        <w:t xml:space="preserve"> January 2024).</w:t>
      </w:r>
    </w:p>
    <w:p w14:paraId="00000068" w14:textId="77777777" w:rsidR="00A423FD" w:rsidRDefault="00A423FD">
      <w:pPr>
        <w:spacing w:after="8" w:line="268" w:lineRule="auto"/>
        <w:ind w:right="1426"/>
        <w:jc w:val="both"/>
        <w:rPr>
          <w:sz w:val="24"/>
          <w:szCs w:val="24"/>
        </w:rPr>
      </w:pPr>
    </w:p>
    <w:p w14:paraId="00000069" w14:textId="77777777" w:rsidR="00A423FD" w:rsidRDefault="00B65CF7">
      <w:pPr>
        <w:spacing w:after="8" w:line="268" w:lineRule="auto"/>
        <w:ind w:right="1426"/>
        <w:jc w:val="both"/>
        <w:rPr>
          <w:sz w:val="24"/>
          <w:szCs w:val="24"/>
        </w:rPr>
      </w:pPr>
      <w:r>
        <w:rPr>
          <w:sz w:val="24"/>
          <w:szCs w:val="24"/>
        </w:rPr>
        <w:t xml:space="preserve">College of Policing (2024) </w:t>
      </w:r>
      <w:r>
        <w:rPr>
          <w:i/>
          <w:sz w:val="24"/>
          <w:szCs w:val="24"/>
        </w:rPr>
        <w:t xml:space="preserve">‘Code of ethics’ </w:t>
      </w:r>
      <w:r>
        <w:rPr>
          <w:sz w:val="24"/>
          <w:szCs w:val="24"/>
        </w:rPr>
        <w:t>Available at: https://www.college.police.uk/ethics/code-of-ethics  (Accessed date: 2</w:t>
      </w:r>
      <w:r>
        <w:rPr>
          <w:sz w:val="24"/>
          <w:szCs w:val="24"/>
          <w:vertAlign w:val="superscript"/>
        </w:rPr>
        <w:t>nd</w:t>
      </w:r>
      <w:r>
        <w:rPr>
          <w:sz w:val="24"/>
          <w:szCs w:val="24"/>
        </w:rPr>
        <w:t xml:space="preserve"> January 2024)</w:t>
      </w:r>
      <w:r>
        <w:rPr>
          <w:sz w:val="24"/>
          <w:szCs w:val="24"/>
        </w:rPr>
        <w:br/>
      </w:r>
    </w:p>
    <w:p w14:paraId="0000006A" w14:textId="77777777" w:rsidR="00A423FD" w:rsidRDefault="00B65CF7">
      <w:pPr>
        <w:spacing w:after="8" w:line="268" w:lineRule="auto"/>
        <w:ind w:right="1426"/>
        <w:jc w:val="both"/>
        <w:rPr>
          <w:sz w:val="24"/>
          <w:szCs w:val="24"/>
        </w:rPr>
      </w:pPr>
      <w:r>
        <w:rPr>
          <w:sz w:val="24"/>
          <w:szCs w:val="24"/>
        </w:rPr>
        <w:t xml:space="preserve">College of Policing (no date) </w:t>
      </w:r>
      <w:r>
        <w:rPr>
          <w:i/>
          <w:sz w:val="24"/>
          <w:szCs w:val="24"/>
        </w:rPr>
        <w:t xml:space="preserve">Diversity Statement. </w:t>
      </w:r>
      <w:r>
        <w:rPr>
          <w:sz w:val="24"/>
          <w:szCs w:val="24"/>
        </w:rPr>
        <w:t xml:space="preserve">Available at: </w:t>
      </w:r>
      <w:hyperlink r:id="rId15">
        <w:r>
          <w:rPr>
            <w:color w:val="1155CC"/>
            <w:sz w:val="24"/>
            <w:szCs w:val="24"/>
            <w:u w:val="single"/>
          </w:rPr>
          <w:t>https://www.college.police.uk/diversity</w:t>
        </w:r>
      </w:hyperlink>
      <w:r>
        <w:rPr>
          <w:sz w:val="24"/>
          <w:szCs w:val="24"/>
        </w:rPr>
        <w:t xml:space="preserve"> (Accessed: 15th of April, 2024)</w:t>
      </w:r>
    </w:p>
    <w:p w14:paraId="0000006B" w14:textId="77777777" w:rsidR="00A423FD" w:rsidRDefault="00A423FD">
      <w:pPr>
        <w:spacing w:after="8" w:line="268" w:lineRule="auto"/>
        <w:ind w:right="1426"/>
        <w:jc w:val="both"/>
        <w:rPr>
          <w:sz w:val="24"/>
          <w:szCs w:val="24"/>
        </w:rPr>
      </w:pPr>
    </w:p>
    <w:p w14:paraId="0000006C" w14:textId="77777777" w:rsidR="00A423FD" w:rsidRDefault="00B65CF7">
      <w:pPr>
        <w:spacing w:line="259" w:lineRule="auto"/>
        <w:jc w:val="both"/>
        <w:rPr>
          <w:sz w:val="24"/>
          <w:szCs w:val="24"/>
        </w:rPr>
      </w:pPr>
      <w:r>
        <w:rPr>
          <w:sz w:val="24"/>
          <w:szCs w:val="24"/>
        </w:rPr>
        <w:t xml:space="preserve">College of Policing (no date) </w:t>
      </w:r>
      <w:r>
        <w:rPr>
          <w:i/>
          <w:sz w:val="24"/>
          <w:szCs w:val="24"/>
        </w:rPr>
        <w:t xml:space="preserve">Recognising and Responding to Vulnerability Related Risks: Scope of Practice. </w:t>
      </w:r>
      <w:r>
        <w:rPr>
          <w:sz w:val="24"/>
          <w:szCs w:val="24"/>
        </w:rPr>
        <w:t xml:space="preserve">Available at: </w:t>
      </w:r>
      <w:hyperlink r:id="rId16">
        <w:r>
          <w:rPr>
            <w:color w:val="1155CC"/>
            <w:sz w:val="24"/>
            <w:szCs w:val="24"/>
            <w:u w:val="single"/>
          </w:rPr>
          <w:t>https://assets.production.copweb.aws.college.police.uk/s3fs-public/2021-11/Recognising-responding-vulnerability-related-risks-scope-of-practice.pdf</w:t>
        </w:r>
      </w:hyperlink>
      <w:r>
        <w:rPr>
          <w:sz w:val="24"/>
          <w:szCs w:val="24"/>
        </w:rPr>
        <w:t xml:space="preserve"> (Accessed: April, 3rd, 2024) </w:t>
      </w:r>
    </w:p>
    <w:p w14:paraId="0000006D" w14:textId="77777777" w:rsidR="00A423FD" w:rsidRDefault="00B65CF7">
      <w:pPr>
        <w:spacing w:after="8" w:line="268" w:lineRule="auto"/>
        <w:ind w:right="1426"/>
        <w:jc w:val="both"/>
        <w:rPr>
          <w:sz w:val="24"/>
          <w:szCs w:val="24"/>
        </w:rPr>
      </w:pPr>
      <w:r>
        <w:rPr>
          <w:sz w:val="24"/>
          <w:szCs w:val="24"/>
        </w:rPr>
        <w:br/>
        <w:t xml:space="preserve">Cubitt T., Lesic, R., Myers, G. and Corry, R. (2017) ‘Body-worn video: A systematic review of literature’ </w:t>
      </w:r>
      <w:r>
        <w:rPr>
          <w:i/>
          <w:sz w:val="24"/>
          <w:szCs w:val="24"/>
        </w:rPr>
        <w:t>Australian &amp; New Zealand Journal of Criminology.</w:t>
      </w:r>
      <w:r>
        <w:rPr>
          <w:sz w:val="24"/>
          <w:szCs w:val="24"/>
        </w:rPr>
        <w:t xml:space="preserve"> 50(3), 379-396.</w:t>
      </w:r>
    </w:p>
    <w:p w14:paraId="0000006E" w14:textId="77777777" w:rsidR="00A423FD" w:rsidRDefault="00A423FD">
      <w:pPr>
        <w:spacing w:after="8" w:line="268" w:lineRule="auto"/>
        <w:ind w:right="1426"/>
        <w:jc w:val="both"/>
        <w:rPr>
          <w:sz w:val="24"/>
          <w:szCs w:val="24"/>
        </w:rPr>
      </w:pPr>
    </w:p>
    <w:p w14:paraId="0000006F" w14:textId="77777777" w:rsidR="00A423FD" w:rsidRDefault="00B65CF7">
      <w:pPr>
        <w:spacing w:after="8" w:line="268" w:lineRule="auto"/>
        <w:ind w:right="1426"/>
        <w:jc w:val="both"/>
        <w:rPr>
          <w:sz w:val="24"/>
          <w:szCs w:val="24"/>
        </w:rPr>
      </w:pPr>
      <w:r>
        <w:rPr>
          <w:sz w:val="24"/>
          <w:szCs w:val="24"/>
        </w:rPr>
        <w:t xml:space="preserve">Deakin, J., Fox, C., and Matos, R. (2022). Labelled as ‘risky’ in an era of control: How young people experience and respond to the stigma of criminalised identities. </w:t>
      </w:r>
      <w:r>
        <w:rPr>
          <w:i/>
          <w:sz w:val="24"/>
          <w:szCs w:val="24"/>
        </w:rPr>
        <w:t>European Journal of Criminology</w:t>
      </w:r>
      <w:r>
        <w:rPr>
          <w:sz w:val="24"/>
          <w:szCs w:val="24"/>
        </w:rPr>
        <w:t xml:space="preserve">, 19(4), 653-673. Available at: </w:t>
      </w:r>
      <w:hyperlink r:id="rId17">
        <w:r>
          <w:rPr>
            <w:color w:val="1155CC"/>
            <w:sz w:val="24"/>
            <w:szCs w:val="24"/>
            <w:u w:val="single"/>
          </w:rPr>
          <w:t>https://doi.org/10.1177/1477370820916728</w:t>
        </w:r>
      </w:hyperlink>
      <w:r>
        <w:rPr>
          <w:sz w:val="24"/>
          <w:szCs w:val="24"/>
        </w:rPr>
        <w:t xml:space="preserve"> </w:t>
      </w:r>
      <w:r>
        <w:rPr>
          <w:sz w:val="24"/>
          <w:szCs w:val="24"/>
        </w:rPr>
        <w:br/>
      </w:r>
    </w:p>
    <w:p w14:paraId="00000070" w14:textId="77777777" w:rsidR="00A423FD" w:rsidRDefault="00B65CF7">
      <w:pPr>
        <w:spacing w:after="0" w:line="268" w:lineRule="auto"/>
        <w:jc w:val="both"/>
        <w:rPr>
          <w:sz w:val="24"/>
          <w:szCs w:val="24"/>
        </w:rPr>
      </w:pPr>
      <w:r>
        <w:rPr>
          <w:sz w:val="24"/>
          <w:szCs w:val="24"/>
        </w:rPr>
        <w:t xml:space="preserve">Densley, J., Mclean, R. and Robinson, G. (2018) </w:t>
      </w:r>
      <w:r>
        <w:rPr>
          <w:i/>
          <w:sz w:val="24"/>
          <w:szCs w:val="24"/>
        </w:rPr>
        <w:t xml:space="preserve">Working county lines: Child criminal exploitation and illicit drug dealing in Glasgow and Merseyside. </w:t>
      </w:r>
      <w:r>
        <w:rPr>
          <w:sz w:val="24"/>
          <w:szCs w:val="24"/>
        </w:rPr>
        <w:t xml:space="preserve">Available at: </w:t>
      </w:r>
      <w:hyperlink r:id="rId18">
        <w:r>
          <w:rPr>
            <w:sz w:val="24"/>
            <w:szCs w:val="24"/>
          </w:rPr>
          <w:t>Working County Lines: Child Criminal Exploitation and Illicit Drug Dealing in Glasgow and Merseyside - Grace Robinson, Robert McLean, James Densley, 2019 (uwtsd.ac.uk)</w:t>
        </w:r>
      </w:hyperlink>
      <w:r>
        <w:rPr>
          <w:sz w:val="24"/>
          <w:szCs w:val="24"/>
        </w:rPr>
        <w:t xml:space="preserve"> (Accessed: March the 30th, 2024)</w:t>
      </w:r>
    </w:p>
    <w:p w14:paraId="00000071" w14:textId="77777777" w:rsidR="00A423FD" w:rsidRDefault="00A423FD">
      <w:pPr>
        <w:spacing w:after="8" w:line="268" w:lineRule="auto"/>
        <w:ind w:right="1426"/>
        <w:jc w:val="both"/>
        <w:rPr>
          <w:sz w:val="24"/>
          <w:szCs w:val="24"/>
        </w:rPr>
      </w:pPr>
    </w:p>
    <w:p w14:paraId="00000072" w14:textId="77777777" w:rsidR="00A423FD" w:rsidRDefault="00B65CF7">
      <w:pPr>
        <w:spacing w:line="259" w:lineRule="auto"/>
        <w:jc w:val="both"/>
        <w:rPr>
          <w:sz w:val="24"/>
          <w:szCs w:val="24"/>
        </w:rPr>
      </w:pPr>
      <w:r>
        <w:rPr>
          <w:sz w:val="24"/>
          <w:szCs w:val="24"/>
        </w:rPr>
        <w:t xml:space="preserve">Department of Education (2019) </w:t>
      </w:r>
      <w:r>
        <w:rPr>
          <w:i/>
          <w:sz w:val="24"/>
          <w:szCs w:val="24"/>
        </w:rPr>
        <w:t xml:space="preserve">Timpson Review of School Exclusion. </w:t>
      </w:r>
      <w:r>
        <w:rPr>
          <w:sz w:val="24"/>
          <w:szCs w:val="24"/>
        </w:rPr>
        <w:t xml:space="preserve">Available at: </w:t>
      </w:r>
      <w:hyperlink r:id="rId19">
        <w:r>
          <w:rPr>
            <w:color w:val="1155CC"/>
            <w:sz w:val="24"/>
            <w:szCs w:val="24"/>
            <w:u w:val="single"/>
          </w:rPr>
          <w:t>https://assets.publishing.service.gov.uk/government/uploads/system/uploads/attachment_data/file/807862/Timpson_review.pdf</w:t>
        </w:r>
      </w:hyperlink>
      <w:r>
        <w:rPr>
          <w:sz w:val="24"/>
          <w:szCs w:val="24"/>
        </w:rPr>
        <w:t xml:space="preserve"> (Accessed: April the 3rd, 2024) </w:t>
      </w:r>
    </w:p>
    <w:p w14:paraId="00000073" w14:textId="77777777" w:rsidR="00A423FD" w:rsidRDefault="00A423FD">
      <w:pPr>
        <w:spacing w:after="8" w:line="268" w:lineRule="auto"/>
        <w:ind w:right="1426"/>
        <w:jc w:val="both"/>
        <w:rPr>
          <w:sz w:val="24"/>
          <w:szCs w:val="24"/>
        </w:rPr>
      </w:pPr>
    </w:p>
    <w:p w14:paraId="00000074" w14:textId="77777777" w:rsidR="00A423FD" w:rsidRDefault="00B65CF7">
      <w:pPr>
        <w:spacing w:after="8" w:line="268" w:lineRule="auto"/>
        <w:ind w:right="1426"/>
        <w:jc w:val="both"/>
        <w:rPr>
          <w:sz w:val="24"/>
          <w:szCs w:val="24"/>
        </w:rPr>
      </w:pPr>
      <w:r>
        <w:rPr>
          <w:sz w:val="24"/>
          <w:szCs w:val="24"/>
        </w:rPr>
        <w:t>Farrington, D.P., MacKenzie, D.L., Sherman, L.W., and Welsh, B.C. (2002) Evidence-Based Crime Prevention. First Edn. Routledge.</w:t>
      </w:r>
    </w:p>
    <w:p w14:paraId="00000075" w14:textId="77777777" w:rsidR="00A423FD" w:rsidRDefault="00A423FD">
      <w:pPr>
        <w:spacing w:after="8" w:line="268" w:lineRule="auto"/>
        <w:ind w:right="1426"/>
        <w:jc w:val="both"/>
        <w:rPr>
          <w:sz w:val="24"/>
          <w:szCs w:val="24"/>
        </w:rPr>
      </w:pPr>
    </w:p>
    <w:p w14:paraId="00000076" w14:textId="77777777" w:rsidR="00A423FD" w:rsidRDefault="00B65CF7">
      <w:pPr>
        <w:spacing w:line="259" w:lineRule="auto"/>
        <w:jc w:val="both"/>
        <w:rPr>
          <w:sz w:val="24"/>
          <w:szCs w:val="24"/>
        </w:rPr>
      </w:pPr>
      <w:r>
        <w:rPr>
          <w:sz w:val="24"/>
          <w:szCs w:val="24"/>
        </w:rPr>
        <w:t xml:space="preserve">Fraser, K. (2024) </w:t>
      </w:r>
      <w:r>
        <w:rPr>
          <w:i/>
          <w:sz w:val="24"/>
          <w:szCs w:val="24"/>
        </w:rPr>
        <w:t xml:space="preserve">Youth Justice Statistics: we must collaborate. </w:t>
      </w:r>
      <w:r>
        <w:rPr>
          <w:sz w:val="24"/>
          <w:szCs w:val="24"/>
        </w:rPr>
        <w:t xml:space="preserve">Available at: </w:t>
      </w:r>
      <w:hyperlink r:id="rId20">
        <w:r>
          <w:rPr>
            <w:color w:val="1155CC"/>
            <w:sz w:val="24"/>
            <w:szCs w:val="24"/>
            <w:u w:val="single"/>
          </w:rPr>
          <w:t>https://www.gov.uk/government/news/youth-justice-statistics-we-must-collaborate</w:t>
        </w:r>
      </w:hyperlink>
      <w:r>
        <w:rPr>
          <w:sz w:val="24"/>
          <w:szCs w:val="24"/>
        </w:rPr>
        <w:t xml:space="preserve"> (Accessed: April the 5th, 2024) </w:t>
      </w:r>
    </w:p>
    <w:p w14:paraId="00000077" w14:textId="77777777" w:rsidR="00A423FD" w:rsidRDefault="00A423FD">
      <w:pPr>
        <w:spacing w:after="8" w:line="268" w:lineRule="auto"/>
        <w:ind w:right="1426"/>
        <w:jc w:val="both"/>
        <w:rPr>
          <w:sz w:val="24"/>
          <w:szCs w:val="24"/>
        </w:rPr>
      </w:pPr>
    </w:p>
    <w:p w14:paraId="00000078" w14:textId="77777777" w:rsidR="00A423FD" w:rsidRDefault="00B65CF7">
      <w:pPr>
        <w:spacing w:after="8" w:line="268" w:lineRule="auto"/>
        <w:ind w:right="1426"/>
        <w:jc w:val="both"/>
        <w:rPr>
          <w:sz w:val="24"/>
          <w:szCs w:val="24"/>
        </w:rPr>
      </w:pPr>
      <w:r>
        <w:rPr>
          <w:sz w:val="24"/>
          <w:szCs w:val="24"/>
        </w:rPr>
        <w:t xml:space="preserve">Freund, K. (2017) ‘When Cameras Are Rolling: Privacy Implications of Body- Mounted Cameras on Police’ </w:t>
      </w:r>
      <w:r>
        <w:rPr>
          <w:i/>
          <w:sz w:val="24"/>
          <w:szCs w:val="24"/>
        </w:rPr>
        <w:t xml:space="preserve">Columbia Journal of Law and Social Problems. </w:t>
      </w:r>
      <w:r>
        <w:rPr>
          <w:sz w:val="24"/>
          <w:szCs w:val="24"/>
        </w:rPr>
        <w:t xml:space="preserve">49. Available at: </w:t>
      </w:r>
      <w:hyperlink r:id="rId21">
        <w:r>
          <w:rPr>
            <w:color w:val="1155CC"/>
            <w:sz w:val="24"/>
            <w:szCs w:val="24"/>
            <w:u w:val="single"/>
          </w:rPr>
          <w:t>https://jlsp.law.columbia.edu/wp-content/blogs.dir/213/files/2017/03/49-Freund.pdf</w:t>
        </w:r>
      </w:hyperlink>
      <w:r>
        <w:rPr>
          <w:sz w:val="24"/>
          <w:szCs w:val="24"/>
        </w:rPr>
        <w:t xml:space="preserve"> (Accessed: February the 8th, 2024) </w:t>
      </w:r>
      <w:r>
        <w:rPr>
          <w:sz w:val="24"/>
          <w:szCs w:val="24"/>
        </w:rPr>
        <w:br/>
      </w:r>
    </w:p>
    <w:p w14:paraId="00000079" w14:textId="77777777" w:rsidR="00A423FD" w:rsidRDefault="00B65CF7">
      <w:pPr>
        <w:spacing w:after="8" w:line="268" w:lineRule="auto"/>
        <w:ind w:right="1426"/>
        <w:jc w:val="both"/>
        <w:rPr>
          <w:sz w:val="24"/>
          <w:szCs w:val="24"/>
        </w:rPr>
      </w:pPr>
      <w:r>
        <w:rPr>
          <w:sz w:val="24"/>
          <w:szCs w:val="24"/>
        </w:rPr>
        <w:t xml:space="preserve">GOV (2002) </w:t>
      </w:r>
      <w:r>
        <w:rPr>
          <w:i/>
          <w:sz w:val="24"/>
          <w:szCs w:val="24"/>
        </w:rPr>
        <w:t xml:space="preserve">Police Reform Act 2002. </w:t>
      </w:r>
      <w:r>
        <w:rPr>
          <w:sz w:val="24"/>
          <w:szCs w:val="24"/>
        </w:rPr>
        <w:t xml:space="preserve">Available at: </w:t>
      </w:r>
      <w:hyperlink r:id="rId22">
        <w:r>
          <w:rPr>
            <w:color w:val="1155CC"/>
            <w:sz w:val="24"/>
            <w:szCs w:val="24"/>
            <w:u w:val="single"/>
          </w:rPr>
          <w:t>https://www.legislation.gov.uk/ukpga/2002/30/contents</w:t>
        </w:r>
      </w:hyperlink>
      <w:r>
        <w:rPr>
          <w:sz w:val="24"/>
          <w:szCs w:val="24"/>
        </w:rPr>
        <w:t xml:space="preserve"> (Accessed: 12th of April, 2024)</w:t>
      </w:r>
    </w:p>
    <w:p w14:paraId="0000007A" w14:textId="77777777" w:rsidR="00A423FD" w:rsidRDefault="00A423FD">
      <w:pPr>
        <w:spacing w:after="8" w:line="268" w:lineRule="auto"/>
        <w:ind w:right="1426"/>
        <w:jc w:val="both"/>
        <w:rPr>
          <w:sz w:val="24"/>
          <w:szCs w:val="24"/>
        </w:rPr>
      </w:pPr>
    </w:p>
    <w:p w14:paraId="0000007B" w14:textId="77777777" w:rsidR="00A423FD" w:rsidRDefault="00B65CF7">
      <w:pPr>
        <w:spacing w:after="8" w:line="268" w:lineRule="auto"/>
        <w:ind w:right="1426"/>
        <w:jc w:val="both"/>
        <w:rPr>
          <w:sz w:val="24"/>
          <w:szCs w:val="24"/>
        </w:rPr>
      </w:pPr>
      <w:r>
        <w:rPr>
          <w:sz w:val="24"/>
          <w:szCs w:val="24"/>
        </w:rPr>
        <w:t xml:space="preserve">GOV (2019) </w:t>
      </w:r>
      <w:r>
        <w:rPr>
          <w:i/>
          <w:sz w:val="24"/>
          <w:szCs w:val="24"/>
        </w:rPr>
        <w:t xml:space="preserve">Police workforce, England and Wales, 31 March 2019 second edition. </w:t>
      </w:r>
      <w:r>
        <w:rPr>
          <w:sz w:val="24"/>
          <w:szCs w:val="24"/>
        </w:rPr>
        <w:t xml:space="preserve">Available at: </w:t>
      </w:r>
      <w:hyperlink r:id="rId23">
        <w:r>
          <w:rPr>
            <w:color w:val="1155CC"/>
            <w:sz w:val="24"/>
            <w:szCs w:val="24"/>
            <w:u w:val="single"/>
          </w:rPr>
          <w:t>https://assets.publishing.service.gov.uk/government/uploads/system/uploads/attachment_data/file/831726/police-workforce-mar19-hosb1119.pdf</w:t>
        </w:r>
      </w:hyperlink>
      <w:r>
        <w:rPr>
          <w:sz w:val="24"/>
          <w:szCs w:val="24"/>
        </w:rPr>
        <w:t xml:space="preserve"> (Accessed: 10th of April, 2024) </w:t>
      </w:r>
    </w:p>
    <w:p w14:paraId="0000007C" w14:textId="77777777" w:rsidR="00A423FD" w:rsidRDefault="00A423FD">
      <w:pPr>
        <w:spacing w:after="8" w:line="268" w:lineRule="auto"/>
        <w:ind w:right="1426"/>
        <w:jc w:val="both"/>
        <w:rPr>
          <w:sz w:val="24"/>
          <w:szCs w:val="24"/>
        </w:rPr>
      </w:pPr>
    </w:p>
    <w:p w14:paraId="0000007D" w14:textId="77777777" w:rsidR="00A423FD" w:rsidRDefault="00B65CF7">
      <w:pPr>
        <w:spacing w:after="8" w:line="268" w:lineRule="auto"/>
        <w:ind w:right="1426"/>
        <w:jc w:val="both"/>
        <w:rPr>
          <w:sz w:val="24"/>
          <w:szCs w:val="24"/>
        </w:rPr>
      </w:pPr>
      <w:r>
        <w:rPr>
          <w:sz w:val="24"/>
          <w:szCs w:val="24"/>
        </w:rPr>
        <w:t xml:space="preserve">GOV (2022) </w:t>
      </w:r>
      <w:r>
        <w:rPr>
          <w:i/>
          <w:sz w:val="24"/>
          <w:szCs w:val="24"/>
        </w:rPr>
        <w:t xml:space="preserve">Police misconduct, England and Wales year ending 21 March 2021. </w:t>
      </w:r>
      <w:r>
        <w:rPr>
          <w:sz w:val="24"/>
          <w:szCs w:val="24"/>
        </w:rPr>
        <w:t xml:space="preserve">Available at: </w:t>
      </w:r>
      <w:hyperlink r:id="rId24">
        <w:r>
          <w:rPr>
            <w:color w:val="1155CC"/>
            <w:sz w:val="24"/>
            <w:szCs w:val="24"/>
            <w:u w:val="single"/>
          </w:rPr>
          <w:t>https://www.gov.uk/government/statistics/police-misconduct-england-and-wales-year-ending-31-march-2021/police-misconduct-england-and-wales-year-ending-31-march-2021</w:t>
        </w:r>
      </w:hyperlink>
      <w:r>
        <w:rPr>
          <w:sz w:val="24"/>
          <w:szCs w:val="24"/>
        </w:rPr>
        <w:t xml:space="preserve"> (Accessed: February the 1st, 2024) </w:t>
      </w:r>
    </w:p>
    <w:p w14:paraId="0000007E" w14:textId="77777777" w:rsidR="00A423FD" w:rsidRDefault="00A423FD">
      <w:pPr>
        <w:spacing w:after="8" w:line="268" w:lineRule="auto"/>
        <w:ind w:right="1426"/>
        <w:jc w:val="both"/>
        <w:rPr>
          <w:sz w:val="24"/>
          <w:szCs w:val="24"/>
        </w:rPr>
      </w:pPr>
    </w:p>
    <w:p w14:paraId="0000007F" w14:textId="77777777" w:rsidR="00A423FD" w:rsidRDefault="00B65CF7">
      <w:pPr>
        <w:spacing w:after="8" w:line="268" w:lineRule="auto"/>
        <w:ind w:right="1426"/>
        <w:jc w:val="both"/>
        <w:rPr>
          <w:sz w:val="24"/>
          <w:szCs w:val="24"/>
        </w:rPr>
      </w:pPr>
      <w:r>
        <w:rPr>
          <w:sz w:val="24"/>
          <w:szCs w:val="24"/>
        </w:rPr>
        <w:t xml:space="preserve">GOV (2022) </w:t>
      </w:r>
      <w:r>
        <w:rPr>
          <w:i/>
          <w:sz w:val="24"/>
          <w:szCs w:val="24"/>
        </w:rPr>
        <w:t xml:space="preserve">Turnaround Programme Guidance. </w:t>
      </w:r>
      <w:r>
        <w:rPr>
          <w:sz w:val="24"/>
          <w:szCs w:val="24"/>
        </w:rPr>
        <w:t xml:space="preserve">Available at: </w:t>
      </w:r>
      <w:hyperlink r:id="rId25">
        <w:r>
          <w:rPr>
            <w:color w:val="1155CC"/>
            <w:sz w:val="24"/>
            <w:szCs w:val="24"/>
            <w:u w:val="single"/>
          </w:rPr>
          <w:t>https://aym.org.uk/wp-content/uploads/2022/12/Turnaround-Programme-Guidance.pdf</w:t>
        </w:r>
      </w:hyperlink>
      <w:r>
        <w:rPr>
          <w:sz w:val="24"/>
          <w:szCs w:val="24"/>
        </w:rPr>
        <w:t xml:space="preserve"> (Accessed: April 1st, 2024) </w:t>
      </w:r>
    </w:p>
    <w:p w14:paraId="00000080" w14:textId="77777777" w:rsidR="00A423FD" w:rsidRDefault="00A423FD">
      <w:pPr>
        <w:spacing w:after="8" w:line="268" w:lineRule="auto"/>
        <w:ind w:right="1426"/>
        <w:jc w:val="both"/>
        <w:rPr>
          <w:sz w:val="24"/>
          <w:szCs w:val="24"/>
        </w:rPr>
      </w:pPr>
    </w:p>
    <w:p w14:paraId="00000081" w14:textId="77777777" w:rsidR="00A423FD" w:rsidRDefault="00B65CF7">
      <w:pPr>
        <w:spacing w:after="8" w:line="268" w:lineRule="auto"/>
        <w:ind w:right="1426"/>
        <w:jc w:val="both"/>
        <w:rPr>
          <w:sz w:val="24"/>
          <w:szCs w:val="24"/>
        </w:rPr>
      </w:pPr>
      <w:r>
        <w:rPr>
          <w:sz w:val="24"/>
          <w:szCs w:val="24"/>
        </w:rPr>
        <w:t xml:space="preserve">GOV (2023) ‘Ethnicity Facts and Figures’ </w:t>
      </w:r>
      <w:r>
        <w:rPr>
          <w:i/>
          <w:sz w:val="24"/>
          <w:szCs w:val="24"/>
        </w:rPr>
        <w:t xml:space="preserve">Police Workforce. </w:t>
      </w:r>
      <w:r>
        <w:rPr>
          <w:sz w:val="24"/>
          <w:szCs w:val="24"/>
        </w:rPr>
        <w:t xml:space="preserve">Available at: </w:t>
      </w:r>
      <w:hyperlink r:id="rId26" w:anchor="main-facts-and-figures">
        <w:r>
          <w:rPr>
            <w:color w:val="1155CC"/>
            <w:sz w:val="24"/>
            <w:szCs w:val="24"/>
            <w:u w:val="single"/>
          </w:rPr>
          <w:t>https://www.ethnicity-facts-figures.service.gov.uk/workforce-and-business/workforce-diversity/police-workforce/latest/#main-facts-and-figures</w:t>
        </w:r>
      </w:hyperlink>
      <w:r>
        <w:rPr>
          <w:sz w:val="24"/>
          <w:szCs w:val="24"/>
        </w:rPr>
        <w:t xml:space="preserve"> (Accessed: 10th of April, 2024) </w:t>
      </w:r>
    </w:p>
    <w:p w14:paraId="00000082" w14:textId="77777777" w:rsidR="00A423FD" w:rsidRDefault="00A423FD">
      <w:pPr>
        <w:spacing w:after="8" w:line="268" w:lineRule="auto"/>
        <w:ind w:right="1426"/>
        <w:jc w:val="both"/>
        <w:rPr>
          <w:sz w:val="24"/>
          <w:szCs w:val="24"/>
        </w:rPr>
      </w:pPr>
    </w:p>
    <w:p w14:paraId="00000083" w14:textId="77777777" w:rsidR="00A423FD" w:rsidRDefault="00B65CF7">
      <w:pPr>
        <w:spacing w:line="259" w:lineRule="auto"/>
        <w:jc w:val="both"/>
        <w:rPr>
          <w:sz w:val="24"/>
          <w:szCs w:val="24"/>
        </w:rPr>
      </w:pPr>
      <w:r>
        <w:rPr>
          <w:sz w:val="24"/>
          <w:szCs w:val="24"/>
        </w:rPr>
        <w:t xml:space="preserve">GOV (2024) </w:t>
      </w:r>
      <w:r>
        <w:rPr>
          <w:i/>
          <w:sz w:val="24"/>
          <w:szCs w:val="24"/>
        </w:rPr>
        <w:t xml:space="preserve">Police workforce, England and Wales: 30 September 2023. </w:t>
      </w:r>
      <w:r>
        <w:rPr>
          <w:sz w:val="24"/>
          <w:szCs w:val="24"/>
        </w:rPr>
        <w:t xml:space="preserve">Available at: </w:t>
      </w:r>
      <w:hyperlink r:id="rId27">
        <w:r>
          <w:rPr>
            <w:color w:val="1155CC"/>
            <w:sz w:val="24"/>
            <w:szCs w:val="24"/>
            <w:u w:val="single"/>
          </w:rPr>
          <w:t>https://www.gov.uk/government/statistics/police-workforce-england-and-wales-30-september-2023/police-workforce-england-and-wales-30-september-2023</w:t>
        </w:r>
      </w:hyperlink>
      <w:r>
        <w:rPr>
          <w:sz w:val="24"/>
          <w:szCs w:val="24"/>
        </w:rPr>
        <w:t xml:space="preserve"> (Accessed: 10th of April, 2024)</w:t>
      </w:r>
    </w:p>
    <w:p w14:paraId="00000084" w14:textId="77777777" w:rsidR="00A423FD" w:rsidRDefault="00A423FD">
      <w:pPr>
        <w:spacing w:after="8" w:line="268" w:lineRule="auto"/>
        <w:ind w:right="1426"/>
        <w:jc w:val="both"/>
        <w:rPr>
          <w:sz w:val="24"/>
          <w:szCs w:val="24"/>
        </w:rPr>
      </w:pPr>
    </w:p>
    <w:p w14:paraId="00000085" w14:textId="77777777" w:rsidR="00A423FD" w:rsidRDefault="00B65CF7">
      <w:pPr>
        <w:spacing w:after="8" w:line="268" w:lineRule="auto"/>
        <w:ind w:right="1426"/>
        <w:jc w:val="both"/>
        <w:rPr>
          <w:sz w:val="24"/>
          <w:szCs w:val="24"/>
        </w:rPr>
      </w:pPr>
      <w:r>
        <w:rPr>
          <w:sz w:val="24"/>
          <w:szCs w:val="24"/>
        </w:rPr>
        <w:t xml:space="preserve">GOV (2024) </w:t>
      </w:r>
      <w:r>
        <w:rPr>
          <w:i/>
          <w:sz w:val="24"/>
          <w:szCs w:val="24"/>
        </w:rPr>
        <w:t xml:space="preserve">Police workforce, England and Wales: 31 March 2023 (second edition). </w:t>
      </w:r>
      <w:r>
        <w:rPr>
          <w:sz w:val="24"/>
          <w:szCs w:val="24"/>
        </w:rPr>
        <w:t xml:space="preserve">Available at: </w:t>
      </w:r>
      <w:hyperlink r:id="rId28" w:anchor="diversity">
        <w:r>
          <w:rPr>
            <w:color w:val="1155CC"/>
            <w:sz w:val="24"/>
            <w:szCs w:val="24"/>
            <w:u w:val="single"/>
          </w:rPr>
          <w:t>https://www.gov.uk/government/statistics/police-workforce-england-and-wales-31-march-2023/police-workforce-england-and-wales-31-march-2023#diversity</w:t>
        </w:r>
      </w:hyperlink>
      <w:r>
        <w:rPr>
          <w:sz w:val="24"/>
          <w:szCs w:val="24"/>
        </w:rPr>
        <w:t xml:space="preserve"> (15th of April, 2024) </w:t>
      </w:r>
    </w:p>
    <w:p w14:paraId="00000086" w14:textId="77777777" w:rsidR="00A423FD" w:rsidRDefault="00A423FD">
      <w:pPr>
        <w:spacing w:after="8" w:line="268" w:lineRule="auto"/>
        <w:ind w:right="1426"/>
        <w:jc w:val="both"/>
        <w:rPr>
          <w:sz w:val="24"/>
          <w:szCs w:val="24"/>
        </w:rPr>
      </w:pPr>
    </w:p>
    <w:p w14:paraId="00000087" w14:textId="77777777" w:rsidR="00A423FD" w:rsidRDefault="00B65CF7">
      <w:pPr>
        <w:spacing w:line="259" w:lineRule="auto"/>
        <w:jc w:val="both"/>
        <w:rPr>
          <w:sz w:val="24"/>
          <w:szCs w:val="24"/>
        </w:rPr>
      </w:pPr>
      <w:r>
        <w:rPr>
          <w:sz w:val="24"/>
          <w:szCs w:val="24"/>
        </w:rPr>
        <w:t xml:space="preserve">GOV (2024) </w:t>
      </w:r>
      <w:r>
        <w:rPr>
          <w:i/>
          <w:sz w:val="24"/>
          <w:szCs w:val="24"/>
        </w:rPr>
        <w:t xml:space="preserve">Pupil absence in schools in England, Autumn and spring term 2022/23. </w:t>
      </w:r>
      <w:r>
        <w:rPr>
          <w:sz w:val="24"/>
          <w:szCs w:val="24"/>
        </w:rPr>
        <w:t xml:space="preserve">Available at: </w:t>
      </w:r>
      <w:hyperlink r:id="rId29">
        <w:r>
          <w:rPr>
            <w:color w:val="1155CC"/>
            <w:sz w:val="24"/>
            <w:szCs w:val="24"/>
            <w:u w:val="single"/>
          </w:rPr>
          <w:t>https://explore-education-statistics.service.gov.uk/find-statistics/pupil-absence-in-schools-in-england</w:t>
        </w:r>
      </w:hyperlink>
      <w:r>
        <w:rPr>
          <w:sz w:val="24"/>
          <w:szCs w:val="24"/>
        </w:rPr>
        <w:t xml:space="preserve"> (Accessed: March the 30th, 2024)</w:t>
      </w:r>
      <w:r>
        <w:rPr>
          <w:sz w:val="24"/>
          <w:szCs w:val="24"/>
        </w:rPr>
        <w:br/>
      </w:r>
      <w:r>
        <w:rPr>
          <w:sz w:val="24"/>
          <w:szCs w:val="24"/>
        </w:rPr>
        <w:br/>
        <w:t xml:space="preserve">Harrison, K., L’Hoiry, X. and Santorso, S. (2022) ‘Exploring the impact of body-worn video on the everyday behaviours of police officers’ </w:t>
      </w:r>
      <w:r>
        <w:rPr>
          <w:i/>
          <w:sz w:val="24"/>
          <w:szCs w:val="24"/>
        </w:rPr>
        <w:t>The Police Journal</w:t>
      </w:r>
      <w:r>
        <w:rPr>
          <w:sz w:val="24"/>
          <w:szCs w:val="24"/>
        </w:rPr>
        <w:t xml:space="preserve">. 95(2), 363-377. </w:t>
      </w:r>
      <w:r>
        <w:rPr>
          <w:sz w:val="24"/>
          <w:szCs w:val="24"/>
        </w:rPr>
        <w:br/>
      </w:r>
    </w:p>
    <w:p w14:paraId="00000088" w14:textId="77777777" w:rsidR="00A423FD" w:rsidRDefault="00B65CF7">
      <w:pPr>
        <w:spacing w:after="8" w:line="268" w:lineRule="auto"/>
        <w:ind w:right="1426"/>
        <w:jc w:val="both"/>
        <w:rPr>
          <w:sz w:val="24"/>
          <w:szCs w:val="24"/>
        </w:rPr>
      </w:pPr>
      <w:r>
        <w:rPr>
          <w:sz w:val="24"/>
          <w:szCs w:val="24"/>
        </w:rPr>
        <w:t>Haydon, D. (2014) ‘Early Intervention for the Prevention of Offending in Northern Ireland’</w:t>
      </w:r>
      <w:r>
        <w:rPr>
          <w:i/>
          <w:sz w:val="24"/>
          <w:szCs w:val="24"/>
        </w:rPr>
        <w:t xml:space="preserve"> Youth Justice,</w:t>
      </w:r>
      <w:r>
        <w:rPr>
          <w:sz w:val="24"/>
          <w:szCs w:val="24"/>
        </w:rPr>
        <w:t xml:space="preserve"> 14(3), 226-240. Available  at: </w:t>
      </w:r>
      <w:hyperlink r:id="rId30">
        <w:r>
          <w:rPr>
            <w:color w:val="1155CC"/>
            <w:sz w:val="24"/>
            <w:szCs w:val="24"/>
            <w:u w:val="single"/>
          </w:rPr>
          <w:t>https://doi.org/10.1177/1473225414549693</w:t>
        </w:r>
      </w:hyperlink>
      <w:r>
        <w:rPr>
          <w:sz w:val="24"/>
          <w:szCs w:val="24"/>
        </w:rPr>
        <w:t xml:space="preserve"> (Accessed: 2nd of April, 2024) </w:t>
      </w:r>
    </w:p>
    <w:p w14:paraId="00000089" w14:textId="77777777" w:rsidR="00A423FD" w:rsidRDefault="00A423FD">
      <w:pPr>
        <w:spacing w:after="8" w:line="268" w:lineRule="auto"/>
        <w:ind w:right="1426"/>
        <w:jc w:val="both"/>
        <w:rPr>
          <w:sz w:val="24"/>
          <w:szCs w:val="24"/>
        </w:rPr>
      </w:pPr>
    </w:p>
    <w:p w14:paraId="0000008A" w14:textId="77777777" w:rsidR="00A423FD" w:rsidRDefault="00B65CF7">
      <w:pPr>
        <w:spacing w:line="259" w:lineRule="auto"/>
        <w:jc w:val="both"/>
        <w:rPr>
          <w:sz w:val="24"/>
          <w:szCs w:val="24"/>
        </w:rPr>
      </w:pPr>
      <w:r>
        <w:rPr>
          <w:sz w:val="24"/>
          <w:szCs w:val="24"/>
        </w:rPr>
        <w:t xml:space="preserve">HM Government (2018) </w:t>
      </w:r>
      <w:r>
        <w:rPr>
          <w:i/>
          <w:sz w:val="24"/>
          <w:szCs w:val="24"/>
        </w:rPr>
        <w:t xml:space="preserve">Serious Violence Strategy. </w:t>
      </w:r>
      <w:r>
        <w:rPr>
          <w:sz w:val="24"/>
          <w:szCs w:val="24"/>
        </w:rPr>
        <w:t xml:space="preserve">Available at: </w:t>
      </w:r>
      <w:hyperlink r:id="rId31">
        <w:r>
          <w:rPr>
            <w:color w:val="1155CC"/>
            <w:sz w:val="24"/>
            <w:szCs w:val="24"/>
            <w:u w:val="single"/>
          </w:rPr>
          <w:t>https://assets.publishing.service.gov.uk/media/5acb21d140f0b64fed0afd55/serious-violence-strategy.pdf</w:t>
        </w:r>
      </w:hyperlink>
      <w:r>
        <w:rPr>
          <w:sz w:val="24"/>
          <w:szCs w:val="24"/>
        </w:rPr>
        <w:t xml:space="preserve"> (Accessed: April the 1st, 2024)</w:t>
      </w:r>
    </w:p>
    <w:p w14:paraId="0000008B" w14:textId="77777777" w:rsidR="00A423FD" w:rsidRDefault="00B65CF7">
      <w:pPr>
        <w:spacing w:line="259" w:lineRule="auto"/>
        <w:jc w:val="both"/>
        <w:rPr>
          <w:sz w:val="24"/>
          <w:szCs w:val="24"/>
        </w:rPr>
      </w:pPr>
      <w:r>
        <w:rPr>
          <w:sz w:val="24"/>
          <w:szCs w:val="24"/>
        </w:rPr>
        <w:t xml:space="preserve">Independent Office for Police Conduct (2023) </w:t>
      </w:r>
      <w:r>
        <w:rPr>
          <w:i/>
          <w:sz w:val="24"/>
          <w:szCs w:val="24"/>
        </w:rPr>
        <w:t xml:space="preserve">IOPC publishes figures on police complaints made in 2022/23.  </w:t>
      </w:r>
      <w:r>
        <w:rPr>
          <w:sz w:val="24"/>
          <w:szCs w:val="24"/>
        </w:rPr>
        <w:t xml:space="preserve">Available at: </w:t>
      </w:r>
      <w:hyperlink r:id="rId32">
        <w:r>
          <w:rPr>
            <w:color w:val="1155CC"/>
            <w:sz w:val="24"/>
            <w:szCs w:val="24"/>
            <w:u w:val="single"/>
          </w:rPr>
          <w:t>https://www.policeconduct.gov.uk/news/:~:text=The%20complaints%20amounted%20to%20134%2C952%20allegations%20made%20overall.,informally%29%20-%20a%209%25%20increase%20</w:t>
        </w:r>
      </w:hyperlink>
      <w:r>
        <w:rPr>
          <w:sz w:val="24"/>
          <w:szCs w:val="24"/>
        </w:rPr>
        <w:t xml:space="preserve"> (Accessed: February the 2nd, 2024)</w:t>
      </w:r>
      <w:r>
        <w:rPr>
          <w:sz w:val="24"/>
          <w:szCs w:val="24"/>
        </w:rPr>
        <w:br/>
      </w:r>
      <w:r>
        <w:rPr>
          <w:sz w:val="24"/>
          <w:szCs w:val="24"/>
        </w:rPr>
        <w:br/>
        <w:t xml:space="preserve">Ivkovich, S. (2014) 'Police Misconduct' </w:t>
      </w:r>
      <w:r>
        <w:rPr>
          <w:i/>
          <w:sz w:val="24"/>
          <w:szCs w:val="24"/>
        </w:rPr>
        <w:t>The Oxford Handbook of Police and Policing</w:t>
      </w:r>
      <w:r>
        <w:rPr>
          <w:sz w:val="24"/>
          <w:szCs w:val="24"/>
        </w:rPr>
        <w:t xml:space="preserve">. Available at:  </w:t>
      </w:r>
      <w:hyperlink r:id="rId33">
        <w:r>
          <w:rPr>
            <w:color w:val="006FB7"/>
            <w:sz w:val="24"/>
            <w:szCs w:val="24"/>
          </w:rPr>
          <w:t>https://doi.org/10.1093/oxfordhb/9780199843886.013.018</w:t>
        </w:r>
      </w:hyperlink>
      <w:r>
        <w:rPr>
          <w:sz w:val="24"/>
          <w:szCs w:val="24"/>
        </w:rPr>
        <w:t xml:space="preserve"> (Accessed: February the 2nd, 2024) </w:t>
      </w:r>
    </w:p>
    <w:p w14:paraId="0000008C" w14:textId="77777777" w:rsidR="00A423FD" w:rsidRDefault="00A423FD">
      <w:pPr>
        <w:spacing w:after="0" w:line="259" w:lineRule="auto"/>
        <w:jc w:val="both"/>
        <w:rPr>
          <w:sz w:val="24"/>
          <w:szCs w:val="24"/>
        </w:rPr>
      </w:pPr>
    </w:p>
    <w:p w14:paraId="0000008D" w14:textId="77777777" w:rsidR="00A423FD" w:rsidRDefault="00B65CF7">
      <w:pPr>
        <w:spacing w:line="259" w:lineRule="auto"/>
        <w:jc w:val="both"/>
        <w:rPr>
          <w:sz w:val="24"/>
          <w:szCs w:val="24"/>
        </w:rPr>
      </w:pPr>
      <w:r>
        <w:rPr>
          <w:sz w:val="24"/>
          <w:szCs w:val="24"/>
        </w:rPr>
        <w:br/>
      </w:r>
      <w:r>
        <w:rPr>
          <w:sz w:val="24"/>
          <w:szCs w:val="24"/>
        </w:rPr>
        <w:br/>
        <w:t xml:space="preserve">Katz, C.M., Choate, D.E., Ready, J.R. and Nuňo, L. (2014) </w:t>
      </w:r>
      <w:r>
        <w:rPr>
          <w:i/>
          <w:sz w:val="24"/>
          <w:szCs w:val="24"/>
        </w:rPr>
        <w:t xml:space="preserve">Evaluating the Impact of Officer Worn Body Cameras in the Phoenix Police Department. </w:t>
      </w:r>
      <w:r>
        <w:rPr>
          <w:sz w:val="24"/>
          <w:szCs w:val="24"/>
        </w:rPr>
        <w:t xml:space="preserve">Available at: </w:t>
      </w:r>
      <w:hyperlink r:id="rId34">
        <w:r>
          <w:rPr>
            <w:color w:val="1155CC"/>
            <w:sz w:val="24"/>
            <w:szCs w:val="24"/>
            <w:u w:val="single"/>
          </w:rPr>
          <w:t>https://publicservice.asu.edu/sites/default/files/ppd_spi_feb_20_2015_final.pdf</w:t>
        </w:r>
      </w:hyperlink>
      <w:r>
        <w:rPr>
          <w:sz w:val="24"/>
          <w:szCs w:val="24"/>
        </w:rPr>
        <w:t xml:space="preserve"> (Accessed: February the 1st, 2024) </w:t>
      </w:r>
      <w:r>
        <w:rPr>
          <w:sz w:val="24"/>
          <w:szCs w:val="24"/>
        </w:rPr>
        <w:br/>
      </w:r>
      <w:r>
        <w:rPr>
          <w:sz w:val="24"/>
          <w:szCs w:val="24"/>
        </w:rPr>
        <w:br/>
        <w:t xml:space="preserve">Keshia, M., Pollack, P., Lainie, R. and McGinty, E. (2018) ‘The importance of policy change for addressing public heath problems’ </w:t>
      </w:r>
      <w:r>
        <w:rPr>
          <w:i/>
          <w:color w:val="212121"/>
          <w:sz w:val="24"/>
          <w:szCs w:val="24"/>
        </w:rPr>
        <w:t>Public health reports</w:t>
      </w:r>
      <w:r>
        <w:rPr>
          <w:i/>
          <w:sz w:val="24"/>
          <w:szCs w:val="24"/>
        </w:rPr>
        <w:t xml:space="preserve">. </w:t>
      </w:r>
      <w:r>
        <w:rPr>
          <w:sz w:val="24"/>
          <w:szCs w:val="24"/>
        </w:rPr>
        <w:t xml:space="preserve">133(1). Available at: </w:t>
      </w:r>
      <w:hyperlink r:id="rId35">
        <w:r>
          <w:rPr>
            <w:color w:val="1155CC"/>
            <w:sz w:val="24"/>
            <w:szCs w:val="24"/>
            <w:u w:val="single"/>
          </w:rPr>
          <w:t>https://pubmed.ncbi.nlm.nih.gov/30426876/</w:t>
        </w:r>
      </w:hyperlink>
      <w:r>
        <w:rPr>
          <w:sz w:val="24"/>
          <w:szCs w:val="24"/>
        </w:rPr>
        <w:t xml:space="preserve">  (Accessed 2</w:t>
      </w:r>
      <w:r>
        <w:rPr>
          <w:sz w:val="24"/>
          <w:szCs w:val="24"/>
          <w:vertAlign w:val="superscript"/>
        </w:rPr>
        <w:t>ND</w:t>
      </w:r>
      <w:r>
        <w:rPr>
          <w:sz w:val="24"/>
          <w:szCs w:val="24"/>
        </w:rPr>
        <w:t xml:space="preserve"> January 2024)</w:t>
      </w:r>
    </w:p>
    <w:p w14:paraId="0000008E" w14:textId="77777777" w:rsidR="00A423FD" w:rsidRDefault="00B65CF7">
      <w:pPr>
        <w:spacing w:after="8" w:line="268" w:lineRule="auto"/>
        <w:ind w:right="1426"/>
        <w:jc w:val="both"/>
        <w:rPr>
          <w:color w:val="0000FF"/>
          <w:sz w:val="24"/>
          <w:szCs w:val="24"/>
          <w:highlight w:val="yellow"/>
          <w:u w:val="single"/>
        </w:rPr>
      </w:pPr>
      <w:r>
        <w:rPr>
          <w:sz w:val="24"/>
          <w:szCs w:val="24"/>
        </w:rPr>
        <w:br/>
        <w:t xml:space="preserve">Lum, C.,  Koper, C.S.,  Wilson, D.B., Stolz, M., Goodier, M., Eggins, E., Higginson, A. and Mazerolle, L. (2020)  ‘Body-worn cameras’ effects on police officers and citizen behavior: A systematic review’ </w:t>
      </w:r>
      <w:r>
        <w:rPr>
          <w:i/>
          <w:sz w:val="24"/>
          <w:szCs w:val="24"/>
        </w:rPr>
        <w:t>Campbell Systematic Reviews</w:t>
      </w:r>
      <w:r>
        <w:rPr>
          <w:sz w:val="24"/>
          <w:szCs w:val="24"/>
        </w:rPr>
        <w:t xml:space="preserve">. Available at: </w:t>
      </w:r>
      <w:hyperlink r:id="rId36">
        <w:r>
          <w:rPr>
            <w:color w:val="1155CC"/>
            <w:sz w:val="24"/>
            <w:szCs w:val="24"/>
            <w:u w:val="single"/>
          </w:rPr>
          <w:t>https://onlinelibrary.wiley.com/action/showCitFormats?doi=10.1002%2Fcl2.1112</w:t>
        </w:r>
      </w:hyperlink>
      <w:r>
        <w:rPr>
          <w:sz w:val="24"/>
          <w:szCs w:val="24"/>
        </w:rPr>
        <w:t xml:space="preserve"> (Accessed: February the 8th, 2024) </w:t>
      </w:r>
      <w:r>
        <w:rPr>
          <w:sz w:val="24"/>
          <w:szCs w:val="24"/>
        </w:rPr>
        <w:br/>
      </w:r>
    </w:p>
    <w:p w14:paraId="0000008F" w14:textId="77777777" w:rsidR="00A423FD" w:rsidRDefault="00B65CF7">
      <w:pPr>
        <w:spacing w:after="8" w:line="268" w:lineRule="auto"/>
        <w:ind w:right="1426"/>
        <w:jc w:val="both"/>
        <w:rPr>
          <w:sz w:val="24"/>
          <w:szCs w:val="24"/>
        </w:rPr>
      </w:pPr>
      <w:r>
        <w:rPr>
          <w:sz w:val="24"/>
          <w:szCs w:val="24"/>
        </w:rPr>
        <w:t xml:space="preserve">Macpherson, W. (1999) </w:t>
      </w:r>
      <w:r>
        <w:rPr>
          <w:i/>
          <w:sz w:val="24"/>
          <w:szCs w:val="24"/>
        </w:rPr>
        <w:t xml:space="preserve">The Stephen Lawrence Inquiry. </w:t>
      </w:r>
      <w:r>
        <w:rPr>
          <w:sz w:val="24"/>
          <w:szCs w:val="24"/>
        </w:rPr>
        <w:t xml:space="preserve">Available at: </w:t>
      </w:r>
      <w:hyperlink r:id="rId37">
        <w:r>
          <w:rPr>
            <w:color w:val="1155CC"/>
            <w:sz w:val="24"/>
            <w:szCs w:val="24"/>
            <w:u w:val="single"/>
          </w:rPr>
          <w:t>https://assets.publishing.service.gov.uk/government/uploads/system/uploads/attachment_data/file/277111/4262.pdf</w:t>
        </w:r>
      </w:hyperlink>
      <w:r>
        <w:rPr>
          <w:sz w:val="24"/>
          <w:szCs w:val="24"/>
        </w:rPr>
        <w:t xml:space="preserve"> (Accessed: 13th of April, 2024)</w:t>
      </w:r>
      <w:r>
        <w:rPr>
          <w:sz w:val="24"/>
          <w:szCs w:val="24"/>
        </w:rPr>
        <w:br/>
      </w:r>
    </w:p>
    <w:p w14:paraId="00000090" w14:textId="77777777" w:rsidR="00A423FD" w:rsidRDefault="00B65CF7">
      <w:pPr>
        <w:spacing w:after="8" w:line="268" w:lineRule="auto"/>
        <w:ind w:right="1426"/>
        <w:jc w:val="both"/>
        <w:rPr>
          <w:sz w:val="24"/>
          <w:szCs w:val="24"/>
        </w:rPr>
      </w:pPr>
      <w:r>
        <w:rPr>
          <w:sz w:val="24"/>
          <w:szCs w:val="24"/>
        </w:rPr>
        <w:t>Mcara, L. and McVie, S. (2010)</w:t>
      </w:r>
      <w:r>
        <w:rPr>
          <w:i/>
          <w:sz w:val="24"/>
          <w:szCs w:val="24"/>
        </w:rPr>
        <w:t xml:space="preserve"> ‘Youth crime and justice: Key messages from the Edinburgh Study of Youth Transitions and Crime’ </w:t>
      </w:r>
      <w:r>
        <w:rPr>
          <w:sz w:val="24"/>
          <w:szCs w:val="24"/>
        </w:rPr>
        <w:t xml:space="preserve">Available at: </w:t>
      </w:r>
      <w:hyperlink r:id="rId38">
        <w:r>
          <w:rPr>
            <w:color w:val="073763"/>
            <w:sz w:val="24"/>
            <w:szCs w:val="24"/>
            <w:u w:val="single"/>
          </w:rPr>
          <w:t>Youth crime and justice: Key messages from the Edinburgh Study of Youth Transitions and Crime (uwtsd.ac.uk)</w:t>
        </w:r>
      </w:hyperlink>
      <w:r>
        <w:rPr>
          <w:sz w:val="24"/>
          <w:szCs w:val="24"/>
        </w:rPr>
        <w:t xml:space="preserve"> (Accessed: 9th of February, 2024) </w:t>
      </w:r>
    </w:p>
    <w:p w14:paraId="00000091" w14:textId="77777777" w:rsidR="00A423FD" w:rsidRDefault="00A423FD">
      <w:pPr>
        <w:spacing w:after="8" w:line="268" w:lineRule="auto"/>
        <w:ind w:right="1426"/>
        <w:jc w:val="both"/>
        <w:rPr>
          <w:sz w:val="24"/>
          <w:szCs w:val="24"/>
        </w:rPr>
      </w:pPr>
    </w:p>
    <w:p w14:paraId="00000092" w14:textId="77777777" w:rsidR="00A423FD" w:rsidRDefault="00B65CF7">
      <w:pPr>
        <w:spacing w:line="259" w:lineRule="auto"/>
        <w:jc w:val="both"/>
        <w:rPr>
          <w:sz w:val="24"/>
          <w:szCs w:val="24"/>
        </w:rPr>
      </w:pPr>
      <w:r>
        <w:rPr>
          <w:sz w:val="24"/>
          <w:szCs w:val="24"/>
        </w:rPr>
        <w:t xml:space="preserve">McMahon, W. and Roberts, R. (2007) </w:t>
      </w:r>
      <w:r>
        <w:rPr>
          <w:i/>
          <w:sz w:val="24"/>
          <w:szCs w:val="24"/>
        </w:rPr>
        <w:t xml:space="preserve">Social Justice and Criminal Justice. </w:t>
      </w:r>
      <w:r>
        <w:rPr>
          <w:sz w:val="24"/>
          <w:szCs w:val="24"/>
        </w:rPr>
        <w:t xml:space="preserve">Available at: </w:t>
      </w:r>
      <w:hyperlink r:id="rId39" w:anchor="page=234">
        <w:r>
          <w:rPr>
            <w:color w:val="1155CC"/>
            <w:sz w:val="24"/>
            <w:szCs w:val="24"/>
            <w:u w:val="single"/>
          </w:rPr>
          <w:t>https://www.crimeandjustice.org.uk/sites/crimeandjustice.org.uk/files/socialjusticecriminaljusticeweb.pdf#page=234</w:t>
        </w:r>
      </w:hyperlink>
      <w:r>
        <w:rPr>
          <w:sz w:val="24"/>
          <w:szCs w:val="24"/>
        </w:rPr>
        <w:t xml:space="preserve"> (Accessed: March 30th, 2024) </w:t>
      </w:r>
      <w:r>
        <w:rPr>
          <w:sz w:val="24"/>
          <w:szCs w:val="24"/>
        </w:rPr>
        <w:br/>
      </w:r>
      <w:r>
        <w:rPr>
          <w:sz w:val="24"/>
          <w:szCs w:val="24"/>
        </w:rPr>
        <w:br/>
        <w:t xml:space="preserve">Ministry of Justice (2018) </w:t>
      </w:r>
      <w:r>
        <w:rPr>
          <w:i/>
          <w:sz w:val="24"/>
          <w:szCs w:val="24"/>
        </w:rPr>
        <w:t xml:space="preserve">Examining the educational background of young knife possession offenders. </w:t>
      </w:r>
      <w:r>
        <w:rPr>
          <w:sz w:val="24"/>
          <w:szCs w:val="24"/>
        </w:rPr>
        <w:t xml:space="preserve">Available at: </w:t>
      </w:r>
      <w:hyperlink r:id="rId40">
        <w:r>
          <w:rPr>
            <w:color w:val="1155CC"/>
            <w:sz w:val="24"/>
            <w:szCs w:val="24"/>
            <w:u w:val="single"/>
          </w:rPr>
          <w:t>https://assets.publishing.service.gov.uk/government/uploads/system/uploads/attachment_data/file/716039/examining-the-educational-background-of-young-knife-possession-offenders.pdf</w:t>
        </w:r>
      </w:hyperlink>
      <w:r>
        <w:rPr>
          <w:sz w:val="24"/>
          <w:szCs w:val="24"/>
        </w:rPr>
        <w:t xml:space="preserve"> (Accessed: April the 1st, 2024)</w:t>
      </w:r>
      <w:r>
        <w:rPr>
          <w:sz w:val="24"/>
          <w:szCs w:val="24"/>
        </w:rPr>
        <w:br/>
      </w:r>
    </w:p>
    <w:p w14:paraId="00000093" w14:textId="77777777" w:rsidR="00A423FD" w:rsidRDefault="00B65CF7">
      <w:pPr>
        <w:spacing w:line="259" w:lineRule="auto"/>
        <w:jc w:val="both"/>
        <w:rPr>
          <w:sz w:val="24"/>
          <w:szCs w:val="24"/>
        </w:rPr>
      </w:pPr>
      <w:r>
        <w:rPr>
          <w:sz w:val="24"/>
          <w:szCs w:val="24"/>
        </w:rPr>
        <w:t xml:space="preserve">National Crime Agency (2023) </w:t>
      </w:r>
      <w:r>
        <w:rPr>
          <w:i/>
          <w:sz w:val="24"/>
          <w:szCs w:val="24"/>
        </w:rPr>
        <w:t xml:space="preserve">Modern Slavery and Human Trafficking. </w:t>
      </w:r>
      <w:r>
        <w:rPr>
          <w:sz w:val="24"/>
          <w:szCs w:val="24"/>
        </w:rPr>
        <w:t xml:space="preserve">Available at: </w:t>
      </w:r>
      <w:hyperlink r:id="rId41">
        <w:r>
          <w:rPr>
            <w:color w:val="1155CC"/>
            <w:sz w:val="24"/>
            <w:szCs w:val="24"/>
            <w:u w:val="single"/>
          </w:rPr>
          <w:t>https://nationalcrimeagency.gov.uk/nsa-modern-slavery-and-human-trafficking</w:t>
        </w:r>
      </w:hyperlink>
      <w:r>
        <w:rPr>
          <w:sz w:val="24"/>
          <w:szCs w:val="24"/>
        </w:rPr>
        <w:t xml:space="preserve"> (Accessed: April the 2nd, 2024) </w:t>
      </w:r>
      <w:r>
        <w:rPr>
          <w:sz w:val="24"/>
          <w:szCs w:val="24"/>
        </w:rPr>
        <w:br/>
      </w:r>
      <w:r>
        <w:rPr>
          <w:sz w:val="24"/>
          <w:szCs w:val="24"/>
        </w:rPr>
        <w:br/>
        <w:t xml:space="preserve">Pollack-Porter. K.M., Rutkow, L. and McGinty, E.E.(2018) ‘The Importance of Policy Change for Addressing Public Health Problems’ </w:t>
      </w:r>
      <w:r>
        <w:rPr>
          <w:i/>
          <w:sz w:val="24"/>
          <w:szCs w:val="24"/>
        </w:rPr>
        <w:t>Public Health Reports</w:t>
      </w:r>
      <w:r>
        <w:rPr>
          <w:sz w:val="24"/>
          <w:szCs w:val="24"/>
        </w:rPr>
        <w:t xml:space="preserve">. Available at: </w:t>
      </w:r>
      <w:hyperlink r:id="rId42">
        <w:r>
          <w:rPr>
            <w:color w:val="1155CC"/>
            <w:sz w:val="24"/>
            <w:szCs w:val="24"/>
          </w:rPr>
          <w:t>https://journals.sagepub.com/doi/full/10.1177/0033354918788880</w:t>
        </w:r>
      </w:hyperlink>
      <w:r>
        <w:rPr>
          <w:sz w:val="24"/>
          <w:szCs w:val="24"/>
        </w:rPr>
        <w:t xml:space="preserve"> (Accessed: February the 2nd, 2024) </w:t>
      </w:r>
      <w:r>
        <w:rPr>
          <w:color w:val="0000FF"/>
          <w:sz w:val="24"/>
          <w:szCs w:val="24"/>
          <w:highlight w:val="yellow"/>
        </w:rPr>
        <w:br/>
      </w:r>
    </w:p>
    <w:p w14:paraId="00000094" w14:textId="77777777" w:rsidR="00A423FD" w:rsidRDefault="00B65CF7">
      <w:pPr>
        <w:spacing w:line="259" w:lineRule="auto"/>
        <w:jc w:val="both"/>
        <w:rPr>
          <w:color w:val="0000FF"/>
          <w:sz w:val="24"/>
          <w:szCs w:val="24"/>
          <w:highlight w:val="yellow"/>
          <w:u w:val="single"/>
        </w:rPr>
      </w:pPr>
      <w:r>
        <w:rPr>
          <w:sz w:val="24"/>
          <w:szCs w:val="24"/>
        </w:rPr>
        <w:t xml:space="preserve">Ross, A., Duckworth, K., Smith, D., Wyness, G. and Schoon, I. (2010) </w:t>
      </w:r>
      <w:r>
        <w:rPr>
          <w:i/>
          <w:sz w:val="24"/>
          <w:szCs w:val="24"/>
        </w:rPr>
        <w:t xml:space="preserve">Prevention and Reduction: A review of strategies for intervening early to prevent or reduce youth crime and anti-social behaviour. </w:t>
      </w:r>
      <w:r>
        <w:rPr>
          <w:sz w:val="24"/>
          <w:szCs w:val="24"/>
        </w:rPr>
        <w:t xml:space="preserve">Available at: </w:t>
      </w:r>
      <w:hyperlink r:id="rId43">
        <w:r>
          <w:rPr>
            <w:color w:val="1155CC"/>
            <w:sz w:val="24"/>
            <w:szCs w:val="24"/>
            <w:u w:val="single"/>
          </w:rPr>
          <w:t>https://assets.publishing.service.gov.uk/media/5a7a36f2e5274a34770e5114/DFE-RR111.pdf</w:t>
        </w:r>
      </w:hyperlink>
      <w:r>
        <w:rPr>
          <w:sz w:val="24"/>
          <w:szCs w:val="24"/>
        </w:rPr>
        <w:t xml:space="preserve"> (Accessed: April the 1st, 2024) </w:t>
      </w:r>
      <w:r>
        <w:rPr>
          <w:sz w:val="24"/>
          <w:szCs w:val="24"/>
        </w:rPr>
        <w:br/>
      </w:r>
      <w:r>
        <w:rPr>
          <w:sz w:val="24"/>
          <w:szCs w:val="24"/>
        </w:rPr>
        <w:br/>
        <w:t>Sanja, I. (2014</w:t>
      </w:r>
      <w:r>
        <w:rPr>
          <w:i/>
          <w:sz w:val="24"/>
          <w:szCs w:val="24"/>
        </w:rPr>
        <w:t>) ‘</w:t>
      </w:r>
      <w:r>
        <w:rPr>
          <w:sz w:val="24"/>
          <w:szCs w:val="24"/>
        </w:rPr>
        <w:t xml:space="preserve">Policing, criminology and criminal justice’ </w:t>
      </w:r>
      <w:r>
        <w:rPr>
          <w:i/>
          <w:sz w:val="24"/>
          <w:szCs w:val="24"/>
        </w:rPr>
        <w:t>Policing, Criminology and Criminal Justice.</w:t>
      </w:r>
      <w:r>
        <w:rPr>
          <w:sz w:val="24"/>
          <w:szCs w:val="24"/>
        </w:rPr>
        <w:br/>
      </w:r>
      <w:r>
        <w:rPr>
          <w:sz w:val="24"/>
          <w:szCs w:val="24"/>
        </w:rPr>
        <w:br/>
        <w:t xml:space="preserve">Scottish Police Authority (2021) </w:t>
      </w:r>
      <w:r>
        <w:rPr>
          <w:i/>
          <w:sz w:val="24"/>
          <w:szCs w:val="24"/>
        </w:rPr>
        <w:t xml:space="preserve">Body Worn Video Fact Sheet. </w:t>
      </w:r>
      <w:r>
        <w:rPr>
          <w:sz w:val="24"/>
          <w:szCs w:val="24"/>
        </w:rPr>
        <w:t xml:space="preserve">Available at: </w:t>
      </w:r>
      <w:hyperlink r:id="rId44">
        <w:r>
          <w:rPr>
            <w:color w:val="1155CC"/>
            <w:sz w:val="24"/>
            <w:szCs w:val="24"/>
            <w:u w:val="single"/>
          </w:rPr>
          <w:t>https://www.spa.police.uk/spa-media/n0tb53uu/doc-210515-body-worn-video-armed-policing-factsheet-final.pdf</w:t>
        </w:r>
      </w:hyperlink>
      <w:r>
        <w:rPr>
          <w:sz w:val="24"/>
          <w:szCs w:val="24"/>
        </w:rPr>
        <w:t xml:space="preserve"> (Accessed: February the 1st, 2024) </w:t>
      </w:r>
    </w:p>
    <w:p w14:paraId="00000095" w14:textId="77777777" w:rsidR="00A423FD" w:rsidRDefault="00B65CF7">
      <w:pPr>
        <w:spacing w:after="8" w:line="268" w:lineRule="auto"/>
        <w:ind w:right="1426"/>
        <w:jc w:val="both"/>
        <w:rPr>
          <w:sz w:val="24"/>
          <w:szCs w:val="24"/>
        </w:rPr>
      </w:pPr>
      <w:r>
        <w:rPr>
          <w:sz w:val="24"/>
          <w:szCs w:val="24"/>
        </w:rPr>
        <w:t>Smith, R. (2013). Youth Justice: Ideas, Policy, Practice. 3rd edn. Routledge.</w:t>
      </w:r>
    </w:p>
    <w:p w14:paraId="00000096" w14:textId="77777777" w:rsidR="00A423FD" w:rsidRDefault="00A423FD">
      <w:pPr>
        <w:spacing w:after="8" w:line="268" w:lineRule="auto"/>
        <w:ind w:right="1426"/>
        <w:jc w:val="both"/>
        <w:rPr>
          <w:color w:val="0000FF"/>
          <w:sz w:val="24"/>
          <w:szCs w:val="24"/>
          <w:highlight w:val="yellow"/>
          <w:u w:val="single"/>
        </w:rPr>
      </w:pPr>
    </w:p>
    <w:p w14:paraId="00000097" w14:textId="77777777" w:rsidR="00A423FD" w:rsidRDefault="00B65CF7">
      <w:pPr>
        <w:spacing w:line="259" w:lineRule="auto"/>
        <w:jc w:val="both"/>
        <w:rPr>
          <w:color w:val="0A2342"/>
          <w:sz w:val="24"/>
          <w:szCs w:val="24"/>
        </w:rPr>
      </w:pPr>
      <w:r>
        <w:rPr>
          <w:sz w:val="24"/>
          <w:szCs w:val="24"/>
        </w:rPr>
        <w:t xml:space="preserve">South Yorkshire Police (2016) </w:t>
      </w:r>
      <w:r>
        <w:rPr>
          <w:i/>
          <w:color w:val="0A2342"/>
          <w:sz w:val="24"/>
          <w:szCs w:val="24"/>
        </w:rPr>
        <w:t xml:space="preserve">The police are the public, and the public are the police. </w:t>
      </w:r>
      <w:r>
        <w:rPr>
          <w:color w:val="0A2342"/>
          <w:sz w:val="24"/>
          <w:szCs w:val="24"/>
        </w:rPr>
        <w:t xml:space="preserve">Available at: </w:t>
      </w:r>
      <w:hyperlink r:id="rId45" w:anchor=":~:text=It%20dates%20back%20to%20the,the%20public%20are%20the%20police%27">
        <w:r>
          <w:rPr>
            <w:color w:val="1155CC"/>
            <w:sz w:val="24"/>
            <w:szCs w:val="24"/>
            <w:u w:val="single"/>
          </w:rPr>
          <w:t>https://southyorkshire-pcc.gov.uk/blogs/the-police-are-the-public-and-the-public-are-the-police/#:~:text=It%20dates%20back%20to%20the,the%20public%20are%20the%20police%27</w:t>
        </w:r>
      </w:hyperlink>
      <w:r>
        <w:rPr>
          <w:color w:val="0A2342"/>
          <w:sz w:val="24"/>
          <w:szCs w:val="24"/>
        </w:rPr>
        <w:t xml:space="preserve">. (Accessed: 10th of April, 2024) </w:t>
      </w:r>
      <w:r>
        <w:rPr>
          <w:color w:val="0A2342"/>
          <w:sz w:val="24"/>
          <w:szCs w:val="24"/>
        </w:rPr>
        <w:br/>
      </w:r>
    </w:p>
    <w:p w14:paraId="00000098" w14:textId="77777777" w:rsidR="00A423FD" w:rsidRDefault="00B65CF7">
      <w:pPr>
        <w:spacing w:line="259" w:lineRule="auto"/>
        <w:jc w:val="both"/>
        <w:rPr>
          <w:color w:val="0A2342"/>
          <w:sz w:val="24"/>
          <w:szCs w:val="24"/>
        </w:rPr>
      </w:pPr>
      <w:r>
        <w:rPr>
          <w:sz w:val="24"/>
          <w:szCs w:val="24"/>
        </w:rPr>
        <w:t xml:space="preserve">Stewart, D.W (2014) ‘American Marketing Association’ </w:t>
      </w:r>
      <w:r>
        <w:rPr>
          <w:i/>
          <w:sz w:val="24"/>
          <w:szCs w:val="24"/>
        </w:rPr>
        <w:t xml:space="preserve">Journal of Public Policy and Marketing’ </w:t>
      </w:r>
      <w:r>
        <w:rPr>
          <w:sz w:val="24"/>
          <w:szCs w:val="24"/>
        </w:rPr>
        <w:t xml:space="preserve">33 (1) </w:t>
      </w:r>
      <w:r>
        <w:rPr>
          <w:color w:val="0A2342"/>
          <w:sz w:val="24"/>
          <w:szCs w:val="24"/>
        </w:rPr>
        <w:br/>
      </w:r>
      <w:r>
        <w:rPr>
          <w:color w:val="0A2342"/>
          <w:sz w:val="24"/>
          <w:szCs w:val="24"/>
        </w:rPr>
        <w:br/>
      </w:r>
      <w:r>
        <w:rPr>
          <w:sz w:val="24"/>
          <w:szCs w:val="24"/>
        </w:rPr>
        <w:t xml:space="preserve">TNS (2014) </w:t>
      </w:r>
      <w:r>
        <w:rPr>
          <w:i/>
          <w:sz w:val="24"/>
          <w:szCs w:val="24"/>
        </w:rPr>
        <w:t xml:space="preserve">Payday lending TNS survey report. </w:t>
      </w:r>
      <w:r>
        <w:rPr>
          <w:sz w:val="24"/>
          <w:szCs w:val="24"/>
        </w:rPr>
        <w:t xml:space="preserve">Available at: </w:t>
      </w:r>
      <w:hyperlink r:id="rId46">
        <w:r>
          <w:rPr>
            <w:color w:val="1155CC"/>
            <w:sz w:val="24"/>
            <w:szCs w:val="24"/>
            <w:u w:val="single"/>
          </w:rPr>
          <w:t>https://assets.publishing.service.gov.uk/media/5329df8aed915d0e5d000339/140131_payday_lending_tns_survey_report_.pdf</w:t>
        </w:r>
      </w:hyperlink>
      <w:r>
        <w:rPr>
          <w:sz w:val="24"/>
          <w:szCs w:val="24"/>
        </w:rPr>
        <w:t xml:space="preserve"> (Accessed: April the 4th, 2024) </w:t>
      </w:r>
      <w:r>
        <w:rPr>
          <w:sz w:val="24"/>
          <w:szCs w:val="24"/>
        </w:rPr>
        <w:br/>
      </w:r>
    </w:p>
    <w:p w14:paraId="00000099" w14:textId="77777777" w:rsidR="00A423FD" w:rsidRDefault="00B65CF7">
      <w:pPr>
        <w:spacing w:after="8" w:line="268" w:lineRule="auto"/>
        <w:ind w:right="1426"/>
        <w:jc w:val="both"/>
        <w:rPr>
          <w:sz w:val="24"/>
          <w:szCs w:val="24"/>
          <w:highlight w:val="yellow"/>
        </w:rPr>
      </w:pPr>
      <w:r>
        <w:rPr>
          <w:sz w:val="24"/>
          <w:szCs w:val="24"/>
        </w:rPr>
        <w:t xml:space="preserve">Youth Justice Board (2024) </w:t>
      </w:r>
      <w:r>
        <w:rPr>
          <w:i/>
          <w:sz w:val="24"/>
          <w:szCs w:val="24"/>
        </w:rPr>
        <w:t xml:space="preserve">Youth Justice Statistics: 2022 to 2023 (accessible version). </w:t>
      </w:r>
      <w:r>
        <w:rPr>
          <w:sz w:val="24"/>
          <w:szCs w:val="24"/>
        </w:rPr>
        <w:t xml:space="preserve">Available at: </w:t>
      </w:r>
      <w:hyperlink r:id="rId47">
        <w:r>
          <w:rPr>
            <w:color w:val="1155CC"/>
            <w:sz w:val="24"/>
            <w:szCs w:val="24"/>
            <w:u w:val="single"/>
          </w:rPr>
          <w:t>https://www.gov.uk/government/statistics/youth-justice-statistics-2022-to-2023/youth-justice-statistics-2022-to-2023-accessible-version</w:t>
        </w:r>
      </w:hyperlink>
      <w:r>
        <w:rPr>
          <w:sz w:val="24"/>
          <w:szCs w:val="24"/>
        </w:rPr>
        <w:t xml:space="preserve"> (Accessed: April 4th, 2024) </w:t>
      </w:r>
    </w:p>
    <w:p w14:paraId="0000009A" w14:textId="77777777" w:rsidR="00A423FD" w:rsidRDefault="00A423FD">
      <w:pPr>
        <w:spacing w:line="259" w:lineRule="auto"/>
        <w:jc w:val="both"/>
        <w:rPr>
          <w:sz w:val="24"/>
          <w:szCs w:val="24"/>
        </w:rPr>
      </w:pPr>
    </w:p>
    <w:p w14:paraId="0000009B" w14:textId="77777777" w:rsidR="00A423FD" w:rsidRDefault="00B65CF7">
      <w:pPr>
        <w:spacing w:line="259" w:lineRule="auto"/>
        <w:jc w:val="both"/>
        <w:rPr>
          <w:i/>
          <w:sz w:val="24"/>
          <w:szCs w:val="24"/>
        </w:rPr>
      </w:pPr>
      <w:r>
        <w:rPr>
          <w:sz w:val="24"/>
          <w:szCs w:val="24"/>
        </w:rPr>
        <w:t xml:space="preserve">University of Cambridge (2016) </w:t>
      </w:r>
      <w:r>
        <w:rPr>
          <w:i/>
          <w:sz w:val="24"/>
          <w:szCs w:val="24"/>
        </w:rPr>
        <w:t xml:space="preserve">Use of body-worn cameras sees complaints against police ‘virtually vanish’, study finds. </w:t>
      </w:r>
      <w:r>
        <w:rPr>
          <w:sz w:val="24"/>
          <w:szCs w:val="24"/>
        </w:rPr>
        <w:t xml:space="preserve">Available at: </w:t>
      </w:r>
      <w:hyperlink r:id="rId48">
        <w:r>
          <w:rPr>
            <w:color w:val="1155CC"/>
            <w:sz w:val="24"/>
            <w:szCs w:val="24"/>
            <w:u w:val="single"/>
          </w:rPr>
          <w:t>https://www.cam.ac.uk/research/news/use-of-body-worn-cameras-sees-complaints-against-police-virtually-vanish-study-finds</w:t>
        </w:r>
      </w:hyperlink>
      <w:r>
        <w:rPr>
          <w:sz w:val="24"/>
          <w:szCs w:val="24"/>
        </w:rPr>
        <w:t xml:space="preserve"> (Accessed: February the 9th, 2024) </w:t>
      </w:r>
    </w:p>
    <w:p w14:paraId="0000009C" w14:textId="77777777" w:rsidR="00A423FD" w:rsidRDefault="00A423FD">
      <w:pPr>
        <w:spacing w:line="259" w:lineRule="auto"/>
        <w:jc w:val="both"/>
        <w:rPr>
          <w:sz w:val="24"/>
          <w:szCs w:val="24"/>
        </w:rPr>
      </w:pPr>
    </w:p>
    <w:p w14:paraId="0000009D" w14:textId="77777777" w:rsidR="00A423FD" w:rsidRDefault="00B65CF7">
      <w:pPr>
        <w:spacing w:line="259" w:lineRule="auto"/>
        <w:jc w:val="both"/>
        <w:rPr>
          <w:sz w:val="24"/>
          <w:szCs w:val="24"/>
        </w:rPr>
      </w:pPr>
      <w:r>
        <w:rPr>
          <w:sz w:val="24"/>
          <w:szCs w:val="24"/>
        </w:rPr>
        <w:t xml:space="preserve">University of Edinburgh (2017) </w:t>
      </w:r>
      <w:r>
        <w:rPr>
          <w:i/>
          <w:sz w:val="24"/>
          <w:szCs w:val="24"/>
        </w:rPr>
        <w:t xml:space="preserve">Getting it right for every child? Juvenile justice in Scotland. </w:t>
      </w:r>
      <w:r>
        <w:rPr>
          <w:sz w:val="24"/>
          <w:szCs w:val="24"/>
        </w:rPr>
        <w:t xml:space="preserve">Available at: </w:t>
      </w:r>
      <w:hyperlink r:id="rId49">
        <w:r>
          <w:rPr>
            <w:color w:val="1155CC"/>
            <w:sz w:val="24"/>
            <w:szCs w:val="24"/>
            <w:u w:val="single"/>
          </w:rPr>
          <w:t>https://www.research.ed.ac.uk/en/publications/getting-it-right-for-every-child-juvenile-justice-in-scotland</w:t>
        </w:r>
      </w:hyperlink>
      <w:r>
        <w:rPr>
          <w:sz w:val="24"/>
          <w:szCs w:val="24"/>
        </w:rPr>
        <w:t xml:space="preserve"> (Accessed: 3rd of April, 2024) </w:t>
      </w:r>
    </w:p>
    <w:p w14:paraId="0000009E" w14:textId="77777777" w:rsidR="00A423FD" w:rsidRDefault="00A423FD">
      <w:pPr>
        <w:spacing w:after="8" w:line="268" w:lineRule="auto"/>
        <w:ind w:right="1426"/>
        <w:jc w:val="both"/>
        <w:rPr>
          <w:color w:val="0B0C0C"/>
          <w:sz w:val="24"/>
          <w:szCs w:val="24"/>
          <w:highlight w:val="white"/>
        </w:rPr>
      </w:pPr>
    </w:p>
    <w:p w14:paraId="0000009F" w14:textId="77777777" w:rsidR="00A423FD" w:rsidRDefault="00A423FD">
      <w:pPr>
        <w:shd w:val="clear" w:color="auto" w:fill="FFFFFF"/>
        <w:spacing w:before="280" w:after="300" w:line="259" w:lineRule="auto"/>
        <w:jc w:val="both"/>
        <w:rPr>
          <w:color w:val="333333"/>
          <w:highlight w:val="yellow"/>
        </w:rPr>
      </w:pPr>
    </w:p>
    <w:p w14:paraId="000000A0" w14:textId="77777777" w:rsidR="00A423FD" w:rsidRDefault="00A423FD">
      <w:pPr>
        <w:spacing w:line="259" w:lineRule="auto"/>
        <w:jc w:val="both"/>
      </w:pPr>
    </w:p>
    <w:p w14:paraId="000000A1" w14:textId="77777777" w:rsidR="00A423FD" w:rsidRDefault="00A423FD">
      <w:pPr>
        <w:spacing w:line="259" w:lineRule="auto"/>
        <w:jc w:val="both"/>
      </w:pPr>
    </w:p>
    <w:p w14:paraId="000000A2" w14:textId="77777777" w:rsidR="00A423FD" w:rsidRDefault="00A423FD">
      <w:pPr>
        <w:spacing w:line="259" w:lineRule="auto"/>
        <w:jc w:val="both"/>
      </w:pPr>
    </w:p>
    <w:p w14:paraId="000000A3" w14:textId="77777777" w:rsidR="00A423FD" w:rsidRDefault="00A423FD">
      <w:pPr>
        <w:spacing w:after="8" w:line="264" w:lineRule="auto"/>
        <w:ind w:left="923" w:right="507"/>
        <w:jc w:val="both"/>
      </w:pPr>
    </w:p>
    <w:p w14:paraId="000000A4" w14:textId="77777777" w:rsidR="00A423FD" w:rsidRDefault="00A423FD">
      <w:pPr>
        <w:pBdr>
          <w:top w:val="nil"/>
          <w:left w:val="nil"/>
          <w:bottom w:val="nil"/>
          <w:right w:val="nil"/>
          <w:between w:val="nil"/>
        </w:pBdr>
        <w:spacing w:after="8" w:line="264" w:lineRule="auto"/>
        <w:ind w:left="563" w:right="507"/>
        <w:rPr>
          <w:rFonts w:ascii="Arial" w:eastAsia="Arial" w:hAnsi="Arial" w:cs="Arial"/>
          <w:sz w:val="24"/>
          <w:szCs w:val="24"/>
        </w:rPr>
      </w:pPr>
    </w:p>
    <w:p w14:paraId="000000A5" w14:textId="77777777" w:rsidR="00A423FD" w:rsidRDefault="00A423FD">
      <w:pPr>
        <w:pBdr>
          <w:top w:val="nil"/>
          <w:left w:val="nil"/>
          <w:bottom w:val="nil"/>
          <w:right w:val="nil"/>
          <w:between w:val="nil"/>
        </w:pBdr>
        <w:spacing w:after="8" w:line="264" w:lineRule="auto"/>
        <w:ind w:right="507"/>
        <w:rPr>
          <w:rFonts w:ascii="Arial" w:eastAsia="Arial" w:hAnsi="Arial" w:cs="Arial"/>
          <w:color w:val="000000"/>
          <w:sz w:val="24"/>
          <w:szCs w:val="24"/>
        </w:rPr>
      </w:pPr>
    </w:p>
    <w:p w14:paraId="000000A6" w14:textId="77777777" w:rsidR="00A423FD" w:rsidRDefault="00A423FD">
      <w:pPr>
        <w:pBdr>
          <w:top w:val="nil"/>
          <w:left w:val="nil"/>
          <w:bottom w:val="nil"/>
          <w:right w:val="nil"/>
          <w:between w:val="nil"/>
        </w:pBdr>
        <w:spacing w:after="8" w:line="264" w:lineRule="auto"/>
        <w:ind w:left="563" w:right="507"/>
        <w:rPr>
          <w:rFonts w:ascii="Arial" w:eastAsia="Arial" w:hAnsi="Arial" w:cs="Arial"/>
          <w:color w:val="000000"/>
          <w:sz w:val="24"/>
          <w:szCs w:val="24"/>
        </w:rPr>
      </w:pPr>
    </w:p>
    <w:p w14:paraId="000000A7" w14:textId="77777777" w:rsidR="00A423FD" w:rsidRDefault="00A423FD">
      <w:pPr>
        <w:pBdr>
          <w:top w:val="nil"/>
          <w:left w:val="nil"/>
          <w:bottom w:val="nil"/>
          <w:right w:val="nil"/>
          <w:between w:val="nil"/>
        </w:pBdr>
        <w:spacing w:after="8" w:line="264" w:lineRule="auto"/>
        <w:ind w:left="563" w:right="507"/>
        <w:rPr>
          <w:rFonts w:ascii="Arial" w:eastAsia="Arial" w:hAnsi="Arial" w:cs="Arial"/>
          <w:color w:val="000000"/>
          <w:sz w:val="24"/>
          <w:szCs w:val="24"/>
        </w:rPr>
      </w:pPr>
    </w:p>
    <w:p w14:paraId="000000A8" w14:textId="77777777" w:rsidR="00A423FD" w:rsidRDefault="00A423FD">
      <w:pPr>
        <w:pBdr>
          <w:top w:val="nil"/>
          <w:left w:val="nil"/>
          <w:bottom w:val="nil"/>
          <w:right w:val="nil"/>
          <w:between w:val="nil"/>
        </w:pBdr>
        <w:spacing w:after="8" w:line="264" w:lineRule="auto"/>
        <w:ind w:left="563" w:right="507"/>
        <w:rPr>
          <w:rFonts w:ascii="Arial" w:eastAsia="Arial" w:hAnsi="Arial" w:cs="Arial"/>
          <w:color w:val="000000"/>
          <w:sz w:val="24"/>
          <w:szCs w:val="24"/>
        </w:rPr>
      </w:pPr>
    </w:p>
    <w:p w14:paraId="000000A9" w14:textId="77777777" w:rsidR="00A423FD" w:rsidRDefault="00A423FD">
      <w:pPr>
        <w:pBdr>
          <w:top w:val="nil"/>
          <w:left w:val="nil"/>
          <w:bottom w:val="nil"/>
          <w:right w:val="nil"/>
          <w:between w:val="nil"/>
        </w:pBdr>
        <w:spacing w:after="8" w:line="264" w:lineRule="auto"/>
        <w:ind w:left="563" w:right="507"/>
        <w:rPr>
          <w:rFonts w:ascii="Arial" w:eastAsia="Arial" w:hAnsi="Arial" w:cs="Arial"/>
          <w:color w:val="000000"/>
          <w:sz w:val="24"/>
          <w:szCs w:val="24"/>
        </w:rPr>
      </w:pPr>
    </w:p>
    <w:p w14:paraId="000000AA" w14:textId="77777777" w:rsidR="00A423FD" w:rsidRDefault="00A423FD">
      <w:pPr>
        <w:pBdr>
          <w:top w:val="nil"/>
          <w:left w:val="nil"/>
          <w:bottom w:val="nil"/>
          <w:right w:val="nil"/>
          <w:between w:val="nil"/>
        </w:pBdr>
        <w:spacing w:after="8" w:line="264" w:lineRule="auto"/>
        <w:ind w:left="563" w:right="507"/>
        <w:rPr>
          <w:rFonts w:ascii="Arial" w:eastAsia="Arial" w:hAnsi="Arial" w:cs="Arial"/>
          <w:color w:val="000000"/>
          <w:sz w:val="24"/>
          <w:szCs w:val="24"/>
        </w:rPr>
      </w:pPr>
    </w:p>
    <w:p w14:paraId="000000AB" w14:textId="77777777" w:rsidR="00A423FD" w:rsidRDefault="00A423FD">
      <w:pPr>
        <w:pBdr>
          <w:top w:val="nil"/>
          <w:left w:val="nil"/>
          <w:bottom w:val="nil"/>
          <w:right w:val="nil"/>
          <w:between w:val="nil"/>
        </w:pBdr>
        <w:spacing w:after="8" w:line="264" w:lineRule="auto"/>
        <w:ind w:left="563" w:right="507"/>
        <w:rPr>
          <w:rFonts w:ascii="Arial" w:eastAsia="Arial" w:hAnsi="Arial" w:cs="Arial"/>
          <w:color w:val="000000"/>
          <w:sz w:val="24"/>
          <w:szCs w:val="24"/>
        </w:rPr>
      </w:pPr>
    </w:p>
    <w:p w14:paraId="000000AC" w14:textId="77777777" w:rsidR="00A423FD" w:rsidRDefault="00A423FD">
      <w:pPr>
        <w:pBdr>
          <w:top w:val="nil"/>
          <w:left w:val="nil"/>
          <w:bottom w:val="nil"/>
          <w:right w:val="nil"/>
          <w:between w:val="nil"/>
        </w:pBdr>
        <w:spacing w:after="8" w:line="264" w:lineRule="auto"/>
        <w:ind w:left="563" w:right="507"/>
        <w:rPr>
          <w:rFonts w:ascii="Arial" w:eastAsia="Arial" w:hAnsi="Arial" w:cs="Arial"/>
          <w:color w:val="000000"/>
          <w:sz w:val="24"/>
          <w:szCs w:val="24"/>
        </w:rPr>
      </w:pPr>
    </w:p>
    <w:p w14:paraId="000000AD" w14:textId="77777777" w:rsidR="00A423FD" w:rsidRDefault="00A423FD">
      <w:pPr>
        <w:pBdr>
          <w:top w:val="nil"/>
          <w:left w:val="nil"/>
          <w:bottom w:val="nil"/>
          <w:right w:val="nil"/>
          <w:between w:val="nil"/>
        </w:pBdr>
        <w:spacing w:after="8" w:line="264" w:lineRule="auto"/>
        <w:ind w:left="563" w:right="507"/>
        <w:rPr>
          <w:rFonts w:ascii="Arial" w:eastAsia="Arial" w:hAnsi="Arial" w:cs="Arial"/>
          <w:color w:val="000000"/>
          <w:sz w:val="24"/>
          <w:szCs w:val="24"/>
        </w:rPr>
      </w:pPr>
    </w:p>
    <w:p w14:paraId="000000AE" w14:textId="77777777" w:rsidR="00A423FD" w:rsidRDefault="00A423FD">
      <w:pPr>
        <w:pBdr>
          <w:top w:val="nil"/>
          <w:left w:val="nil"/>
          <w:bottom w:val="nil"/>
          <w:right w:val="nil"/>
          <w:between w:val="nil"/>
        </w:pBdr>
        <w:spacing w:after="8" w:line="264" w:lineRule="auto"/>
        <w:ind w:left="563" w:right="507"/>
        <w:rPr>
          <w:rFonts w:ascii="Arial" w:eastAsia="Arial" w:hAnsi="Arial" w:cs="Arial"/>
          <w:color w:val="000000"/>
          <w:sz w:val="24"/>
          <w:szCs w:val="24"/>
        </w:rPr>
      </w:pPr>
    </w:p>
    <w:p w14:paraId="000000AF" w14:textId="77777777" w:rsidR="00A423FD" w:rsidRDefault="00A423FD">
      <w:pPr>
        <w:pBdr>
          <w:top w:val="nil"/>
          <w:left w:val="nil"/>
          <w:bottom w:val="nil"/>
          <w:right w:val="nil"/>
          <w:between w:val="nil"/>
        </w:pBdr>
        <w:spacing w:after="3" w:line="276" w:lineRule="auto"/>
        <w:ind w:left="576" w:right="529" w:hanging="10"/>
        <w:jc w:val="both"/>
        <w:rPr>
          <w:rFonts w:ascii="Arial" w:eastAsia="Arial" w:hAnsi="Arial" w:cs="Arial"/>
          <w:color w:val="000000"/>
          <w:sz w:val="24"/>
          <w:szCs w:val="24"/>
        </w:rPr>
      </w:pPr>
    </w:p>
    <w:sectPr w:rsidR="00A423FD">
      <w:pgSz w:w="11906" w:h="16838"/>
      <w:pgMar w:top="1440" w:right="1440" w:bottom="1440" w:left="1440" w:header="0" w:footer="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23FD"/>
    <w:rsid w:val="00A423FD"/>
    <w:rsid w:val="00B65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9164298-2ECF-42F4-AB0F-622AC8F2E1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college.police.uk/app/operations/briefing-and-debriefing?highlight=briefing" TargetMode="External"/><Relationship Id="rId18" Type="http://schemas.openxmlformats.org/officeDocument/2006/relationships/hyperlink" Target="https://journals-sagepub-com.ezproxy.uwtsd.ac.uk/doi/full/10.1177/0306624X18806742" TargetMode="External"/><Relationship Id="rId26" Type="http://schemas.openxmlformats.org/officeDocument/2006/relationships/hyperlink" Target="https://www.ethnicity-facts-figures.service.gov.uk/workforce-and-business/workforce-diversity/police-workforce/latest/" TargetMode="External"/><Relationship Id="rId39" Type="http://schemas.openxmlformats.org/officeDocument/2006/relationships/hyperlink" Target="https://www.crimeandjustice.org.uk/sites/crimeandjustice.org.uk/files/socialjusticecriminaljusticeweb.pdf" TargetMode="External"/><Relationship Id="rId21" Type="http://schemas.openxmlformats.org/officeDocument/2006/relationships/hyperlink" Target="https://jlsp.law.columbia.edu/wp-content/blogs.dir/213/files/2017/03/49-Freund.pdf" TargetMode="External"/><Relationship Id="rId34" Type="http://schemas.openxmlformats.org/officeDocument/2006/relationships/hyperlink" Target="https://publicservice.asu.edu/sites/default/files/ppd_spi_feb_20_2015_final.pdf" TargetMode="External"/><Relationship Id="rId42" Type="http://schemas.openxmlformats.org/officeDocument/2006/relationships/hyperlink" Target="https://journals.sagepub.com/doi/full/10.1177/0033354918788880" TargetMode="External"/><Relationship Id="rId47" Type="http://schemas.openxmlformats.org/officeDocument/2006/relationships/hyperlink" Target="https://www.gov.uk/government/statistics/youth-justice-statistics-2022-to-2023/youth-justice-statistics-2022-to-2023-accessible-version" TargetMode="External"/><Relationship Id="rId50" Type="http://schemas.openxmlformats.org/officeDocument/2006/relationships/fontTable" Target="fontTable.xml"/><Relationship Id="rId7" Type="http://schemas.openxmlformats.org/officeDocument/2006/relationships/hyperlink" Target="https://login.ezproxy.uwtsd.ac.uk/login?qurl=https://www.tandfonline.com%2fdoi%2ffull%2f10.1080%2f15614263.2018.1428098" TargetMode="External"/><Relationship Id="rId2" Type="http://schemas.openxmlformats.org/officeDocument/2006/relationships/settings" Target="settings.xml"/><Relationship Id="rId16" Type="http://schemas.openxmlformats.org/officeDocument/2006/relationships/hyperlink" Target="https://assets.production.copweb.aws.college.police.uk/s3fs-public/2021-11/Recognising-responding-vulnerability-related-risks-scope-of-practice.pdf" TargetMode="External"/><Relationship Id="rId29" Type="http://schemas.openxmlformats.org/officeDocument/2006/relationships/hyperlink" Target="https://explore-education-statistics.service.gov.uk/find-statistics/pupil-absence-in-schools-in-england" TargetMode="External"/><Relationship Id="rId11" Type="http://schemas.openxmlformats.org/officeDocument/2006/relationships/hyperlink" Target="https://www-sciencedirect-com.ezproxy.uwtsd.ac.uk/science/article/pii/S1359178910000716?via%3Dihub" TargetMode="External"/><Relationship Id="rId24" Type="http://schemas.openxmlformats.org/officeDocument/2006/relationships/hyperlink" Target="https://www.gov.uk/government/statistics/police-misconduct-england-and-wales-year-ending-31-march-2021/police-misconduct-england-and-wales-year-ending-31-march-2021" TargetMode="External"/><Relationship Id="rId32" Type="http://schemas.openxmlformats.org/officeDocument/2006/relationships/hyperlink" Target="https://www.policeconduct.gov.uk/news/:~:text=The%20complaints%20amounted%20to%20134%2C952%20allegations%20made%20overall.,informally%29%20-%20a%209%25%20increase%20" TargetMode="External"/><Relationship Id="rId37" Type="http://schemas.openxmlformats.org/officeDocument/2006/relationships/hyperlink" Target="https://assets.publishing.service.gov.uk/government/uploads/system/uploads/attachment_data/file/277111/4262.pdf" TargetMode="External"/><Relationship Id="rId40" Type="http://schemas.openxmlformats.org/officeDocument/2006/relationships/hyperlink" Target="https://assets.publishing.service.gov.uk/government/uploads/system/uploads/attachment_data/file/716039/examining-the-educational-background-of-young-knife-possession-offenders.pdf" TargetMode="External"/><Relationship Id="rId45" Type="http://schemas.openxmlformats.org/officeDocument/2006/relationships/hyperlink" Target="https://southyorkshire-pcc.gov.uk/blogs/the-police-are-the-public-and-the-public-are-the-police/" TargetMode="External"/><Relationship Id="rId5" Type="http://schemas.openxmlformats.org/officeDocument/2006/relationships/hyperlink" Target="https://journals.openedition.org/mimmoc/1340" TargetMode="External"/><Relationship Id="rId15" Type="http://schemas.openxmlformats.org/officeDocument/2006/relationships/hyperlink" Target="https://www.college.police.uk/diversity" TargetMode="External"/><Relationship Id="rId23" Type="http://schemas.openxmlformats.org/officeDocument/2006/relationships/hyperlink" Target="https://assets.publishing.service.gov.uk/government/uploads/system/uploads/attachment_data/file/831726/police-workforce-mar19-hosb1119.pdf" TargetMode="External"/><Relationship Id="rId28" Type="http://schemas.openxmlformats.org/officeDocument/2006/relationships/hyperlink" Target="https://www.gov.uk/government/statistics/police-workforce-england-and-wales-31-march-2023/police-workforce-england-and-wales-31-march-2023" TargetMode="External"/><Relationship Id="rId36" Type="http://schemas.openxmlformats.org/officeDocument/2006/relationships/hyperlink" Target="https://onlinelibrary.wiley.com/action/showCitFormats?doi=10.1002%2Fcl2.1112" TargetMode="External"/><Relationship Id="rId49" Type="http://schemas.openxmlformats.org/officeDocument/2006/relationships/hyperlink" Target="https://www.research.ed.ac.uk/en/publications/getting-it-right-for-every-child-juvenile-justice-in-scotland" TargetMode="External"/><Relationship Id="rId10" Type="http://schemas.openxmlformats.org/officeDocument/2006/relationships/hyperlink" Target="https://www.ons.gov.uk/peoplepopulationandcommunity/crimeandjustice/bulletins/crimeinenglandandwales/yearendingseptember2023" TargetMode="External"/><Relationship Id="rId19" Type="http://schemas.openxmlformats.org/officeDocument/2006/relationships/hyperlink" Target="https://assets.publishing.service.gov.uk/government/uploads/system/uploads/attachment_data/file/807862/Timpson_review.pdf" TargetMode="External"/><Relationship Id="rId31" Type="http://schemas.openxmlformats.org/officeDocument/2006/relationships/hyperlink" Target="https://assets.publishing.service.gov.uk/media/5acb21d140f0b64fed0afd55/serious-violence-strategy.pdf" TargetMode="External"/><Relationship Id="rId44" Type="http://schemas.openxmlformats.org/officeDocument/2006/relationships/hyperlink" Target="https://www.spa.police.uk/spa-media/n0tb53uu/doc-210515-body-worn-video-armed-policing-factsheet-final.pdf" TargetMode="External"/><Relationship Id="rId4" Type="http://schemas.openxmlformats.org/officeDocument/2006/relationships/hyperlink" Target="https://onlinelibrary.wiley.com/doi/10.1002/jcop.22767" TargetMode="External"/><Relationship Id="rId9" Type="http://schemas.openxmlformats.org/officeDocument/2006/relationships/hyperlink" Target="https://www.ons.gov.uk" TargetMode="External"/><Relationship Id="rId14" Type="http://schemas.openxmlformats.org/officeDocument/2006/relationships/hyperlink" Target="https://assets.production.copweb.aws.college.police.uk/s3fs-public/Police-Race-Action-Plan.pdf" TargetMode="External"/><Relationship Id="rId22" Type="http://schemas.openxmlformats.org/officeDocument/2006/relationships/hyperlink" Target="https://www.legislation.gov.uk/ukpga/2002/30/contents" TargetMode="External"/><Relationship Id="rId27" Type="http://schemas.openxmlformats.org/officeDocument/2006/relationships/hyperlink" Target="https://www.gov.uk/government/statistics/police-workforce-england-and-wales-30-september-2023/police-workforce-england-and-wales-30-september-2023" TargetMode="External"/><Relationship Id="rId30" Type="http://schemas.openxmlformats.org/officeDocument/2006/relationships/hyperlink" Target="https://doi.org/10.1177/1473225414549693" TargetMode="External"/><Relationship Id="rId35" Type="http://schemas.openxmlformats.org/officeDocument/2006/relationships/hyperlink" Target="https://pubmed.ncbi.nlm.nih.gov/30426876/" TargetMode="External"/><Relationship Id="rId43" Type="http://schemas.openxmlformats.org/officeDocument/2006/relationships/hyperlink" Target="https://assets.publishing.service.gov.uk/media/5a7a36f2e5274a34770e5114/DFE-RR111.pdf" TargetMode="External"/><Relationship Id="rId48" Type="http://schemas.openxmlformats.org/officeDocument/2006/relationships/hyperlink" Target="https://www.cam.ac.uk/research/news/use-of-body-worn-cameras-sees-complaints-against-police-virtually-vanish-study-finds" TargetMode="External"/><Relationship Id="rId8" Type="http://schemas.openxmlformats.org/officeDocument/2006/relationships/hyperlink" Target="https://login.ezproxy.uwtsd.ac.uk/login?qurl=https://www.tandfonline.com%2fdoi%2ffull%2f10.1080%2f10439463.2017.1339706"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dera.ioe.ac.uk/id/eprint/32954/1/CCO-Gangs.pdf" TargetMode="External"/><Relationship Id="rId17" Type="http://schemas.openxmlformats.org/officeDocument/2006/relationships/hyperlink" Target="https://doi.org/10.1177/1477370820916728" TargetMode="External"/><Relationship Id="rId25" Type="http://schemas.openxmlformats.org/officeDocument/2006/relationships/hyperlink" Target="https://aym.org.uk/wp-content/uploads/2022/12/Turnaround-Programme-Guidance.pdf" TargetMode="External"/><Relationship Id="rId33" Type="http://schemas.openxmlformats.org/officeDocument/2006/relationships/hyperlink" Target="https://doi.org/10.1093/oxfordhb/9780199843886.013.018" TargetMode="External"/><Relationship Id="rId38" Type="http://schemas.openxmlformats.org/officeDocument/2006/relationships/hyperlink" Target="https://journals-sagepub-com.ezproxy.uwtsd.ac.uk/doi/epdf/10.1177/1748895809360971" TargetMode="External"/><Relationship Id="rId46" Type="http://schemas.openxmlformats.org/officeDocument/2006/relationships/hyperlink" Target="https://assets.publishing.service.gov.uk/media/5329df8aed915d0e5d000339/140131_payday_lending_tns_survey_report_.pdf" TargetMode="External"/><Relationship Id="rId20" Type="http://schemas.openxmlformats.org/officeDocument/2006/relationships/hyperlink" Target="https://www.gov.uk/government/news/youth-justice-statistics-we-must-collaborate" TargetMode="External"/><Relationship Id="rId41" Type="http://schemas.openxmlformats.org/officeDocument/2006/relationships/hyperlink" Target="https://nationalcrimeagency.gov.uk/nsa-modern-slavery-and-human-trafficking" TargetMode="External"/><Relationship Id="rId1" Type="http://schemas.openxmlformats.org/officeDocument/2006/relationships/styles" Target="styles.xml"/><Relationship Id="rId6" Type="http://schemas.openxmlformats.org/officeDocument/2006/relationships/hyperlink" Target="https://books.google.co.uk/books?hl=en&amp;lr=&amp;id=i901DwAAQBAJ&amp;oi=fnd&amp;pg=PR3&amp;dq=what+is+early+intervention+in+crime&amp;ots=4hevNl-sev&amp;sig=ANigrBlWSwkUKJHTZOy2w11pBEw&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6708</Words>
  <Characters>38237</Characters>
  <Application>Microsoft Office Word</Application>
  <DocSecurity>4</DocSecurity>
  <Lines>318</Lines>
  <Paragraphs>89</Paragraphs>
  <ScaleCrop>false</ScaleCrop>
  <Company>South Wales Police</Company>
  <LinksUpToDate>false</LinksUpToDate>
  <CharactersWithSpaces>44856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Franklin,JASON swp8571</cp:lastModifiedBy>
  <cp:revision>2</cp:revision>
  <dcterms:created xsi:type="dcterms:W3CDTF">2024-05-06T15:17:00Z</dcterms:created>
  <dcterms:modified xsi:type="dcterms:W3CDTF">2024-05-06T15:17:00Z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2024-05-06T15:17:16Z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5d07881a-2eac-4a75-bf90-d986bf5d33e2</vt:lpwstr>
  </property>
  <property fmtid="{D5CDD505-2E9C-101B-9397-08002B2CF9AE}" pid="8" name="MSIP_Label_66cf8fe5-b7b7-4df7-b38d-1c61ac2f6639_ContentBits">
    <vt:lpwstr>0</vt:lpwstr>
  </property>
</Properties>
</file>