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35271907"/>
        <w:docPartObj>
          <w:docPartGallery w:val="Cover Pages"/>
          <w:docPartUnique/>
        </w:docPartObj>
      </w:sdtPr>
      <w:sdtEndPr>
        <w:rPr>
          <w:b/>
          <w:bCs/>
          <w:sz w:val="32"/>
          <w:szCs w:val="32"/>
        </w:rPr>
      </w:sdtEndPr>
      <w:sdtContent>
        <w:p w14:paraId="5A32F2E2" w14:textId="63AA4C2D" w:rsidR="000C6A73" w:rsidRDefault="00E12D53">
          <w:r>
            <w:rPr>
              <w:noProof/>
            </w:rPr>
            <mc:AlternateContent>
              <mc:Choice Requires="wps">
                <w:drawing>
                  <wp:anchor distT="0" distB="0" distL="114300" distR="114300" simplePos="0" relativeHeight="251659264" behindDoc="0" locked="0" layoutInCell="1" allowOverlap="1" wp14:anchorId="0679606F" wp14:editId="53101A67">
                    <wp:simplePos x="0" y="0"/>
                    <wp:positionH relativeFrom="page">
                      <wp:posOffset>223736</wp:posOffset>
                    </wp:positionH>
                    <wp:positionV relativeFrom="page">
                      <wp:posOffset>826852</wp:posOffset>
                    </wp:positionV>
                    <wp:extent cx="7315200" cy="6098662"/>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609866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77E3C1" w14:textId="091AB4DF" w:rsidR="000C6A73" w:rsidRDefault="004D460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12D53">
                                      <w:rPr>
                                        <w:caps/>
                                        <w:color w:val="4472C4" w:themeColor="accent1"/>
                                        <w:sz w:val="64"/>
                                        <w:szCs w:val="64"/>
                                      </w:rPr>
                                      <w:t>Criminal Justice and policing portfolio</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E693310" w14:textId="57EC7707" w:rsidR="000C6A73" w:rsidRDefault="00E12D53">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0679606F" id="_x0000_t202" coordsize="21600,21600" o:spt="202" path="m,l,21600r21600,l21600,xe">
                    <v:stroke joinstyle="miter"/>
                    <v:path gradientshapeok="t" o:connecttype="rect"/>
                  </v:shapetype>
                  <v:shape id="Text Box 154" o:spid="_x0000_s1026" type="#_x0000_t202" style="position:absolute;margin-left:17.6pt;margin-top:65.1pt;width:8in;height:480.2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" filled="f" stroked="f" strokeweight=".5pt">
                    <v:textbox inset="126pt,0,54pt,0">
                      <w:txbxContent>
                        <w:p w14:paraId="4C77E3C1" w14:textId="091AB4DF" w:rsidR="000C6A73" w:rsidRDefault="004D460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12D53">
                                <w:rPr>
                                  <w:caps/>
                                  <w:color w:val="4472C4" w:themeColor="accent1"/>
                                  <w:sz w:val="64"/>
                                  <w:szCs w:val="64"/>
                                </w:rPr>
                                <w:t>Criminal Justice and policing portfolio</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E693310" w14:textId="57EC7707" w:rsidR="000C6A73" w:rsidRDefault="00E12D53">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0C6A73">
            <w:rPr>
              <w:noProof/>
            </w:rPr>
            <mc:AlternateContent>
              <mc:Choice Requires="wpg">
                <w:drawing>
                  <wp:anchor distT="0" distB="0" distL="114300" distR="114300" simplePos="0" relativeHeight="251662336" behindDoc="0" locked="0" layoutInCell="1" allowOverlap="1" wp14:anchorId="6F9CB199" wp14:editId="6956313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1ADAC4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sidR="000C6A73">
            <w:rPr>
              <w:noProof/>
            </w:rPr>
            <mc:AlternateContent>
              <mc:Choice Requires="wps">
                <w:drawing>
                  <wp:anchor distT="0" distB="0" distL="114300" distR="114300" simplePos="0" relativeHeight="251660288" behindDoc="0" locked="0" layoutInCell="1" allowOverlap="1" wp14:anchorId="2AAA1352" wp14:editId="59B4078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72D12DA" w14:textId="36C54916" w:rsidR="000C6A73" w:rsidRDefault="000C6A73">
                                    <w:pPr>
                                      <w:pStyle w:val="NoSpacing"/>
                                      <w:jc w:val="right"/>
                                      <w:rPr>
                                        <w:color w:val="595959" w:themeColor="text1" w:themeTint="A6"/>
                                        <w:sz w:val="28"/>
                                        <w:szCs w:val="28"/>
                                      </w:rPr>
                                    </w:pPr>
                                    <w:r>
                                      <w:rPr>
                                        <w:color w:val="595959" w:themeColor="text1" w:themeTint="A6"/>
                                        <w:sz w:val="28"/>
                                        <w:szCs w:val="28"/>
                                      </w:rPr>
                                      <w:t>Lewis Tandy (2016893)</w:t>
                                    </w:r>
                                  </w:p>
                                </w:sdtContent>
                              </w:sdt>
                              <w:p w14:paraId="6738E1DA" w14:textId="29FC2F07" w:rsidR="000C6A73" w:rsidRDefault="004D460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12D53">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2AAA1352" id="Text Box 152" o:spid="_x0000_s1027"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72D12DA" w14:textId="36C54916" w:rsidR="000C6A73" w:rsidRDefault="000C6A73">
                              <w:pPr>
                                <w:pStyle w:val="NoSpacing"/>
                                <w:jc w:val="right"/>
                                <w:rPr>
                                  <w:color w:val="595959" w:themeColor="text1" w:themeTint="A6"/>
                                  <w:sz w:val="28"/>
                                  <w:szCs w:val="28"/>
                                </w:rPr>
                              </w:pPr>
                              <w:r>
                                <w:rPr>
                                  <w:color w:val="595959" w:themeColor="text1" w:themeTint="A6"/>
                                  <w:sz w:val="28"/>
                                  <w:szCs w:val="28"/>
                                </w:rPr>
                                <w:t>Lewis Tandy (2016893)</w:t>
                              </w:r>
                            </w:p>
                          </w:sdtContent>
                        </w:sdt>
                        <w:p w14:paraId="6738E1DA" w14:textId="29FC2F07" w:rsidR="000C6A73" w:rsidRDefault="004D460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E12D53">
                                <w:rPr>
                                  <w:color w:val="595959" w:themeColor="text1" w:themeTint="A6"/>
                                  <w:sz w:val="18"/>
                                  <w:szCs w:val="18"/>
                                </w:rPr>
                                <w:t xml:space="preserve">     </w:t>
                              </w:r>
                            </w:sdtContent>
                          </w:sdt>
                        </w:p>
                      </w:txbxContent>
                    </v:textbox>
                    <w10:wrap type="square" anchorx="page" anchory="page"/>
                  </v:shape>
                </w:pict>
              </mc:Fallback>
            </mc:AlternateContent>
          </w:r>
        </w:p>
        <w:p w14:paraId="4FD2ABDF" w14:textId="558378DC" w:rsidR="00392D35" w:rsidRDefault="00E12D53" w:rsidP="00392D35">
          <w:pPr>
            <w:rPr>
              <w:b/>
              <w:bCs/>
              <w:sz w:val="32"/>
              <w:szCs w:val="32"/>
            </w:rPr>
          </w:pPr>
          <w:r>
            <w:rPr>
              <w:noProof/>
            </w:rPr>
            <mc:AlternateContent>
              <mc:Choice Requires="wps">
                <w:drawing>
                  <wp:anchor distT="0" distB="0" distL="114300" distR="114300" simplePos="0" relativeHeight="251661312" behindDoc="0" locked="0" layoutInCell="1" allowOverlap="1" wp14:anchorId="6A92B976" wp14:editId="7BE0D35A">
                    <wp:simplePos x="0" y="0"/>
                    <wp:positionH relativeFrom="page">
                      <wp:posOffset>480646</wp:posOffset>
                    </wp:positionH>
                    <wp:positionV relativeFrom="page">
                      <wp:posOffset>7479322</wp:posOffset>
                    </wp:positionV>
                    <wp:extent cx="7013643" cy="1969477"/>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013643" cy="196947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B3A481" w14:textId="04416888" w:rsidR="000C6A73" w:rsidRDefault="00E12D53">
                                <w:pPr>
                                  <w:pStyle w:val="NoSpacing"/>
                                  <w:jc w:val="right"/>
                                  <w:rPr>
                                    <w:color w:val="595959" w:themeColor="text1" w:themeTint="A6"/>
                                    <w:sz w:val="20"/>
                                    <w:szCs w:val="20"/>
                                  </w:rPr>
                                </w:pPr>
                                <w:r>
                                  <w:rPr>
                                    <w:color w:val="4472C4" w:themeColor="accent1"/>
                                    <w:sz w:val="28"/>
                                    <w:szCs w:val="28"/>
                                  </w:rPr>
                                  <w:t>The Criminal Justice System, Youth Justice and Prison Systems in England and Wales (BCMJ7001)</w:t>
                                </w:r>
                                <w:sdt>
                                  <w:sdtPr>
                                    <w:rPr>
                                      <w:i/>
                                      <w:iCs/>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6B315A" w:rsidRPr="006B315A">
                                      <w:rPr>
                                        <w:i/>
                                        <w:iCs/>
                                        <w:sz w:val="20"/>
                                        <w:szCs w:val="20"/>
                                      </w:rPr>
                                      <w:br/>
                                      <w:t>Pages 1-4 Reflective Report Examining Rehabilitation and the Role of the Criminal Justice System</w:t>
                                    </w:r>
                                    <w:r w:rsidR="006B315A" w:rsidRPr="006B315A">
                                      <w:rPr>
                                        <w:i/>
                                        <w:iCs/>
                                        <w:sz w:val="20"/>
                                        <w:szCs w:val="20"/>
                                      </w:rPr>
                                      <w:br/>
                                      <w:t>Pages 5-8 Article Review of Sarah Frisby-Osman and Jane L. Wood’s paper</w:t>
                                    </w:r>
                                    <w:r w:rsidR="006B315A">
                                      <w:rPr>
                                        <w:i/>
                                        <w:iCs/>
                                        <w:sz w:val="20"/>
                                        <w:szCs w:val="20"/>
                                      </w:rPr>
                                      <w:t>:</w:t>
                                    </w:r>
                                    <w:r w:rsidR="006B315A" w:rsidRPr="006B315A">
                                      <w:rPr>
                                        <w:i/>
                                        <w:iCs/>
                                        <w:sz w:val="20"/>
                                        <w:szCs w:val="20"/>
                                      </w:rPr>
                                      <w:t xml:space="preserve"> Rethinking How We View Gang Members: An Examination into Affective </w:t>
                                    </w:r>
                                    <w:r w:rsidR="00392D35" w:rsidRPr="006B315A">
                                      <w:rPr>
                                        <w:i/>
                                        <w:iCs/>
                                        <w:sz w:val="20"/>
                                        <w:szCs w:val="20"/>
                                      </w:rPr>
                                      <w:t>Behavioral</w:t>
                                    </w:r>
                                    <w:r w:rsidR="006B315A" w:rsidRPr="006B315A">
                                      <w:rPr>
                                        <w:i/>
                                        <w:iCs/>
                                        <w:sz w:val="20"/>
                                        <w:szCs w:val="20"/>
                                      </w:rPr>
                                      <w:t>, and Mental Health Predictors of UK Gang-Involved Youth</w:t>
                                    </w:r>
                                    <w:r w:rsidR="006B315A" w:rsidRPr="006B315A">
                                      <w:rPr>
                                        <w:i/>
                                        <w:iCs/>
                                        <w:sz w:val="20"/>
                                        <w:szCs w:val="20"/>
                                      </w:rPr>
                                      <w:br/>
                                      <w:t>Pages 9-10 Poster Examining Male Victims of Domestic Abuse</w:t>
                                    </w:r>
                                    <w:r w:rsidR="006B315A" w:rsidRPr="006B315A">
                                      <w:rPr>
                                        <w:i/>
                                        <w:iCs/>
                                        <w:sz w:val="20"/>
                                        <w:szCs w:val="20"/>
                                      </w:rPr>
                                      <w:br/>
                                    </w:r>
                                    <w:r w:rsidR="006B315A" w:rsidRPr="006B315A">
                                      <w:rPr>
                                        <w:i/>
                                        <w:iCs/>
                                        <w:sz w:val="20"/>
                                        <w:szCs w:val="20"/>
                                      </w:rPr>
                                      <w:br/>
                                      <w:t xml:space="preserve"> </w:t>
                                    </w:r>
                                  </w:sdtContent>
                                </w:sdt>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A92B976" id="Text Box 153" o:spid="_x0000_s1028" type="#_x0000_t202" style="position:absolute;margin-left:37.85pt;margin-top:588.9pt;width:552.25pt;height:155.1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" filled="f" stroked="f" strokeweight=".5pt">
                    <v:textbox inset="126pt,0,54pt,0">
                      <w:txbxContent>
                        <w:p w14:paraId="79B3A481" w14:textId="04416888" w:rsidR="000C6A73" w:rsidRDefault="00E12D53">
                          <w:pPr>
                            <w:pStyle w:val="NoSpacing"/>
                            <w:jc w:val="right"/>
                            <w:rPr>
                              <w:color w:val="595959" w:themeColor="text1" w:themeTint="A6"/>
                              <w:sz w:val="20"/>
                              <w:szCs w:val="20"/>
                            </w:rPr>
                          </w:pPr>
                          <w:r>
                            <w:rPr>
                              <w:color w:val="4472C4" w:themeColor="accent1"/>
                              <w:sz w:val="28"/>
                              <w:szCs w:val="28"/>
                            </w:rPr>
                            <w:t>The Criminal Justice System, Youth Justice and Prison Systems in England and Wales (BCMJ7001)</w:t>
                          </w:r>
                          <w:sdt>
                            <w:sdtPr>
                              <w:rPr>
                                <w:i/>
                                <w:iCs/>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r w:rsidR="006B315A" w:rsidRPr="006B315A">
                                <w:rPr>
                                  <w:i/>
                                  <w:iCs/>
                                  <w:sz w:val="20"/>
                                  <w:szCs w:val="20"/>
                                </w:rPr>
                                <w:br/>
                                <w:t>Pages 1-4 Reflective Report Examining Rehabilitation and the Role of the Criminal Justice System</w:t>
                              </w:r>
                              <w:r w:rsidR="006B315A" w:rsidRPr="006B315A">
                                <w:rPr>
                                  <w:i/>
                                  <w:iCs/>
                                  <w:sz w:val="20"/>
                                  <w:szCs w:val="20"/>
                                </w:rPr>
                                <w:br/>
                                <w:t>Pages 5-8 Article Review of Sarah Frisby-Osman and Jane L. Wood’s paper</w:t>
                              </w:r>
                              <w:r w:rsidR="006B315A">
                                <w:rPr>
                                  <w:i/>
                                  <w:iCs/>
                                  <w:sz w:val="20"/>
                                  <w:szCs w:val="20"/>
                                </w:rPr>
                                <w:t>:</w:t>
                              </w:r>
                              <w:r w:rsidR="006B315A" w:rsidRPr="006B315A">
                                <w:rPr>
                                  <w:i/>
                                  <w:iCs/>
                                  <w:sz w:val="20"/>
                                  <w:szCs w:val="20"/>
                                </w:rPr>
                                <w:t xml:space="preserve"> Rethinking How We View Gang Members: An Examination into Affective </w:t>
                              </w:r>
                              <w:r w:rsidR="00392D35" w:rsidRPr="006B315A">
                                <w:rPr>
                                  <w:i/>
                                  <w:iCs/>
                                  <w:sz w:val="20"/>
                                  <w:szCs w:val="20"/>
                                </w:rPr>
                                <w:t>Behavioral</w:t>
                              </w:r>
                              <w:r w:rsidR="006B315A" w:rsidRPr="006B315A">
                                <w:rPr>
                                  <w:i/>
                                  <w:iCs/>
                                  <w:sz w:val="20"/>
                                  <w:szCs w:val="20"/>
                                </w:rPr>
                                <w:t>, and Mental Health Predictors of UK Gang-Involved Youth</w:t>
                              </w:r>
                              <w:r w:rsidR="006B315A" w:rsidRPr="006B315A">
                                <w:rPr>
                                  <w:i/>
                                  <w:iCs/>
                                  <w:sz w:val="20"/>
                                  <w:szCs w:val="20"/>
                                </w:rPr>
                                <w:br/>
                                <w:t>Pages 9-10 Poster Examining Male Victims of Domestic Abuse</w:t>
                              </w:r>
                              <w:r w:rsidR="006B315A" w:rsidRPr="006B315A">
                                <w:rPr>
                                  <w:i/>
                                  <w:iCs/>
                                  <w:sz w:val="20"/>
                                  <w:szCs w:val="20"/>
                                </w:rPr>
                                <w:br/>
                              </w:r>
                              <w:r w:rsidR="006B315A" w:rsidRPr="006B315A">
                                <w:rPr>
                                  <w:i/>
                                  <w:iCs/>
                                  <w:sz w:val="20"/>
                                  <w:szCs w:val="20"/>
                                </w:rPr>
                                <w:br/>
                                <w:t xml:space="preserve"> </w:t>
                              </w:r>
                            </w:sdtContent>
                          </w:sdt>
                        </w:p>
                      </w:txbxContent>
                    </v:textbox>
                    <w10:wrap type="square" anchorx="page" anchory="page"/>
                  </v:shape>
                </w:pict>
              </mc:Fallback>
            </mc:AlternateContent>
          </w:r>
          <w:r w:rsidR="000C6A73">
            <w:rPr>
              <w:b/>
              <w:bCs/>
              <w:sz w:val="32"/>
              <w:szCs w:val="32"/>
            </w:rPr>
            <w:br w:type="page"/>
          </w:r>
        </w:p>
      </w:sdtContent>
    </w:sdt>
    <w:p w14:paraId="6C299C15" w14:textId="0DD21740" w:rsidR="00D270A1" w:rsidRDefault="00D270A1" w:rsidP="00392D35">
      <w:pPr>
        <w:jc w:val="center"/>
        <w:rPr>
          <w:b/>
          <w:bCs/>
          <w:sz w:val="32"/>
          <w:szCs w:val="32"/>
        </w:rPr>
      </w:pPr>
      <w:r>
        <w:rPr>
          <w:b/>
          <w:bCs/>
          <w:sz w:val="32"/>
          <w:szCs w:val="32"/>
        </w:rPr>
        <w:lastRenderedPageBreak/>
        <w:t xml:space="preserve">Reflective </w:t>
      </w:r>
      <w:r w:rsidR="000C6A73">
        <w:rPr>
          <w:b/>
          <w:bCs/>
          <w:sz w:val="32"/>
          <w:szCs w:val="32"/>
        </w:rPr>
        <w:t>Report</w:t>
      </w:r>
    </w:p>
    <w:p w14:paraId="254F5057" w14:textId="5FBDB660" w:rsidR="004766BD" w:rsidRDefault="00B80809" w:rsidP="004B6EFE">
      <w:pPr>
        <w:jc w:val="center"/>
        <w:rPr>
          <w:b/>
          <w:bCs/>
        </w:rPr>
      </w:pPr>
      <w:r>
        <w:rPr>
          <w:b/>
          <w:bCs/>
        </w:rPr>
        <w:t xml:space="preserve">Rehabilitation and the </w:t>
      </w:r>
      <w:r w:rsidR="000D4FB1">
        <w:rPr>
          <w:b/>
          <w:bCs/>
        </w:rPr>
        <w:t xml:space="preserve">Purpose of the </w:t>
      </w:r>
      <w:r>
        <w:rPr>
          <w:b/>
          <w:bCs/>
        </w:rPr>
        <w:t>Criminal Justice System: Too much Carrot and Not Enough Stick?</w:t>
      </w:r>
    </w:p>
    <w:p w14:paraId="655A3F75" w14:textId="52415826" w:rsidR="00B80809" w:rsidRDefault="00B80809" w:rsidP="00D270A1">
      <w:pPr>
        <w:rPr>
          <w:b/>
          <w:bCs/>
        </w:rPr>
      </w:pPr>
    </w:p>
    <w:p w14:paraId="2FDF922E" w14:textId="1B4FC756" w:rsidR="00B80809" w:rsidRDefault="00B80809" w:rsidP="00B80809">
      <w:pPr>
        <w:jc w:val="both"/>
      </w:pPr>
      <w:r>
        <w:t>Within this report I will seek to outline my thoughts regarding the place of rehabilitation within the contemporary criminal justice system, proposing that whilst rehabilitation is a key component of criminal justice it has now been employed at the expense of punishment. This discussion will encompass my own thoughts interwoven with a plethora of literature within the field to demonstrate that whilst the criminal justice system must balance rehabilitation and punishment, in its current form the scales have become tipped too heavily in favour of rehabilitation, rendering the criminal justice insufficient to tackle contemporary criminality</w:t>
      </w:r>
      <w:r w:rsidR="00953160">
        <w:t xml:space="preserve"> and eroding public confidence in the law. </w:t>
      </w:r>
      <w:r>
        <w:t xml:space="preserve"> </w:t>
      </w:r>
    </w:p>
    <w:p w14:paraId="054DEFDB" w14:textId="19F74874" w:rsidR="00B80809" w:rsidRDefault="00B80809" w:rsidP="00B80809">
      <w:pPr>
        <w:jc w:val="both"/>
      </w:pPr>
    </w:p>
    <w:p w14:paraId="5117ECEC" w14:textId="282A2062" w:rsidR="004766BD" w:rsidRDefault="00595070" w:rsidP="005A67CB">
      <w:pPr>
        <w:jc w:val="both"/>
      </w:pPr>
      <w:r>
        <w:t>Th</w:t>
      </w:r>
      <w:r w:rsidR="00FD457D">
        <w:t xml:space="preserve">e foundations of this </w:t>
      </w:r>
      <w:r>
        <w:t xml:space="preserve">discussion </w:t>
      </w:r>
      <w:r w:rsidR="00FD457D">
        <w:t xml:space="preserve">are </w:t>
      </w:r>
      <w:r>
        <w:t xml:space="preserve">underpinned by a reflective cycle constructed by Gibbs which notes the importance of six key stages within reflection which are description, feelings, evaluation, analysis, conclusion, and action plan (Gibbs 1988 as cited in </w:t>
      </w:r>
      <w:proofErr w:type="spellStart"/>
      <w:r>
        <w:t>Chawathey</w:t>
      </w:r>
      <w:proofErr w:type="spellEnd"/>
      <w:r>
        <w:t xml:space="preserve"> 2019). </w:t>
      </w:r>
      <w:r w:rsidR="007955FF">
        <w:t xml:space="preserve">Whilst this structure will not be explicitly employed, the key elements of this process will be considered throughout this discussion as </w:t>
      </w:r>
      <w:proofErr w:type="spellStart"/>
      <w:r w:rsidR="007955FF">
        <w:t>Chawathey</w:t>
      </w:r>
      <w:proofErr w:type="spellEnd"/>
      <w:r w:rsidR="007955FF">
        <w:t xml:space="preserve"> (2019) has argued that reflection is an inherently personal process, therefore whilst theory should underpin reflection, the process itself should be individual to each circumstance. </w:t>
      </w:r>
      <w:r w:rsidR="00F5570C">
        <w:t xml:space="preserve">Building on this, research has specifically argued that those developing skills in the field of criminal justice must engage in reflective practice, particularly as this provides opportunities to create new knowledge and refine reflective skills (Webster et al 2020). </w:t>
      </w:r>
      <w:r w:rsidR="00260D27">
        <w:t xml:space="preserve">Therefore, this suggests that by reflecting upon our own experiences and beliefs, there is scope for improvement not only within our own roles but opportunity to offer new insights and knowledge to the field of criminal justice more broadly. </w:t>
      </w:r>
    </w:p>
    <w:p w14:paraId="2E37B641" w14:textId="5305F008" w:rsidR="00BE3933" w:rsidRDefault="00BE3933" w:rsidP="00D270A1"/>
    <w:p w14:paraId="25D645E1" w14:textId="0D8EB03C" w:rsidR="00260D27" w:rsidRDefault="00260D27" w:rsidP="00260D27">
      <w:pPr>
        <w:jc w:val="both"/>
      </w:pPr>
      <w:r>
        <w:t>Within recent years there is little doubt that the criminal justice system has seen a shift towards an increasing focus on rehabilitation, particularly evidenced through the introduction of new interventions</w:t>
      </w:r>
      <w:r w:rsidR="00294C28">
        <w:t xml:space="preserve"> such</w:t>
      </w:r>
      <w:r>
        <w:t xml:space="preserve"> as restorative justice and a focus on offender re-integration rather than solely on notions of retribution (Kirkwood and Hamad 2019). Kirkwood and Hamad (2019) have expanded on this notion, suggesting that we are now living in an age of ‘mass probation’ wherein society has seen a pivot away from prison towards a justice system which places the emphasis on </w:t>
      </w:r>
      <w:r w:rsidR="00186A18">
        <w:t xml:space="preserve">crime not as a breach of rules with the state but rather a breakdown in community cohesion, rendering the criminal justice system as a tool to mend community relations rather than to simply punish offenders. </w:t>
      </w:r>
      <w:r w:rsidR="00A0208C">
        <w:t xml:space="preserve">Within my view this shift is critical, whilst rehabilitation is undoubtedly a key pillar of criminal justice, there is clear evidence to suggest that this element has begun to encroach on the position of retribution within the criminal justice system, rendering it skewed towards a focus on the offender rather than the victims of crime. </w:t>
      </w:r>
    </w:p>
    <w:p w14:paraId="3060A168" w14:textId="061CD83E" w:rsidR="006866AB" w:rsidRDefault="006866AB" w:rsidP="00260D27">
      <w:pPr>
        <w:jc w:val="both"/>
      </w:pPr>
    </w:p>
    <w:p w14:paraId="1BA0849D" w14:textId="7BE5FC14" w:rsidR="006866AB" w:rsidRDefault="006866AB" w:rsidP="00260D27">
      <w:pPr>
        <w:jc w:val="both"/>
      </w:pPr>
      <w:r>
        <w:t xml:space="preserve">This notion that the criminal justice system has begun to focus too heavily on the rehabilitation of the offender, losing sight of the victims need for justice is supported by research which has argued that despite a raft of promises in the last two decades to put victims at the centre of the criminal justice system, victims of crime continue to feel failed and </w:t>
      </w:r>
      <w:r w:rsidR="000302D8">
        <w:t xml:space="preserve">un-represented by the direction of travel evident within the current system (Ellison and Munro 2016). </w:t>
      </w:r>
      <w:r w:rsidR="00BE2345">
        <w:t xml:space="preserve">This dissatisfaction with the contemporary criminal justice system may be directly linked back to the increased focus on rehabilitation and focus on opportunities </w:t>
      </w:r>
      <w:r w:rsidR="00BE2345">
        <w:lastRenderedPageBreak/>
        <w:t xml:space="preserve">afforded to the offender, for instance empirical research has demonstrated that sentences which place the focus on rehabilitation or ‘second chances’ have constructed a sense among victims of crime that offenders are being unduly afforded opportunities to avoid punishment whilst the victim and their families are left to deal with the consequences of this offending (Freiberg and Moore 2009). The wider implications of this perceived lack of retributive justice may also be critical for society more broadly, for instance </w:t>
      </w:r>
      <w:r w:rsidR="00491A6F">
        <w:t>Freiberg and Moore (2009)</w:t>
      </w:r>
      <w:r w:rsidR="00F54945">
        <w:t xml:space="preserve"> </w:t>
      </w:r>
      <w:r w:rsidR="00491A6F">
        <w:t xml:space="preserve">have gone on to argue that where society feels that the criminal justice system is not distributing sufficient justice, this may decrease public belief in the criminal justice system and consequentially lead to less public compliance with the law. Therefore, these findings begin to paint a stark picture of the ways in which undue leniency fuelled by a disproportionate focus on rehabilitation has not only created an environment where victims of crime feel disenfranchised but has begun to erode the overarching purpose of the criminal justice system, to serve and protect the public. This reflects my wider view that we have begun to move </w:t>
      </w:r>
      <w:r w:rsidR="005D0E87">
        <w:t xml:space="preserve">into dangerous territory wherein the credibility of the criminal justice system is being eroded by a misguided sense that notions of retribution are increasingly irrelevant and instead offender rehabilitation must be the focus. Instead it is my belief that the criminal justice system should seek to employ both rehabilitation and punitive measures </w:t>
      </w:r>
      <w:r w:rsidR="00D7540B">
        <w:t xml:space="preserve">in equal measure </w:t>
      </w:r>
      <w:r w:rsidR="005D0E87">
        <w:t xml:space="preserve">to ensure offenders are able to re-integrate into society </w:t>
      </w:r>
      <w:r w:rsidR="00D7540B">
        <w:t xml:space="preserve">however also ensuring victims feels that justice has been fairly distributed, an element which is clearly diluted as evidenced by the current literature. </w:t>
      </w:r>
    </w:p>
    <w:p w14:paraId="410474FD" w14:textId="6308F323" w:rsidR="005D7565" w:rsidRDefault="005D7565" w:rsidP="00260D27">
      <w:pPr>
        <w:jc w:val="both"/>
      </w:pPr>
    </w:p>
    <w:p w14:paraId="69646EC3" w14:textId="5D5B1AEF" w:rsidR="005D7565" w:rsidRDefault="005D7565" w:rsidP="00260D27">
      <w:pPr>
        <w:jc w:val="both"/>
      </w:pPr>
      <w:r>
        <w:t xml:space="preserve">It is important to note that despite my own view that the current </w:t>
      </w:r>
      <w:r w:rsidR="00E134D1">
        <w:t>disproportionate</w:t>
      </w:r>
      <w:r>
        <w:t xml:space="preserve"> focus on rehabilitation has </w:t>
      </w:r>
      <w:r w:rsidR="00E134D1">
        <w:t xml:space="preserve">unleashed the floodgates of undue leniency and consequently eroded public trust in the criminal justice system, there are academics who would take issue with this view. For instance, Vaughan and </w:t>
      </w:r>
      <w:proofErr w:type="spellStart"/>
      <w:r w:rsidR="00E134D1">
        <w:t>Kilcommins</w:t>
      </w:r>
      <w:proofErr w:type="spellEnd"/>
      <w:r w:rsidR="00E134D1">
        <w:t xml:space="preserve"> (2010) have argued that this public yearning for retribution is not solely driven by a perceived lack of justice but rather a wider societal insecurity, fear and anxiety fuelled by a rising fear of crime, deviance and terrorism particularly in the post-9/11 age. Vaughan and </w:t>
      </w:r>
      <w:proofErr w:type="spellStart"/>
      <w:r w:rsidR="00E134D1">
        <w:t>Kilcommins</w:t>
      </w:r>
      <w:proofErr w:type="spellEnd"/>
      <w:r w:rsidR="00E134D1">
        <w:t xml:space="preserve"> (2010) have proceeded to refute the assertion that criminal justice has become increasingly lenient, instead suggesting that penal populism has infiltrated both the public psyche and political discourse, rendering the criminal justice </w:t>
      </w:r>
      <w:r w:rsidR="00250E24">
        <w:t xml:space="preserve">system </w:t>
      </w:r>
      <w:r w:rsidR="00E134D1">
        <w:t xml:space="preserve">a tool used to appease public opinion through increasingly punitive measures. </w:t>
      </w:r>
      <w:r w:rsidR="00B10D39">
        <w:t xml:space="preserve">However, it could be argued that this view, which implies a herd mentality among the general population and constructs society as a </w:t>
      </w:r>
      <w:r w:rsidR="00797DDF">
        <w:t xml:space="preserve">single body engulfed and overridden by an irrational fear of crime is too simplistic and does not acknowledge the complex web of factors which influence public perceptions. For instance, </w:t>
      </w:r>
      <w:proofErr w:type="spellStart"/>
      <w:r w:rsidR="00797DDF">
        <w:t>Aarten</w:t>
      </w:r>
      <w:proofErr w:type="spellEnd"/>
      <w:r w:rsidR="00797DDF">
        <w:t xml:space="preserve"> et al (2014) have conducted research examining public attitudes to sentencing, finding that this is an extremely nuanced area wherein a range of political, personal and socio-economic factors may influence perceptions of the criminal justice system, suggesting that rather than an anxious, crime-fearing flock the public are far more complex entity than Vaughan and </w:t>
      </w:r>
      <w:proofErr w:type="spellStart"/>
      <w:r w:rsidR="00797DDF">
        <w:t>Kilcommins</w:t>
      </w:r>
      <w:proofErr w:type="spellEnd"/>
      <w:r w:rsidR="00797DDF">
        <w:t xml:space="preserve"> (2010) suggest. This begins to expand on my own view that within recent decades, academics have been </w:t>
      </w:r>
      <w:r w:rsidR="00DF64AC">
        <w:t>too</w:t>
      </w:r>
      <w:r w:rsidR="00797DDF">
        <w:t xml:space="preserve"> quick to dismiss calls for a more punitive penal policy as the product of a mindless public fear of crime, rather the evidence suggests that the public are acutely aware of the current state of the criminal justice system, therefore the erosion in confidence and lack of faith in this focus on rehabilitation is rooted in a number of complex political, social and personal factors. </w:t>
      </w:r>
    </w:p>
    <w:p w14:paraId="3E8041D5" w14:textId="596A67E9" w:rsidR="009C68E9" w:rsidRDefault="009C68E9" w:rsidP="00260D27">
      <w:pPr>
        <w:jc w:val="both"/>
      </w:pPr>
    </w:p>
    <w:p w14:paraId="72CD8DEF" w14:textId="6045E0C4" w:rsidR="00BE3933" w:rsidRDefault="009C68E9" w:rsidP="005A67CB">
      <w:pPr>
        <w:jc w:val="both"/>
      </w:pPr>
      <w:r>
        <w:t xml:space="preserve">Following this reflection I believe it is clear that the contemporary criminal justice system has shifted too heavily away from notions of retribution towards a disproportionate focus on </w:t>
      </w:r>
      <w:r>
        <w:lastRenderedPageBreak/>
        <w:t xml:space="preserve">rehabilitation. Examining the literature, it is clear </w:t>
      </w:r>
      <w:r w:rsidR="001D1E9B">
        <w:t xml:space="preserve">in my opinion </w:t>
      </w:r>
      <w:r>
        <w:t xml:space="preserve">that this shift has not only rendered victims of crime feeling disenfranchised with the system but has begun to erode at public levels of confidence, creating fertile ground for distrust and animosity towards legal institutions. In my view, the impacts of this erosion of trust cannot be underestimated, as the criminal justice system is inherently interwoven with government, state and society (Hsieh and Boateng 2015), therefore the implications of this diminishing faith in the criminal justice system may have detrimental impacts on the functioning of civil society as a whole. </w:t>
      </w:r>
      <w:r w:rsidR="00466FEA">
        <w:t xml:space="preserve">Therefore, </w:t>
      </w:r>
      <w:r w:rsidR="001D1E9B">
        <w:t xml:space="preserve">I would argue </w:t>
      </w:r>
      <w:r w:rsidR="00466FEA">
        <w:t>that to rebuild trust, re-instil victim’s faith in criminal justice and to safeguard the future success of the criminal justice system, rehabilitation and retribution must be balanced equally on the scales of British justice, ensuring that whilst offenders are reformed they are also sufficiently punished for the impacts of their crimes on society. Before concluding, it is important to acknowledge that w</w:t>
      </w:r>
      <w:r w:rsidR="00BE3933">
        <w:t>hilst this analysis has sought to reflect on some key personal thoughts regarding complex issues within criminal justice</w:t>
      </w:r>
      <w:r w:rsidR="00466FEA">
        <w:t xml:space="preserve">, there </w:t>
      </w:r>
      <w:r w:rsidR="00BE3933">
        <w:t>are key challenges when employing personal reflection. For example, when employing personal opinions research has argued that not understanding reflective processes, feeling uncomfortable evaluating personal views and time pressures may render personal reflection inherently weaker (</w:t>
      </w:r>
      <w:proofErr w:type="spellStart"/>
      <w:r w:rsidR="00BE3933">
        <w:t>Chawathey</w:t>
      </w:r>
      <w:proofErr w:type="spellEnd"/>
      <w:r w:rsidR="00BE3933">
        <w:t xml:space="preserve"> 2019).</w:t>
      </w:r>
      <w:r w:rsidR="00466FEA">
        <w:t xml:space="preserve"> Therefore, whilst this discussion has sought to outline my views regarding the contemporary criminal justice system utilising literature as a foundation to support this, the inherent personal nature of reflection may leave this discussion open to wider academic critique. </w:t>
      </w:r>
    </w:p>
    <w:p w14:paraId="0BE96AAF" w14:textId="14AE6743" w:rsidR="004766BD" w:rsidRDefault="004766BD" w:rsidP="00D270A1"/>
    <w:p w14:paraId="58F4CF60" w14:textId="4FE9E577" w:rsidR="00734F0E" w:rsidRDefault="00734F0E" w:rsidP="00734F0E">
      <w:pPr>
        <w:rPr>
          <w:b/>
          <w:bCs/>
        </w:rPr>
      </w:pPr>
      <w:r>
        <w:rPr>
          <w:b/>
          <w:bCs/>
        </w:rPr>
        <w:t>Word Count:</w:t>
      </w:r>
      <w:r w:rsidR="00912A3F">
        <w:rPr>
          <w:b/>
          <w:bCs/>
        </w:rPr>
        <w:t xml:space="preserve"> </w:t>
      </w:r>
      <w:r w:rsidR="00797DDF">
        <w:rPr>
          <w:b/>
          <w:bCs/>
        </w:rPr>
        <w:t>1</w:t>
      </w:r>
      <w:r w:rsidR="00466FEA">
        <w:rPr>
          <w:b/>
          <w:bCs/>
        </w:rPr>
        <w:t>4</w:t>
      </w:r>
      <w:r w:rsidR="00250E24">
        <w:rPr>
          <w:b/>
          <w:bCs/>
        </w:rPr>
        <w:t>41</w:t>
      </w:r>
    </w:p>
    <w:p w14:paraId="07547642" w14:textId="77777777" w:rsidR="00734F0E" w:rsidRDefault="00734F0E" w:rsidP="004766BD">
      <w:pPr>
        <w:jc w:val="center"/>
        <w:rPr>
          <w:b/>
          <w:bCs/>
        </w:rPr>
      </w:pPr>
    </w:p>
    <w:p w14:paraId="2BFA0CFE" w14:textId="77777777" w:rsidR="009C68E9" w:rsidRDefault="009C68E9" w:rsidP="004766BD">
      <w:pPr>
        <w:jc w:val="center"/>
        <w:rPr>
          <w:b/>
          <w:bCs/>
        </w:rPr>
      </w:pPr>
    </w:p>
    <w:p w14:paraId="1CB02F6E" w14:textId="77777777" w:rsidR="009C68E9" w:rsidRDefault="009C68E9" w:rsidP="004766BD">
      <w:pPr>
        <w:jc w:val="center"/>
        <w:rPr>
          <w:b/>
          <w:bCs/>
        </w:rPr>
      </w:pPr>
    </w:p>
    <w:p w14:paraId="78A77B95" w14:textId="77777777" w:rsidR="009C68E9" w:rsidRDefault="009C68E9" w:rsidP="004766BD">
      <w:pPr>
        <w:jc w:val="center"/>
        <w:rPr>
          <w:b/>
          <w:bCs/>
        </w:rPr>
      </w:pPr>
    </w:p>
    <w:p w14:paraId="5ABB90CD" w14:textId="77777777" w:rsidR="009C68E9" w:rsidRDefault="009C68E9" w:rsidP="004766BD">
      <w:pPr>
        <w:jc w:val="center"/>
        <w:rPr>
          <w:b/>
          <w:bCs/>
        </w:rPr>
      </w:pPr>
    </w:p>
    <w:p w14:paraId="1A18729F" w14:textId="77777777" w:rsidR="009C68E9" w:rsidRDefault="009C68E9" w:rsidP="004766BD">
      <w:pPr>
        <w:jc w:val="center"/>
        <w:rPr>
          <w:b/>
          <w:bCs/>
        </w:rPr>
      </w:pPr>
    </w:p>
    <w:p w14:paraId="7E4FB9D5" w14:textId="77777777" w:rsidR="009C68E9" w:rsidRDefault="009C68E9" w:rsidP="004766BD">
      <w:pPr>
        <w:jc w:val="center"/>
        <w:rPr>
          <w:b/>
          <w:bCs/>
        </w:rPr>
      </w:pPr>
    </w:p>
    <w:p w14:paraId="3424EA38" w14:textId="77777777" w:rsidR="009C68E9" w:rsidRDefault="009C68E9" w:rsidP="004766BD">
      <w:pPr>
        <w:jc w:val="center"/>
        <w:rPr>
          <w:b/>
          <w:bCs/>
        </w:rPr>
      </w:pPr>
    </w:p>
    <w:p w14:paraId="700CDD8B" w14:textId="77777777" w:rsidR="00466FEA" w:rsidRDefault="00466FEA" w:rsidP="004766BD">
      <w:pPr>
        <w:jc w:val="center"/>
        <w:rPr>
          <w:b/>
          <w:bCs/>
        </w:rPr>
      </w:pPr>
    </w:p>
    <w:p w14:paraId="550FF1AC" w14:textId="77777777" w:rsidR="00466FEA" w:rsidRDefault="00466FEA" w:rsidP="004766BD">
      <w:pPr>
        <w:jc w:val="center"/>
        <w:rPr>
          <w:b/>
          <w:bCs/>
        </w:rPr>
      </w:pPr>
    </w:p>
    <w:p w14:paraId="11F0B3B7" w14:textId="77777777" w:rsidR="00466FEA" w:rsidRDefault="00466FEA" w:rsidP="004766BD">
      <w:pPr>
        <w:jc w:val="center"/>
        <w:rPr>
          <w:b/>
          <w:bCs/>
        </w:rPr>
      </w:pPr>
    </w:p>
    <w:p w14:paraId="44F83160" w14:textId="77777777" w:rsidR="00466FEA" w:rsidRDefault="00466FEA" w:rsidP="004766BD">
      <w:pPr>
        <w:jc w:val="center"/>
        <w:rPr>
          <w:b/>
          <w:bCs/>
        </w:rPr>
      </w:pPr>
    </w:p>
    <w:p w14:paraId="6E9C3EB2" w14:textId="77777777" w:rsidR="00466FEA" w:rsidRDefault="00466FEA" w:rsidP="004766BD">
      <w:pPr>
        <w:jc w:val="center"/>
        <w:rPr>
          <w:b/>
          <w:bCs/>
        </w:rPr>
      </w:pPr>
    </w:p>
    <w:p w14:paraId="4FD1B486" w14:textId="77777777" w:rsidR="00466FEA" w:rsidRDefault="00466FEA" w:rsidP="004766BD">
      <w:pPr>
        <w:jc w:val="center"/>
        <w:rPr>
          <w:b/>
          <w:bCs/>
        </w:rPr>
      </w:pPr>
    </w:p>
    <w:p w14:paraId="23E13F63" w14:textId="77777777" w:rsidR="00466FEA" w:rsidRDefault="00466FEA" w:rsidP="004766BD">
      <w:pPr>
        <w:jc w:val="center"/>
        <w:rPr>
          <w:b/>
          <w:bCs/>
        </w:rPr>
      </w:pPr>
    </w:p>
    <w:p w14:paraId="03DA70D4" w14:textId="77777777" w:rsidR="00466FEA" w:rsidRDefault="00466FEA" w:rsidP="004766BD">
      <w:pPr>
        <w:jc w:val="center"/>
        <w:rPr>
          <w:b/>
          <w:bCs/>
        </w:rPr>
      </w:pPr>
    </w:p>
    <w:p w14:paraId="6FE47476" w14:textId="77777777" w:rsidR="00466FEA" w:rsidRDefault="00466FEA" w:rsidP="004766BD">
      <w:pPr>
        <w:jc w:val="center"/>
        <w:rPr>
          <w:b/>
          <w:bCs/>
        </w:rPr>
      </w:pPr>
    </w:p>
    <w:p w14:paraId="31649BA9" w14:textId="77777777" w:rsidR="00C105BE" w:rsidRDefault="00C105BE" w:rsidP="004766BD">
      <w:pPr>
        <w:jc w:val="center"/>
        <w:rPr>
          <w:b/>
          <w:bCs/>
        </w:rPr>
      </w:pPr>
    </w:p>
    <w:p w14:paraId="5584E1AD" w14:textId="77777777" w:rsidR="00C105BE" w:rsidRDefault="00C105BE" w:rsidP="004766BD">
      <w:pPr>
        <w:jc w:val="center"/>
        <w:rPr>
          <w:b/>
          <w:bCs/>
        </w:rPr>
      </w:pPr>
    </w:p>
    <w:p w14:paraId="58ED3EC8" w14:textId="77777777" w:rsidR="00C105BE" w:rsidRDefault="00C105BE" w:rsidP="004766BD">
      <w:pPr>
        <w:jc w:val="center"/>
        <w:rPr>
          <w:b/>
          <w:bCs/>
        </w:rPr>
      </w:pPr>
    </w:p>
    <w:p w14:paraId="0EE31D74" w14:textId="77777777" w:rsidR="00C105BE" w:rsidRDefault="00C105BE" w:rsidP="004766BD">
      <w:pPr>
        <w:jc w:val="center"/>
        <w:rPr>
          <w:b/>
          <w:bCs/>
        </w:rPr>
      </w:pPr>
    </w:p>
    <w:p w14:paraId="69F0FBD4" w14:textId="77777777" w:rsidR="00C105BE" w:rsidRDefault="00C105BE" w:rsidP="004766BD">
      <w:pPr>
        <w:jc w:val="center"/>
        <w:rPr>
          <w:b/>
          <w:bCs/>
        </w:rPr>
      </w:pPr>
    </w:p>
    <w:p w14:paraId="22E55374" w14:textId="77777777" w:rsidR="00E12D53" w:rsidRDefault="00E12D53" w:rsidP="004766BD">
      <w:pPr>
        <w:jc w:val="center"/>
        <w:rPr>
          <w:b/>
          <w:bCs/>
        </w:rPr>
      </w:pPr>
    </w:p>
    <w:p w14:paraId="0EE9BB0A" w14:textId="77777777" w:rsidR="00E12D53" w:rsidRDefault="00E12D53" w:rsidP="004766BD">
      <w:pPr>
        <w:jc w:val="center"/>
        <w:rPr>
          <w:b/>
          <w:bCs/>
        </w:rPr>
      </w:pPr>
    </w:p>
    <w:p w14:paraId="176DD048" w14:textId="77777777" w:rsidR="004B6EFE" w:rsidRDefault="004B6EFE" w:rsidP="004766BD">
      <w:pPr>
        <w:jc w:val="center"/>
        <w:rPr>
          <w:b/>
          <w:bCs/>
        </w:rPr>
      </w:pPr>
    </w:p>
    <w:p w14:paraId="0EE07103" w14:textId="6799EEDF" w:rsidR="004766BD" w:rsidRPr="004766BD" w:rsidRDefault="004766BD" w:rsidP="004766BD">
      <w:pPr>
        <w:jc w:val="center"/>
        <w:rPr>
          <w:b/>
          <w:bCs/>
        </w:rPr>
      </w:pPr>
      <w:r w:rsidRPr="004766BD">
        <w:rPr>
          <w:b/>
          <w:bCs/>
        </w:rPr>
        <w:lastRenderedPageBreak/>
        <w:t>References</w:t>
      </w:r>
    </w:p>
    <w:p w14:paraId="6892EC6B" w14:textId="1F5493C4" w:rsidR="00D270A1" w:rsidRDefault="00D270A1" w:rsidP="00D270A1">
      <w:pPr>
        <w:rPr>
          <w:b/>
          <w:bCs/>
        </w:rPr>
      </w:pPr>
    </w:p>
    <w:p w14:paraId="0AB587EC" w14:textId="712C1850" w:rsidR="00595070" w:rsidRDefault="00595070" w:rsidP="00D270A1">
      <w:pPr>
        <w:rPr>
          <w:b/>
          <w:bCs/>
        </w:rPr>
      </w:pPr>
    </w:p>
    <w:p w14:paraId="43AD9C04" w14:textId="216A01C3" w:rsidR="00595070" w:rsidRPr="00797DDF" w:rsidRDefault="00797DDF" w:rsidP="00D270A1">
      <w:proofErr w:type="spellStart"/>
      <w:r w:rsidRPr="00797DDF">
        <w:t>Aarten</w:t>
      </w:r>
      <w:proofErr w:type="spellEnd"/>
      <w:r w:rsidRPr="00797DDF">
        <w:t xml:space="preserve">, </w:t>
      </w:r>
      <w:r>
        <w:t xml:space="preserve">P, Van Gelder, J, </w:t>
      </w:r>
      <w:proofErr w:type="spellStart"/>
      <w:r>
        <w:t>Lamet</w:t>
      </w:r>
      <w:proofErr w:type="spellEnd"/>
      <w:r>
        <w:t xml:space="preserve">, W, </w:t>
      </w:r>
      <w:proofErr w:type="spellStart"/>
      <w:r>
        <w:t>Borgers</w:t>
      </w:r>
      <w:proofErr w:type="spellEnd"/>
      <w:r>
        <w:t xml:space="preserve">, M and Van Der </w:t>
      </w:r>
      <w:proofErr w:type="spellStart"/>
      <w:r>
        <w:t>Laan</w:t>
      </w:r>
      <w:proofErr w:type="spellEnd"/>
      <w:r>
        <w:t xml:space="preserve">, P. (2014). Exploring Public Support for Suspended Sentences in the Netherlands. </w:t>
      </w:r>
      <w:r w:rsidRPr="0082484F">
        <w:rPr>
          <w:i/>
          <w:iCs/>
        </w:rPr>
        <w:t>European Journal of Criminology</w:t>
      </w:r>
      <w:r>
        <w:t xml:space="preserve">, Vol 12 (2), pp. 188-207. </w:t>
      </w:r>
      <w:r w:rsidR="00A12E5B">
        <w:t>Accessed: 24</w:t>
      </w:r>
      <w:r w:rsidR="00A12E5B" w:rsidRPr="00A12E5B">
        <w:rPr>
          <w:vertAlign w:val="superscript"/>
        </w:rPr>
        <w:t>th</w:t>
      </w:r>
      <w:r w:rsidR="00A12E5B">
        <w:t xml:space="preserve"> November 2021. </w:t>
      </w:r>
      <w:r>
        <w:t>Doi: 10.1177/1477370814551212</w:t>
      </w:r>
    </w:p>
    <w:p w14:paraId="1F1B6DDB" w14:textId="7A522586" w:rsidR="00595070" w:rsidRDefault="00595070" w:rsidP="00D270A1">
      <w:pPr>
        <w:rPr>
          <w:b/>
          <w:bCs/>
        </w:rPr>
      </w:pPr>
    </w:p>
    <w:p w14:paraId="3C768402" w14:textId="7261826E" w:rsidR="00595070" w:rsidRDefault="00595070" w:rsidP="00D270A1">
      <w:proofErr w:type="spellStart"/>
      <w:r>
        <w:t>Chawathey</w:t>
      </w:r>
      <w:proofErr w:type="spellEnd"/>
      <w:r>
        <w:t>, K. (2019). Crammer’s Corner: Reflective Practice</w:t>
      </w:r>
      <w:r w:rsidRPr="0082484F">
        <w:rPr>
          <w:i/>
          <w:iCs/>
        </w:rPr>
        <w:t>. InnovAiT: Education and Inspiration for General Practice</w:t>
      </w:r>
      <w:r>
        <w:t xml:space="preserve">, Vol 12 (12), pp. 731-732. </w:t>
      </w:r>
      <w:r w:rsidR="00A12E5B">
        <w:t>Accessed: 29</w:t>
      </w:r>
      <w:r w:rsidR="00A12E5B" w:rsidRPr="00A12E5B">
        <w:rPr>
          <w:vertAlign w:val="superscript"/>
        </w:rPr>
        <w:t>th</w:t>
      </w:r>
      <w:r w:rsidR="00A12E5B">
        <w:t xml:space="preserve"> November 2021. </w:t>
      </w:r>
      <w:r>
        <w:t>Doi: 10.1177/1755738019873938</w:t>
      </w:r>
    </w:p>
    <w:p w14:paraId="38D7958C" w14:textId="5381F069" w:rsidR="00260D27" w:rsidRDefault="00260D27" w:rsidP="00D270A1"/>
    <w:p w14:paraId="3AF0D69E" w14:textId="1AE3273D" w:rsidR="000302D8" w:rsidRDefault="000302D8" w:rsidP="00D270A1">
      <w:r>
        <w:t>Ellison, L and Munro, V. (2016). Taking Trauma Seriously: Critical Reflections on the Criminal Justice Process</w:t>
      </w:r>
      <w:r w:rsidRPr="0082484F">
        <w:rPr>
          <w:i/>
          <w:iCs/>
        </w:rPr>
        <w:t>. The International Journal of Evidence and Proof</w:t>
      </w:r>
      <w:r>
        <w:t xml:space="preserve">, Vol 21 (3), pp. 183-208. </w:t>
      </w:r>
      <w:r w:rsidR="00A12E5B">
        <w:t>Accessed: 28</w:t>
      </w:r>
      <w:r w:rsidR="00A12E5B" w:rsidRPr="00A12E5B">
        <w:rPr>
          <w:vertAlign w:val="superscript"/>
        </w:rPr>
        <w:t>th</w:t>
      </w:r>
      <w:r w:rsidR="00A12E5B">
        <w:t xml:space="preserve"> November 2021. </w:t>
      </w:r>
      <w:r>
        <w:t>Doi: 10.1177/1365712716655168</w:t>
      </w:r>
    </w:p>
    <w:p w14:paraId="0AE61447" w14:textId="77777777" w:rsidR="00E134D1" w:rsidRDefault="00E134D1" w:rsidP="00D270A1"/>
    <w:p w14:paraId="5B9EC9DB" w14:textId="189BDEF8" w:rsidR="00491A6F" w:rsidRDefault="00491A6F" w:rsidP="00D270A1">
      <w:r>
        <w:t xml:space="preserve">Freiberg, A and Moore, V. (2009). Disbelieving Suspense: Suspended Sentences of Imprisonment and Public Confidence in the Criminal Justice System. </w:t>
      </w:r>
      <w:r w:rsidRPr="0082484F">
        <w:rPr>
          <w:i/>
          <w:iCs/>
        </w:rPr>
        <w:t>Australian and New Zealand Journal of Criminology</w:t>
      </w:r>
      <w:r>
        <w:t xml:space="preserve">, Vol 42 (1), pp. 101-122. </w:t>
      </w:r>
      <w:r w:rsidR="00A12E5B">
        <w:t>Accessed: 24</w:t>
      </w:r>
      <w:r w:rsidR="00A12E5B" w:rsidRPr="00A12E5B">
        <w:rPr>
          <w:vertAlign w:val="superscript"/>
        </w:rPr>
        <w:t>th</w:t>
      </w:r>
      <w:r w:rsidR="00A12E5B">
        <w:t xml:space="preserve"> November 2021. </w:t>
      </w:r>
      <w:r w:rsidR="00910F09">
        <w:t>Doi: NA</w:t>
      </w:r>
    </w:p>
    <w:p w14:paraId="75FD76C6" w14:textId="17C29141" w:rsidR="009C68E9" w:rsidRDefault="009C68E9" w:rsidP="00D270A1"/>
    <w:p w14:paraId="1E4B1FE4" w14:textId="2F0BE17A" w:rsidR="009C68E9" w:rsidRDefault="009C68E9" w:rsidP="00D270A1">
      <w:r>
        <w:t>Hsieh, M and Boateng, F. (2015). Perceptions of Democracy and Trust in the Criminal Justice System: A Comparison Between Mainland China and Taiwan</w:t>
      </w:r>
      <w:r w:rsidRPr="0082484F">
        <w:rPr>
          <w:i/>
          <w:iCs/>
        </w:rPr>
        <w:t>. International Criminal Justice Review</w:t>
      </w:r>
      <w:r>
        <w:t xml:space="preserve">, Vol 25 (2), pp. 153-173. </w:t>
      </w:r>
      <w:r w:rsidR="00A12E5B">
        <w:t>Accessed: 25</w:t>
      </w:r>
      <w:r w:rsidR="00A12E5B" w:rsidRPr="00A12E5B">
        <w:rPr>
          <w:vertAlign w:val="superscript"/>
        </w:rPr>
        <w:t>th</w:t>
      </w:r>
      <w:r w:rsidR="00A12E5B">
        <w:t xml:space="preserve"> November 2021. </w:t>
      </w:r>
      <w:r>
        <w:t>Doi: 10.1177/1057567715570050</w:t>
      </w:r>
    </w:p>
    <w:p w14:paraId="3218C3E3" w14:textId="7B1FA963" w:rsidR="00F5570C" w:rsidRDefault="00F5570C" w:rsidP="00D270A1"/>
    <w:p w14:paraId="08B23793" w14:textId="6A8BE740" w:rsidR="00F5570C" w:rsidRDefault="00186A18" w:rsidP="00D270A1">
      <w:r>
        <w:t>Kirkwood, S and Hamad, R. (2019). Restorative Justice Informed Criminal Justice Social Work and Probation Services</w:t>
      </w:r>
      <w:r w:rsidRPr="0082484F">
        <w:rPr>
          <w:i/>
          <w:iCs/>
        </w:rPr>
        <w:t>. Probation Journal</w:t>
      </w:r>
      <w:r>
        <w:t xml:space="preserve">, Vol 66 (4), pp. 398-415. </w:t>
      </w:r>
      <w:r w:rsidR="00A12E5B">
        <w:t>Accessed: 28</w:t>
      </w:r>
      <w:r w:rsidR="00A12E5B" w:rsidRPr="00A12E5B">
        <w:rPr>
          <w:vertAlign w:val="superscript"/>
        </w:rPr>
        <w:t>th</w:t>
      </w:r>
      <w:r w:rsidR="00A12E5B">
        <w:t xml:space="preserve"> November 2021. </w:t>
      </w:r>
      <w:r>
        <w:t>Doi: 10.1177/0264550519880595</w:t>
      </w:r>
    </w:p>
    <w:p w14:paraId="4D47A7B1" w14:textId="50F91B2C" w:rsidR="00E134D1" w:rsidRDefault="00E134D1" w:rsidP="00D270A1"/>
    <w:p w14:paraId="7F945A12" w14:textId="16D2D14F" w:rsidR="00E134D1" w:rsidRDefault="00E134D1" w:rsidP="00D270A1">
      <w:r>
        <w:t xml:space="preserve">Vaughan, B and </w:t>
      </w:r>
      <w:proofErr w:type="spellStart"/>
      <w:r>
        <w:t>Kilcommins</w:t>
      </w:r>
      <w:proofErr w:type="spellEnd"/>
      <w:r>
        <w:t xml:space="preserve">, S. (2010). The Governance of Crime and the Negotiation of Justice. </w:t>
      </w:r>
      <w:r w:rsidRPr="0082484F">
        <w:rPr>
          <w:i/>
          <w:iCs/>
        </w:rPr>
        <w:t>Criminology and Criminal Justice</w:t>
      </w:r>
      <w:r>
        <w:t>, Vol 10 (1), pp. 59-75.</w:t>
      </w:r>
      <w:r w:rsidR="00A12E5B" w:rsidRPr="00A12E5B">
        <w:t xml:space="preserve"> </w:t>
      </w:r>
      <w:r w:rsidR="00A12E5B">
        <w:t>Accessed: 29</w:t>
      </w:r>
      <w:r w:rsidR="00A12E5B" w:rsidRPr="00A12E5B">
        <w:rPr>
          <w:vertAlign w:val="superscript"/>
        </w:rPr>
        <w:t>th</w:t>
      </w:r>
      <w:r w:rsidR="00A12E5B">
        <w:t xml:space="preserve"> November 2021.</w:t>
      </w:r>
      <w:r>
        <w:t xml:space="preserve"> Doi: 10.1177/1748895809352922</w:t>
      </w:r>
    </w:p>
    <w:p w14:paraId="0E57C5C2" w14:textId="584A5B99" w:rsidR="00F5570C" w:rsidRDefault="00F5570C" w:rsidP="00D270A1"/>
    <w:p w14:paraId="37A8D84C" w14:textId="15A8F265" w:rsidR="00F5570C" w:rsidRPr="00595070" w:rsidRDefault="00F5570C" w:rsidP="00D270A1">
      <w:r>
        <w:t xml:space="preserve">Webster, N, Doggett, L and Gardner, S. (2020). If You Want to Change the World You Have to Start With Yourself: The Impact of Staff Reflective Practice Within the Offender Personality Disorder Pathway. </w:t>
      </w:r>
      <w:r w:rsidRPr="0082484F">
        <w:rPr>
          <w:i/>
          <w:iCs/>
        </w:rPr>
        <w:t>Probation Journal</w:t>
      </w:r>
      <w:r>
        <w:t xml:space="preserve">, Vol 67 (3)&lt; pp. 283-296. </w:t>
      </w:r>
      <w:r w:rsidR="00A12E5B">
        <w:t>Accessed: 28</w:t>
      </w:r>
      <w:r w:rsidR="00A12E5B" w:rsidRPr="00A12E5B">
        <w:rPr>
          <w:vertAlign w:val="superscript"/>
        </w:rPr>
        <w:t>th</w:t>
      </w:r>
      <w:r w:rsidR="00A12E5B">
        <w:t xml:space="preserve"> November 2021. </w:t>
      </w:r>
      <w:r>
        <w:t>Doi: 10.1177/0264550520939180</w:t>
      </w:r>
    </w:p>
    <w:p w14:paraId="6905588A" w14:textId="0D22A849" w:rsidR="00D270A1" w:rsidRDefault="00D270A1" w:rsidP="00D270A1">
      <w:pPr>
        <w:rPr>
          <w:b/>
          <w:bCs/>
        </w:rPr>
      </w:pPr>
    </w:p>
    <w:p w14:paraId="059EBF8E" w14:textId="3627658E" w:rsidR="00D270A1" w:rsidRDefault="00D270A1" w:rsidP="00D270A1">
      <w:pPr>
        <w:rPr>
          <w:b/>
          <w:bCs/>
        </w:rPr>
      </w:pPr>
    </w:p>
    <w:p w14:paraId="206FD08E" w14:textId="7CA09480" w:rsidR="00D270A1" w:rsidRDefault="00D270A1" w:rsidP="00D270A1">
      <w:pPr>
        <w:rPr>
          <w:b/>
          <w:bCs/>
        </w:rPr>
      </w:pPr>
    </w:p>
    <w:p w14:paraId="376DE631" w14:textId="0E24AAAA" w:rsidR="00D270A1" w:rsidRDefault="00D270A1" w:rsidP="00D270A1">
      <w:pPr>
        <w:rPr>
          <w:b/>
          <w:bCs/>
        </w:rPr>
      </w:pPr>
    </w:p>
    <w:p w14:paraId="2FB3EC76" w14:textId="24834741" w:rsidR="00D270A1" w:rsidRDefault="00D270A1" w:rsidP="00D270A1">
      <w:pPr>
        <w:rPr>
          <w:b/>
          <w:bCs/>
        </w:rPr>
      </w:pPr>
    </w:p>
    <w:p w14:paraId="5B516107" w14:textId="5C043045" w:rsidR="00D270A1" w:rsidRDefault="00D270A1" w:rsidP="00D270A1">
      <w:pPr>
        <w:rPr>
          <w:b/>
          <w:bCs/>
        </w:rPr>
      </w:pPr>
    </w:p>
    <w:p w14:paraId="27BCA208" w14:textId="0AA0D404" w:rsidR="00D270A1" w:rsidRDefault="00D270A1" w:rsidP="00D270A1">
      <w:pPr>
        <w:rPr>
          <w:b/>
          <w:bCs/>
        </w:rPr>
      </w:pPr>
    </w:p>
    <w:p w14:paraId="56F25F64" w14:textId="2B42532D" w:rsidR="00D270A1" w:rsidRDefault="00D270A1" w:rsidP="00D270A1">
      <w:pPr>
        <w:rPr>
          <w:b/>
          <w:bCs/>
        </w:rPr>
      </w:pPr>
    </w:p>
    <w:p w14:paraId="2A7DA2A4" w14:textId="30D53762" w:rsidR="00D270A1" w:rsidRDefault="00D270A1" w:rsidP="00D270A1">
      <w:pPr>
        <w:rPr>
          <w:b/>
          <w:bCs/>
        </w:rPr>
      </w:pPr>
    </w:p>
    <w:p w14:paraId="143D7516" w14:textId="77777777" w:rsidR="002F13B1" w:rsidRDefault="002F13B1" w:rsidP="002F13B1">
      <w:pPr>
        <w:rPr>
          <w:b/>
          <w:bCs/>
        </w:rPr>
      </w:pPr>
    </w:p>
    <w:p w14:paraId="0F7D5D5C" w14:textId="2F48BB12" w:rsidR="00DA4DE9" w:rsidRDefault="00DA4DE9" w:rsidP="002F13B1">
      <w:pPr>
        <w:jc w:val="center"/>
        <w:rPr>
          <w:b/>
          <w:bCs/>
          <w:sz w:val="32"/>
          <w:szCs w:val="32"/>
        </w:rPr>
      </w:pPr>
      <w:r>
        <w:rPr>
          <w:b/>
          <w:bCs/>
          <w:sz w:val="32"/>
          <w:szCs w:val="32"/>
        </w:rPr>
        <w:lastRenderedPageBreak/>
        <w:t>Article Review</w:t>
      </w:r>
    </w:p>
    <w:p w14:paraId="6F3E28E8" w14:textId="157D044E" w:rsidR="00074E14" w:rsidRDefault="00DA4DE9" w:rsidP="00D270A1">
      <w:pPr>
        <w:jc w:val="center"/>
        <w:rPr>
          <w:b/>
          <w:bCs/>
          <w:sz w:val="32"/>
          <w:szCs w:val="32"/>
        </w:rPr>
      </w:pPr>
      <w:r w:rsidRPr="004B6EFE">
        <w:rPr>
          <w:b/>
          <w:bCs/>
        </w:rPr>
        <w:t>An Analysis of:</w:t>
      </w:r>
      <w:r>
        <w:t xml:space="preserve"> </w:t>
      </w:r>
      <w:r w:rsidR="00074E14" w:rsidRPr="00DA4DE9">
        <w:rPr>
          <w:i/>
          <w:iCs/>
        </w:rPr>
        <w:t xml:space="preserve">Rethinking How We View Gang Members: An Examination into Affective Behavioural, and Mental Health Predictors of UK Gang-Involved Youth </w:t>
      </w:r>
      <w:r>
        <w:t>by Sarah Frisby-Osman and Jane L. Wood</w:t>
      </w:r>
    </w:p>
    <w:p w14:paraId="7705AD9F" w14:textId="2FE2B535" w:rsidR="00034CF6" w:rsidRDefault="00034CF6" w:rsidP="00D270A1">
      <w:pPr>
        <w:jc w:val="center"/>
        <w:rPr>
          <w:b/>
          <w:bCs/>
          <w:sz w:val="32"/>
          <w:szCs w:val="32"/>
        </w:rPr>
      </w:pPr>
    </w:p>
    <w:p w14:paraId="718AD006" w14:textId="2ED132DB" w:rsidR="00EF4C01" w:rsidRDefault="006F5680" w:rsidP="00EF4C01">
      <w:pPr>
        <w:jc w:val="both"/>
      </w:pPr>
      <w:r w:rsidRPr="009D5D43">
        <w:t xml:space="preserve">In one sense the title of Sarah Frisby-Osman and Jane L. Wood’s article, </w:t>
      </w:r>
      <w:r w:rsidR="00034CF6" w:rsidRPr="009D5D43">
        <w:rPr>
          <w:i/>
          <w:iCs/>
        </w:rPr>
        <w:t>Rethinking How We View Gang Members: An Examination into Affective Behavioural, and Mental Health Predictors of UK Gang-Involved Youth</w:t>
      </w:r>
      <w:r w:rsidRPr="009D5D43">
        <w:t>,</w:t>
      </w:r>
      <w:r>
        <w:t xml:space="preserve"> should come as no surprise at a time when gang violence, particularly perpetrated by youth offenders has risen exponentially, rendering it a key area of academic </w:t>
      </w:r>
      <w:r w:rsidR="00C57A68">
        <w:t xml:space="preserve">investigation </w:t>
      </w:r>
      <w:r>
        <w:t>(</w:t>
      </w:r>
      <w:proofErr w:type="spellStart"/>
      <w:r>
        <w:t>Densley</w:t>
      </w:r>
      <w:proofErr w:type="spellEnd"/>
      <w:r>
        <w:t xml:space="preserve"> et al 2020). </w:t>
      </w:r>
      <w:r w:rsidR="00EF4C01">
        <w:t xml:space="preserve">This renewed interest is acknowledged by the authors, who argue that despite a plethora of research driven by the spike in adolescent gang violence, not enough has been done to investigate the relationship between behavioural, emotional and mental health difficulties and this delinquency (Frisby-Osman and Wood 2020, page 94).  </w:t>
      </w:r>
    </w:p>
    <w:p w14:paraId="7A814622" w14:textId="755B6585" w:rsidR="00EF4C01" w:rsidRDefault="00EF4C01" w:rsidP="009B4A01">
      <w:pPr>
        <w:jc w:val="both"/>
      </w:pPr>
    </w:p>
    <w:p w14:paraId="25A2391E" w14:textId="79998061" w:rsidR="009B4A01" w:rsidRDefault="00760E1F" w:rsidP="009B4A01">
      <w:pPr>
        <w:jc w:val="both"/>
      </w:pPr>
      <w:r>
        <w:t>E</w:t>
      </w:r>
      <w:r w:rsidR="005F46B7">
        <w:t>xamining the integrity of this paper, it is clear t</w:t>
      </w:r>
      <w:r w:rsidR="009B4A01">
        <w:t xml:space="preserve">he authors are well placed to conduct this analysis, for </w:t>
      </w:r>
      <w:r w:rsidR="00A7398D">
        <w:t xml:space="preserve">example </w:t>
      </w:r>
      <w:r w:rsidR="009B4A01">
        <w:t xml:space="preserve">Jane L. Wood has published other key pieces within this field such as </w:t>
      </w:r>
      <w:r w:rsidR="009B4A01" w:rsidRPr="009D5D43">
        <w:rPr>
          <w:i/>
          <w:iCs/>
        </w:rPr>
        <w:t>Gang Members, Gang Affiliates, and Violent Men, Perpetration of Social Harms, Violence Related Beliefs, Victim Types and Locations</w:t>
      </w:r>
      <w:r w:rsidR="009B4A01" w:rsidRPr="009D5D43">
        <w:t xml:space="preserve"> (Wood et al 2020)</w:t>
      </w:r>
      <w:r w:rsidR="005F46B7" w:rsidRPr="009D5D43">
        <w:t>,</w:t>
      </w:r>
      <w:r w:rsidR="005F46B7">
        <w:t xml:space="preserve"> </w:t>
      </w:r>
      <w:r w:rsidR="00A7398D">
        <w:t xml:space="preserve">rendering these scholars </w:t>
      </w:r>
      <w:r w:rsidR="00A7398D" w:rsidRPr="00476011">
        <w:t>credible</w:t>
      </w:r>
      <w:r w:rsidR="00A7398D">
        <w:t xml:space="preserve"> </w:t>
      </w:r>
      <w:r w:rsidR="00EB3C6D">
        <w:t xml:space="preserve">voices </w:t>
      </w:r>
      <w:r w:rsidR="00A7398D">
        <w:t>within the field of Criminolog</w:t>
      </w:r>
      <w:r w:rsidR="00406F56">
        <w:t>y</w:t>
      </w:r>
      <w:r w:rsidR="00A7398D">
        <w:t xml:space="preserve">. </w:t>
      </w:r>
      <w:r w:rsidR="00516FDE" w:rsidRPr="008E51C7">
        <w:t>Upon analysis, it is clear t</w:t>
      </w:r>
      <w:r w:rsidR="00A7398D" w:rsidRPr="008E51C7">
        <w:t xml:space="preserve">he overarching goal within Frisby-Osman and Wood’s paper is to </w:t>
      </w:r>
      <w:r w:rsidR="00FD3FF9" w:rsidRPr="008E51C7">
        <w:t>explore a</w:t>
      </w:r>
      <w:r w:rsidR="00CC2A0B" w:rsidRPr="008E51C7">
        <w:t xml:space="preserve">n </w:t>
      </w:r>
      <w:r w:rsidR="00FD3FF9" w:rsidRPr="008E51C7">
        <w:t xml:space="preserve">under-researched area of gang violence, specifically investigating the relationship between mental health and gang participation in order to offer an insight which may inform </w:t>
      </w:r>
      <w:r w:rsidR="006B315A">
        <w:t xml:space="preserve">how </w:t>
      </w:r>
      <w:r w:rsidR="00FD3FF9" w:rsidRPr="008E51C7">
        <w:t xml:space="preserve">gang membership </w:t>
      </w:r>
      <w:r w:rsidR="006B315A">
        <w:t>can</w:t>
      </w:r>
      <w:r w:rsidR="00FD3FF9" w:rsidRPr="008E51C7">
        <w:t xml:space="preserve"> be tackled</w:t>
      </w:r>
      <w:r w:rsidR="00476011" w:rsidRPr="008E51C7">
        <w:t>.</w:t>
      </w:r>
      <w:r w:rsidR="00476011">
        <w:t xml:space="preserve"> </w:t>
      </w:r>
      <w:r w:rsidR="00FD3FF9">
        <w:t xml:space="preserve">As aforementioned, Frisby-Osman and Wood’s paper may be placed in the context of a </w:t>
      </w:r>
      <w:r w:rsidR="00BC709C">
        <w:t xml:space="preserve">epidemic of gang violence </w:t>
      </w:r>
      <w:r w:rsidR="00406F56">
        <w:t xml:space="preserve">which </w:t>
      </w:r>
      <w:r w:rsidR="00BC709C">
        <w:t xml:space="preserve">has seen both academics and the government seeking to grapple with the </w:t>
      </w:r>
      <w:r w:rsidR="00406F56">
        <w:t xml:space="preserve">issue by analysing elements ranging </w:t>
      </w:r>
      <w:r w:rsidR="00BC709C">
        <w:t>from causation to intervention (</w:t>
      </w:r>
      <w:proofErr w:type="spellStart"/>
      <w:r w:rsidR="00BC709C">
        <w:t>Mallion</w:t>
      </w:r>
      <w:proofErr w:type="spellEnd"/>
      <w:r w:rsidR="00BC709C">
        <w:t xml:space="preserve"> and Wood 2018), demonstrating</w:t>
      </w:r>
      <w:r w:rsidR="00EF31B1">
        <w:t xml:space="preserve"> the importance </w:t>
      </w:r>
      <w:r w:rsidR="00EF31B1" w:rsidRPr="00CC2A0B">
        <w:t>of this research</w:t>
      </w:r>
      <w:r w:rsidR="00406F56" w:rsidRPr="00CC2A0B">
        <w:t>.</w:t>
      </w:r>
      <w:r w:rsidR="00406F56">
        <w:t xml:space="preserve"> </w:t>
      </w:r>
    </w:p>
    <w:p w14:paraId="07CB4F86" w14:textId="77777777" w:rsidR="00AA6B7A" w:rsidRDefault="00AA6B7A" w:rsidP="009B4A01">
      <w:pPr>
        <w:jc w:val="both"/>
      </w:pPr>
    </w:p>
    <w:p w14:paraId="7BD46406" w14:textId="2CC9515E" w:rsidR="00236FDA" w:rsidRDefault="00236FDA" w:rsidP="00236FDA">
      <w:pPr>
        <w:jc w:val="both"/>
      </w:pPr>
      <w:r w:rsidRPr="00236FDA">
        <w:t xml:space="preserve">The study itself begins by </w:t>
      </w:r>
      <w:r w:rsidRPr="00CC2A0B">
        <w:t>asserti</w:t>
      </w:r>
      <w:r w:rsidR="008E51C7">
        <w:t>ng</w:t>
      </w:r>
      <w:r w:rsidRPr="00CC2A0B">
        <w:t xml:space="preserve"> that</w:t>
      </w:r>
      <w:r w:rsidR="009865DB">
        <w:t xml:space="preserve"> in </w:t>
      </w:r>
      <w:r w:rsidRPr="00236FDA">
        <w:t xml:space="preserve">offering a more comprehensive understanding of the relationship between mental health and gang participation, the paper may offer more evidence to assist in the prevention and intervention of youths engaging in gang violence (Frisby-Osman and Wood 2020, page 94). This argument is supported by </w:t>
      </w:r>
      <w:r w:rsidR="008E51C7">
        <w:t xml:space="preserve">the authors </w:t>
      </w:r>
      <w:r w:rsidRPr="00236FDA">
        <w:t xml:space="preserve">empirical research which examines youths at risk of </w:t>
      </w:r>
      <w:r w:rsidRPr="00CC2A0B">
        <w:t>or engaged</w:t>
      </w:r>
      <w:r w:rsidRPr="00236FDA">
        <w:t xml:space="preserve"> in gang activity with a median age of 14.93, seeking to analyse their mental health and the wider behavioural implications of this (Frisby-Osman and Wood 2020, page 99). This empirical research yield</w:t>
      </w:r>
      <w:r w:rsidR="00757250">
        <w:t>s</w:t>
      </w:r>
      <w:r w:rsidRPr="00236FDA">
        <w:t xml:space="preserve"> fascinating results, evidencing that those who were involved in gang activity were more prominently associated with mental health difficulties, exposure to violence and behaviours such as disengagement, supporting the overarching argument within this study (Frisby-Osman and Wood 2020, page 105). However, it is important to note that whilst Frisby-Osman and Wood suggest that exposure to violence may lead to negative mental health consequences which increase </w:t>
      </w:r>
      <w:r w:rsidRPr="008E51C7">
        <w:t>the likelihood</w:t>
      </w:r>
      <w:r w:rsidR="005A333E" w:rsidRPr="008E51C7">
        <w:t xml:space="preserve"> of</w:t>
      </w:r>
      <w:r w:rsidR="005A333E">
        <w:t xml:space="preserve"> gang participation,</w:t>
      </w:r>
      <w:r w:rsidRPr="00236FDA">
        <w:t xml:space="preserve"> they also infer that gang membership itself exacerbates the negative mental health of young members, creating a complex cycle of gang violence and mental instability which fuels violence (Frisby-Osman and Wood 2020, page 96).</w:t>
      </w:r>
      <w:r w:rsidR="008814C1">
        <w:t xml:space="preserve"> </w:t>
      </w:r>
      <w:r w:rsidR="00FE4994">
        <w:t xml:space="preserve">Consequentially, examining </w:t>
      </w:r>
      <w:r w:rsidRPr="00236FDA">
        <w:t xml:space="preserve">the implications of these findings, the authors proceed to argue that a public health-based approach is best-suited to tackle adolescent gang membership, particularly given their findings that mental health has such a </w:t>
      </w:r>
      <w:r w:rsidRPr="00AA6B7A">
        <w:t>direct</w:t>
      </w:r>
      <w:r w:rsidRPr="00236FDA">
        <w:t xml:space="preserve"> impact on youth gang </w:t>
      </w:r>
      <w:r w:rsidRPr="00236FDA">
        <w:lastRenderedPageBreak/>
        <w:t xml:space="preserve">participation and wider literature </w:t>
      </w:r>
      <w:r w:rsidR="005A5A1F">
        <w:t xml:space="preserve">they </w:t>
      </w:r>
      <w:r w:rsidR="007B5636">
        <w:t>outline</w:t>
      </w:r>
      <w:r w:rsidR="009B4F15">
        <w:t xml:space="preserve"> </w:t>
      </w:r>
      <w:r w:rsidRPr="00236FDA">
        <w:t xml:space="preserve">which infers intervention rather than enforcement has a more beneficial impact on young gang members (Frisby-Osman and Wood 2020, page 106). </w:t>
      </w:r>
    </w:p>
    <w:p w14:paraId="0A7002A9" w14:textId="1E0E3E48" w:rsidR="00760E1F" w:rsidRDefault="00760E1F" w:rsidP="009B4A01">
      <w:pPr>
        <w:jc w:val="both"/>
        <w:rPr>
          <w:highlight w:val="yellow"/>
        </w:rPr>
      </w:pPr>
    </w:p>
    <w:p w14:paraId="641CD37F" w14:textId="48A9DDE3" w:rsidR="00D56720" w:rsidRDefault="000E735E" w:rsidP="009B4A01">
      <w:pPr>
        <w:jc w:val="both"/>
      </w:pPr>
      <w:r>
        <w:t xml:space="preserve">Following this synopsis of Frisby-Osman and Wood’s research, it is imperative to </w:t>
      </w:r>
      <w:r w:rsidR="00F979F8">
        <w:t xml:space="preserve">critically analyse this research, particularly given the </w:t>
      </w:r>
      <w:r w:rsidR="00F979F8" w:rsidRPr="00AA6B7A">
        <w:t>significant</w:t>
      </w:r>
      <w:r w:rsidR="00F979F8">
        <w:t xml:space="preserve"> implications it may offer the field of gang studies and wider policy. </w:t>
      </w:r>
      <w:r w:rsidR="00AC6890">
        <w:t xml:space="preserve">When examining the </w:t>
      </w:r>
      <w:r w:rsidR="00AC6890" w:rsidRPr="00AA6B7A">
        <w:t>primary</w:t>
      </w:r>
      <w:r w:rsidR="00AC6890">
        <w:t xml:space="preserve"> claim within this study </w:t>
      </w:r>
      <w:r w:rsidR="004701DE">
        <w:t xml:space="preserve">linking </w:t>
      </w:r>
      <w:r w:rsidR="00AC6890">
        <w:t>mental health</w:t>
      </w:r>
      <w:r w:rsidR="00F133BA">
        <w:t>, exposure to violence and behavioural issues</w:t>
      </w:r>
      <w:r w:rsidR="00AC6890">
        <w:t xml:space="preserve"> </w:t>
      </w:r>
      <w:r w:rsidR="004701DE">
        <w:t xml:space="preserve">with </w:t>
      </w:r>
      <w:r w:rsidR="00AC6890">
        <w:t xml:space="preserve">gang participation among youths, </w:t>
      </w:r>
      <w:r w:rsidR="00F133BA">
        <w:t xml:space="preserve">there is evidence to anchor this overarching claim. For example, Wolff et al (2020) have conducted research exploring gang recidivism among </w:t>
      </w:r>
      <w:r w:rsidR="004701DE">
        <w:t xml:space="preserve">adolescents </w:t>
      </w:r>
      <w:r w:rsidR="00F133BA">
        <w:t>and found that there was a correlation between gang participation and an increased likelihood of mental health issues, behavioural challenges, exposure to violence and violent victimisation</w:t>
      </w:r>
      <w:r w:rsidR="00760E1F">
        <w:t>.</w:t>
      </w:r>
      <w:r w:rsidR="009865DB">
        <w:t xml:space="preserve"> </w:t>
      </w:r>
      <w:r w:rsidR="007F05D9">
        <w:t>Furthermore</w:t>
      </w:r>
      <w:r w:rsidR="00B97FA3">
        <w:t xml:space="preserve">, </w:t>
      </w:r>
      <w:r w:rsidR="001127BE">
        <w:t xml:space="preserve">Watkins and </w:t>
      </w:r>
      <w:proofErr w:type="spellStart"/>
      <w:r w:rsidR="001127BE">
        <w:t>Melde</w:t>
      </w:r>
      <w:proofErr w:type="spellEnd"/>
      <w:r w:rsidR="001127BE">
        <w:t xml:space="preserve"> (2016) have produced research which upholds this link, finding </w:t>
      </w:r>
      <w:r w:rsidR="009865DB">
        <w:t>substantive</w:t>
      </w:r>
      <w:r w:rsidR="001127BE">
        <w:t xml:space="preserve"> evidence that gang membership among </w:t>
      </w:r>
      <w:r w:rsidR="001127BE" w:rsidRPr="00837360">
        <w:t>youth</w:t>
      </w:r>
      <w:r w:rsidR="00837360" w:rsidRPr="00837360">
        <w:t>s</w:t>
      </w:r>
      <w:r w:rsidR="001127BE">
        <w:t xml:space="preserve"> is underpinned by complex mental health challenges such as depression, exposure to violence and </w:t>
      </w:r>
      <w:r w:rsidR="001A4A82">
        <w:t xml:space="preserve">the inability to process negative emotions leading </w:t>
      </w:r>
      <w:r w:rsidR="007D611D">
        <w:t xml:space="preserve">to </w:t>
      </w:r>
      <w:r w:rsidR="001A4A82">
        <w:t>behaviours such as violence and victimisation</w:t>
      </w:r>
      <w:r w:rsidR="00D56720">
        <w:t>,</w:t>
      </w:r>
      <w:r w:rsidR="000C408B">
        <w:t xml:space="preserve">. This places </w:t>
      </w:r>
      <w:r w:rsidR="00D56720">
        <w:t>the authors study in a field of growing literature which anchors their findings</w:t>
      </w:r>
      <w:r w:rsidR="000C408B">
        <w:t>, reinforcing the link between this form of delinquency and the nuanced factors at its root.</w:t>
      </w:r>
    </w:p>
    <w:p w14:paraId="042D871D" w14:textId="77777777" w:rsidR="00D56720" w:rsidRDefault="00D56720" w:rsidP="009B4A01">
      <w:pPr>
        <w:jc w:val="both"/>
      </w:pPr>
    </w:p>
    <w:p w14:paraId="258FB4E1" w14:textId="69E4C19B" w:rsidR="00852A5F" w:rsidRDefault="00852A5F" w:rsidP="009B4A01">
      <w:pPr>
        <w:jc w:val="both"/>
      </w:pPr>
      <w:r>
        <w:t xml:space="preserve">There is also clear </w:t>
      </w:r>
      <w:r w:rsidR="004D4297">
        <w:t xml:space="preserve">evidence </w:t>
      </w:r>
      <w:r>
        <w:t>to anchor Frisby-Osman and Wood’s assertion that youth gang membership driven by mental health difficulties exacerbate</w:t>
      </w:r>
      <w:r w:rsidR="00B1481F">
        <w:t>s</w:t>
      </w:r>
      <w:r>
        <w:t xml:space="preserve"> these challenges, for instance Connolly and Jackson (2019) </w:t>
      </w:r>
      <w:r w:rsidR="00E86D1E">
        <w:t xml:space="preserve">support </w:t>
      </w:r>
      <w:r>
        <w:t xml:space="preserve">this claim, </w:t>
      </w:r>
      <w:r w:rsidR="00E86D1E">
        <w:t xml:space="preserve">proposing </w:t>
      </w:r>
      <w:r>
        <w:t xml:space="preserve">that adolescent gang members were more likely to experience suicidal thoughts, seek mental health assistance and experience negative mental health outcomes. </w:t>
      </w:r>
      <w:r w:rsidR="00DF529D">
        <w:t xml:space="preserve">This key assertion is </w:t>
      </w:r>
      <w:r w:rsidR="00E86D1E">
        <w:t xml:space="preserve">echoed </w:t>
      </w:r>
      <w:r w:rsidR="00DF529D">
        <w:t xml:space="preserve">broadly within the </w:t>
      </w:r>
      <w:r w:rsidR="00DF529D" w:rsidRPr="00AA6B7A">
        <w:t>academic field, for</w:t>
      </w:r>
      <w:r w:rsidR="00DF529D">
        <w:t xml:space="preserve"> example </w:t>
      </w:r>
      <w:proofErr w:type="spellStart"/>
      <w:r w:rsidR="00DF529D">
        <w:t>Kerig</w:t>
      </w:r>
      <w:proofErr w:type="spellEnd"/>
      <w:r w:rsidR="00DF529D">
        <w:t xml:space="preserve"> et al (2015) have also </w:t>
      </w:r>
      <w:r w:rsidR="00E86D1E">
        <w:t xml:space="preserve">suggested </w:t>
      </w:r>
      <w:r w:rsidR="00DF529D">
        <w:t xml:space="preserve">that trauma ranging from mental health ailments to exposure to violence are drivers of delinquency, specifically gang participation, and that this participation also produces and compounds these issues, creating a cycle of </w:t>
      </w:r>
      <w:r w:rsidR="00E86D1E">
        <w:t xml:space="preserve">criminality. </w:t>
      </w:r>
      <w:r w:rsidR="00DF529D">
        <w:t xml:space="preserve">Therefore, it is evident that Frisby-Osman and Wood’s line of argument is not solely the product of their own study but </w:t>
      </w:r>
      <w:r w:rsidR="00E86D1E">
        <w:t xml:space="preserve">rooted in a </w:t>
      </w:r>
      <w:r w:rsidR="00DF529D" w:rsidRPr="00E86D1E">
        <w:t>field</w:t>
      </w:r>
      <w:r w:rsidR="00DF529D">
        <w:t xml:space="preserve"> of literature</w:t>
      </w:r>
      <w:r w:rsidR="00EE17DA">
        <w:t xml:space="preserve"> which bolsters their claims. </w:t>
      </w:r>
    </w:p>
    <w:p w14:paraId="5D3A970E" w14:textId="77777777" w:rsidR="00320C92" w:rsidRDefault="00320C92" w:rsidP="009B4A01">
      <w:pPr>
        <w:jc w:val="both"/>
      </w:pPr>
    </w:p>
    <w:p w14:paraId="6C1A1A45" w14:textId="2BC1D92A" w:rsidR="00561F33" w:rsidRDefault="00561F33" w:rsidP="009B4A01">
      <w:pPr>
        <w:jc w:val="both"/>
      </w:pPr>
      <w:r>
        <w:t xml:space="preserve">However, </w:t>
      </w:r>
      <w:r w:rsidR="002450AE">
        <w:t xml:space="preserve">whilst </w:t>
      </w:r>
      <w:r w:rsidR="00760E1F">
        <w:t xml:space="preserve">the </w:t>
      </w:r>
      <w:r w:rsidR="002450AE">
        <w:t>study</w:t>
      </w:r>
      <w:r>
        <w:t xml:space="preserve"> is rooted in the push for a public health approach, seeking to perpetuate a policy focused on prevention and intervention</w:t>
      </w:r>
      <w:r w:rsidR="002450AE">
        <w:t>, there are issues with this approach. For example,</w:t>
      </w:r>
      <w:r>
        <w:t xml:space="preserve"> </w:t>
      </w:r>
      <w:r w:rsidR="00B6699C">
        <w:t xml:space="preserve">empirical </w:t>
      </w:r>
      <w:r w:rsidR="00C15D48">
        <w:t xml:space="preserve">research examining gang-disengagement has argued that desistance from gang membership is not </w:t>
      </w:r>
      <w:r w:rsidR="00B6699C">
        <w:t>solely driven by a public health approach</w:t>
      </w:r>
      <w:r w:rsidR="00760E1F">
        <w:t>, r</w:t>
      </w:r>
      <w:r w:rsidR="00B6699C">
        <w:t>ather elements of this approach interwoven with criminal justice sanctions and the threat of punishment (Kelly and Ward 2020).</w:t>
      </w:r>
      <w:r w:rsidR="00CC2A0B">
        <w:t xml:space="preserve"> </w:t>
      </w:r>
      <w:r w:rsidR="00B27413">
        <w:t xml:space="preserve">This suggests that the key solution to youth gang participation encouraged by Frisby-Osman and Wood within their study may be </w:t>
      </w:r>
      <w:r w:rsidR="00B27413" w:rsidRPr="00AA6B7A">
        <w:t xml:space="preserve">too </w:t>
      </w:r>
      <w:r w:rsidR="00AA6B7A">
        <w:t xml:space="preserve">simplistic </w:t>
      </w:r>
      <w:r w:rsidR="00B27413">
        <w:t xml:space="preserve">to remedy the </w:t>
      </w:r>
      <w:r w:rsidR="00B27413" w:rsidRPr="00AA6B7A">
        <w:t>complex</w:t>
      </w:r>
      <w:r w:rsidR="00B27413">
        <w:t xml:space="preserve"> factors which drive adolescents to engage in gangs, inferring that a more nuanced approach interweaving public health and criminal justice initiatives may </w:t>
      </w:r>
      <w:r w:rsidR="00BD4013">
        <w:t xml:space="preserve">be more effective. </w:t>
      </w:r>
    </w:p>
    <w:p w14:paraId="4F31D4D6" w14:textId="45BEE6F7" w:rsidR="006E14AE" w:rsidRDefault="006E14AE" w:rsidP="009B4A01">
      <w:pPr>
        <w:jc w:val="both"/>
      </w:pPr>
    </w:p>
    <w:p w14:paraId="47AF67AC" w14:textId="6A504EBF" w:rsidR="006E14AE" w:rsidRDefault="006E14AE" w:rsidP="009B4A01">
      <w:pPr>
        <w:jc w:val="both"/>
      </w:pPr>
      <w:r>
        <w:t>In conclusion it is clear that this study has a key role in the evolving body of literature seeking to tackle the growth of adolescent gang violence, offering a rich source of knowledge for both policy makers and scholars. Whilst the study itself builds on a breadth of academic literature examining the root causes of this delinquency, it is too heavily rooted in the notion that a public health approach will offer a silver-bullet remedy to these issues.</w:t>
      </w:r>
      <w:r w:rsidRPr="006E14AE">
        <w:t xml:space="preserve"> </w:t>
      </w:r>
      <w:r>
        <w:t xml:space="preserve">Therefore whilst this </w:t>
      </w:r>
      <w:r>
        <w:lastRenderedPageBreak/>
        <w:t xml:space="preserve">study has key contributions to offer those seeking to stem this flow of gang participation, more must be done to examine the vast range of solutions available to tackle this issue in order </w:t>
      </w:r>
      <w:r w:rsidR="00C105BE">
        <w:t xml:space="preserve">to </w:t>
      </w:r>
      <w:r>
        <w:t xml:space="preserve">find definitive solutions rather than temporary remedies. </w:t>
      </w:r>
    </w:p>
    <w:p w14:paraId="2AC7BAFE" w14:textId="77777777" w:rsidR="00224AB8" w:rsidRDefault="00224AB8" w:rsidP="009B4A01">
      <w:pPr>
        <w:jc w:val="both"/>
      </w:pPr>
    </w:p>
    <w:p w14:paraId="057C1810" w14:textId="589978DD" w:rsidR="001659D2" w:rsidRDefault="001659D2" w:rsidP="00034CF6">
      <w:pPr>
        <w:rPr>
          <w:b/>
          <w:bCs/>
        </w:rPr>
      </w:pPr>
      <w:r>
        <w:rPr>
          <w:b/>
          <w:bCs/>
        </w:rPr>
        <w:t xml:space="preserve">Word Count: </w:t>
      </w:r>
      <w:r w:rsidR="002459DF">
        <w:rPr>
          <w:b/>
          <w:bCs/>
        </w:rPr>
        <w:t>1</w:t>
      </w:r>
      <w:r w:rsidR="00EF4C01">
        <w:rPr>
          <w:b/>
          <w:bCs/>
        </w:rPr>
        <w:t>1</w:t>
      </w:r>
      <w:r w:rsidR="00320C92">
        <w:rPr>
          <w:b/>
          <w:bCs/>
        </w:rPr>
        <w:t>0</w:t>
      </w:r>
      <w:r w:rsidR="006B315A">
        <w:rPr>
          <w:b/>
          <w:bCs/>
        </w:rPr>
        <w:t>0</w:t>
      </w:r>
    </w:p>
    <w:p w14:paraId="2D378F1C" w14:textId="4779FBB7" w:rsidR="00034CF6" w:rsidRDefault="00034CF6" w:rsidP="00034CF6">
      <w:pPr>
        <w:rPr>
          <w:b/>
          <w:bCs/>
        </w:rPr>
      </w:pPr>
    </w:p>
    <w:p w14:paraId="2DBA6D74" w14:textId="6405CA0A" w:rsidR="00034CF6" w:rsidRDefault="00034CF6" w:rsidP="00361D15">
      <w:pPr>
        <w:jc w:val="center"/>
        <w:rPr>
          <w:b/>
          <w:bCs/>
        </w:rPr>
      </w:pPr>
    </w:p>
    <w:p w14:paraId="79A6823A" w14:textId="77777777" w:rsidR="004B6EFE" w:rsidRDefault="004B6EFE" w:rsidP="00361D15">
      <w:pPr>
        <w:jc w:val="center"/>
        <w:rPr>
          <w:b/>
          <w:bCs/>
        </w:rPr>
      </w:pPr>
    </w:p>
    <w:p w14:paraId="19E64EE7" w14:textId="77777777" w:rsidR="004B6EFE" w:rsidRDefault="004B6EFE" w:rsidP="00361D15">
      <w:pPr>
        <w:jc w:val="center"/>
        <w:rPr>
          <w:b/>
          <w:bCs/>
        </w:rPr>
      </w:pPr>
    </w:p>
    <w:p w14:paraId="1017C6BD" w14:textId="77777777" w:rsidR="004B6EFE" w:rsidRDefault="004B6EFE" w:rsidP="00361D15">
      <w:pPr>
        <w:jc w:val="center"/>
        <w:rPr>
          <w:b/>
          <w:bCs/>
        </w:rPr>
      </w:pPr>
    </w:p>
    <w:p w14:paraId="7A598D03" w14:textId="77777777" w:rsidR="004B6EFE" w:rsidRDefault="004B6EFE" w:rsidP="00361D15">
      <w:pPr>
        <w:jc w:val="center"/>
        <w:rPr>
          <w:b/>
          <w:bCs/>
        </w:rPr>
      </w:pPr>
    </w:p>
    <w:p w14:paraId="4DB213C9" w14:textId="77777777" w:rsidR="004B6EFE" w:rsidRDefault="004B6EFE" w:rsidP="00361D15">
      <w:pPr>
        <w:jc w:val="center"/>
        <w:rPr>
          <w:b/>
          <w:bCs/>
        </w:rPr>
      </w:pPr>
    </w:p>
    <w:p w14:paraId="032C4D2C" w14:textId="77777777" w:rsidR="004B6EFE" w:rsidRDefault="004B6EFE" w:rsidP="00361D15">
      <w:pPr>
        <w:jc w:val="center"/>
        <w:rPr>
          <w:b/>
          <w:bCs/>
        </w:rPr>
      </w:pPr>
    </w:p>
    <w:p w14:paraId="733A9C2B" w14:textId="77777777" w:rsidR="004B6EFE" w:rsidRDefault="004B6EFE" w:rsidP="00361D15">
      <w:pPr>
        <w:jc w:val="center"/>
        <w:rPr>
          <w:b/>
          <w:bCs/>
        </w:rPr>
      </w:pPr>
    </w:p>
    <w:p w14:paraId="75C5BE4F" w14:textId="77777777" w:rsidR="004B6EFE" w:rsidRDefault="004B6EFE" w:rsidP="00361D15">
      <w:pPr>
        <w:jc w:val="center"/>
        <w:rPr>
          <w:b/>
          <w:bCs/>
        </w:rPr>
      </w:pPr>
    </w:p>
    <w:p w14:paraId="5BF42AE8" w14:textId="77777777" w:rsidR="004B6EFE" w:rsidRDefault="004B6EFE" w:rsidP="00361D15">
      <w:pPr>
        <w:jc w:val="center"/>
        <w:rPr>
          <w:b/>
          <w:bCs/>
        </w:rPr>
      </w:pPr>
    </w:p>
    <w:p w14:paraId="59496E44" w14:textId="77777777" w:rsidR="004B6EFE" w:rsidRDefault="004B6EFE" w:rsidP="00361D15">
      <w:pPr>
        <w:jc w:val="center"/>
        <w:rPr>
          <w:b/>
          <w:bCs/>
        </w:rPr>
      </w:pPr>
    </w:p>
    <w:p w14:paraId="4565D1CA" w14:textId="77777777" w:rsidR="004B6EFE" w:rsidRDefault="004B6EFE" w:rsidP="00361D15">
      <w:pPr>
        <w:jc w:val="center"/>
        <w:rPr>
          <w:b/>
          <w:bCs/>
        </w:rPr>
      </w:pPr>
    </w:p>
    <w:p w14:paraId="7A60984E" w14:textId="77777777" w:rsidR="004B6EFE" w:rsidRDefault="004B6EFE" w:rsidP="00361D15">
      <w:pPr>
        <w:jc w:val="center"/>
        <w:rPr>
          <w:b/>
          <w:bCs/>
        </w:rPr>
      </w:pPr>
    </w:p>
    <w:p w14:paraId="678E72D0" w14:textId="77777777" w:rsidR="004B6EFE" w:rsidRDefault="004B6EFE" w:rsidP="00361D15">
      <w:pPr>
        <w:jc w:val="center"/>
        <w:rPr>
          <w:b/>
          <w:bCs/>
        </w:rPr>
      </w:pPr>
    </w:p>
    <w:p w14:paraId="0EA4FCDF" w14:textId="77777777" w:rsidR="004B6EFE" w:rsidRDefault="004B6EFE" w:rsidP="00361D15">
      <w:pPr>
        <w:jc w:val="center"/>
        <w:rPr>
          <w:b/>
          <w:bCs/>
        </w:rPr>
      </w:pPr>
    </w:p>
    <w:p w14:paraId="2599A732" w14:textId="77777777" w:rsidR="004B6EFE" w:rsidRDefault="004B6EFE" w:rsidP="00361D15">
      <w:pPr>
        <w:jc w:val="center"/>
        <w:rPr>
          <w:b/>
          <w:bCs/>
        </w:rPr>
      </w:pPr>
    </w:p>
    <w:p w14:paraId="0231546A" w14:textId="77777777" w:rsidR="004B6EFE" w:rsidRDefault="004B6EFE" w:rsidP="00361D15">
      <w:pPr>
        <w:jc w:val="center"/>
        <w:rPr>
          <w:b/>
          <w:bCs/>
        </w:rPr>
      </w:pPr>
    </w:p>
    <w:p w14:paraId="02A28807" w14:textId="77777777" w:rsidR="004B6EFE" w:rsidRDefault="004B6EFE" w:rsidP="00361D15">
      <w:pPr>
        <w:jc w:val="center"/>
        <w:rPr>
          <w:b/>
          <w:bCs/>
        </w:rPr>
      </w:pPr>
    </w:p>
    <w:p w14:paraId="00326946" w14:textId="77777777" w:rsidR="004B6EFE" w:rsidRDefault="004B6EFE" w:rsidP="00361D15">
      <w:pPr>
        <w:jc w:val="center"/>
        <w:rPr>
          <w:b/>
          <w:bCs/>
        </w:rPr>
      </w:pPr>
    </w:p>
    <w:p w14:paraId="18122B43" w14:textId="77777777" w:rsidR="004B6EFE" w:rsidRDefault="004B6EFE" w:rsidP="00361D15">
      <w:pPr>
        <w:jc w:val="center"/>
        <w:rPr>
          <w:b/>
          <w:bCs/>
        </w:rPr>
      </w:pPr>
    </w:p>
    <w:p w14:paraId="38CFE078" w14:textId="77777777" w:rsidR="004B6EFE" w:rsidRDefault="004B6EFE" w:rsidP="00361D15">
      <w:pPr>
        <w:jc w:val="center"/>
        <w:rPr>
          <w:b/>
          <w:bCs/>
        </w:rPr>
      </w:pPr>
    </w:p>
    <w:p w14:paraId="392FFB68" w14:textId="77777777" w:rsidR="004B6EFE" w:rsidRDefault="004B6EFE" w:rsidP="00361D15">
      <w:pPr>
        <w:jc w:val="center"/>
        <w:rPr>
          <w:b/>
          <w:bCs/>
        </w:rPr>
      </w:pPr>
    </w:p>
    <w:p w14:paraId="444FF28C" w14:textId="77777777" w:rsidR="004B6EFE" w:rsidRDefault="004B6EFE" w:rsidP="00361D15">
      <w:pPr>
        <w:jc w:val="center"/>
        <w:rPr>
          <w:b/>
          <w:bCs/>
        </w:rPr>
      </w:pPr>
    </w:p>
    <w:p w14:paraId="31C05D05" w14:textId="77777777" w:rsidR="004B6EFE" w:rsidRDefault="004B6EFE" w:rsidP="00361D15">
      <w:pPr>
        <w:jc w:val="center"/>
        <w:rPr>
          <w:b/>
          <w:bCs/>
        </w:rPr>
      </w:pPr>
    </w:p>
    <w:p w14:paraId="68767B9E" w14:textId="77777777" w:rsidR="004B6EFE" w:rsidRDefault="004B6EFE" w:rsidP="00361D15">
      <w:pPr>
        <w:jc w:val="center"/>
        <w:rPr>
          <w:b/>
          <w:bCs/>
        </w:rPr>
      </w:pPr>
    </w:p>
    <w:p w14:paraId="2BEED223" w14:textId="77777777" w:rsidR="004B6EFE" w:rsidRDefault="004B6EFE" w:rsidP="00361D15">
      <w:pPr>
        <w:jc w:val="center"/>
        <w:rPr>
          <w:b/>
          <w:bCs/>
        </w:rPr>
      </w:pPr>
    </w:p>
    <w:p w14:paraId="1A7919CD" w14:textId="77777777" w:rsidR="004B6EFE" w:rsidRDefault="004B6EFE" w:rsidP="00361D15">
      <w:pPr>
        <w:jc w:val="center"/>
        <w:rPr>
          <w:b/>
          <w:bCs/>
        </w:rPr>
      </w:pPr>
    </w:p>
    <w:p w14:paraId="4362BBF3" w14:textId="77777777" w:rsidR="004B6EFE" w:rsidRDefault="004B6EFE" w:rsidP="00361D15">
      <w:pPr>
        <w:jc w:val="center"/>
        <w:rPr>
          <w:b/>
          <w:bCs/>
        </w:rPr>
      </w:pPr>
    </w:p>
    <w:p w14:paraId="1D919859" w14:textId="77777777" w:rsidR="004B6EFE" w:rsidRDefault="004B6EFE" w:rsidP="00361D15">
      <w:pPr>
        <w:jc w:val="center"/>
        <w:rPr>
          <w:b/>
          <w:bCs/>
        </w:rPr>
      </w:pPr>
    </w:p>
    <w:p w14:paraId="7122C9F8" w14:textId="77777777" w:rsidR="004B6EFE" w:rsidRDefault="004B6EFE" w:rsidP="00361D15">
      <w:pPr>
        <w:jc w:val="center"/>
        <w:rPr>
          <w:b/>
          <w:bCs/>
        </w:rPr>
      </w:pPr>
    </w:p>
    <w:p w14:paraId="63967E27" w14:textId="77777777" w:rsidR="004B6EFE" w:rsidRDefault="004B6EFE" w:rsidP="00361D15">
      <w:pPr>
        <w:jc w:val="center"/>
        <w:rPr>
          <w:b/>
          <w:bCs/>
        </w:rPr>
      </w:pPr>
    </w:p>
    <w:p w14:paraId="0A609DA1" w14:textId="77777777" w:rsidR="004B6EFE" w:rsidRDefault="004B6EFE" w:rsidP="00361D15">
      <w:pPr>
        <w:jc w:val="center"/>
        <w:rPr>
          <w:b/>
          <w:bCs/>
        </w:rPr>
      </w:pPr>
    </w:p>
    <w:p w14:paraId="0AAEACA8" w14:textId="77777777" w:rsidR="004B6EFE" w:rsidRDefault="004B6EFE" w:rsidP="00361D15">
      <w:pPr>
        <w:jc w:val="center"/>
        <w:rPr>
          <w:b/>
          <w:bCs/>
        </w:rPr>
      </w:pPr>
    </w:p>
    <w:p w14:paraId="452F42C9" w14:textId="77777777" w:rsidR="004B6EFE" w:rsidRDefault="004B6EFE" w:rsidP="00361D15">
      <w:pPr>
        <w:jc w:val="center"/>
        <w:rPr>
          <w:b/>
          <w:bCs/>
        </w:rPr>
      </w:pPr>
    </w:p>
    <w:p w14:paraId="4C3E2CD0" w14:textId="77777777" w:rsidR="004B6EFE" w:rsidRDefault="004B6EFE" w:rsidP="00361D15">
      <w:pPr>
        <w:jc w:val="center"/>
        <w:rPr>
          <w:b/>
          <w:bCs/>
        </w:rPr>
      </w:pPr>
    </w:p>
    <w:p w14:paraId="19C5C25C" w14:textId="77777777" w:rsidR="004B6EFE" w:rsidRDefault="004B6EFE" w:rsidP="00361D15">
      <w:pPr>
        <w:jc w:val="center"/>
        <w:rPr>
          <w:b/>
          <w:bCs/>
        </w:rPr>
      </w:pPr>
    </w:p>
    <w:p w14:paraId="5FC663EB" w14:textId="77777777" w:rsidR="004B6EFE" w:rsidRDefault="004B6EFE" w:rsidP="00361D15">
      <w:pPr>
        <w:jc w:val="center"/>
        <w:rPr>
          <w:b/>
          <w:bCs/>
        </w:rPr>
      </w:pPr>
    </w:p>
    <w:p w14:paraId="28BA4573" w14:textId="77777777" w:rsidR="004B6EFE" w:rsidRDefault="004B6EFE" w:rsidP="00361D15">
      <w:pPr>
        <w:jc w:val="center"/>
        <w:rPr>
          <w:b/>
          <w:bCs/>
        </w:rPr>
      </w:pPr>
    </w:p>
    <w:p w14:paraId="63EBC964" w14:textId="77777777" w:rsidR="004B6EFE" w:rsidRDefault="004B6EFE" w:rsidP="00361D15">
      <w:pPr>
        <w:jc w:val="center"/>
        <w:rPr>
          <w:b/>
          <w:bCs/>
        </w:rPr>
      </w:pPr>
    </w:p>
    <w:p w14:paraId="551C5F90" w14:textId="77777777" w:rsidR="00155F8B" w:rsidRDefault="00155F8B" w:rsidP="00361D15">
      <w:pPr>
        <w:jc w:val="center"/>
        <w:rPr>
          <w:b/>
          <w:bCs/>
        </w:rPr>
      </w:pPr>
    </w:p>
    <w:p w14:paraId="398034C5" w14:textId="77777777" w:rsidR="00155F8B" w:rsidRDefault="00155F8B" w:rsidP="00361D15">
      <w:pPr>
        <w:jc w:val="center"/>
        <w:rPr>
          <w:b/>
          <w:bCs/>
        </w:rPr>
      </w:pPr>
    </w:p>
    <w:p w14:paraId="4609BEE6" w14:textId="3C8AF25A" w:rsidR="00034CF6" w:rsidRDefault="00034CF6" w:rsidP="00361D15">
      <w:pPr>
        <w:jc w:val="center"/>
        <w:rPr>
          <w:b/>
          <w:bCs/>
        </w:rPr>
      </w:pPr>
      <w:r>
        <w:rPr>
          <w:b/>
          <w:bCs/>
        </w:rPr>
        <w:lastRenderedPageBreak/>
        <w:t>Reference</w:t>
      </w:r>
      <w:r w:rsidR="004766BD">
        <w:rPr>
          <w:b/>
          <w:bCs/>
        </w:rPr>
        <w:t>s</w:t>
      </w:r>
    </w:p>
    <w:p w14:paraId="7CD6E125" w14:textId="73647D48" w:rsidR="00034CF6" w:rsidRDefault="00034CF6" w:rsidP="00034CF6">
      <w:pPr>
        <w:rPr>
          <w:b/>
          <w:bCs/>
        </w:rPr>
      </w:pPr>
    </w:p>
    <w:p w14:paraId="7127396D" w14:textId="6F319631" w:rsidR="00852A5F" w:rsidRPr="00852A5F" w:rsidRDefault="00852A5F" w:rsidP="00034CF6">
      <w:r w:rsidRPr="00852A5F">
        <w:t xml:space="preserve">Connolly, </w:t>
      </w:r>
      <w:r>
        <w:t xml:space="preserve">E and Jackson, D. (2019). Adolescent Gang Membership and Adverse Behavioural, Mental Health, and Physical Health Outcomes in Young Adulthood: A Within-Family Analysis. </w:t>
      </w:r>
      <w:r w:rsidRPr="00B6699C">
        <w:rPr>
          <w:i/>
          <w:iCs/>
        </w:rPr>
        <w:t>Criminal Justice and Behaviour</w:t>
      </w:r>
      <w:r>
        <w:t xml:space="preserve">, Vol 46 (11), pp. 1566-1586. </w:t>
      </w:r>
      <w:r w:rsidR="00A12E5B">
        <w:t>Accessed: 22</w:t>
      </w:r>
      <w:r w:rsidR="00A12E5B" w:rsidRPr="00A12E5B">
        <w:rPr>
          <w:vertAlign w:val="superscript"/>
        </w:rPr>
        <w:t>nd</w:t>
      </w:r>
      <w:r w:rsidR="00A12E5B">
        <w:t xml:space="preserve"> November 2021. </w:t>
      </w:r>
      <w:r>
        <w:t>Doi: 10.1177/00938</w:t>
      </w:r>
      <w:r w:rsidR="00C72D33">
        <w:t>54819871076</w:t>
      </w:r>
    </w:p>
    <w:p w14:paraId="095F701D" w14:textId="77777777" w:rsidR="00852A5F" w:rsidRDefault="00852A5F" w:rsidP="00034CF6">
      <w:pPr>
        <w:rPr>
          <w:b/>
          <w:bCs/>
        </w:rPr>
      </w:pPr>
    </w:p>
    <w:p w14:paraId="3B4BDD30" w14:textId="0C9A8160" w:rsidR="00034CF6" w:rsidRPr="006F5680" w:rsidRDefault="006F5680" w:rsidP="00034CF6">
      <w:proofErr w:type="spellStart"/>
      <w:r w:rsidRPr="006F5680">
        <w:t>Densley</w:t>
      </w:r>
      <w:proofErr w:type="spellEnd"/>
      <w:r w:rsidRPr="006F5680">
        <w:t xml:space="preserve">, J, </w:t>
      </w:r>
      <w:proofErr w:type="spellStart"/>
      <w:r w:rsidRPr="006F5680">
        <w:t>Deuchar</w:t>
      </w:r>
      <w:proofErr w:type="spellEnd"/>
      <w:r w:rsidRPr="006F5680">
        <w:t xml:space="preserve">, R and Harding, S. (2020). An Introduction to Gangs and Serious Youth Violence in the United Kingdom. </w:t>
      </w:r>
      <w:r w:rsidRPr="00B6699C">
        <w:rPr>
          <w:i/>
          <w:iCs/>
        </w:rPr>
        <w:t>Youth Justice</w:t>
      </w:r>
      <w:r w:rsidRPr="006F5680">
        <w:t xml:space="preserve">, Vol 20 (1-2), pp. 3-10. </w:t>
      </w:r>
      <w:r w:rsidR="00A12E5B">
        <w:t>Accessed: 25</w:t>
      </w:r>
      <w:r w:rsidR="00A12E5B" w:rsidRPr="00A12E5B">
        <w:rPr>
          <w:vertAlign w:val="superscript"/>
        </w:rPr>
        <w:t>th</w:t>
      </w:r>
      <w:r w:rsidR="00A12E5B">
        <w:t xml:space="preserve"> November 2021. </w:t>
      </w:r>
      <w:r w:rsidRPr="006F5680">
        <w:t>Doi: 10.1177/1473225420902848</w:t>
      </w:r>
    </w:p>
    <w:p w14:paraId="3143BF28" w14:textId="77777777" w:rsidR="009B4A01" w:rsidRDefault="009B4A01" w:rsidP="00034CF6"/>
    <w:p w14:paraId="5BBB7BFE" w14:textId="291C142B" w:rsidR="00034CF6" w:rsidRDefault="00034CF6" w:rsidP="00034CF6">
      <w:r w:rsidRPr="00034CF6">
        <w:t xml:space="preserve">Frisby-Osman, S and Wood, J. (2020). Rethinking How We View Gang Members: An Examination into Affective Behavioural, and Mental Health Predictors of UK Gang-Involved Youth. </w:t>
      </w:r>
      <w:r w:rsidRPr="00B6699C">
        <w:rPr>
          <w:i/>
          <w:iCs/>
        </w:rPr>
        <w:t>Youth Justice</w:t>
      </w:r>
      <w:r w:rsidRPr="00034CF6">
        <w:t xml:space="preserve">, Vol 20 (1-2), pp. 93-112. </w:t>
      </w:r>
      <w:r w:rsidR="00A12E5B">
        <w:t>Accessed: 28</w:t>
      </w:r>
      <w:r w:rsidR="00A12E5B" w:rsidRPr="00A12E5B">
        <w:rPr>
          <w:vertAlign w:val="superscript"/>
        </w:rPr>
        <w:t>th</w:t>
      </w:r>
      <w:r w:rsidR="00A12E5B">
        <w:t xml:space="preserve"> November 2021. </w:t>
      </w:r>
      <w:r w:rsidRPr="00034CF6">
        <w:t>Doi: 10.1177/1473225419893779</w:t>
      </w:r>
    </w:p>
    <w:p w14:paraId="485D5023" w14:textId="3ED8331F" w:rsidR="00B6699C" w:rsidRDefault="00B6699C" w:rsidP="00034CF6"/>
    <w:p w14:paraId="072DEF07" w14:textId="4156BEE9" w:rsidR="00B6699C" w:rsidRDefault="00B6699C" w:rsidP="00034CF6">
      <w:r>
        <w:t xml:space="preserve">Kelly, J and Ward, C. (2020). Narratives of Gang Disengagement Among Former Gang Members in South Africa. </w:t>
      </w:r>
      <w:r w:rsidRPr="00B6699C">
        <w:rPr>
          <w:i/>
          <w:iCs/>
        </w:rPr>
        <w:t>Criminal Justice and Behaviour</w:t>
      </w:r>
      <w:r>
        <w:t xml:space="preserve">, Vol 47 (11), pp. 1509-1528. </w:t>
      </w:r>
      <w:r w:rsidR="00A12E5B">
        <w:t>Accessed: 29</w:t>
      </w:r>
      <w:r w:rsidR="00A12E5B" w:rsidRPr="00A12E5B">
        <w:rPr>
          <w:vertAlign w:val="superscript"/>
        </w:rPr>
        <w:t>th</w:t>
      </w:r>
      <w:r w:rsidR="00A12E5B">
        <w:t xml:space="preserve"> November 2021. </w:t>
      </w:r>
      <w:r>
        <w:t>Doi: 10.1177/0093854820949603</w:t>
      </w:r>
    </w:p>
    <w:p w14:paraId="68026D2E" w14:textId="40237E83" w:rsidR="00EE17DA" w:rsidRDefault="00EE17DA" w:rsidP="00034CF6"/>
    <w:p w14:paraId="2CB94AA6" w14:textId="591799DE" w:rsidR="00EE17DA" w:rsidRDefault="00EE17DA" w:rsidP="00034CF6">
      <w:proofErr w:type="spellStart"/>
      <w:r>
        <w:t>Kerig</w:t>
      </w:r>
      <w:proofErr w:type="spellEnd"/>
      <w:r>
        <w:t xml:space="preserve">, P, </w:t>
      </w:r>
      <w:proofErr w:type="spellStart"/>
      <w:r>
        <w:t>Chaplo</w:t>
      </w:r>
      <w:proofErr w:type="spellEnd"/>
      <w:r>
        <w:t xml:space="preserve">, S, Bennett, D, </w:t>
      </w:r>
      <w:proofErr w:type="spellStart"/>
      <w:r>
        <w:t>Modrowski</w:t>
      </w:r>
      <w:proofErr w:type="spellEnd"/>
      <w:r>
        <w:t xml:space="preserve">, C. (2015). “Harm as Harm”: Gang Membership, Perpetration Trauma, and Posttraumatic Stress Symptoms Among Youth in the Juvenile Justice System. </w:t>
      </w:r>
      <w:r w:rsidRPr="00B6699C">
        <w:rPr>
          <w:i/>
          <w:iCs/>
        </w:rPr>
        <w:t>Criminal Justice and Behaviour</w:t>
      </w:r>
      <w:r>
        <w:t xml:space="preserve">, Vol 43 (5), pp. 635-652. </w:t>
      </w:r>
      <w:r w:rsidR="00A12E5B">
        <w:t>Accessed: 29</w:t>
      </w:r>
      <w:r w:rsidR="00A12E5B" w:rsidRPr="00A12E5B">
        <w:rPr>
          <w:vertAlign w:val="superscript"/>
        </w:rPr>
        <w:t>th</w:t>
      </w:r>
      <w:r w:rsidR="00A12E5B">
        <w:t xml:space="preserve"> November 2021. </w:t>
      </w:r>
      <w:r>
        <w:t>Doi: 10.1177/0093854815607307</w:t>
      </w:r>
    </w:p>
    <w:p w14:paraId="247FD5A8" w14:textId="57345A3B" w:rsidR="00BC709C" w:rsidRDefault="00BC709C" w:rsidP="00034CF6"/>
    <w:p w14:paraId="0E767F39" w14:textId="166AFF01" w:rsidR="00BC709C" w:rsidRDefault="00BC709C" w:rsidP="00034CF6">
      <w:proofErr w:type="spellStart"/>
      <w:r>
        <w:t>Mallion</w:t>
      </w:r>
      <w:proofErr w:type="spellEnd"/>
      <w:r>
        <w:t xml:space="preserve">, J and Wood, J. (2018). Comparison of Emotional Dispositions Between Street Gang and Non-Gang Prisoners. </w:t>
      </w:r>
      <w:r w:rsidRPr="00B6699C">
        <w:rPr>
          <w:i/>
          <w:iCs/>
        </w:rPr>
        <w:t>Journal of Interpersonal Violence</w:t>
      </w:r>
      <w:r>
        <w:t xml:space="preserve">, 36 (9-10), pp. 4018-4038. </w:t>
      </w:r>
      <w:r w:rsidR="00A12E5B">
        <w:t>Accessed: 24</w:t>
      </w:r>
      <w:r w:rsidR="00A12E5B" w:rsidRPr="00A12E5B">
        <w:rPr>
          <w:vertAlign w:val="superscript"/>
        </w:rPr>
        <w:t>th</w:t>
      </w:r>
      <w:r w:rsidR="00A12E5B">
        <w:t xml:space="preserve"> November 2021. </w:t>
      </w:r>
      <w:r>
        <w:t xml:space="preserve">Doi: 10.1177/0886260518789147 </w:t>
      </w:r>
    </w:p>
    <w:p w14:paraId="4463B329" w14:textId="3FDD0D60" w:rsidR="001A4A82" w:rsidRDefault="001A4A82" w:rsidP="00034CF6"/>
    <w:p w14:paraId="1E5701C8" w14:textId="0A72D466" w:rsidR="001A4A82" w:rsidRDefault="001A4A82" w:rsidP="00034CF6">
      <w:r>
        <w:t xml:space="preserve">Watkins, A and </w:t>
      </w:r>
      <w:proofErr w:type="spellStart"/>
      <w:r>
        <w:t>Melde</w:t>
      </w:r>
      <w:proofErr w:type="spellEnd"/>
      <w:r>
        <w:t xml:space="preserve">, C. (2016). Bad Medicine: The Relationship Between Gang Membership, Depression, Self-Esteem and Suicidal Behaviour. </w:t>
      </w:r>
      <w:r w:rsidRPr="00B6699C">
        <w:rPr>
          <w:i/>
          <w:iCs/>
        </w:rPr>
        <w:t>Criminal Justice and Behaviour</w:t>
      </w:r>
      <w:r>
        <w:t xml:space="preserve">, Vol 43 (8), pp. 1107-1126. </w:t>
      </w:r>
      <w:r w:rsidR="00A12E5B">
        <w:t>Accessed: 26</w:t>
      </w:r>
      <w:r w:rsidR="00A12E5B" w:rsidRPr="00A12E5B">
        <w:rPr>
          <w:vertAlign w:val="superscript"/>
        </w:rPr>
        <w:t>th</w:t>
      </w:r>
      <w:r w:rsidR="00A12E5B">
        <w:t xml:space="preserve"> November 2021. </w:t>
      </w:r>
      <w:r>
        <w:t>Doi: 10.1177/0093854816631797</w:t>
      </w:r>
    </w:p>
    <w:p w14:paraId="7122EE12" w14:textId="64141BB4" w:rsidR="00F133BA" w:rsidRDefault="00F133BA" w:rsidP="00034CF6"/>
    <w:p w14:paraId="7277A945" w14:textId="4F4950FF" w:rsidR="00F133BA" w:rsidRDefault="00F133BA" w:rsidP="00034CF6">
      <w:r>
        <w:t xml:space="preserve">Wolff, K, </w:t>
      </w:r>
      <w:proofErr w:type="spellStart"/>
      <w:r>
        <w:t>Baglivio</w:t>
      </w:r>
      <w:proofErr w:type="spellEnd"/>
      <w:r>
        <w:t xml:space="preserve">, M, </w:t>
      </w:r>
      <w:proofErr w:type="spellStart"/>
      <w:r>
        <w:t>Limoncelli</w:t>
      </w:r>
      <w:proofErr w:type="spellEnd"/>
      <w:r>
        <w:t xml:space="preserve">, K and </w:t>
      </w:r>
      <w:proofErr w:type="spellStart"/>
      <w:r>
        <w:t>Delisi</w:t>
      </w:r>
      <w:proofErr w:type="spellEnd"/>
      <w:r>
        <w:t xml:space="preserve">, M. (2020). Pathways to Recidivism: Do Behavioural Disorders Explain the Gang-Recidivism Relationship During </w:t>
      </w:r>
      <w:proofErr w:type="spellStart"/>
      <w:r>
        <w:t>Reentry</w:t>
      </w:r>
      <w:proofErr w:type="spellEnd"/>
      <w:r>
        <w:t xml:space="preserve">?. </w:t>
      </w:r>
      <w:r w:rsidRPr="00B6699C">
        <w:rPr>
          <w:i/>
          <w:iCs/>
        </w:rPr>
        <w:t>Criminal Justice and Behaviour,</w:t>
      </w:r>
      <w:r>
        <w:t xml:space="preserve"> Vol 47 (7), pp. 867-885. </w:t>
      </w:r>
      <w:r w:rsidR="00A12E5B">
        <w:t>Accessed: 27</w:t>
      </w:r>
      <w:r w:rsidR="00A12E5B" w:rsidRPr="00A12E5B">
        <w:rPr>
          <w:vertAlign w:val="superscript"/>
        </w:rPr>
        <w:t>th</w:t>
      </w:r>
      <w:r w:rsidR="00A12E5B">
        <w:t xml:space="preserve"> November 2021. </w:t>
      </w:r>
      <w:r>
        <w:t>Doi: 10.1177/0093854820915631</w:t>
      </w:r>
    </w:p>
    <w:p w14:paraId="70EC9509" w14:textId="3F1E5C93" w:rsidR="009B4A01" w:rsidRDefault="009B4A01" w:rsidP="00034CF6"/>
    <w:p w14:paraId="5B3E270F" w14:textId="5636B2F6" w:rsidR="009B4A01" w:rsidRDefault="009B4A01" w:rsidP="00034CF6">
      <w:r>
        <w:t xml:space="preserve">Wood, J, </w:t>
      </w:r>
      <w:proofErr w:type="spellStart"/>
      <w:r>
        <w:t>Kallis</w:t>
      </w:r>
      <w:proofErr w:type="spellEnd"/>
      <w:r>
        <w:t xml:space="preserve">, C and </w:t>
      </w:r>
      <w:proofErr w:type="spellStart"/>
      <w:r>
        <w:t>Coid</w:t>
      </w:r>
      <w:proofErr w:type="spellEnd"/>
      <w:r>
        <w:t xml:space="preserve">, J. (2020). Gang Members, Gang Affiliates, and Violent Men, Perpetration of Social Harms, Violence Related Beliefs, Victim Types and Locations. </w:t>
      </w:r>
      <w:r w:rsidRPr="00B6699C">
        <w:rPr>
          <w:i/>
          <w:iCs/>
        </w:rPr>
        <w:t>Journal of Interpersonal Violence</w:t>
      </w:r>
      <w:r>
        <w:t xml:space="preserve">, Vol NA, pp. 1-25. </w:t>
      </w:r>
      <w:r w:rsidR="00A12E5B">
        <w:t>Accessed: 29</w:t>
      </w:r>
      <w:r w:rsidR="00A12E5B" w:rsidRPr="00A12E5B">
        <w:rPr>
          <w:vertAlign w:val="superscript"/>
        </w:rPr>
        <w:t>th</w:t>
      </w:r>
      <w:r w:rsidR="00A12E5B">
        <w:t xml:space="preserve"> November 2021. </w:t>
      </w:r>
      <w:r>
        <w:t>Doi: 10.1177/0886260520922371</w:t>
      </w:r>
    </w:p>
    <w:p w14:paraId="51657AF3" w14:textId="3D2A90A6" w:rsidR="0058713B" w:rsidRDefault="0058713B" w:rsidP="00034CF6"/>
    <w:p w14:paraId="24FBF803" w14:textId="71665E68" w:rsidR="0058713B" w:rsidRDefault="0058713B" w:rsidP="00034CF6"/>
    <w:p w14:paraId="7F40BB61" w14:textId="71618553" w:rsidR="0058713B" w:rsidRDefault="0058713B" w:rsidP="00034CF6"/>
    <w:p w14:paraId="4544C28E" w14:textId="79E88FBC" w:rsidR="0058713B" w:rsidRDefault="0058713B" w:rsidP="00034CF6"/>
    <w:p w14:paraId="69DF0A71" w14:textId="7DD1F02C" w:rsidR="0058713B" w:rsidRDefault="00D06F9B" w:rsidP="00034CF6">
      <w:r w:rsidRPr="00D06F9B">
        <w:lastRenderedPageBreak/>
        <w:drawing>
          <wp:anchor distT="0" distB="0" distL="114300" distR="114300" simplePos="0" relativeHeight="251668480" behindDoc="0" locked="0" layoutInCell="1" allowOverlap="1" wp14:anchorId="79F7C2F0" wp14:editId="724BDE0E">
            <wp:simplePos x="0" y="0"/>
            <wp:positionH relativeFrom="column">
              <wp:posOffset>-1988185</wp:posOffset>
            </wp:positionH>
            <wp:positionV relativeFrom="paragraph">
              <wp:posOffset>2120900</wp:posOffset>
            </wp:positionV>
            <wp:extent cx="9659620" cy="5429885"/>
            <wp:effectExtent l="0" t="6033" r="0" b="0"/>
            <wp:wrapSquare wrapText="bothSides"/>
            <wp:docPr id="7" name="Picture 6" descr="Graphical user interface, application&#10;&#10;Description automatically generated">
              <a:extLst xmlns:a="http://schemas.openxmlformats.org/drawingml/2006/main">
                <a:ext uri="{FF2B5EF4-FFF2-40B4-BE49-F238E27FC236}">
                  <a16:creationId xmlns:a16="http://schemas.microsoft.com/office/drawing/2014/main" id="{B5C0F66E-422B-6B45-9A5C-EEE344120E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Graphical user interface, application&#10;&#10;Description automatically generated">
                      <a:extLst>
                        <a:ext uri="{FF2B5EF4-FFF2-40B4-BE49-F238E27FC236}">
                          <a16:creationId xmlns:a16="http://schemas.microsoft.com/office/drawing/2014/main" id="{B5C0F66E-422B-6B45-9A5C-EEE344120EA6}"/>
                        </a:ext>
                      </a:extLst>
                    </pic:cNvPr>
                    <pic:cNvPicPr>
                      <a:picLocks noChangeAspect="1"/>
                    </pic:cNvPicPr>
                  </pic:nvPicPr>
                  <pic:blipFill rotWithShape="1">
                    <a:blip r:embed="rId9">
                      <a:extLst>
                        <a:ext uri="{28A0092B-C50C-407E-A947-70E740481C1C}">
                          <a14:useLocalDpi xmlns:a14="http://schemas.microsoft.com/office/drawing/2010/main" val="0"/>
                        </a:ext>
                      </a:extLst>
                    </a:blip>
                    <a:srcRect l="25549" t="21448" r="11174" b="17343"/>
                    <a:stretch/>
                  </pic:blipFill>
                  <pic:spPr>
                    <a:xfrm rot="5400000">
                      <a:off x="0" y="0"/>
                      <a:ext cx="9659620" cy="5429885"/>
                    </a:xfrm>
                    <a:prstGeom prst="rect">
                      <a:avLst/>
                    </a:prstGeom>
                  </pic:spPr>
                </pic:pic>
              </a:graphicData>
            </a:graphic>
            <wp14:sizeRelH relativeFrom="page">
              <wp14:pctWidth>0</wp14:pctWidth>
            </wp14:sizeRelH>
            <wp14:sizeRelV relativeFrom="page">
              <wp14:pctHeight>0</wp14:pctHeight>
            </wp14:sizeRelV>
          </wp:anchor>
        </w:drawing>
      </w:r>
      <w:r w:rsidR="00C679FF">
        <w:rPr>
          <w:noProof/>
        </w:rPr>
        <mc:AlternateContent>
          <mc:Choice Requires="wps">
            <w:drawing>
              <wp:anchor distT="0" distB="0" distL="114300" distR="114300" simplePos="0" relativeHeight="251665408" behindDoc="0" locked="0" layoutInCell="1" allowOverlap="1" wp14:anchorId="7E29F55A" wp14:editId="03130E7D">
                <wp:simplePos x="0" y="0"/>
                <wp:positionH relativeFrom="column">
                  <wp:posOffset>772795</wp:posOffset>
                </wp:positionH>
                <wp:positionV relativeFrom="paragraph">
                  <wp:posOffset>-637882</wp:posOffset>
                </wp:positionV>
                <wp:extent cx="3903784" cy="445477"/>
                <wp:effectExtent l="0" t="0" r="8255" b="12065"/>
                <wp:wrapNone/>
                <wp:docPr id="1" name="Text Box 1"/>
                <wp:cNvGraphicFramePr/>
                <a:graphic xmlns:a="http://schemas.openxmlformats.org/drawingml/2006/main">
                  <a:graphicData uri="http://schemas.microsoft.com/office/word/2010/wordprocessingShape">
                    <wps:wsp>
                      <wps:cNvSpPr txBox="1"/>
                      <wps:spPr>
                        <a:xfrm>
                          <a:off x="0" y="0"/>
                          <a:ext cx="3903784" cy="445477"/>
                        </a:xfrm>
                        <a:prstGeom prst="rect">
                          <a:avLst/>
                        </a:prstGeom>
                        <a:solidFill>
                          <a:schemeClr val="lt1"/>
                        </a:solidFill>
                        <a:ln w="6350">
                          <a:solidFill>
                            <a:prstClr val="black"/>
                          </a:solidFill>
                        </a:ln>
                      </wps:spPr>
                      <wps:txbx>
                        <w:txbxContent>
                          <w:p w14:paraId="26363B30" w14:textId="552BAEF7" w:rsidR="001A6EF3" w:rsidRPr="001A6EF3" w:rsidRDefault="001A6EF3" w:rsidP="001A6EF3">
                            <w:pPr>
                              <w:jc w:val="center"/>
                              <w:rPr>
                                <w:b/>
                                <w:bCs/>
                                <w:sz w:val="36"/>
                                <w:szCs w:val="36"/>
                              </w:rPr>
                            </w:pPr>
                            <w:r w:rsidRPr="001A6EF3">
                              <w:rPr>
                                <w:b/>
                                <w:bCs/>
                                <w:sz w:val="36"/>
                                <w:szCs w:val="36"/>
                              </w:rPr>
                              <w:t>Poster: Front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E29F55A" id="Text Box 1" o:spid="_x0000_s1029" type="#_x0000_t202" style="position:absolute;margin-left:60.85pt;margin-top:-50.25pt;width:307.4pt;height:35.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" fillcolor="white [3201]" strokeweight=".5pt">
                <v:textbox>
                  <w:txbxContent>
                    <w:p w14:paraId="26363B30" w14:textId="552BAEF7" w:rsidR="001A6EF3" w:rsidRPr="001A6EF3" w:rsidRDefault="001A6EF3" w:rsidP="001A6EF3">
                      <w:pPr>
                        <w:jc w:val="center"/>
                        <w:rPr>
                          <w:b/>
                          <w:bCs/>
                          <w:sz w:val="36"/>
                          <w:szCs w:val="36"/>
                        </w:rPr>
                      </w:pPr>
                      <w:r w:rsidRPr="001A6EF3">
                        <w:rPr>
                          <w:b/>
                          <w:bCs/>
                          <w:sz w:val="36"/>
                          <w:szCs w:val="36"/>
                        </w:rPr>
                        <w:t>Poster: Front</w:t>
                      </w:r>
                    </w:p>
                  </w:txbxContent>
                </v:textbox>
              </v:shape>
            </w:pict>
          </mc:Fallback>
        </mc:AlternateContent>
      </w:r>
    </w:p>
    <w:p w14:paraId="25814CD7" w14:textId="24BA3D89" w:rsidR="0058713B" w:rsidRDefault="00C679FF" w:rsidP="00034CF6">
      <w:r>
        <w:rPr>
          <w:noProof/>
        </w:rPr>
        <w:lastRenderedPageBreak/>
        <mc:AlternateContent>
          <mc:Choice Requires="wps">
            <w:drawing>
              <wp:anchor distT="0" distB="0" distL="114300" distR="114300" simplePos="0" relativeHeight="251667456" behindDoc="0" locked="0" layoutInCell="1" allowOverlap="1" wp14:anchorId="5D53C58E" wp14:editId="37D62E4A">
                <wp:simplePos x="0" y="0"/>
                <wp:positionH relativeFrom="column">
                  <wp:posOffset>749495</wp:posOffset>
                </wp:positionH>
                <wp:positionV relativeFrom="paragraph">
                  <wp:posOffset>-649801</wp:posOffset>
                </wp:positionV>
                <wp:extent cx="3903784" cy="445477"/>
                <wp:effectExtent l="0" t="0" r="8255" b="12065"/>
                <wp:wrapNone/>
                <wp:docPr id="2" name="Text Box 2"/>
                <wp:cNvGraphicFramePr/>
                <a:graphic xmlns:a="http://schemas.openxmlformats.org/drawingml/2006/main">
                  <a:graphicData uri="http://schemas.microsoft.com/office/word/2010/wordprocessingShape">
                    <wps:wsp>
                      <wps:cNvSpPr txBox="1"/>
                      <wps:spPr>
                        <a:xfrm>
                          <a:off x="0" y="0"/>
                          <a:ext cx="3903784" cy="445477"/>
                        </a:xfrm>
                        <a:prstGeom prst="rect">
                          <a:avLst/>
                        </a:prstGeom>
                        <a:solidFill>
                          <a:schemeClr val="lt1"/>
                        </a:solidFill>
                        <a:ln w="6350">
                          <a:solidFill>
                            <a:prstClr val="black"/>
                          </a:solidFill>
                        </a:ln>
                      </wps:spPr>
                      <wps:txbx>
                        <w:txbxContent>
                          <w:p w14:paraId="3C643E52" w14:textId="256EBF5B" w:rsidR="001A6EF3" w:rsidRPr="001A6EF3" w:rsidRDefault="001A6EF3" w:rsidP="001A6EF3">
                            <w:pPr>
                              <w:jc w:val="center"/>
                              <w:rPr>
                                <w:b/>
                                <w:bCs/>
                                <w:sz w:val="36"/>
                                <w:szCs w:val="36"/>
                              </w:rPr>
                            </w:pPr>
                            <w:r w:rsidRPr="001A6EF3">
                              <w:rPr>
                                <w:b/>
                                <w:bCs/>
                                <w:sz w:val="36"/>
                                <w:szCs w:val="36"/>
                              </w:rPr>
                              <w:t xml:space="preserve">Poster: </w:t>
                            </w:r>
                            <w:r>
                              <w:rPr>
                                <w:b/>
                                <w:bCs/>
                                <w:sz w:val="36"/>
                                <w:szCs w:val="36"/>
                              </w:rPr>
                              <w:t>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53C58E" id="Text Box 2" o:spid="_x0000_s1030" type="#_x0000_t202" style="position:absolute;margin-left:59pt;margin-top:-51.15pt;width:307.4pt;height:35.1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" fillcolor="white [3201]" strokeweight=".5pt">
                <v:textbox>
                  <w:txbxContent>
                    <w:p w14:paraId="3C643E52" w14:textId="256EBF5B" w:rsidR="001A6EF3" w:rsidRPr="001A6EF3" w:rsidRDefault="001A6EF3" w:rsidP="001A6EF3">
                      <w:pPr>
                        <w:jc w:val="center"/>
                        <w:rPr>
                          <w:b/>
                          <w:bCs/>
                          <w:sz w:val="36"/>
                          <w:szCs w:val="36"/>
                        </w:rPr>
                      </w:pPr>
                      <w:r w:rsidRPr="001A6EF3">
                        <w:rPr>
                          <w:b/>
                          <w:bCs/>
                          <w:sz w:val="36"/>
                          <w:szCs w:val="36"/>
                        </w:rPr>
                        <w:t xml:space="preserve">Poster: </w:t>
                      </w:r>
                      <w:r>
                        <w:rPr>
                          <w:b/>
                          <w:bCs/>
                          <w:sz w:val="36"/>
                          <w:szCs w:val="36"/>
                        </w:rPr>
                        <w:t>Back</w:t>
                      </w:r>
                    </w:p>
                  </w:txbxContent>
                </v:textbox>
              </v:shape>
            </w:pict>
          </mc:Fallback>
        </mc:AlternateContent>
      </w:r>
      <w:r w:rsidRPr="00036231">
        <w:rPr>
          <w:noProof/>
        </w:rPr>
        <w:drawing>
          <wp:anchor distT="0" distB="0" distL="114300" distR="114300" simplePos="0" relativeHeight="251664384" behindDoc="0" locked="0" layoutInCell="1" allowOverlap="1" wp14:anchorId="29D43742" wp14:editId="232E435E">
            <wp:simplePos x="0" y="0"/>
            <wp:positionH relativeFrom="column">
              <wp:posOffset>-1744980</wp:posOffset>
            </wp:positionH>
            <wp:positionV relativeFrom="paragraph">
              <wp:posOffset>2057400</wp:posOffset>
            </wp:positionV>
            <wp:extent cx="9237345" cy="5130165"/>
            <wp:effectExtent l="0" t="3810" r="4445" b="4445"/>
            <wp:wrapSquare wrapText="bothSides"/>
            <wp:docPr id="5" name="Picture 4" descr="Graphical user interface, application, Word&#10;&#10;Description automatically generated">
              <a:extLst xmlns:a="http://schemas.openxmlformats.org/drawingml/2006/main">
                <a:ext uri="{FF2B5EF4-FFF2-40B4-BE49-F238E27FC236}">
                  <a16:creationId xmlns:a16="http://schemas.microsoft.com/office/drawing/2014/main" id="{B820057F-88EE-8646-B943-EFE5C787CD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Graphical user interface, application, Word&#10;&#10;Description automatically generated">
                      <a:extLst>
                        <a:ext uri="{FF2B5EF4-FFF2-40B4-BE49-F238E27FC236}">
                          <a16:creationId xmlns:a16="http://schemas.microsoft.com/office/drawing/2014/main" id="{B820057F-88EE-8646-B943-EFE5C787CD83}"/>
                        </a:ext>
                      </a:extLst>
                    </pic:cNvPr>
                    <pic:cNvPicPr>
                      <a:picLocks noChangeAspect="1"/>
                    </pic:cNvPicPr>
                  </pic:nvPicPr>
                  <pic:blipFill rotWithShape="1">
                    <a:blip r:embed="rId10">
                      <a:extLst>
                        <a:ext uri="{28A0092B-C50C-407E-A947-70E740481C1C}">
                          <a14:useLocalDpi xmlns:a14="http://schemas.microsoft.com/office/drawing/2010/main" val="0"/>
                        </a:ext>
                      </a:extLst>
                    </a:blip>
                    <a:srcRect l="25946" t="21667" r="11699" b="18750"/>
                    <a:stretch/>
                  </pic:blipFill>
                  <pic:spPr>
                    <a:xfrm rot="5400000">
                      <a:off x="0" y="0"/>
                      <a:ext cx="9237345" cy="5130165"/>
                    </a:xfrm>
                    <a:prstGeom prst="rect">
                      <a:avLst/>
                    </a:prstGeom>
                  </pic:spPr>
                </pic:pic>
              </a:graphicData>
            </a:graphic>
            <wp14:sizeRelH relativeFrom="page">
              <wp14:pctWidth>0</wp14:pctWidth>
            </wp14:sizeRelH>
            <wp14:sizeRelV relativeFrom="page">
              <wp14:pctHeight>0</wp14:pctHeight>
            </wp14:sizeRelV>
          </wp:anchor>
        </w:drawing>
      </w:r>
    </w:p>
    <w:p w14:paraId="4535BFEA" w14:textId="309371FA" w:rsidR="0058713B" w:rsidRDefault="0058713B" w:rsidP="00034CF6"/>
    <w:p w14:paraId="20BAB629" w14:textId="2F520C6A" w:rsidR="0058713B" w:rsidRDefault="0058713B" w:rsidP="00034CF6"/>
    <w:p w14:paraId="1198B095" w14:textId="26D4FD9E" w:rsidR="0058713B" w:rsidRDefault="0058713B" w:rsidP="00034CF6"/>
    <w:p w14:paraId="08689C91" w14:textId="5CC8F70B" w:rsidR="0058713B" w:rsidRDefault="0058713B" w:rsidP="00034CF6"/>
    <w:p w14:paraId="4ACCEC22" w14:textId="7C87BBB4" w:rsidR="0058713B" w:rsidRPr="00034CF6" w:rsidRDefault="0058713B" w:rsidP="00034CF6"/>
    <w:sectPr w:rsidR="0058713B" w:rsidRPr="00034CF6" w:rsidSect="000C6A73">
      <w:footerReference w:type="even"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61C2F" w14:textId="77777777" w:rsidR="004D4608" w:rsidRDefault="004D4608" w:rsidP="0021066E">
      <w:r>
        <w:separator/>
      </w:r>
    </w:p>
  </w:endnote>
  <w:endnote w:type="continuationSeparator" w:id="0">
    <w:p w14:paraId="6582AF76" w14:textId="77777777" w:rsidR="004D4608" w:rsidRDefault="004D4608" w:rsidP="002106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74304183"/>
      <w:docPartObj>
        <w:docPartGallery w:val="Page Numbers (Bottom of Page)"/>
        <w:docPartUnique/>
      </w:docPartObj>
    </w:sdtPr>
    <w:sdtEndPr>
      <w:rPr>
        <w:rStyle w:val="PageNumber"/>
      </w:rPr>
    </w:sdtEndPr>
    <w:sdtContent>
      <w:p w14:paraId="72CB55FE" w14:textId="3A86F1AC" w:rsidR="0021066E" w:rsidRDefault="0021066E" w:rsidP="00C923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0FC37D" w14:textId="77777777" w:rsidR="0021066E" w:rsidRDefault="0021066E" w:rsidP="002106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45728862"/>
      <w:docPartObj>
        <w:docPartGallery w:val="Page Numbers (Bottom of Page)"/>
        <w:docPartUnique/>
      </w:docPartObj>
    </w:sdtPr>
    <w:sdtEndPr>
      <w:rPr>
        <w:rStyle w:val="PageNumber"/>
      </w:rPr>
    </w:sdtEndPr>
    <w:sdtContent>
      <w:p w14:paraId="24DF4AC6" w14:textId="444710B0" w:rsidR="0021066E" w:rsidRDefault="0021066E" w:rsidP="00C9236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BED432" w14:textId="77777777" w:rsidR="0021066E" w:rsidRDefault="0021066E" w:rsidP="002106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391D1D" w14:textId="77777777" w:rsidR="004D4608" w:rsidRDefault="004D4608" w:rsidP="0021066E">
      <w:r>
        <w:separator/>
      </w:r>
    </w:p>
  </w:footnote>
  <w:footnote w:type="continuationSeparator" w:id="0">
    <w:p w14:paraId="23207FDB" w14:textId="77777777" w:rsidR="004D4608" w:rsidRDefault="004D4608" w:rsidP="002106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12A"/>
    <w:rsid w:val="00025F71"/>
    <w:rsid w:val="000302D8"/>
    <w:rsid w:val="00034CF6"/>
    <w:rsid w:val="00036231"/>
    <w:rsid w:val="0004612E"/>
    <w:rsid w:val="00074E14"/>
    <w:rsid w:val="000A496B"/>
    <w:rsid w:val="000C408B"/>
    <w:rsid w:val="000C6A73"/>
    <w:rsid w:val="000D2F10"/>
    <w:rsid w:val="000D4FB1"/>
    <w:rsid w:val="000E735E"/>
    <w:rsid w:val="001127BE"/>
    <w:rsid w:val="001541A5"/>
    <w:rsid w:val="00155F8B"/>
    <w:rsid w:val="00157460"/>
    <w:rsid w:val="001659D2"/>
    <w:rsid w:val="00186A18"/>
    <w:rsid w:val="00193B68"/>
    <w:rsid w:val="001A4A82"/>
    <w:rsid w:val="001A6011"/>
    <w:rsid w:val="001A6EF3"/>
    <w:rsid w:val="001B286A"/>
    <w:rsid w:val="001D1E9B"/>
    <w:rsid w:val="00205FA3"/>
    <w:rsid w:val="0021066E"/>
    <w:rsid w:val="002244FB"/>
    <w:rsid w:val="00224AB8"/>
    <w:rsid w:val="00236FDA"/>
    <w:rsid w:val="0024419D"/>
    <w:rsid w:val="002450AE"/>
    <w:rsid w:val="002459DF"/>
    <w:rsid w:val="00250E24"/>
    <w:rsid w:val="00260D27"/>
    <w:rsid w:val="00294C28"/>
    <w:rsid w:val="00295FBC"/>
    <w:rsid w:val="002A0748"/>
    <w:rsid w:val="002C4352"/>
    <w:rsid w:val="002D6161"/>
    <w:rsid w:val="002D7A5A"/>
    <w:rsid w:val="002F13B1"/>
    <w:rsid w:val="00314E9F"/>
    <w:rsid w:val="00320C92"/>
    <w:rsid w:val="00327B90"/>
    <w:rsid w:val="00333E71"/>
    <w:rsid w:val="0033715B"/>
    <w:rsid w:val="00361D15"/>
    <w:rsid w:val="00367E92"/>
    <w:rsid w:val="00392D35"/>
    <w:rsid w:val="003C651A"/>
    <w:rsid w:val="003F59EF"/>
    <w:rsid w:val="00406F56"/>
    <w:rsid w:val="00423455"/>
    <w:rsid w:val="00441A65"/>
    <w:rsid w:val="00466FEA"/>
    <w:rsid w:val="004701DE"/>
    <w:rsid w:val="00476011"/>
    <w:rsid w:val="004766BD"/>
    <w:rsid w:val="00491A6F"/>
    <w:rsid w:val="004B6EFE"/>
    <w:rsid w:val="004D057D"/>
    <w:rsid w:val="004D4297"/>
    <w:rsid w:val="004D4608"/>
    <w:rsid w:val="00516FDE"/>
    <w:rsid w:val="005329E2"/>
    <w:rsid w:val="00555E87"/>
    <w:rsid w:val="00561F33"/>
    <w:rsid w:val="0058713B"/>
    <w:rsid w:val="00594425"/>
    <w:rsid w:val="00595070"/>
    <w:rsid w:val="005A333E"/>
    <w:rsid w:val="005A5A1F"/>
    <w:rsid w:val="005A67CB"/>
    <w:rsid w:val="005B10B3"/>
    <w:rsid w:val="005D0E87"/>
    <w:rsid w:val="005D7565"/>
    <w:rsid w:val="005F46B7"/>
    <w:rsid w:val="006301E9"/>
    <w:rsid w:val="00675518"/>
    <w:rsid w:val="006866AB"/>
    <w:rsid w:val="006B315A"/>
    <w:rsid w:val="006C6F78"/>
    <w:rsid w:val="006E14AE"/>
    <w:rsid w:val="006F5680"/>
    <w:rsid w:val="00710287"/>
    <w:rsid w:val="0071712A"/>
    <w:rsid w:val="00734F0E"/>
    <w:rsid w:val="00757250"/>
    <w:rsid w:val="00760E1F"/>
    <w:rsid w:val="00773BCC"/>
    <w:rsid w:val="007955FF"/>
    <w:rsid w:val="00797DDF"/>
    <w:rsid w:val="007B5636"/>
    <w:rsid w:val="007D02A1"/>
    <w:rsid w:val="007D611D"/>
    <w:rsid w:val="007E157E"/>
    <w:rsid w:val="007F05D9"/>
    <w:rsid w:val="007F0D57"/>
    <w:rsid w:val="007F3221"/>
    <w:rsid w:val="00815D13"/>
    <w:rsid w:val="0082484F"/>
    <w:rsid w:val="008307FC"/>
    <w:rsid w:val="00837360"/>
    <w:rsid w:val="00852A5F"/>
    <w:rsid w:val="008572F0"/>
    <w:rsid w:val="008814C1"/>
    <w:rsid w:val="008E51C7"/>
    <w:rsid w:val="00910F09"/>
    <w:rsid w:val="00912A3F"/>
    <w:rsid w:val="00920E8D"/>
    <w:rsid w:val="00933041"/>
    <w:rsid w:val="00953160"/>
    <w:rsid w:val="00956FA0"/>
    <w:rsid w:val="009862F8"/>
    <w:rsid w:val="009865DB"/>
    <w:rsid w:val="009A76E0"/>
    <w:rsid w:val="009B4A01"/>
    <w:rsid w:val="009B4F15"/>
    <w:rsid w:val="009C6406"/>
    <w:rsid w:val="009C68E9"/>
    <w:rsid w:val="009D5D43"/>
    <w:rsid w:val="009F03B6"/>
    <w:rsid w:val="009F5806"/>
    <w:rsid w:val="00A01453"/>
    <w:rsid w:val="00A0208C"/>
    <w:rsid w:val="00A12E5B"/>
    <w:rsid w:val="00A51203"/>
    <w:rsid w:val="00A632B0"/>
    <w:rsid w:val="00A7398D"/>
    <w:rsid w:val="00A8256E"/>
    <w:rsid w:val="00AA6B7A"/>
    <w:rsid w:val="00AB4381"/>
    <w:rsid w:val="00AC64BE"/>
    <w:rsid w:val="00AC6890"/>
    <w:rsid w:val="00AE4194"/>
    <w:rsid w:val="00B10D39"/>
    <w:rsid w:val="00B1481F"/>
    <w:rsid w:val="00B23293"/>
    <w:rsid w:val="00B27413"/>
    <w:rsid w:val="00B402AE"/>
    <w:rsid w:val="00B510EC"/>
    <w:rsid w:val="00B527B9"/>
    <w:rsid w:val="00B6699C"/>
    <w:rsid w:val="00B80809"/>
    <w:rsid w:val="00B97FA3"/>
    <w:rsid w:val="00BC709C"/>
    <w:rsid w:val="00BD4013"/>
    <w:rsid w:val="00BE2345"/>
    <w:rsid w:val="00BE3933"/>
    <w:rsid w:val="00C105BE"/>
    <w:rsid w:val="00C15D48"/>
    <w:rsid w:val="00C17A6F"/>
    <w:rsid w:val="00C337F0"/>
    <w:rsid w:val="00C46A4D"/>
    <w:rsid w:val="00C51BBA"/>
    <w:rsid w:val="00C57A68"/>
    <w:rsid w:val="00C679FF"/>
    <w:rsid w:val="00C72D33"/>
    <w:rsid w:val="00C933FC"/>
    <w:rsid w:val="00CA1E91"/>
    <w:rsid w:val="00CC2A0B"/>
    <w:rsid w:val="00D06F9B"/>
    <w:rsid w:val="00D270A1"/>
    <w:rsid w:val="00D30075"/>
    <w:rsid w:val="00D56720"/>
    <w:rsid w:val="00D7540B"/>
    <w:rsid w:val="00D90395"/>
    <w:rsid w:val="00DA4DE9"/>
    <w:rsid w:val="00DA5BE8"/>
    <w:rsid w:val="00DA6D1D"/>
    <w:rsid w:val="00DF529D"/>
    <w:rsid w:val="00DF5353"/>
    <w:rsid w:val="00DF64AC"/>
    <w:rsid w:val="00E06203"/>
    <w:rsid w:val="00E12D53"/>
    <w:rsid w:val="00E134D1"/>
    <w:rsid w:val="00E86D1E"/>
    <w:rsid w:val="00E90635"/>
    <w:rsid w:val="00EB3C6D"/>
    <w:rsid w:val="00EC6F4D"/>
    <w:rsid w:val="00EE17DA"/>
    <w:rsid w:val="00EE5CEE"/>
    <w:rsid w:val="00EF31B1"/>
    <w:rsid w:val="00EF4C01"/>
    <w:rsid w:val="00F133BA"/>
    <w:rsid w:val="00F54945"/>
    <w:rsid w:val="00F5570C"/>
    <w:rsid w:val="00F979F8"/>
    <w:rsid w:val="00FD3FF9"/>
    <w:rsid w:val="00FD457D"/>
    <w:rsid w:val="00FD6667"/>
    <w:rsid w:val="00FE4994"/>
    <w:rsid w:val="00FF68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8E030"/>
  <w15:chartTrackingRefBased/>
  <w15:docId w15:val="{6796F4F3-C50A-1D46-AEC6-4E83751ED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C6A73"/>
    <w:rPr>
      <w:rFonts w:eastAsiaTheme="minorEastAsia"/>
      <w:sz w:val="22"/>
      <w:szCs w:val="22"/>
      <w:lang w:val="en-US" w:eastAsia="zh-CN"/>
    </w:rPr>
  </w:style>
  <w:style w:type="character" w:customStyle="1" w:styleId="NoSpacingChar">
    <w:name w:val="No Spacing Char"/>
    <w:basedOn w:val="DefaultParagraphFont"/>
    <w:link w:val="NoSpacing"/>
    <w:uiPriority w:val="1"/>
    <w:rsid w:val="000C6A73"/>
    <w:rPr>
      <w:rFonts w:eastAsiaTheme="minorEastAsia"/>
      <w:sz w:val="22"/>
      <w:szCs w:val="22"/>
      <w:lang w:val="en-US" w:eastAsia="zh-CN"/>
    </w:rPr>
  </w:style>
  <w:style w:type="paragraph" w:styleId="Footer">
    <w:name w:val="footer"/>
    <w:basedOn w:val="Normal"/>
    <w:link w:val="FooterChar"/>
    <w:uiPriority w:val="99"/>
    <w:unhideWhenUsed/>
    <w:rsid w:val="0021066E"/>
    <w:pPr>
      <w:tabs>
        <w:tab w:val="center" w:pos="4513"/>
        <w:tab w:val="right" w:pos="9026"/>
      </w:tabs>
    </w:pPr>
  </w:style>
  <w:style w:type="character" w:customStyle="1" w:styleId="FooterChar">
    <w:name w:val="Footer Char"/>
    <w:basedOn w:val="DefaultParagraphFont"/>
    <w:link w:val="Footer"/>
    <w:uiPriority w:val="99"/>
    <w:rsid w:val="0021066E"/>
  </w:style>
  <w:style w:type="character" w:styleId="PageNumber">
    <w:name w:val="page number"/>
    <w:basedOn w:val="DefaultParagraphFont"/>
    <w:uiPriority w:val="99"/>
    <w:semiHidden/>
    <w:unhideWhenUsed/>
    <w:rsid w:val="0021066E"/>
  </w:style>
  <w:style w:type="paragraph" w:styleId="Header">
    <w:name w:val="header"/>
    <w:basedOn w:val="Normal"/>
    <w:link w:val="HeaderChar"/>
    <w:uiPriority w:val="99"/>
    <w:unhideWhenUsed/>
    <w:rsid w:val="00036231"/>
    <w:pPr>
      <w:tabs>
        <w:tab w:val="center" w:pos="4513"/>
        <w:tab w:val="right" w:pos="9026"/>
      </w:tabs>
    </w:pPr>
  </w:style>
  <w:style w:type="character" w:customStyle="1" w:styleId="HeaderChar">
    <w:name w:val="Header Char"/>
    <w:basedOn w:val="DefaultParagraphFont"/>
    <w:link w:val="Header"/>
    <w:uiPriority w:val="99"/>
    <w:rsid w:val="000362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Pages 1-4 Reflective Report Examining Rehabilitation and the Role of the Criminal Justice System
Pages 5-8 Article Review of Sarah Frisby-Osman and Jane L. Wood’s paper: Rethinking How We View Gang Members: An Examination into Affective Behavioral, and Mental Health Predictors of UK Gang-Involved Youth
Pages 9-10 Poster Examining Male Victims of Domestic Abuse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3224</Words>
  <Characters>18378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Justice and policing portfolio</dc:title>
  <dc:subject/>
  <dc:creator>Lewis Tandy (2016893)</dc:creator>
  <cp:keywords/>
  <dc:description/>
  <cp:lastModifiedBy>Lewis Brandon Tandy (2016893)</cp:lastModifiedBy>
  <cp:revision>2</cp:revision>
  <dcterms:created xsi:type="dcterms:W3CDTF">2021-11-27T11:09:00Z</dcterms:created>
  <dcterms:modified xsi:type="dcterms:W3CDTF">2021-11-27T11:09:00Z</dcterms:modified>
</cp:coreProperties>
</file>