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C37A1AB" w:rsidP="0362B149" w:rsidRDefault="3C37A1AB" w14:paraId="49934B33" w14:textId="3C9D0426">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62B149" w:rsidR="74E6C76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M</w:t>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odule Title: </w:t>
      </w:r>
      <w:r w:rsidRPr="0362B149" w:rsidR="3C37A1AB">
        <w:rPr>
          <w:rFonts w:ascii="Arial" w:hAnsi="Arial" w:eastAsia="Arial" w:cs="Arial"/>
          <w:b w:val="0"/>
          <w:bCs w:val="0"/>
          <w:noProof w:val="0"/>
          <w:color w:val="000000" w:themeColor="text1" w:themeTint="FF" w:themeShade="FF"/>
          <w:sz w:val="22"/>
          <w:szCs w:val="22"/>
          <w:lang w:val="en-GB"/>
        </w:rPr>
        <w:t xml:space="preserve">Developing Emotional Intelligence Skills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Module Code: - LCLM5006</w:t>
      </w:r>
    </w:p>
    <w:p w:rsidR="3C37A1AB" w:rsidP="0362B149" w:rsidRDefault="3C37A1AB" w14:paraId="658E290B" w14:textId="49D7CC7A">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Student Name: - Abdul Kashem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Student Number: - 2410901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r>
        <w:br/>
      </w:r>
      <w:r w:rsidRPr="0362B149" w:rsidR="3C37A1AB">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Lecturer’s Name:</w:t>
      </w:r>
      <w:r w:rsidRPr="0362B149" w:rsidR="3C37A1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362B149" w:rsidR="5A546906">
        <w:rPr>
          <w:rFonts w:ascii="Arial" w:hAnsi="Arial" w:eastAsia="Arial" w:cs="Arial"/>
          <w:b w:val="0"/>
          <w:bCs w:val="0"/>
          <w:i w:val="0"/>
          <w:iCs w:val="0"/>
          <w:caps w:val="0"/>
          <w:smallCaps w:val="0"/>
          <w:noProof w:val="0"/>
          <w:color w:val="000000" w:themeColor="text1" w:themeTint="FF" w:themeShade="FF"/>
          <w:sz w:val="22"/>
          <w:szCs w:val="22"/>
          <w:lang w:val="en-GB"/>
        </w:rPr>
        <w:t>Taonga Kaonga Sobere-Snithers</w:t>
      </w:r>
    </w:p>
    <w:p w:rsidR="0FC11310" w:rsidP="0362B149" w:rsidRDefault="0FC11310" w14:paraId="41D1919B" w14:textId="1871A6A6">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20DA989E" w14:textId="36B33945">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45E062DB" w14:textId="7246E334">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21EB0C38" w14:textId="7EDA9C20">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13FEC9D1" w14:textId="6EC82CB9">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2C9C96FB" w14:textId="47574388">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4B067A9E" w14:textId="5761A7BF">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7A7DC757" w14:textId="69AD4666">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66115F98" w14:textId="4D53479F">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01A9ACA7" w14:textId="40F1CAC1">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109FCBF3" w14:textId="486361D4">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66ED7DBC" w14:textId="52FCDF9B">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361CC38B" w14:textId="39E2AD04">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32C25D13" w14:textId="62973392">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707A0128" w14:textId="40AFAE9A">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4AD24792" w14:textId="67A83FAD">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5D085D11" w14:textId="30A50C6F">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74AE8D1C" w14:textId="47E56B50">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129E2985" w14:textId="06FB1524">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00F1E8C4" w14:textId="1A3BD339">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0D2D0192" w14:textId="6BB39F26">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75B0CD06" w14:textId="7F61A68A">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678F3765" w14:textId="2780354A">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6DF1DBC9" w14:textId="5499F43B">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13015413" w14:textId="4AC3F760">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2F8EC81D" w14:textId="1909CE3B">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362B149" w:rsidRDefault="0FC11310" w14:paraId="208922C6" w14:textId="6206BEA5">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C11310" w:rsidP="0FC11310" w:rsidRDefault="0FC11310" w14:paraId="2BC4351E" w14:textId="7CA95821">
      <w:pPr>
        <w:bidi w:val="0"/>
        <w:rPr>
          <w:rFonts w:ascii="Arial" w:hAnsi="Arial" w:eastAsia="Arial" w:cs="Arial"/>
          <w:b w:val="0"/>
          <w:bCs w:val="0"/>
          <w:noProof w:val="0"/>
          <w:color w:val="000000" w:themeColor="text1" w:themeTint="FF" w:themeShade="FF"/>
          <w:sz w:val="22"/>
          <w:szCs w:val="22"/>
          <w:lang w:val="en-GB"/>
        </w:rPr>
      </w:pPr>
    </w:p>
    <w:p w:rsidR="0FC11310" w:rsidP="0FC11310" w:rsidRDefault="0FC11310" w14:paraId="47B31429" w14:textId="69CD0E29">
      <w:pPr>
        <w:bidi w:val="0"/>
        <w:rPr>
          <w:rFonts w:ascii="Arial" w:hAnsi="Arial" w:eastAsia="Arial" w:cs="Arial"/>
          <w:b w:val="0"/>
          <w:bCs w:val="0"/>
          <w:noProof w:val="0"/>
          <w:color w:val="000000" w:themeColor="text1" w:themeTint="FF" w:themeShade="FF"/>
          <w:sz w:val="22"/>
          <w:szCs w:val="22"/>
          <w:lang w:val="en-GB"/>
        </w:rPr>
      </w:pPr>
    </w:p>
    <w:p w:rsidR="697C3FAD" w:rsidP="0FC11310" w:rsidRDefault="697C3FAD" w14:paraId="2C194A4B" w14:textId="2076D18C">
      <w:pPr>
        <w:bidi w:val="0"/>
        <w:rPr>
          <w:rFonts w:ascii="Arial" w:hAnsi="Arial" w:eastAsia="Arial" w:cs="Arial"/>
          <w:b w:val="0"/>
          <w:bCs w:val="0"/>
          <w:noProof w:val="0"/>
          <w:color w:val="000000" w:themeColor="text1" w:themeTint="FF" w:themeShade="FF"/>
          <w:sz w:val="22"/>
          <w:szCs w:val="22"/>
          <w:lang w:val="en-GB"/>
        </w:rPr>
      </w:pPr>
      <w:r w:rsidRPr="0362B149" w:rsidR="697C3FAD">
        <w:rPr>
          <w:rFonts w:ascii="Arial" w:hAnsi="Arial" w:eastAsia="Arial" w:cs="Arial"/>
          <w:b w:val="1"/>
          <w:bCs w:val="1"/>
          <w:noProof w:val="0"/>
          <w:color w:val="000000" w:themeColor="text1" w:themeTint="FF" w:themeShade="FF"/>
          <w:sz w:val="22"/>
          <w:szCs w:val="22"/>
          <w:lang w:val="en-GB"/>
        </w:rPr>
        <w:t>Introduction</w:t>
      </w:r>
      <w:r w:rsidRPr="0362B149" w:rsidR="697C3FAD">
        <w:rPr>
          <w:rFonts w:ascii="Arial" w:hAnsi="Arial" w:eastAsia="Arial" w:cs="Arial"/>
          <w:b w:val="0"/>
          <w:bCs w:val="0"/>
          <w:noProof w:val="0"/>
          <w:color w:val="000000" w:themeColor="text1" w:themeTint="FF" w:themeShade="FF"/>
          <w:sz w:val="22"/>
          <w:szCs w:val="22"/>
          <w:lang w:val="en-GB"/>
        </w:rPr>
        <w:t xml:space="preserve"> </w:t>
      </w:r>
    </w:p>
    <w:p w:rsidR="2E2D794F" w:rsidP="0FC11310" w:rsidRDefault="2E2D794F" w14:paraId="5BBDC2D6" w14:textId="4B2E57ED">
      <w:pPr>
        <w:bidi w:val="0"/>
        <w:rPr>
          <w:rFonts w:ascii="Arial" w:hAnsi="Arial" w:eastAsia="Arial" w:cs="Arial"/>
          <w:b w:val="0"/>
          <w:bCs w:val="0"/>
          <w:noProof w:val="0"/>
          <w:color w:val="000000" w:themeColor="text1" w:themeTint="FF" w:themeShade="FF"/>
          <w:sz w:val="22"/>
          <w:szCs w:val="22"/>
          <w:lang w:val="en-GB"/>
        </w:rPr>
      </w:pPr>
      <w:r w:rsidRPr="0362B149" w:rsidR="2E2D794F">
        <w:rPr>
          <w:rFonts w:ascii="Arial" w:hAnsi="Arial" w:eastAsia="Arial" w:cs="Arial"/>
          <w:b w:val="0"/>
          <w:bCs w:val="0"/>
          <w:noProof w:val="0"/>
          <w:color w:val="000000" w:themeColor="text1" w:themeTint="FF" w:themeShade="FF"/>
          <w:sz w:val="22"/>
          <w:szCs w:val="22"/>
          <w:lang w:val="en-GB"/>
        </w:rPr>
        <w:t xml:space="preserve">In contemporary organisations, emotional intelligence (EI) and mindfulness have become increasingly important competencies for enhancing employee performance, strengthening leadership capability, and promoting organisational well-being (Goleman, 1998). As workplaces become more diverse, technologically advanced, and globally connected, organisations require employees and leaders who can effectively recognise, understand, and regulate emotions while fostering positive relationships. Emotional intelligence enables individuals to communicate effectively, resolve conflicts constructively, make informed decisions, and adapt to organisational change. Similarly, mindfulness encourages present-moment awareness, emotional regulation, and resilience, enabling employees to manage workplace pressures while </w:t>
      </w:r>
      <w:r w:rsidRPr="0362B149" w:rsidR="2E2D794F">
        <w:rPr>
          <w:rFonts w:ascii="Arial" w:hAnsi="Arial" w:eastAsia="Arial" w:cs="Arial"/>
          <w:b w:val="0"/>
          <w:bCs w:val="0"/>
          <w:noProof w:val="0"/>
          <w:color w:val="000000" w:themeColor="text1" w:themeTint="FF" w:themeShade="FF"/>
          <w:sz w:val="22"/>
          <w:szCs w:val="22"/>
          <w:lang w:val="en-GB"/>
        </w:rPr>
        <w:t>maintaining</w:t>
      </w:r>
      <w:r w:rsidRPr="0362B149" w:rsidR="2E2D794F">
        <w:rPr>
          <w:rFonts w:ascii="Arial" w:hAnsi="Arial" w:eastAsia="Arial" w:cs="Arial"/>
          <w:b w:val="0"/>
          <w:bCs w:val="0"/>
          <w:noProof w:val="0"/>
          <w:color w:val="000000" w:themeColor="text1" w:themeTint="FF" w:themeShade="FF"/>
          <w:sz w:val="22"/>
          <w:szCs w:val="22"/>
          <w:lang w:val="en-GB"/>
        </w:rPr>
        <w:t xml:space="preserve"> psychological well-being.</w:t>
      </w:r>
    </w:p>
    <w:p w:rsidR="7825AA93" w:rsidP="0FC11310" w:rsidRDefault="7825AA93" w14:paraId="1D1A2A4A" w14:textId="0CD63647">
      <w:pPr>
        <w:bidi w:val="0"/>
        <w:rPr>
          <w:rFonts w:ascii="Arial" w:hAnsi="Arial" w:eastAsia="Arial" w:cs="Arial"/>
          <w:b w:val="0"/>
          <w:bCs w:val="0"/>
          <w:noProof w:val="0"/>
          <w:color w:val="000000" w:themeColor="text1" w:themeTint="FF" w:themeShade="FF"/>
          <w:sz w:val="22"/>
          <w:szCs w:val="22"/>
          <w:lang w:val="en-GB"/>
        </w:rPr>
      </w:pPr>
      <w:r w:rsidRPr="0362B149" w:rsidR="7825AA93">
        <w:rPr>
          <w:rFonts w:ascii="Arial" w:hAnsi="Arial" w:eastAsia="Arial" w:cs="Arial"/>
          <w:b w:val="0"/>
          <w:bCs w:val="0"/>
          <w:noProof w:val="0"/>
          <w:color w:val="000000" w:themeColor="text1" w:themeTint="FF" w:themeShade="FF"/>
          <w:sz w:val="22"/>
          <w:szCs w:val="22"/>
          <w:lang w:val="en-GB"/>
        </w:rPr>
        <w:t>Research suggests that organisations with emotionally intelligent leaders experience higher levels of employee engagement, collaboration, innovation, and job satisfaction (Goleman, Boyatzis and McKee, 2013). Mindfulness practices have also been linked to reduced stress, improved concentration, enhanced decision-making, and the creation of psychologically safe working environments where employees feel respected and valued (Good et al., 2016). Consequently, many organisations are integrating emotional intelligence and mindfulness into leadership development programmes, recruitment processes, and employee well-being initiatives to improve organisational effectiveness.</w:t>
      </w:r>
    </w:p>
    <w:p w:rsidR="7825AA93" w:rsidP="0FC11310" w:rsidRDefault="7825AA93" w14:paraId="4353EB86" w14:textId="7ECACE59">
      <w:pPr>
        <w:bidi w:val="0"/>
        <w:rPr>
          <w:rFonts w:ascii="Arial" w:hAnsi="Arial" w:eastAsia="Arial" w:cs="Arial"/>
          <w:b w:val="0"/>
          <w:bCs w:val="0"/>
          <w:noProof w:val="0"/>
          <w:color w:val="000000" w:themeColor="text1" w:themeTint="FF" w:themeShade="FF"/>
          <w:sz w:val="22"/>
          <w:szCs w:val="22"/>
          <w:lang w:val="en-GB"/>
        </w:rPr>
      </w:pPr>
      <w:r w:rsidRPr="0362B149" w:rsidR="7825AA93">
        <w:rPr>
          <w:rFonts w:ascii="Arial" w:hAnsi="Arial" w:eastAsia="Arial" w:cs="Arial"/>
          <w:b w:val="0"/>
          <w:bCs w:val="0"/>
          <w:noProof w:val="0"/>
          <w:color w:val="000000" w:themeColor="text1" w:themeTint="FF" w:themeShade="FF"/>
          <w:sz w:val="22"/>
          <w:szCs w:val="22"/>
          <w:lang w:val="en-GB"/>
        </w:rPr>
        <w:t>This report critically analyses the role of emotional intelligence and mindfulness within contemporary organisations. The first section evaluates how employees can apply the core components of emotional intelligence to improve individual performance, collaboration, communication, leadership, conflict management, decision-making, and overall well-being. The discussion draws upon three influential models of emotional intelligence: Goleman's Emotional Intelligence Framework, Mayer and Salovey's Ability Model, and Bar-On's Emotional-Social Intelligence Model.</w:t>
      </w:r>
    </w:p>
    <w:p w:rsidR="00E58B48" w:rsidP="0362B149" w:rsidRDefault="00E58B48" w14:paraId="33FD71B0" w14:textId="45D73FC0">
      <w:pPr>
        <w:rPr>
          <w:rFonts w:ascii="Arial" w:hAnsi="Arial" w:eastAsia="Arial" w:cs="Arial"/>
          <w:b w:val="0"/>
          <w:bCs w:val="0"/>
          <w:noProof w:val="0"/>
          <w:color w:val="000000" w:themeColor="text1" w:themeTint="FF" w:themeShade="FF"/>
          <w:sz w:val="22"/>
          <w:szCs w:val="22"/>
          <w:lang w:val="en-GB"/>
        </w:rPr>
      </w:pPr>
      <w:r w:rsidRPr="0362B149" w:rsidR="00E58B48">
        <w:rPr>
          <w:rFonts w:ascii="Arial" w:hAnsi="Arial" w:eastAsia="Arial" w:cs="Arial"/>
          <w:b w:val="0"/>
          <w:bCs w:val="0"/>
          <w:noProof w:val="0"/>
          <w:color w:val="000000" w:themeColor="text1" w:themeTint="FF" w:themeShade="FF"/>
          <w:sz w:val="22"/>
          <w:szCs w:val="22"/>
          <w:lang w:val="en-GB"/>
        </w:rPr>
        <w:t>The second section examines the challenges and opportunities associated with managing a multigenerational workforce, focusing on Generation X, Millennials (Generation Y), and Generation Z. It critically evaluates the differing values, communication preferences, motivational factors, and technological capabilities of these generational cohorts, while also recognising the importance of avoiding overgeneralisation and stereotyping in organisational practice. In doing so, it highlights how perceived generational differences can both enhance and complicate workplace dynamics depending on how effectively they are managed by leaders.</w:t>
      </w:r>
    </w:p>
    <w:p w:rsidR="00E58B48" w:rsidP="0362B149" w:rsidRDefault="00E58B48" w14:paraId="29E02539" w14:textId="57901466">
      <w:pPr>
        <w:rPr>
          <w:rFonts w:ascii="Arial" w:hAnsi="Arial" w:eastAsia="Arial" w:cs="Arial"/>
          <w:b w:val="0"/>
          <w:bCs w:val="0"/>
          <w:noProof w:val="0"/>
          <w:color w:val="000000" w:themeColor="text1" w:themeTint="FF" w:themeShade="FF"/>
          <w:sz w:val="22"/>
          <w:szCs w:val="22"/>
          <w:lang w:val="en-GB"/>
        </w:rPr>
      </w:pPr>
      <w:r w:rsidRPr="0362B149" w:rsidR="00E58B48">
        <w:rPr>
          <w:rFonts w:ascii="Arial" w:hAnsi="Arial" w:eastAsia="Arial" w:cs="Arial"/>
          <w:b w:val="0"/>
          <w:bCs w:val="0"/>
          <w:noProof w:val="0"/>
          <w:color w:val="000000" w:themeColor="text1" w:themeTint="FF" w:themeShade="FF"/>
          <w:sz w:val="22"/>
          <w:szCs w:val="22"/>
          <w:lang w:val="en-GB"/>
        </w:rPr>
        <w:t>Furthermore, the section explores how emotional intelligence and mindfulness can support inclusive leadership by enabling managers to understand diverse employee needs, adapt communication approaches, and foster positive interpersonal relationships across age groups. It also considers the role of these competencies in strengthening recruitment practices, improving employee engagement, and enhancing long-term retention by creating a more supportive and psychologically safe working environment.</w:t>
      </w:r>
    </w:p>
    <w:p w:rsidR="04FF0116" w:rsidP="0362B149" w:rsidRDefault="04FF0116" w14:paraId="5EF848E4" w14:textId="0517ACC5">
      <w:pPr>
        <w:bidi w:val="0"/>
      </w:pPr>
      <w:r w:rsidRPr="0362B149" w:rsidR="00E58B48">
        <w:rPr>
          <w:rFonts w:ascii="Arial" w:hAnsi="Arial" w:eastAsia="Arial" w:cs="Arial"/>
          <w:b w:val="0"/>
          <w:bCs w:val="0"/>
          <w:noProof w:val="0"/>
          <w:color w:val="000000" w:themeColor="text1" w:themeTint="FF" w:themeShade="FF"/>
          <w:sz w:val="22"/>
          <w:szCs w:val="22"/>
          <w:lang w:val="en-GB"/>
        </w:rPr>
        <w:t xml:space="preserve">The report concludes with recommendations for senior management on embedding emotional intelligence and mindfulness into organisational strategy, leadership development programmes, and everyday management practice. These recommendations are designed to improve leadership effectiveness, enhance employee development opportunities, and strengthen overall organisational performance. </w:t>
      </w:r>
      <w:r w:rsidRPr="0362B149" w:rsidR="00E58B48">
        <w:rPr>
          <w:rFonts w:ascii="Arial" w:hAnsi="Arial" w:eastAsia="Arial" w:cs="Arial"/>
          <w:b w:val="0"/>
          <w:bCs w:val="0"/>
          <w:noProof w:val="0"/>
          <w:color w:val="000000" w:themeColor="text1" w:themeTint="FF" w:themeShade="FF"/>
          <w:sz w:val="22"/>
          <w:szCs w:val="22"/>
          <w:lang w:val="en-GB"/>
        </w:rPr>
        <w:t>Ultimately, the</w:t>
      </w:r>
      <w:r w:rsidRPr="0362B149" w:rsidR="00E58B48">
        <w:rPr>
          <w:rFonts w:ascii="Arial" w:hAnsi="Arial" w:eastAsia="Arial" w:cs="Arial"/>
          <w:b w:val="0"/>
          <w:bCs w:val="0"/>
          <w:noProof w:val="0"/>
          <w:color w:val="000000" w:themeColor="text1" w:themeTint="FF" w:themeShade="FF"/>
          <w:sz w:val="22"/>
          <w:szCs w:val="22"/>
          <w:lang w:val="en-GB"/>
        </w:rPr>
        <w:t xml:space="preserve"> integration of these approaches is positioned as a key driver of sustainable organisational success in increasingly diverse, complex, and evolving workplace environments.</w:t>
      </w:r>
    </w:p>
    <w:p w:rsidR="04FF0116" w:rsidP="0362B149" w:rsidRDefault="04FF0116" w14:paraId="1EAC79C0" w14:textId="325B824B">
      <w:pPr>
        <w:rPr>
          <w:rFonts w:ascii="Arial" w:hAnsi="Arial" w:eastAsia="Arial" w:cs="Arial"/>
          <w:b w:val="0"/>
          <w:bCs w:val="0"/>
          <w:noProof w:val="0"/>
          <w:color w:val="000000" w:themeColor="text1" w:themeTint="FF" w:themeShade="FF"/>
          <w:sz w:val="22"/>
          <w:szCs w:val="22"/>
          <w:lang w:val="en-GB"/>
        </w:rPr>
      </w:pPr>
    </w:p>
    <w:p w:rsidR="04FF0116" w:rsidP="0362B149" w:rsidRDefault="04FF0116" w14:paraId="2093A012" w14:textId="233ACF71">
      <w:pPr>
        <w:rPr>
          <w:rFonts w:ascii="Arial" w:hAnsi="Arial" w:eastAsia="Arial" w:cs="Arial"/>
          <w:b w:val="1"/>
          <w:bCs w:val="1"/>
          <w:noProof w:val="0"/>
          <w:color w:val="000000" w:themeColor="text1" w:themeTint="FF" w:themeShade="FF"/>
          <w:sz w:val="22"/>
          <w:szCs w:val="22"/>
          <w:lang w:val="en-GB"/>
        </w:rPr>
      </w:pPr>
      <w:r w:rsidRPr="0362B149" w:rsidR="04FF0116">
        <w:rPr>
          <w:rFonts w:ascii="Arial" w:hAnsi="Arial" w:eastAsia="Arial" w:cs="Arial"/>
          <w:b w:val="1"/>
          <w:bCs w:val="1"/>
          <w:noProof w:val="0"/>
          <w:color w:val="000000" w:themeColor="text1" w:themeTint="FF" w:themeShade="FF"/>
          <w:sz w:val="22"/>
          <w:szCs w:val="22"/>
          <w:lang w:val="en-GB"/>
        </w:rPr>
        <w:t>Emotional Intelligence in the Workplace</w:t>
      </w:r>
      <w:r w:rsidRPr="0362B149" w:rsidR="330EEEBB">
        <w:rPr>
          <w:rFonts w:ascii="Arial" w:hAnsi="Arial" w:eastAsia="Arial" w:cs="Arial"/>
          <w:b w:val="1"/>
          <w:bCs w:val="1"/>
          <w:noProof w:val="0"/>
          <w:color w:val="000000" w:themeColor="text1" w:themeTint="FF" w:themeShade="FF"/>
          <w:sz w:val="22"/>
          <w:szCs w:val="22"/>
          <w:lang w:val="en-GB"/>
        </w:rPr>
        <w:t>, u</w:t>
      </w:r>
      <w:r w:rsidRPr="0362B149" w:rsidR="04FF0116">
        <w:rPr>
          <w:rFonts w:ascii="Arial" w:hAnsi="Arial" w:eastAsia="Arial" w:cs="Arial"/>
          <w:b w:val="1"/>
          <w:bCs w:val="1"/>
          <w:noProof w:val="0"/>
          <w:color w:val="000000" w:themeColor="text1" w:themeTint="FF" w:themeShade="FF"/>
          <w:sz w:val="22"/>
          <w:szCs w:val="22"/>
          <w:lang w:val="en-GB"/>
        </w:rPr>
        <w:t>nderstanding Emotional Intelligence</w:t>
      </w:r>
    </w:p>
    <w:p w:rsidR="04FF0116" w:rsidP="0FC11310" w:rsidRDefault="04FF0116" w14:paraId="0DE2CFE5" w14:textId="60E8F1E9">
      <w:pPr>
        <w:pStyle w:val="Normal"/>
        <w:bidi w:val="0"/>
        <w:rPr>
          <w:rFonts w:ascii="Arial" w:hAnsi="Arial" w:eastAsia="Arial" w:cs="Arial"/>
          <w:b w:val="0"/>
          <w:bCs w:val="0"/>
          <w:noProof w:val="0"/>
          <w:color w:val="000000" w:themeColor="text1" w:themeTint="FF" w:themeShade="FF"/>
          <w:sz w:val="22"/>
          <w:szCs w:val="22"/>
          <w:lang w:val="en-GB"/>
        </w:rPr>
      </w:pPr>
      <w:r w:rsidRPr="0362B149" w:rsidR="04FF0116">
        <w:rPr>
          <w:rFonts w:ascii="Arial" w:hAnsi="Arial" w:eastAsia="Arial" w:cs="Arial"/>
          <w:b w:val="0"/>
          <w:bCs w:val="0"/>
          <w:noProof w:val="0"/>
          <w:color w:val="000000" w:themeColor="text1" w:themeTint="FF" w:themeShade="FF"/>
          <w:sz w:val="22"/>
          <w:szCs w:val="22"/>
          <w:lang w:val="en-GB"/>
        </w:rPr>
        <w:t xml:space="preserve">Emotional intelligence (EI) has become one of the most influential concepts in organisational behaviour and leadership because it focuses on how individuals recognise, understand, regulate, and use emotions effectively in themselves and others (Mayer and Salovey, 1997). Unlike intelligence quotient (IQ), which measures cognitive ability, emotional intelligence reflects an individual's capacity to manage emotions, build relationships, communicate effectively, and make balanced decisions in challenging situations. Modern organisations increasingly recognise that technical knowledge alone is insufficient for achieving organisational success. Employees must also </w:t>
      </w:r>
      <w:r w:rsidRPr="0362B149" w:rsidR="04FF0116">
        <w:rPr>
          <w:rFonts w:ascii="Arial" w:hAnsi="Arial" w:eastAsia="Arial" w:cs="Arial"/>
          <w:b w:val="0"/>
          <w:bCs w:val="0"/>
          <w:noProof w:val="0"/>
          <w:color w:val="000000" w:themeColor="text1" w:themeTint="FF" w:themeShade="FF"/>
          <w:sz w:val="22"/>
          <w:szCs w:val="22"/>
          <w:lang w:val="en-GB"/>
        </w:rPr>
        <w:t>demonstrate</w:t>
      </w:r>
      <w:r w:rsidRPr="0362B149" w:rsidR="04FF0116">
        <w:rPr>
          <w:rFonts w:ascii="Arial" w:hAnsi="Arial" w:eastAsia="Arial" w:cs="Arial"/>
          <w:b w:val="0"/>
          <w:bCs w:val="0"/>
          <w:noProof w:val="0"/>
          <w:color w:val="000000" w:themeColor="text1" w:themeTint="FF" w:themeShade="FF"/>
          <w:sz w:val="22"/>
          <w:szCs w:val="22"/>
          <w:lang w:val="en-GB"/>
        </w:rPr>
        <w:t xml:space="preserve"> interpersonal competence, resilience, empathy, and adaptability to collaborate effectively and respond to workplace challenges.</w:t>
      </w:r>
    </w:p>
    <w:p w:rsidR="04FF0116" w:rsidP="0FC11310" w:rsidRDefault="04FF0116" w14:paraId="00ACD890" w14:textId="4DB58651">
      <w:pPr>
        <w:bidi w:val="0"/>
        <w:rPr>
          <w:rFonts w:ascii="Arial" w:hAnsi="Arial" w:eastAsia="Arial" w:cs="Arial"/>
          <w:b w:val="0"/>
          <w:bCs w:val="0"/>
          <w:noProof w:val="0"/>
          <w:color w:val="000000" w:themeColor="text1" w:themeTint="FF" w:themeShade="FF"/>
          <w:sz w:val="22"/>
          <w:szCs w:val="22"/>
          <w:lang w:val="en-GB"/>
        </w:rPr>
      </w:pPr>
      <w:r w:rsidRPr="0362B149" w:rsidR="04FF0116">
        <w:rPr>
          <w:rFonts w:ascii="Arial" w:hAnsi="Arial" w:eastAsia="Arial" w:cs="Arial"/>
          <w:b w:val="0"/>
          <w:bCs w:val="0"/>
          <w:noProof w:val="0"/>
          <w:color w:val="000000" w:themeColor="text1" w:themeTint="FF" w:themeShade="FF"/>
          <w:sz w:val="22"/>
          <w:szCs w:val="22"/>
          <w:lang w:val="en-GB"/>
        </w:rPr>
        <w:t>Different scholars have conceptualised emotional intelligence in different ways. Mayer and Salovey (1997) view emotional intelligence as a set of cognitive abilities related to processing emotional information, whereas Goleman (1998) argues that emotional intelligence consists of workplace competencies that contribute directly to leadership effectiveness. Bar-On (2006) expands this perspective by incorporating emotional and social competencies that influence personal well-being and successful adaptation. Although these models differ in their theoretical assumptions, they all emphasise that emotional intelligence can improve communication, teamwork, conflict resolution, and employee performance.</w:t>
      </w:r>
    </w:p>
    <w:p w:rsidR="1BD64B67" w:rsidP="0362B149" w:rsidRDefault="1BD64B67" w14:paraId="3169E662" w14:textId="23E523F0">
      <w:pPr>
        <w:pStyle w:val="Normal"/>
        <w:bidi w:val="0"/>
      </w:pPr>
      <w:r w:rsidRPr="0362B149" w:rsidR="1BD64B67">
        <w:rPr>
          <w:rFonts w:ascii="Arial" w:hAnsi="Arial" w:eastAsia="Arial" w:cs="Arial"/>
          <w:b w:val="0"/>
          <w:bCs w:val="0"/>
          <w:noProof w:val="0"/>
          <w:color w:val="000000" w:themeColor="text1" w:themeTint="FF" w:themeShade="FF"/>
          <w:sz w:val="22"/>
          <w:szCs w:val="22"/>
          <w:lang w:val="en-GB"/>
        </w:rPr>
        <w:t xml:space="preserve">One criticism of emotional intelligence is that there is no universally accepted definition or measurement. Researchers such as Locke (2005) argue that emotional intelligence overlaps with established personality traits and social skills, making it difficult to distinguish as an independent construct. Furthermore, some emotional intelligence assessments rely on self-report questionnaires, which may be influenced by respondents presenting themselves in a favourable manner. Nevertheless, substantial empirical evidence </w:t>
      </w:r>
      <w:r w:rsidRPr="0362B149" w:rsidR="1BD64B67">
        <w:rPr>
          <w:rFonts w:ascii="Arial" w:hAnsi="Arial" w:eastAsia="Arial" w:cs="Arial"/>
          <w:b w:val="0"/>
          <w:bCs w:val="0"/>
          <w:noProof w:val="0"/>
          <w:color w:val="000000" w:themeColor="text1" w:themeTint="FF" w:themeShade="FF"/>
          <w:sz w:val="22"/>
          <w:szCs w:val="22"/>
          <w:lang w:val="en-GB"/>
        </w:rPr>
        <w:t>indicates</w:t>
      </w:r>
      <w:r w:rsidRPr="0362B149" w:rsidR="1BD64B67">
        <w:rPr>
          <w:rFonts w:ascii="Arial" w:hAnsi="Arial" w:eastAsia="Arial" w:cs="Arial"/>
          <w:b w:val="0"/>
          <w:bCs w:val="0"/>
          <w:noProof w:val="0"/>
          <w:color w:val="000000" w:themeColor="text1" w:themeTint="FF" w:themeShade="FF"/>
          <w:sz w:val="22"/>
          <w:szCs w:val="22"/>
          <w:lang w:val="en-GB"/>
        </w:rPr>
        <w:t xml:space="preserve"> that emotionally intelligent employees </w:t>
      </w:r>
      <w:r w:rsidRPr="0362B149" w:rsidR="1BD64B67">
        <w:rPr>
          <w:rFonts w:ascii="Arial" w:hAnsi="Arial" w:eastAsia="Arial" w:cs="Arial"/>
          <w:b w:val="0"/>
          <w:bCs w:val="0"/>
          <w:noProof w:val="0"/>
          <w:color w:val="000000" w:themeColor="text1" w:themeTint="FF" w:themeShade="FF"/>
          <w:sz w:val="22"/>
          <w:szCs w:val="22"/>
          <w:lang w:val="en-GB"/>
        </w:rPr>
        <w:t>generally perform</w:t>
      </w:r>
      <w:r w:rsidRPr="0362B149" w:rsidR="1BD64B67">
        <w:rPr>
          <w:rFonts w:ascii="Arial" w:hAnsi="Arial" w:eastAsia="Arial" w:cs="Arial"/>
          <w:b w:val="0"/>
          <w:bCs w:val="0"/>
          <w:noProof w:val="0"/>
          <w:color w:val="000000" w:themeColor="text1" w:themeTint="FF" w:themeShade="FF"/>
          <w:sz w:val="22"/>
          <w:szCs w:val="22"/>
          <w:lang w:val="en-GB"/>
        </w:rPr>
        <w:t xml:space="preserve"> better in collaborative environments, </w:t>
      </w:r>
      <w:r w:rsidRPr="0362B149" w:rsidR="1BD64B67">
        <w:rPr>
          <w:rFonts w:ascii="Arial" w:hAnsi="Arial" w:eastAsia="Arial" w:cs="Arial"/>
          <w:b w:val="0"/>
          <w:bCs w:val="0"/>
          <w:noProof w:val="0"/>
          <w:color w:val="000000" w:themeColor="text1" w:themeTint="FF" w:themeShade="FF"/>
          <w:sz w:val="22"/>
          <w:szCs w:val="22"/>
          <w:lang w:val="en-GB"/>
        </w:rPr>
        <w:t>demonstrate</w:t>
      </w:r>
      <w:r w:rsidRPr="0362B149" w:rsidR="1BD64B67">
        <w:rPr>
          <w:rFonts w:ascii="Arial" w:hAnsi="Arial" w:eastAsia="Arial" w:cs="Arial"/>
          <w:b w:val="0"/>
          <w:bCs w:val="0"/>
          <w:noProof w:val="0"/>
          <w:color w:val="000000" w:themeColor="text1" w:themeTint="FF" w:themeShade="FF"/>
          <w:sz w:val="22"/>
          <w:szCs w:val="22"/>
          <w:lang w:val="en-GB"/>
        </w:rPr>
        <w:t xml:space="preserve"> stronger leadership capabilities, and contribute positively to organisational culture (Miao, </w:t>
      </w:r>
      <w:r w:rsidRPr="0362B149" w:rsidR="1BD64B67">
        <w:rPr>
          <w:rFonts w:ascii="Arial" w:hAnsi="Arial" w:eastAsia="Arial" w:cs="Arial"/>
          <w:b w:val="0"/>
          <w:bCs w:val="0"/>
          <w:noProof w:val="0"/>
          <w:color w:val="000000" w:themeColor="text1" w:themeTint="FF" w:themeShade="FF"/>
          <w:sz w:val="22"/>
          <w:szCs w:val="22"/>
          <w:lang w:val="en-GB"/>
        </w:rPr>
        <w:t>Humphrey</w:t>
      </w:r>
      <w:r w:rsidRPr="0362B149" w:rsidR="1BD64B67">
        <w:rPr>
          <w:rFonts w:ascii="Arial" w:hAnsi="Arial" w:eastAsia="Arial" w:cs="Arial"/>
          <w:b w:val="0"/>
          <w:bCs w:val="0"/>
          <w:noProof w:val="0"/>
          <w:color w:val="000000" w:themeColor="text1" w:themeTint="FF" w:themeShade="FF"/>
          <w:sz w:val="22"/>
          <w:szCs w:val="22"/>
          <w:lang w:val="en-GB"/>
        </w:rPr>
        <w:t xml:space="preserve"> and Qian, 2017).</w:t>
      </w:r>
    </w:p>
    <w:p w:rsidR="1BD64B67" w:rsidP="0362B149" w:rsidRDefault="1BD64B67" w14:paraId="4E09A7E6" w14:textId="6DCD64B1">
      <w:pPr>
        <w:pStyle w:val="Normal"/>
        <w:bidi w:val="0"/>
        <w:rPr>
          <w:rFonts w:ascii="Arial" w:hAnsi="Arial" w:eastAsia="Arial" w:cs="Arial"/>
          <w:b w:val="1"/>
          <w:bCs w:val="1"/>
          <w:noProof w:val="0"/>
          <w:color w:val="000000" w:themeColor="text1" w:themeTint="FF" w:themeShade="FF"/>
          <w:sz w:val="22"/>
          <w:szCs w:val="22"/>
          <w:lang w:val="en-GB"/>
        </w:rPr>
      </w:pPr>
    </w:p>
    <w:p w:rsidR="1BD64B67" w:rsidP="0362B149" w:rsidRDefault="1BD64B67" w14:paraId="4729605F" w14:textId="6556EA94">
      <w:pPr>
        <w:pStyle w:val="Normal"/>
        <w:bidi w:val="0"/>
        <w:rPr>
          <w:rFonts w:ascii="Arial" w:hAnsi="Arial" w:eastAsia="Arial" w:cs="Arial"/>
          <w:b w:val="1"/>
          <w:bCs w:val="1"/>
          <w:noProof w:val="0"/>
          <w:color w:val="000000" w:themeColor="text1" w:themeTint="FF" w:themeShade="FF"/>
          <w:sz w:val="22"/>
          <w:szCs w:val="22"/>
          <w:lang w:val="en-GB"/>
        </w:rPr>
      </w:pPr>
      <w:r w:rsidRPr="0362B149" w:rsidR="1BD64B67">
        <w:rPr>
          <w:rFonts w:ascii="Arial" w:hAnsi="Arial" w:eastAsia="Arial" w:cs="Arial"/>
          <w:b w:val="1"/>
          <w:bCs w:val="1"/>
          <w:noProof w:val="0"/>
          <w:color w:val="000000" w:themeColor="text1" w:themeTint="FF" w:themeShade="FF"/>
          <w:sz w:val="22"/>
          <w:szCs w:val="22"/>
          <w:lang w:val="en-GB"/>
        </w:rPr>
        <w:t>Goleman's Emotional Intelligence Framework</w:t>
      </w:r>
    </w:p>
    <w:p w:rsidR="1BD64B67" w:rsidP="0FC11310" w:rsidRDefault="1BD64B67" w14:paraId="16894676" w14:textId="28982948">
      <w:pPr>
        <w:bidi w:val="0"/>
        <w:rPr>
          <w:rFonts w:ascii="Arial" w:hAnsi="Arial" w:eastAsia="Arial" w:cs="Arial"/>
          <w:b w:val="0"/>
          <w:bCs w:val="0"/>
          <w:noProof w:val="0"/>
          <w:color w:val="000000" w:themeColor="text1" w:themeTint="FF" w:themeShade="FF"/>
          <w:sz w:val="22"/>
          <w:szCs w:val="22"/>
          <w:lang w:val="en-GB"/>
        </w:rPr>
      </w:pPr>
      <w:r w:rsidRPr="0362B149" w:rsidR="1BD64B67">
        <w:rPr>
          <w:rFonts w:ascii="Arial" w:hAnsi="Arial" w:eastAsia="Arial" w:cs="Arial"/>
          <w:b w:val="0"/>
          <w:bCs w:val="0"/>
          <w:noProof w:val="0"/>
          <w:color w:val="000000" w:themeColor="text1" w:themeTint="FF" w:themeShade="FF"/>
          <w:sz w:val="22"/>
          <w:szCs w:val="22"/>
          <w:lang w:val="en-GB"/>
        </w:rPr>
        <w:t>Goleman's (1998) Emotional Intelligence Framework remains one of the most widely applied models within organisational settings. He proposed that effective workplace performance depends upon five interconnected components: self-awareness, self-regulation, motivation, empathy, and social skills. Unlike traditional intelligence, Goleman argues that these competencies can be developed through training, reflection, coaching, and practical experience, making emotional intelligence particularly valuable for employee development and leadership programmes.</w:t>
      </w:r>
    </w:p>
    <w:p w:rsidR="1BD64B67" w:rsidP="0362B149" w:rsidRDefault="1BD64B67" w14:paraId="150C6750" w14:textId="4C3D6884">
      <w:pPr>
        <w:bidi w:val="0"/>
        <w:rPr>
          <w:rFonts w:ascii="Arial" w:hAnsi="Arial" w:eastAsia="Arial" w:cs="Arial"/>
          <w:b w:val="0"/>
          <w:bCs w:val="0"/>
          <w:noProof w:val="0"/>
          <w:color w:val="000000" w:themeColor="text1" w:themeTint="FF" w:themeShade="FF"/>
          <w:sz w:val="22"/>
          <w:szCs w:val="22"/>
          <w:lang w:val="en-GB"/>
        </w:rPr>
      </w:pPr>
      <w:r w:rsidRPr="0362B149" w:rsidR="1A0ED043">
        <w:rPr>
          <w:rFonts w:ascii="Arial" w:hAnsi="Arial" w:eastAsia="Arial" w:cs="Arial"/>
          <w:b w:val="0"/>
          <w:bCs w:val="0"/>
          <w:noProof w:val="0"/>
          <w:color w:val="000000" w:themeColor="text1" w:themeTint="FF" w:themeShade="FF"/>
          <w:sz w:val="22"/>
          <w:szCs w:val="22"/>
          <w:lang w:val="en-GB"/>
        </w:rPr>
        <w:t>Self-awareness forms the foundation of Goleman’s framework because individuals who understand their emotions, strengths, weaknesses, and behavioural patterns are more likely to make informed decisions and respond appropriately under pressure. This awareness enables employees to recognise how their emotional state can influence their judgement, communication style, and interactions with others in the workplace. As a result, self-aware individuals are better able to regulate impulsive reactions, reflect on their behaviour, and adjust their approach to suit different situations and stakeholders. In organisational contexts, this contributes to improved professional relationships, more effective leadership, and a reduction in emotionally driven conflict, ultimately supporting a more stable and productive working environment.</w:t>
      </w:r>
    </w:p>
    <w:p w:rsidR="1BD64B67" w:rsidP="0FC11310" w:rsidRDefault="1BD64B67" w14:paraId="4BC0002C" w14:textId="4B81FF6F">
      <w:pPr>
        <w:bidi w:val="0"/>
        <w:rPr>
          <w:rFonts w:ascii="Arial" w:hAnsi="Arial" w:eastAsia="Arial" w:cs="Arial"/>
          <w:b w:val="0"/>
          <w:bCs w:val="0"/>
          <w:noProof w:val="0"/>
          <w:color w:val="000000" w:themeColor="text1" w:themeTint="FF" w:themeShade="FF"/>
          <w:sz w:val="22"/>
          <w:szCs w:val="22"/>
          <w:lang w:val="en-GB"/>
        </w:rPr>
      </w:pPr>
      <w:r w:rsidRPr="0362B149" w:rsidR="1BD64B67">
        <w:rPr>
          <w:rFonts w:ascii="Arial" w:hAnsi="Arial" w:eastAsia="Arial" w:cs="Arial"/>
          <w:b w:val="0"/>
          <w:bCs w:val="0"/>
          <w:noProof w:val="0"/>
          <w:color w:val="000000" w:themeColor="text1" w:themeTint="FF" w:themeShade="FF"/>
          <w:sz w:val="22"/>
          <w:szCs w:val="22"/>
          <w:lang w:val="en-GB"/>
        </w:rPr>
        <w:t xml:space="preserve">In workplace environments, self-aware employees recognise when stress or frustration may influence their judgement and take proactive steps to manage their emotions before they affect colleagues or organisational outcomes. For example, during a high-pressure project, a self-aware manager may acknowledge feelings of anxiety and deliberately communicate calmly with team members, preventing unnecessary conflict and </w:t>
      </w:r>
      <w:r w:rsidRPr="0362B149" w:rsidR="1BD64B67">
        <w:rPr>
          <w:rFonts w:ascii="Arial" w:hAnsi="Arial" w:eastAsia="Arial" w:cs="Arial"/>
          <w:b w:val="0"/>
          <w:bCs w:val="0"/>
          <w:noProof w:val="0"/>
          <w:color w:val="000000" w:themeColor="text1" w:themeTint="FF" w:themeShade="FF"/>
          <w:sz w:val="22"/>
          <w:szCs w:val="22"/>
          <w:lang w:val="en-GB"/>
        </w:rPr>
        <w:t>maintaining</w:t>
      </w:r>
      <w:r w:rsidRPr="0362B149" w:rsidR="1BD64B67">
        <w:rPr>
          <w:rFonts w:ascii="Arial" w:hAnsi="Arial" w:eastAsia="Arial" w:cs="Arial"/>
          <w:b w:val="0"/>
          <w:bCs w:val="0"/>
          <w:noProof w:val="0"/>
          <w:color w:val="000000" w:themeColor="text1" w:themeTint="FF" w:themeShade="FF"/>
          <w:sz w:val="22"/>
          <w:szCs w:val="22"/>
          <w:lang w:val="en-GB"/>
        </w:rPr>
        <w:t xml:space="preserve"> productivity.</w:t>
      </w:r>
    </w:p>
    <w:p w:rsidR="1BD64B67" w:rsidP="0FC11310" w:rsidRDefault="1BD64B67" w14:paraId="2543784C" w14:textId="44612E8C">
      <w:pPr>
        <w:bidi w:val="0"/>
        <w:rPr>
          <w:rFonts w:ascii="Arial" w:hAnsi="Arial" w:eastAsia="Arial" w:cs="Arial"/>
          <w:b w:val="0"/>
          <w:bCs w:val="0"/>
          <w:noProof w:val="0"/>
          <w:color w:val="000000" w:themeColor="text1" w:themeTint="FF" w:themeShade="FF"/>
          <w:sz w:val="22"/>
          <w:szCs w:val="22"/>
          <w:lang w:val="en-GB"/>
        </w:rPr>
      </w:pPr>
      <w:r w:rsidRPr="0362B149" w:rsidR="1BD64B67">
        <w:rPr>
          <w:rFonts w:ascii="Arial" w:hAnsi="Arial" w:eastAsia="Arial" w:cs="Arial"/>
          <w:b w:val="0"/>
          <w:bCs w:val="0"/>
          <w:noProof w:val="0"/>
          <w:color w:val="000000" w:themeColor="text1" w:themeTint="FF" w:themeShade="FF"/>
          <w:sz w:val="22"/>
          <w:szCs w:val="22"/>
          <w:lang w:val="en-GB"/>
        </w:rPr>
        <w:t>Closely related to self-awareness is self-regulation, which refers to an individual's ability to control emotional reactions and behave professionally regardless of challenging circumstances. Employees with strong self-regulation remain composed when receiving criticism, handling customer complaints, or managing organisational change. Rather than reacting impulsively, they evaluate situations objectively and choose constructive responses. This ability contributes significantly to psychological safety, as colleagues are more likely to express ideas and concerns in environments where emotional reactions are controlled and respectful.</w:t>
      </w:r>
    </w:p>
    <w:p w:rsidR="1924B160" w:rsidP="0FC11310" w:rsidRDefault="1924B160" w14:paraId="76C734F5" w14:textId="7AA9417E">
      <w:pPr>
        <w:bidi w:val="0"/>
        <w:rPr>
          <w:rFonts w:ascii="Arial" w:hAnsi="Arial" w:eastAsia="Arial" w:cs="Arial"/>
          <w:b w:val="0"/>
          <w:bCs w:val="0"/>
          <w:noProof w:val="0"/>
          <w:color w:val="000000" w:themeColor="text1" w:themeTint="FF" w:themeShade="FF"/>
          <w:sz w:val="22"/>
          <w:szCs w:val="22"/>
          <w:lang w:val="en-GB"/>
        </w:rPr>
      </w:pPr>
      <w:r w:rsidRPr="0362B149" w:rsidR="1924B160">
        <w:rPr>
          <w:rFonts w:ascii="Arial" w:hAnsi="Arial" w:eastAsia="Arial" w:cs="Arial"/>
          <w:b w:val="0"/>
          <w:bCs w:val="0"/>
          <w:noProof w:val="0"/>
          <w:color w:val="000000" w:themeColor="text1" w:themeTint="FF" w:themeShade="FF"/>
          <w:sz w:val="22"/>
          <w:szCs w:val="22"/>
          <w:lang w:val="en-GB"/>
        </w:rPr>
        <w:t>Generation Z</w:t>
      </w:r>
      <w:r w:rsidRPr="0362B149" w:rsidR="1924B160">
        <w:rPr>
          <w:rFonts w:ascii="Arial" w:hAnsi="Arial" w:eastAsia="Arial" w:cs="Arial"/>
          <w:b w:val="0"/>
          <w:bCs w:val="0"/>
          <w:noProof w:val="0"/>
          <w:color w:val="000000" w:themeColor="text1" w:themeTint="FF" w:themeShade="FF"/>
          <w:sz w:val="22"/>
          <w:szCs w:val="22"/>
          <w:lang w:val="en-GB"/>
        </w:rPr>
        <w:t xml:space="preserve"> (born approximately 1997–2012) represents the newest generation entering the workforce. Having grown up with smartphones, social media and digital communication, they are highly comfortable using technology and often expect modern digital working environments. Many members of Generation Z value diversity, inclusion, mental health support and flexible career opportunities. They generally expect employers to demonstrate social responsibility while providing rapid learning opportunities and clear career pathways.</w:t>
      </w:r>
    </w:p>
    <w:p w:rsidR="1924B160" w:rsidP="0362B149" w:rsidRDefault="1924B160" w14:paraId="19005DC4" w14:textId="53A92FE9">
      <w:pPr>
        <w:bidi w:val="0"/>
        <w:rPr>
          <w:rFonts w:ascii="Arial" w:hAnsi="Arial" w:eastAsia="Arial" w:cs="Arial"/>
          <w:b w:val="0"/>
          <w:bCs w:val="0"/>
          <w:noProof w:val="0"/>
          <w:color w:val="000000" w:themeColor="text1" w:themeTint="FF" w:themeShade="FF"/>
          <w:sz w:val="22"/>
          <w:szCs w:val="22"/>
          <w:lang w:val="en-GB"/>
        </w:rPr>
      </w:pPr>
      <w:r w:rsidRPr="0362B149" w:rsidR="01E6F247">
        <w:rPr>
          <w:rFonts w:ascii="Arial" w:hAnsi="Arial" w:eastAsia="Arial" w:cs="Arial"/>
          <w:b w:val="0"/>
          <w:bCs w:val="0"/>
          <w:noProof w:val="0"/>
          <w:color w:val="000000" w:themeColor="text1" w:themeTint="FF" w:themeShade="FF"/>
          <w:sz w:val="22"/>
          <w:szCs w:val="22"/>
          <w:lang w:val="en-GB"/>
        </w:rPr>
        <w:t xml:space="preserve">Although these characteristics </w:t>
      </w:r>
      <w:r w:rsidRPr="0362B149" w:rsidR="01E6F247">
        <w:rPr>
          <w:rFonts w:ascii="Arial" w:hAnsi="Arial" w:eastAsia="Arial" w:cs="Arial"/>
          <w:b w:val="0"/>
          <w:bCs w:val="0"/>
          <w:noProof w:val="0"/>
          <w:color w:val="000000" w:themeColor="text1" w:themeTint="FF" w:themeShade="FF"/>
          <w:sz w:val="22"/>
          <w:szCs w:val="22"/>
          <w:lang w:val="en-GB"/>
        </w:rPr>
        <w:t>provide</w:t>
      </w:r>
      <w:r w:rsidRPr="0362B149" w:rsidR="01E6F247">
        <w:rPr>
          <w:rFonts w:ascii="Arial" w:hAnsi="Arial" w:eastAsia="Arial" w:cs="Arial"/>
          <w:b w:val="0"/>
          <w:bCs w:val="0"/>
          <w:noProof w:val="0"/>
          <w:color w:val="000000" w:themeColor="text1" w:themeTint="FF" w:themeShade="FF"/>
          <w:sz w:val="22"/>
          <w:szCs w:val="22"/>
          <w:lang w:val="en-GB"/>
        </w:rPr>
        <w:t xml:space="preserve"> useful insights, managers should avoid </w:t>
      </w:r>
      <w:r w:rsidRPr="0362B149" w:rsidR="19A12983">
        <w:rPr>
          <w:rFonts w:ascii="Arial" w:hAnsi="Arial" w:eastAsia="Arial" w:cs="Arial"/>
          <w:b w:val="0"/>
          <w:bCs w:val="0"/>
          <w:noProof w:val="0"/>
          <w:color w:val="000000" w:themeColor="text1" w:themeTint="FF" w:themeShade="FF"/>
          <w:sz w:val="22"/>
          <w:szCs w:val="22"/>
          <w:lang w:val="en-GB"/>
        </w:rPr>
        <w:t>if</w:t>
      </w:r>
      <w:r w:rsidRPr="0362B149" w:rsidR="01E6F247">
        <w:rPr>
          <w:rFonts w:ascii="Arial" w:hAnsi="Arial" w:eastAsia="Arial" w:cs="Arial"/>
          <w:b w:val="0"/>
          <w:bCs w:val="0"/>
          <w:noProof w:val="0"/>
          <w:color w:val="000000" w:themeColor="text1" w:themeTint="FF" w:themeShade="FF"/>
          <w:sz w:val="22"/>
          <w:szCs w:val="22"/>
          <w:lang w:val="en-GB"/>
        </w:rPr>
        <w:t xml:space="preserve"> every employee behaves according to generational stereotypes, as this can lead to overly simplistic interpretations of complex human behaviour. Individual personality traits, cultural background, education, professional experience, and personal life circumstances often influence workplace attitudes and behaviour as much as, if not more than, age cohort membership. Relying too heavily on generational generalisations can therefore result in biased decision-making, reduced fairness in management practices, and missed opportunities to recognise individual strengths and capabilities within teams. It may also reinforce unconscious bias in recruitment, performance evaluation, and promotion processes, </w:t>
      </w:r>
      <w:r w:rsidRPr="0362B149" w:rsidR="01E6F247">
        <w:rPr>
          <w:rFonts w:ascii="Arial" w:hAnsi="Arial" w:eastAsia="Arial" w:cs="Arial"/>
          <w:b w:val="0"/>
          <w:bCs w:val="0"/>
          <w:noProof w:val="0"/>
          <w:color w:val="000000" w:themeColor="text1" w:themeTint="FF" w:themeShade="FF"/>
          <w:sz w:val="22"/>
          <w:szCs w:val="22"/>
          <w:lang w:val="en-GB"/>
        </w:rPr>
        <w:t>ultimately undermining</w:t>
      </w:r>
      <w:r w:rsidRPr="0362B149" w:rsidR="01E6F247">
        <w:rPr>
          <w:rFonts w:ascii="Arial" w:hAnsi="Arial" w:eastAsia="Arial" w:cs="Arial"/>
          <w:b w:val="0"/>
          <w:bCs w:val="0"/>
          <w:noProof w:val="0"/>
          <w:color w:val="000000" w:themeColor="text1" w:themeTint="FF" w:themeShade="FF"/>
          <w:sz w:val="22"/>
          <w:szCs w:val="22"/>
          <w:lang w:val="en-GB"/>
        </w:rPr>
        <w:t xml:space="preserve"> organisational inclusivity and employee engagement.</w:t>
      </w:r>
    </w:p>
    <w:p w:rsidR="1924B160" w:rsidP="0362B149" w:rsidRDefault="1924B160" w14:paraId="247A766A" w14:textId="5C9D33E7">
      <w:pPr>
        <w:pStyle w:val="Heading3"/>
        <w:bidi w:val="0"/>
        <w:rPr>
          <w:rFonts w:ascii="Arial" w:hAnsi="Arial" w:eastAsia="Arial" w:cs="Arial"/>
          <w:b w:val="1"/>
          <w:bCs w:val="1"/>
          <w:noProof w:val="0"/>
          <w:color w:val="000000" w:themeColor="text1" w:themeTint="FF" w:themeShade="FF"/>
          <w:sz w:val="22"/>
          <w:szCs w:val="22"/>
          <w:lang w:val="en-GB"/>
        </w:rPr>
      </w:pPr>
    </w:p>
    <w:p w:rsidR="1924B160" w:rsidP="0362B149" w:rsidRDefault="1924B160" w14:paraId="7A78EADB" w14:textId="66279E19">
      <w:pPr>
        <w:pStyle w:val="Heading3"/>
        <w:bidi w:val="0"/>
        <w:rPr>
          <w:rFonts w:ascii="Arial" w:hAnsi="Arial" w:eastAsia="Arial" w:cs="Arial"/>
          <w:b w:val="1"/>
          <w:bCs w:val="1"/>
          <w:noProof w:val="0"/>
          <w:color w:val="000000" w:themeColor="text1" w:themeTint="FF" w:themeShade="FF"/>
          <w:sz w:val="22"/>
          <w:szCs w:val="22"/>
          <w:lang w:val="en-GB"/>
        </w:rPr>
      </w:pPr>
      <w:r w:rsidRPr="0362B149" w:rsidR="1924B160">
        <w:rPr>
          <w:rFonts w:ascii="Arial" w:hAnsi="Arial" w:eastAsia="Arial" w:cs="Arial"/>
          <w:b w:val="1"/>
          <w:bCs w:val="1"/>
          <w:noProof w:val="0"/>
          <w:color w:val="000000" w:themeColor="text1" w:themeTint="FF" w:themeShade="FF"/>
          <w:sz w:val="22"/>
          <w:szCs w:val="22"/>
          <w:lang w:val="en-GB"/>
        </w:rPr>
        <w:t>Impact of Generational Differences on Organisational Effectiveness</w:t>
      </w:r>
    </w:p>
    <w:p w:rsidR="1924B160" w:rsidP="0FC11310" w:rsidRDefault="1924B160" w14:paraId="3CC42234" w14:textId="3EAABEE6">
      <w:pPr>
        <w:bidi w:val="0"/>
        <w:rPr>
          <w:rFonts w:ascii="Arial" w:hAnsi="Arial" w:eastAsia="Arial" w:cs="Arial"/>
          <w:b w:val="0"/>
          <w:bCs w:val="0"/>
          <w:noProof w:val="0"/>
          <w:color w:val="000000" w:themeColor="text1" w:themeTint="FF" w:themeShade="FF"/>
          <w:sz w:val="22"/>
          <w:szCs w:val="22"/>
          <w:lang w:val="en-GB"/>
        </w:rPr>
      </w:pPr>
      <w:r w:rsidRPr="0362B149" w:rsidR="1924B160">
        <w:rPr>
          <w:rFonts w:ascii="Arial" w:hAnsi="Arial" w:eastAsia="Arial" w:cs="Arial"/>
          <w:b w:val="0"/>
          <w:bCs w:val="0"/>
          <w:noProof w:val="0"/>
          <w:color w:val="000000" w:themeColor="text1" w:themeTint="FF" w:themeShade="FF"/>
          <w:sz w:val="22"/>
          <w:szCs w:val="22"/>
          <w:lang w:val="en-GB"/>
        </w:rPr>
        <w:t>Differences in workplace values and communication preferences can influence organisational performance. Generation X employees may prefer structured meetings and independent decision-making, whereas Millennials often appreciate collaborative discussions and regular coaching. Generation Z employees may favour instant digital communication through collaboration platforms and expect rapid responses from managers.</w:t>
      </w:r>
    </w:p>
    <w:p w:rsidR="1924B160" w:rsidP="0FC11310" w:rsidRDefault="1924B160" w14:paraId="28120533" w14:textId="27D4BA36">
      <w:pPr>
        <w:bidi w:val="0"/>
        <w:rPr>
          <w:rFonts w:ascii="Arial" w:hAnsi="Arial" w:eastAsia="Arial" w:cs="Arial"/>
          <w:b w:val="0"/>
          <w:bCs w:val="0"/>
          <w:noProof w:val="0"/>
          <w:color w:val="000000" w:themeColor="text1" w:themeTint="FF" w:themeShade="FF"/>
          <w:sz w:val="22"/>
          <w:szCs w:val="22"/>
          <w:lang w:val="en-GB"/>
        </w:rPr>
      </w:pPr>
      <w:r w:rsidRPr="0362B149" w:rsidR="1924B160">
        <w:rPr>
          <w:rFonts w:ascii="Arial" w:hAnsi="Arial" w:eastAsia="Arial" w:cs="Arial"/>
          <w:b w:val="0"/>
          <w:bCs w:val="0"/>
          <w:noProof w:val="0"/>
          <w:color w:val="000000" w:themeColor="text1" w:themeTint="FF" w:themeShade="FF"/>
          <w:sz w:val="22"/>
          <w:szCs w:val="22"/>
          <w:lang w:val="en-GB"/>
        </w:rPr>
        <w:t>These differing expectations can create misunderstandings if managers fail to adapt their communication styles. For example, a Generation X employee may interpret frequent digital messages as unnecessary interruptions, while a Generation Z employee may perceive delayed feedback as a lack of managerial support. Emotional intelligence enables managers to recognise these differing perspectives and adapt their approach to improve understanding and collaboration.</w:t>
      </w:r>
    </w:p>
    <w:p w:rsidR="1FDA1CC4" w:rsidP="0FC11310" w:rsidRDefault="1FDA1CC4" w14:paraId="40771A48" w14:textId="62889B3F">
      <w:pPr>
        <w:bidi w:val="0"/>
        <w:rPr>
          <w:rFonts w:ascii="Arial" w:hAnsi="Arial" w:eastAsia="Arial" w:cs="Arial"/>
          <w:b w:val="0"/>
          <w:bCs w:val="0"/>
          <w:noProof w:val="0"/>
          <w:color w:val="000000" w:themeColor="text1" w:themeTint="FF" w:themeShade="FF"/>
          <w:sz w:val="22"/>
          <w:szCs w:val="22"/>
          <w:lang w:val="en-GB"/>
        </w:rPr>
      </w:pPr>
      <w:r w:rsidRPr="0362B149" w:rsidR="1FDA1CC4">
        <w:rPr>
          <w:rFonts w:ascii="Arial" w:hAnsi="Arial" w:eastAsia="Arial" w:cs="Arial"/>
          <w:b w:val="0"/>
          <w:bCs w:val="0"/>
          <w:noProof w:val="0"/>
          <w:color w:val="000000" w:themeColor="text1" w:themeTint="FF" w:themeShade="FF"/>
          <w:sz w:val="22"/>
          <w:szCs w:val="22"/>
          <w:lang w:val="en-GB"/>
        </w:rPr>
        <w:t>Motivation also varies across generations. Generation X employees may be motivated by stability, autonomy and recognition of expertise. Millennials frequently seek career progression, mentoring and meaningful work, while Generation Z often values continuous learning, flexibility and organisational commitment to employee well-being. Organisations that rely on a single motivational strategy risk reducing engagement among employees whose expectations differ (Twenge, 2023).</w:t>
      </w:r>
    </w:p>
    <w:p w:rsidR="1FDA1CC4" w:rsidP="0362B149" w:rsidRDefault="1FDA1CC4" w14:paraId="06D0B320" w14:textId="014DA07F">
      <w:pPr>
        <w:bidi w:val="0"/>
        <w:rPr>
          <w:rFonts w:ascii="Arial" w:hAnsi="Arial" w:eastAsia="Arial" w:cs="Arial"/>
          <w:b w:val="0"/>
          <w:bCs w:val="0"/>
          <w:noProof w:val="0"/>
          <w:color w:val="000000" w:themeColor="text1" w:themeTint="FF" w:themeShade="FF"/>
          <w:sz w:val="22"/>
          <w:szCs w:val="22"/>
          <w:lang w:val="en-GB"/>
        </w:rPr>
      </w:pPr>
      <w:r w:rsidRPr="0362B149" w:rsidR="639D0B80">
        <w:rPr>
          <w:rFonts w:ascii="Arial" w:hAnsi="Arial" w:eastAsia="Arial" w:cs="Arial"/>
          <w:b w:val="0"/>
          <w:bCs w:val="0"/>
          <w:noProof w:val="0"/>
          <w:color w:val="000000" w:themeColor="text1" w:themeTint="FF" w:themeShade="FF"/>
          <w:sz w:val="22"/>
          <w:szCs w:val="22"/>
          <w:lang w:val="en-GB"/>
        </w:rPr>
        <w:t>Technological adaptability presents both opportunities and challenges within contemporary organisations, particularly in the context of a multigenerational workforce. Generation Z employees often introduce advanced digital skills, familiarity with emerging technologies, and a strong ability to adapt quickly to new systems, which can significantly improve organisational efficiency, innovation, and responsiveness to change. In contrast, Generation X employees contribute valuable organisational knowledge, professional judgement, and extensive industry experience developed over time, which supports stability, informed decision-making, and risk management. However, differences in technological confidence and preferred working methods can sometimes create misunderstandings or uneven collaboration if not effectively managed.</w:t>
      </w:r>
    </w:p>
    <w:p w:rsidR="1FDA1CC4" w:rsidP="0362B149" w:rsidRDefault="1FDA1CC4" w14:paraId="71E33449" w14:textId="62B75420">
      <w:pPr>
        <w:bidi w:val="0"/>
      </w:pPr>
      <w:r w:rsidRPr="0362B149" w:rsidR="639D0B80">
        <w:rPr>
          <w:rFonts w:ascii="Arial" w:hAnsi="Arial" w:eastAsia="Arial" w:cs="Arial"/>
          <w:b w:val="0"/>
          <w:bCs w:val="0"/>
          <w:noProof w:val="0"/>
          <w:color w:val="000000" w:themeColor="text1" w:themeTint="FF" w:themeShade="FF"/>
          <w:sz w:val="22"/>
          <w:szCs w:val="22"/>
          <w:lang w:val="en-GB"/>
        </w:rPr>
        <w:t xml:space="preserve">Encouraging structured knowledge sharing between generations enables organisations to harness the strengths of both technological innovation and practical </w:t>
      </w:r>
      <w:r w:rsidRPr="0362B149" w:rsidR="639D0B80">
        <w:rPr>
          <w:rFonts w:ascii="Arial" w:hAnsi="Arial" w:eastAsia="Arial" w:cs="Arial"/>
          <w:b w:val="0"/>
          <w:bCs w:val="0"/>
          <w:noProof w:val="0"/>
          <w:color w:val="000000" w:themeColor="text1" w:themeTint="FF" w:themeShade="FF"/>
          <w:sz w:val="22"/>
          <w:szCs w:val="22"/>
          <w:lang w:val="en-GB"/>
        </w:rPr>
        <w:t>expertise</w:t>
      </w:r>
      <w:r w:rsidRPr="0362B149" w:rsidR="639D0B80">
        <w:rPr>
          <w:rFonts w:ascii="Arial" w:hAnsi="Arial" w:eastAsia="Arial" w:cs="Arial"/>
          <w:b w:val="0"/>
          <w:bCs w:val="0"/>
          <w:noProof w:val="0"/>
          <w:color w:val="000000" w:themeColor="text1" w:themeTint="FF" w:themeShade="FF"/>
          <w:sz w:val="22"/>
          <w:szCs w:val="22"/>
          <w:lang w:val="en-GB"/>
        </w:rPr>
        <w:t>, thereby enhancing overall organisational performance (Robbins and Judge, 2023). This can be achieved through mentoring programmes, reverse mentoring initiatives, collaborative team structures, and cross-generational project work. Such approaches not only improve skill transfer but also promote mutual respect, reduce generational stereotypes, and strengthen team cohesion. Over time, this integration of diverse capabilities supports continuous learning, increases adaptability to digital transformation, and contributes to a more resilient and future-ready workforce.</w:t>
      </w:r>
    </w:p>
    <w:p w:rsidR="1FDA1CC4" w:rsidP="0362B149" w:rsidRDefault="1FDA1CC4" w14:paraId="6BAA9048" w14:textId="1CA07A76">
      <w:pPr>
        <w:bidi w:val="0"/>
        <w:rPr>
          <w:rFonts w:ascii="Arial" w:hAnsi="Arial" w:eastAsia="Arial" w:cs="Arial"/>
          <w:b w:val="1"/>
          <w:bCs w:val="1"/>
          <w:noProof w:val="0"/>
          <w:color w:val="000000" w:themeColor="text1" w:themeTint="FF" w:themeShade="FF"/>
          <w:sz w:val="22"/>
          <w:szCs w:val="22"/>
          <w:lang w:val="en-GB"/>
        </w:rPr>
      </w:pPr>
      <w:r w:rsidRPr="0362B149" w:rsidR="1FDA1CC4">
        <w:rPr>
          <w:rFonts w:ascii="Arial" w:hAnsi="Arial" w:eastAsia="Arial" w:cs="Arial"/>
          <w:b w:val="1"/>
          <w:bCs w:val="1"/>
          <w:noProof w:val="0"/>
          <w:color w:val="000000" w:themeColor="text1" w:themeTint="FF" w:themeShade="FF"/>
          <w:sz w:val="22"/>
          <w:szCs w:val="22"/>
          <w:lang w:val="en-GB"/>
        </w:rPr>
        <w:t>Using Emotional Intelligence to Manage a Multigenerational Workforce</w:t>
      </w:r>
    </w:p>
    <w:p w:rsidR="1FDA1CC4" w:rsidP="0FC11310" w:rsidRDefault="1FDA1CC4" w14:paraId="0D0D76A6" w14:textId="7B6BAAF8">
      <w:pPr>
        <w:bidi w:val="0"/>
        <w:rPr>
          <w:rFonts w:ascii="Arial" w:hAnsi="Arial" w:eastAsia="Arial" w:cs="Arial"/>
          <w:b w:val="0"/>
          <w:bCs w:val="0"/>
          <w:noProof w:val="0"/>
          <w:color w:val="000000" w:themeColor="text1" w:themeTint="FF" w:themeShade="FF"/>
          <w:sz w:val="22"/>
          <w:szCs w:val="22"/>
          <w:lang w:val="en-GB"/>
        </w:rPr>
      </w:pPr>
      <w:r w:rsidRPr="0362B149" w:rsidR="1FDA1CC4">
        <w:rPr>
          <w:rFonts w:ascii="Arial" w:hAnsi="Arial" w:eastAsia="Arial" w:cs="Arial"/>
          <w:b w:val="0"/>
          <w:bCs w:val="0"/>
          <w:noProof w:val="0"/>
          <w:color w:val="000000" w:themeColor="text1" w:themeTint="FF" w:themeShade="FF"/>
          <w:sz w:val="22"/>
          <w:szCs w:val="22"/>
          <w:lang w:val="en-GB"/>
        </w:rPr>
        <w:t xml:space="preserve">Emotionally intelligent managers recognise that effective leadership requires adapting to individual rather than assumed generational needs. Self-awareness enables leaders to </w:t>
      </w:r>
      <w:r w:rsidRPr="0362B149" w:rsidR="1FDA1CC4">
        <w:rPr>
          <w:rFonts w:ascii="Arial" w:hAnsi="Arial" w:eastAsia="Arial" w:cs="Arial"/>
          <w:b w:val="0"/>
          <w:bCs w:val="0"/>
          <w:noProof w:val="0"/>
          <w:color w:val="000000" w:themeColor="text1" w:themeTint="FF" w:themeShade="FF"/>
          <w:sz w:val="22"/>
          <w:szCs w:val="22"/>
          <w:lang w:val="en-GB"/>
        </w:rPr>
        <w:t>identify</w:t>
      </w:r>
      <w:r w:rsidRPr="0362B149" w:rsidR="1FDA1CC4">
        <w:rPr>
          <w:rFonts w:ascii="Arial" w:hAnsi="Arial" w:eastAsia="Arial" w:cs="Arial"/>
          <w:b w:val="0"/>
          <w:bCs w:val="0"/>
          <w:noProof w:val="0"/>
          <w:color w:val="000000" w:themeColor="text1" w:themeTint="FF" w:themeShade="FF"/>
          <w:sz w:val="22"/>
          <w:szCs w:val="22"/>
          <w:lang w:val="en-GB"/>
        </w:rPr>
        <w:t xml:space="preserve"> personal biases and avoid making decisions based on stereotypes. For example, </w:t>
      </w:r>
      <w:r w:rsidRPr="0362B149" w:rsidR="2BA2C382">
        <w:rPr>
          <w:rFonts w:ascii="Arial" w:hAnsi="Arial" w:eastAsia="Arial" w:cs="Arial"/>
          <w:b w:val="0"/>
          <w:bCs w:val="0"/>
          <w:noProof w:val="0"/>
          <w:color w:val="000000" w:themeColor="text1" w:themeTint="FF" w:themeShade="FF"/>
          <w:sz w:val="22"/>
          <w:szCs w:val="22"/>
          <w:lang w:val="en-GB"/>
        </w:rPr>
        <w:t>if</w:t>
      </w:r>
      <w:r w:rsidRPr="0362B149" w:rsidR="1FDA1CC4">
        <w:rPr>
          <w:rFonts w:ascii="Arial" w:hAnsi="Arial" w:eastAsia="Arial" w:cs="Arial"/>
          <w:b w:val="0"/>
          <w:bCs w:val="0"/>
          <w:noProof w:val="0"/>
          <w:color w:val="000000" w:themeColor="text1" w:themeTint="FF" w:themeShade="FF"/>
          <w:sz w:val="22"/>
          <w:szCs w:val="22"/>
          <w:lang w:val="en-GB"/>
        </w:rPr>
        <w:t xml:space="preserve"> older employees resist technology or that younger employees lack commitment can damage trust and reduce employee engagement (Northouse, 2022).</w:t>
      </w:r>
    </w:p>
    <w:p w:rsidR="1FDA1CC4" w:rsidP="0FC11310" w:rsidRDefault="1FDA1CC4" w14:paraId="191888F6" w14:textId="33729BE8">
      <w:pPr>
        <w:bidi w:val="0"/>
        <w:rPr>
          <w:rFonts w:ascii="Arial" w:hAnsi="Arial" w:eastAsia="Arial" w:cs="Arial"/>
          <w:b w:val="0"/>
          <w:bCs w:val="0"/>
          <w:noProof w:val="0"/>
          <w:color w:val="000000" w:themeColor="text1" w:themeTint="FF" w:themeShade="FF"/>
          <w:sz w:val="22"/>
          <w:szCs w:val="22"/>
          <w:lang w:val="en-GB"/>
        </w:rPr>
      </w:pPr>
      <w:r w:rsidRPr="0362B149" w:rsidR="1FDA1CC4">
        <w:rPr>
          <w:rFonts w:ascii="Arial" w:hAnsi="Arial" w:eastAsia="Arial" w:cs="Arial"/>
          <w:b w:val="0"/>
          <w:bCs w:val="0"/>
          <w:noProof w:val="0"/>
          <w:color w:val="000000" w:themeColor="text1" w:themeTint="FF" w:themeShade="FF"/>
          <w:sz w:val="22"/>
          <w:szCs w:val="22"/>
          <w:lang w:val="en-GB"/>
        </w:rPr>
        <w:t>Empathy is particularly important when managing diverse age groups. Leaders who actively listen to employees and seek to understand different perspectives are better able to resolve misunderstandings before they escalate into conflict. Empathy also strengthens workplace relationships by ensuring employees feel respected regardless of age or experience (Goleman, Boyatzis and McKee, 2013).</w:t>
      </w:r>
    </w:p>
    <w:p w:rsidR="1FDA1CC4" w:rsidP="0FC11310" w:rsidRDefault="1FDA1CC4" w14:paraId="1B333682" w14:textId="14685B7F">
      <w:pPr>
        <w:bidi w:val="0"/>
        <w:rPr>
          <w:rFonts w:ascii="Arial" w:hAnsi="Arial" w:eastAsia="Arial" w:cs="Arial"/>
          <w:b w:val="0"/>
          <w:bCs w:val="0"/>
          <w:noProof w:val="0"/>
          <w:color w:val="000000" w:themeColor="text1" w:themeTint="FF" w:themeShade="FF"/>
          <w:sz w:val="22"/>
          <w:szCs w:val="22"/>
          <w:lang w:val="en-GB"/>
        </w:rPr>
      </w:pPr>
      <w:r w:rsidRPr="0362B149" w:rsidR="1FDA1CC4">
        <w:rPr>
          <w:rFonts w:ascii="Arial" w:hAnsi="Arial" w:eastAsia="Arial" w:cs="Arial"/>
          <w:b w:val="0"/>
          <w:bCs w:val="0"/>
          <w:noProof w:val="0"/>
          <w:color w:val="000000" w:themeColor="text1" w:themeTint="FF" w:themeShade="FF"/>
          <w:sz w:val="22"/>
          <w:szCs w:val="22"/>
          <w:lang w:val="en-GB"/>
        </w:rPr>
        <w:t>Strong social skills support collaboration between generations by encouraging open communication, constructive feedback and teamwork. Managers can facilitate mentoring programmes where experienced Generation X employees share industry knowledge while Millennials and Generation Z employees provide insights into emerging technologies and digital practices. Such reciprocal learning encourages mutual respect and reduces generational divisions (Robbins and Judge, 2023).</w:t>
      </w:r>
    </w:p>
    <w:p w:rsidR="5197ACCF" w:rsidP="0362B149" w:rsidRDefault="5197ACCF" w14:paraId="14B71582" w14:textId="5225AD26">
      <w:pPr/>
      <w:r w:rsidRPr="0362B149" w:rsidR="1FDA1CC4">
        <w:rPr>
          <w:rFonts w:ascii="Arial" w:hAnsi="Arial" w:eastAsia="Arial" w:cs="Arial"/>
          <w:b w:val="0"/>
          <w:bCs w:val="0"/>
          <w:noProof w:val="0"/>
          <w:color w:val="000000" w:themeColor="text1" w:themeTint="FF" w:themeShade="FF"/>
          <w:sz w:val="22"/>
          <w:szCs w:val="22"/>
          <w:lang w:val="en-GB"/>
        </w:rPr>
        <w:t xml:space="preserve">Self-regulation enables managers to remain objective when addressing disagreements. Instead of responding emotionally to workplace conflict, emotionally intelligent leaders encourage respectful dialogue and focus on shared organisational </w:t>
      </w:r>
      <w:r w:rsidRPr="0362B149" w:rsidR="1FDA1CC4">
        <w:rPr>
          <w:rFonts w:ascii="Arial" w:hAnsi="Arial" w:eastAsia="Arial" w:cs="Arial"/>
          <w:b w:val="0"/>
          <w:bCs w:val="0"/>
          <w:noProof w:val="0"/>
          <w:color w:val="000000" w:themeColor="text1" w:themeTint="FF" w:themeShade="FF"/>
          <w:sz w:val="22"/>
          <w:szCs w:val="22"/>
          <w:lang w:val="en-GB"/>
        </w:rPr>
        <w:t>objectives</w:t>
      </w:r>
      <w:r w:rsidRPr="0362B149" w:rsidR="1FDA1CC4">
        <w:rPr>
          <w:rFonts w:ascii="Arial" w:hAnsi="Arial" w:eastAsia="Arial" w:cs="Arial"/>
          <w:b w:val="0"/>
          <w:bCs w:val="0"/>
          <w:noProof w:val="0"/>
          <w:color w:val="000000" w:themeColor="text1" w:themeTint="FF" w:themeShade="FF"/>
          <w:sz w:val="22"/>
          <w:szCs w:val="22"/>
          <w:lang w:val="en-GB"/>
        </w:rPr>
        <w:t>. This contributes to a psychologically safe environment in which employees feel confident expressing ideas and concerns (Northouse, 2022).</w:t>
      </w:r>
    </w:p>
    <w:p w:rsidR="5197ACCF" w:rsidP="0362B149" w:rsidRDefault="5197ACCF" w14:paraId="0D4731AA" w14:textId="55B05EAB">
      <w:pPr>
        <w:bidi w:val="0"/>
        <w:rPr>
          <w:rFonts w:ascii="Arial" w:hAnsi="Arial" w:eastAsia="Arial" w:cs="Arial"/>
          <w:b w:val="1"/>
          <w:bCs w:val="1"/>
          <w:noProof w:val="0"/>
          <w:color w:val="000000" w:themeColor="text1" w:themeTint="FF" w:themeShade="FF"/>
          <w:sz w:val="22"/>
          <w:szCs w:val="22"/>
          <w:lang w:val="en-GB"/>
        </w:rPr>
      </w:pPr>
      <w:r w:rsidRPr="0362B149" w:rsidR="5197ACCF">
        <w:rPr>
          <w:rFonts w:ascii="Arial" w:hAnsi="Arial" w:eastAsia="Arial" w:cs="Arial"/>
          <w:b w:val="1"/>
          <w:bCs w:val="1"/>
          <w:noProof w:val="0"/>
          <w:color w:val="000000" w:themeColor="text1" w:themeTint="FF" w:themeShade="FF"/>
          <w:sz w:val="22"/>
          <w:szCs w:val="22"/>
          <w:lang w:val="en-GB"/>
        </w:rPr>
        <w:t>The Role of Mindfulness in Creating an Inclusive Workplace</w:t>
      </w:r>
    </w:p>
    <w:p w:rsidR="5197ACCF" w:rsidP="0362B149" w:rsidRDefault="5197ACCF" w14:paraId="2224AA90" w14:textId="304B80E9">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Mindfulness complements emotional intelligence by encouraging present-moment awareness, emotional regulation and non-judgemental thinking. Mindful managers are more likely to listen attentively, consider different viewpoints, and respond thoughtfully rather than reacting impulsively during workplace challenges (Kabat-Zinn, 2015). This reflective approach to leadership reduces the likelihood of emotionally driven decision-making and supports more balanced, objective responses in complex organisational situations.</w:t>
      </w:r>
    </w:p>
    <w:p w:rsidR="5197ACCF" w:rsidP="0362B149" w:rsidRDefault="5197ACCF" w14:paraId="2F14F247" w14:textId="4395F706">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Within multigenerational teams, mindfulness helps leaders recognise unconscious biases that may influence recruitment, promotion and performance evaluations. By making decisions based on evidence and individual capability rather than assumptions about age, organisations are better positioned to promote equality, diversity and inclusion (Good et al., 2016). In practice, this also strengthens fairness perceptions among employees, which is closely linked to higher levels of trust, engagement and organisational commitment.</w:t>
      </w:r>
    </w:p>
    <w:p w:rsidR="5197ACCF" w:rsidP="0362B149" w:rsidRDefault="5197ACCF" w14:paraId="07CEDA50" w14:textId="181BAED8">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Mindfulness also supports employee well-being by reducing stress and improving resilience. Employees who practise mindfulness often demonstrate greater concentration, emotional control and adaptability during periods of organisational change. As workplaces continue to evolve through digital transformation and hybrid working models, these psychological capabilities become increasingly valuable in maintaining productivity and reducing burnout (Good et al., 2016). In addition, mindfulness can contribute to improved interpersonal relationships by encouraging employees to respond rather than react in emotionally challenging situations.</w:t>
      </w:r>
    </w:p>
    <w:p w:rsidR="5197ACCF" w:rsidP="0362B149" w:rsidRDefault="5197ACCF" w14:paraId="1BF783E4" w14:textId="5E2A660B">
      <w:pPr>
        <w:pStyle w:val="Heading2"/>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Recruitment, Management and Retention Strategies</w:t>
      </w:r>
    </w:p>
    <w:p w:rsidR="5197ACCF" w:rsidP="0362B149" w:rsidRDefault="5197ACCF" w14:paraId="45029ED7" w14:textId="564E8121">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Recruitment strategies should focus on skills, values and potential rather than age-related assumptions. Inclusive recruitment processes, accessible job advertisements, and structured interviews help ensure candidates from different generations receive equal opportunities (Robbins and Judge, 2023). Organisations that adopt these approaches are more likely to attract a diverse talent pool while reducing the risk of unconscious bias influencing hiring decisions.</w:t>
      </w:r>
    </w:p>
    <w:p w:rsidR="5197ACCF" w:rsidP="0362B149" w:rsidRDefault="5197ACCF" w14:paraId="2F6F60AD" w14:textId="6351E8D6">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Managers should provide flexible working arrangements wherever operationally possible, recognising that employees at different career stages may have varying personal and professional priorities. Flexibility may include hybrid working options, flexible hours, or personalised career pathways that reflect individual needs. Offering mentoring, coaching, continuous professional development, and wellbeing initiatives can further improve engagement across all generations and support long-term career development (Northouse, 2022).</w:t>
      </w:r>
    </w:p>
    <w:p w:rsidR="5197ACCF" w:rsidP="0362B149" w:rsidRDefault="5197ACCF" w14:paraId="733EF181" w14:textId="231A172C">
      <w:pPr>
        <w:rPr>
          <w:rFonts w:ascii="Arial" w:hAnsi="Arial" w:eastAsia="Arial" w:cs="Arial"/>
          <w:b w:val="0"/>
          <w:bCs w:val="0"/>
          <w:noProof w:val="0"/>
          <w:color w:val="000000" w:themeColor="text1" w:themeTint="FF" w:themeShade="FF"/>
          <w:sz w:val="22"/>
          <w:szCs w:val="22"/>
          <w:lang w:val="en-GB"/>
        </w:rPr>
      </w:pPr>
      <w:r w:rsidRPr="0362B149" w:rsidR="5197ACCF">
        <w:rPr>
          <w:rFonts w:ascii="Arial" w:hAnsi="Arial" w:eastAsia="Arial" w:cs="Arial"/>
          <w:b w:val="0"/>
          <w:bCs w:val="0"/>
          <w:noProof w:val="0"/>
          <w:color w:val="000000" w:themeColor="text1" w:themeTint="FF" w:themeShade="FF"/>
          <w:sz w:val="22"/>
          <w:szCs w:val="22"/>
          <w:lang w:val="en-GB"/>
        </w:rPr>
        <w:t>Retention strategies should combine competitive rewards with opportunities for learning, career progression, and meaningful work. Regular feedback, recognition programmes, and inclusive leadership practices help create a culture in which employees of all ages feel valued and motivated to remain with the organisation (Goleman, 1998). In addition, organisations that prioritise psychological safety and employee voice are more likely to retain talent, as employees feel that their contributions are recognised and respected.</w:t>
      </w:r>
    </w:p>
    <w:p w:rsidR="45D797DF" w:rsidP="0362B149" w:rsidRDefault="45D797DF" w14:paraId="7D6D762F" w14:textId="40BFF827">
      <w:pPr>
        <w:bidi w:val="0"/>
      </w:pPr>
      <w:r w:rsidRPr="0362B149" w:rsidR="5197ACCF">
        <w:rPr>
          <w:rFonts w:ascii="Arial" w:hAnsi="Arial" w:eastAsia="Arial" w:cs="Arial"/>
          <w:b w:val="0"/>
          <w:bCs w:val="0"/>
          <w:noProof w:val="0"/>
          <w:color w:val="000000" w:themeColor="text1" w:themeTint="FF" w:themeShade="FF"/>
          <w:sz w:val="22"/>
          <w:szCs w:val="22"/>
          <w:lang w:val="en-GB"/>
        </w:rPr>
        <w:t xml:space="preserve">Overall, integrating mindfulness into organisational practices alongside emotional intelligence supports a more reflective, inclusive, and adaptive workplace culture. This combined approach enables organisations to better manage generational diversity while </w:t>
      </w:r>
      <w:r w:rsidRPr="0362B149" w:rsidR="5197ACCF">
        <w:rPr>
          <w:rFonts w:ascii="Arial" w:hAnsi="Arial" w:eastAsia="Arial" w:cs="Arial"/>
          <w:b w:val="0"/>
          <w:bCs w:val="0"/>
          <w:noProof w:val="0"/>
          <w:color w:val="000000" w:themeColor="text1" w:themeTint="FF" w:themeShade="FF"/>
          <w:sz w:val="22"/>
          <w:szCs w:val="22"/>
          <w:lang w:val="en-GB"/>
        </w:rPr>
        <w:t>maintaining</w:t>
      </w:r>
      <w:r w:rsidRPr="0362B149" w:rsidR="5197ACCF">
        <w:rPr>
          <w:rFonts w:ascii="Arial" w:hAnsi="Arial" w:eastAsia="Arial" w:cs="Arial"/>
          <w:b w:val="0"/>
          <w:bCs w:val="0"/>
          <w:noProof w:val="0"/>
          <w:color w:val="000000" w:themeColor="text1" w:themeTint="FF" w:themeShade="FF"/>
          <w:sz w:val="22"/>
          <w:szCs w:val="22"/>
          <w:lang w:val="en-GB"/>
        </w:rPr>
        <w:t xml:space="preserve"> </w:t>
      </w:r>
      <w:r w:rsidRPr="0362B149" w:rsidR="5197ACCF">
        <w:rPr>
          <w:rFonts w:ascii="Arial" w:hAnsi="Arial" w:eastAsia="Arial" w:cs="Arial"/>
          <w:b w:val="0"/>
          <w:bCs w:val="0"/>
          <w:noProof w:val="0"/>
          <w:color w:val="000000" w:themeColor="text1" w:themeTint="FF" w:themeShade="FF"/>
          <w:sz w:val="22"/>
          <w:szCs w:val="22"/>
          <w:lang w:val="en-GB"/>
        </w:rPr>
        <w:t>high levels</w:t>
      </w:r>
      <w:r w:rsidRPr="0362B149" w:rsidR="5197ACCF">
        <w:rPr>
          <w:rFonts w:ascii="Arial" w:hAnsi="Arial" w:eastAsia="Arial" w:cs="Arial"/>
          <w:b w:val="0"/>
          <w:bCs w:val="0"/>
          <w:noProof w:val="0"/>
          <w:color w:val="000000" w:themeColor="text1" w:themeTint="FF" w:themeShade="FF"/>
          <w:sz w:val="22"/>
          <w:szCs w:val="22"/>
          <w:lang w:val="en-GB"/>
        </w:rPr>
        <w:t xml:space="preserve"> of engagement, collaboration, and performance.</w:t>
      </w:r>
      <w:r w:rsidRPr="0362B149" w:rsidR="5197ACCF">
        <w:rPr>
          <w:rFonts w:ascii="Arial" w:hAnsi="Arial" w:eastAsia="Arial" w:cs="Arial"/>
          <w:b w:val="0"/>
          <w:bCs w:val="0"/>
          <w:noProof w:val="0"/>
          <w:color w:val="000000" w:themeColor="text1" w:themeTint="FF" w:themeShade="FF"/>
          <w:sz w:val="22"/>
          <w:szCs w:val="22"/>
          <w:lang w:val="en-GB"/>
        </w:rPr>
        <w:t xml:space="preserve"> </w:t>
      </w:r>
    </w:p>
    <w:p w:rsidR="45D797DF" w:rsidP="0362B149" w:rsidRDefault="45D797DF" w14:paraId="3EF38179" w14:textId="2E6659D1">
      <w:pPr>
        <w:rPr>
          <w:rFonts w:ascii="Arial" w:hAnsi="Arial" w:eastAsia="Arial" w:cs="Arial"/>
          <w:b w:val="1"/>
          <w:bCs w:val="1"/>
          <w:noProof w:val="0"/>
          <w:color w:val="000000" w:themeColor="text1" w:themeTint="FF" w:themeShade="FF"/>
          <w:sz w:val="22"/>
          <w:szCs w:val="22"/>
          <w:lang w:val="en-GB"/>
        </w:rPr>
      </w:pPr>
      <w:r w:rsidRPr="0362B149" w:rsidR="45D797DF">
        <w:rPr>
          <w:rFonts w:ascii="Arial" w:hAnsi="Arial" w:eastAsia="Arial" w:cs="Arial"/>
          <w:b w:val="1"/>
          <w:bCs w:val="1"/>
          <w:noProof w:val="0"/>
          <w:color w:val="000000" w:themeColor="text1" w:themeTint="FF" w:themeShade="FF"/>
          <w:sz w:val="22"/>
          <w:szCs w:val="22"/>
          <w:lang w:val="en-GB"/>
        </w:rPr>
        <w:t>Conclusion and Reflective Insight</w:t>
      </w:r>
    </w:p>
    <w:p w:rsidR="45D797DF" w:rsidP="0FC11310" w:rsidRDefault="45D797DF" w14:paraId="3D056951" w14:textId="025A8244">
      <w:pPr>
        <w:bidi w:val="0"/>
        <w:rPr>
          <w:rFonts w:ascii="Arial" w:hAnsi="Arial" w:eastAsia="Arial" w:cs="Arial"/>
          <w:b w:val="0"/>
          <w:bCs w:val="0"/>
          <w:noProof w:val="0"/>
          <w:color w:val="000000" w:themeColor="text1" w:themeTint="FF" w:themeShade="FF"/>
          <w:sz w:val="22"/>
          <w:szCs w:val="22"/>
          <w:lang w:val="en-GB"/>
        </w:rPr>
      </w:pPr>
      <w:r w:rsidRPr="0362B149" w:rsidR="45D797DF">
        <w:rPr>
          <w:rFonts w:ascii="Arial" w:hAnsi="Arial" w:eastAsia="Arial" w:cs="Arial"/>
          <w:b w:val="0"/>
          <w:bCs w:val="0"/>
          <w:noProof w:val="0"/>
          <w:color w:val="000000" w:themeColor="text1" w:themeTint="FF" w:themeShade="FF"/>
          <w:sz w:val="22"/>
          <w:szCs w:val="22"/>
          <w:lang w:val="en-GB"/>
        </w:rPr>
        <w:t>Managing a multigenerational workforce requires leaders to balance differing expectations while actively promoting inclusion, collaboration, and organisational cohesion. Although Generation X, Millennials and Generation Z often display distinct workplace preferences in relation to communication styles, motivation, and attitudes toward technology, it is essential that managers avoid stereotyping and instead prioritise individual differences and situational context within management practice. Over-reliance on generational labels can oversimplify complex human behaviour and risk reinforcing bias in decision-making, recruitment, and performance management.</w:t>
      </w:r>
    </w:p>
    <w:p w:rsidR="45D797DF" w:rsidP="0FC11310" w:rsidRDefault="45D797DF" w14:paraId="636B2733" w14:textId="6E49186E">
      <w:pPr>
        <w:bidi w:val="0"/>
        <w:rPr>
          <w:rFonts w:ascii="Arial" w:hAnsi="Arial" w:eastAsia="Arial" w:cs="Arial"/>
          <w:b w:val="0"/>
          <w:bCs w:val="0"/>
          <w:noProof w:val="0"/>
          <w:color w:val="000000" w:themeColor="text1" w:themeTint="FF" w:themeShade="FF"/>
          <w:sz w:val="22"/>
          <w:szCs w:val="22"/>
          <w:lang w:val="en-GB"/>
        </w:rPr>
      </w:pPr>
      <w:r w:rsidRPr="0362B149" w:rsidR="45D797DF">
        <w:rPr>
          <w:rFonts w:ascii="Arial" w:hAnsi="Arial" w:eastAsia="Arial" w:cs="Arial"/>
          <w:b w:val="0"/>
          <w:bCs w:val="0"/>
          <w:noProof w:val="0"/>
          <w:color w:val="000000" w:themeColor="text1" w:themeTint="FF" w:themeShade="FF"/>
          <w:sz w:val="22"/>
          <w:szCs w:val="22"/>
          <w:lang w:val="en-GB"/>
        </w:rPr>
        <w:t>Emotional intelligence enables leaders to communicate effectively, resolve conflict constructively, and build strong interpersonal relationships across age groups by fostering self-awareness, empathy, and social competence. In doing so, emotionally intelligent leaders are better equipped to adapt their leadership style to meet diverse employee needs while maintaining fairness and consistency. Similarly, mindfulness strengthens emotional regulation, reduces unconscious bias, and supports the development of psychologically safe working environments in which employees feel valued, respected, and able to contribute without fear of negative judgement.</w:t>
      </w:r>
    </w:p>
    <w:p w:rsidR="45D797DF" w:rsidP="0FC11310" w:rsidRDefault="45D797DF" w14:paraId="65901FFC" w14:textId="5581BA45">
      <w:pPr>
        <w:bidi w:val="0"/>
        <w:rPr>
          <w:rFonts w:ascii="Arial" w:hAnsi="Arial" w:eastAsia="Arial" w:cs="Arial"/>
          <w:b w:val="0"/>
          <w:bCs w:val="0"/>
          <w:noProof w:val="0"/>
          <w:color w:val="000000" w:themeColor="text1" w:themeTint="FF" w:themeShade="FF"/>
          <w:sz w:val="22"/>
          <w:szCs w:val="22"/>
          <w:lang w:val="en-GB"/>
        </w:rPr>
      </w:pPr>
      <w:r w:rsidRPr="0362B149" w:rsidR="45D797DF">
        <w:rPr>
          <w:rFonts w:ascii="Arial" w:hAnsi="Arial" w:eastAsia="Arial" w:cs="Arial"/>
          <w:b w:val="0"/>
          <w:bCs w:val="0"/>
          <w:noProof w:val="0"/>
          <w:color w:val="000000" w:themeColor="text1" w:themeTint="FF" w:themeShade="FF"/>
          <w:sz w:val="22"/>
          <w:szCs w:val="22"/>
          <w:lang w:val="en-GB"/>
        </w:rPr>
        <w:t>From an organisational perspective, integrating emotional intelligence and mindfulness into leadership development, recruitment processes, and employee retention strategies contributes to more adaptive and resilient organisational cultures. These approaches enhance employee engagement by improving trust, communication quality, and perceived organisational support. Furthermore, they enable organisations to respond more effectively to change by encouraging reflective decision-making and reducing reactive or emotionally driven responses in leadership practice. As a result, organisations that embed these principles strategically are more likely to develop a workforce that is not only engaged and productive but also capable of sustained performance in increasingly complex and evolving workplace environments.</w:t>
      </w:r>
    </w:p>
    <w:p w:rsidR="45D797DF" w:rsidP="0FC11310" w:rsidRDefault="45D797DF" w14:paraId="3E6B5144" w14:textId="0725F397">
      <w:pPr>
        <w:bidi w:val="0"/>
        <w:rPr>
          <w:rFonts w:ascii="Arial" w:hAnsi="Arial" w:eastAsia="Arial" w:cs="Arial"/>
          <w:b w:val="0"/>
          <w:bCs w:val="0"/>
          <w:noProof w:val="0"/>
          <w:color w:val="000000" w:themeColor="text1" w:themeTint="FF" w:themeShade="FF"/>
          <w:sz w:val="22"/>
          <w:szCs w:val="22"/>
          <w:lang w:val="en-GB"/>
        </w:rPr>
      </w:pPr>
      <w:r w:rsidRPr="0362B149" w:rsidR="45D797DF">
        <w:rPr>
          <w:rFonts w:ascii="Arial" w:hAnsi="Arial" w:eastAsia="Arial" w:cs="Arial"/>
          <w:b w:val="0"/>
          <w:bCs w:val="0"/>
          <w:noProof w:val="0"/>
          <w:color w:val="000000" w:themeColor="text1" w:themeTint="FF" w:themeShade="FF"/>
          <w:sz w:val="22"/>
          <w:szCs w:val="22"/>
          <w:lang w:val="en-GB"/>
        </w:rPr>
        <w:t>Reflecting on this analysis, it becomes evident that effective management of a multigenerational workforce requires a shift away from rigid assumptions about age-based behaviour towards a more individualised and emotionally intelligent approach. This reflection highlights the importance of self-awareness in recognising potential biases that may unconsciously influence leadership decisions. It also reinforces the value of mindfulness in encouraging deliberate pause and consideration before reacting to workplace challenges. Overall, this understanding strengthens the view that inclusive leadership is not only a technical capability but also an ongoing developmental process that requires continuous reflection, adaptability, and emotional awareness.</w:t>
      </w:r>
    </w:p>
    <w:p w:rsidR="0FC11310" w:rsidP="0FC11310" w:rsidRDefault="0FC11310" w14:paraId="4E7A77B9" w14:textId="7C69D565">
      <w:pPr>
        <w:pStyle w:val="Normal"/>
        <w:bidi w:val="0"/>
        <w:rPr>
          <w:rFonts w:ascii="Arial" w:hAnsi="Arial" w:eastAsia="Arial" w:cs="Arial"/>
          <w:b w:val="0"/>
          <w:bCs w:val="0"/>
          <w:noProof w:val="0"/>
          <w:color w:val="000000" w:themeColor="text1" w:themeTint="FF" w:themeShade="FF"/>
          <w:sz w:val="22"/>
          <w:szCs w:val="22"/>
          <w:lang w:val="en-GB"/>
        </w:rPr>
      </w:pPr>
    </w:p>
    <w:p w:rsidR="0362B149" w:rsidP="0362B149" w:rsidRDefault="0362B149" w14:paraId="3FFC4EC0" w14:textId="36455EB6">
      <w:pPr>
        <w:pStyle w:val="Normal"/>
        <w:bidi w:val="0"/>
        <w:rPr>
          <w:rFonts w:ascii="Arial" w:hAnsi="Arial" w:eastAsia="Arial" w:cs="Arial"/>
          <w:b w:val="0"/>
          <w:bCs w:val="0"/>
          <w:noProof w:val="0"/>
          <w:color w:val="000000" w:themeColor="text1" w:themeTint="FF" w:themeShade="FF"/>
          <w:sz w:val="22"/>
          <w:szCs w:val="22"/>
          <w:lang w:val="en-GB"/>
        </w:rPr>
      </w:pPr>
    </w:p>
    <w:p w:rsidR="0362B149" w:rsidP="0362B149" w:rsidRDefault="0362B149" w14:paraId="0231B785" w14:textId="3D987F26">
      <w:pPr>
        <w:pStyle w:val="Normal"/>
        <w:bidi w:val="0"/>
        <w:rPr>
          <w:rFonts w:ascii="Arial" w:hAnsi="Arial" w:eastAsia="Arial" w:cs="Arial"/>
          <w:b w:val="0"/>
          <w:bCs w:val="0"/>
          <w:noProof w:val="0"/>
          <w:color w:val="000000" w:themeColor="text1" w:themeTint="FF" w:themeShade="FF"/>
          <w:sz w:val="22"/>
          <w:szCs w:val="22"/>
          <w:lang w:val="en-GB"/>
        </w:rPr>
      </w:pPr>
    </w:p>
    <w:p w:rsidR="292AFB06" w:rsidP="0362B149" w:rsidRDefault="292AFB06" w14:paraId="7F4BA8DA" w14:textId="483C4DE4">
      <w:pPr>
        <w:pStyle w:val="Normal"/>
        <w:bidi w:val="0"/>
        <w:rPr>
          <w:rFonts w:ascii="Arial" w:hAnsi="Arial" w:eastAsia="Arial" w:cs="Arial"/>
          <w:b w:val="1"/>
          <w:bCs w:val="1"/>
          <w:noProof w:val="0"/>
          <w:color w:val="000000" w:themeColor="text1" w:themeTint="FF" w:themeShade="FF"/>
          <w:sz w:val="22"/>
          <w:szCs w:val="22"/>
          <w:lang w:val="en-GB"/>
        </w:rPr>
      </w:pPr>
      <w:r w:rsidRPr="0362B149" w:rsidR="292AFB06">
        <w:rPr>
          <w:rFonts w:ascii="Arial" w:hAnsi="Arial" w:eastAsia="Arial" w:cs="Arial"/>
          <w:b w:val="1"/>
          <w:bCs w:val="1"/>
          <w:noProof w:val="0"/>
          <w:color w:val="000000" w:themeColor="text1" w:themeTint="FF" w:themeShade="FF"/>
          <w:sz w:val="22"/>
          <w:szCs w:val="22"/>
          <w:lang w:val="en-GB"/>
        </w:rPr>
        <w:t>References</w:t>
      </w:r>
    </w:p>
    <w:p w:rsidR="414322FB" w:rsidP="0FC11310" w:rsidRDefault="414322FB" w14:paraId="09C2AD3B" w14:textId="586230EA">
      <w:pPr>
        <w:pStyle w:val="Normal"/>
        <w:bidi w:val="0"/>
        <w:rPr>
          <w:rFonts w:ascii="Arial" w:hAnsi="Arial" w:eastAsia="Arial" w:cs="Arial"/>
          <w:b w:val="0"/>
          <w:bCs w:val="0"/>
          <w:noProof w:val="0"/>
          <w:color w:val="000000" w:themeColor="text1" w:themeTint="FF" w:themeShade="FF"/>
          <w:sz w:val="22"/>
          <w:szCs w:val="22"/>
          <w:lang w:val="en-GB"/>
        </w:rPr>
      </w:pPr>
      <w:r w:rsidRPr="0362B149" w:rsidR="414322FB">
        <w:rPr>
          <w:rFonts w:ascii="Arial" w:hAnsi="Arial" w:eastAsia="Arial" w:cs="Arial"/>
          <w:b w:val="0"/>
          <w:bCs w:val="0"/>
          <w:noProof w:val="0"/>
          <w:color w:val="000000" w:themeColor="text1" w:themeTint="FF" w:themeShade="FF"/>
          <w:sz w:val="22"/>
          <w:szCs w:val="22"/>
          <w:lang w:val="en-GB"/>
        </w:rPr>
        <w:t xml:space="preserve">Goleman, D. (1998) </w:t>
      </w:r>
      <w:r w:rsidRPr="0362B149" w:rsidR="414322FB">
        <w:rPr>
          <w:rFonts w:ascii="Arial" w:hAnsi="Arial" w:eastAsia="Arial" w:cs="Arial"/>
          <w:b w:val="0"/>
          <w:bCs w:val="0"/>
          <w:i w:val="1"/>
          <w:iCs w:val="1"/>
          <w:noProof w:val="0"/>
          <w:color w:val="000000" w:themeColor="text1" w:themeTint="FF" w:themeShade="FF"/>
          <w:sz w:val="22"/>
          <w:szCs w:val="22"/>
          <w:lang w:val="en-GB"/>
        </w:rPr>
        <w:t>Working with Emotional Intelligence</w:t>
      </w:r>
      <w:r w:rsidRPr="0362B149" w:rsidR="414322FB">
        <w:rPr>
          <w:rFonts w:ascii="Arial" w:hAnsi="Arial" w:eastAsia="Arial" w:cs="Arial"/>
          <w:b w:val="0"/>
          <w:bCs w:val="0"/>
          <w:noProof w:val="0"/>
          <w:color w:val="000000" w:themeColor="text1" w:themeTint="FF" w:themeShade="FF"/>
          <w:sz w:val="22"/>
          <w:szCs w:val="22"/>
          <w:lang w:val="en-GB"/>
        </w:rPr>
        <w:t>. New York: Bantam Books.</w:t>
      </w:r>
    </w:p>
    <w:p w:rsidR="1D77A04D" w:rsidP="0FC11310" w:rsidRDefault="1D77A04D" w14:paraId="16310ADD" w14:textId="7BADA37E">
      <w:pPr>
        <w:pStyle w:val="ListParagraph"/>
        <w:bidi w:val="0"/>
        <w:ind w:left="0"/>
        <w:rPr>
          <w:rFonts w:ascii="Arial" w:hAnsi="Arial" w:eastAsia="Arial" w:cs="Arial"/>
          <w:b w:val="0"/>
          <w:bCs w:val="0"/>
          <w:noProof w:val="0"/>
          <w:color w:val="000000" w:themeColor="text1" w:themeTint="FF" w:themeShade="FF"/>
          <w:sz w:val="22"/>
          <w:szCs w:val="22"/>
          <w:lang w:val="en-GB"/>
        </w:rPr>
      </w:pPr>
      <w:r w:rsidRPr="0362B149" w:rsidR="1D77A04D">
        <w:rPr>
          <w:rFonts w:ascii="Arial" w:hAnsi="Arial" w:eastAsia="Arial" w:cs="Arial"/>
          <w:b w:val="0"/>
          <w:bCs w:val="0"/>
          <w:noProof w:val="0"/>
          <w:color w:val="000000" w:themeColor="text1" w:themeTint="FF" w:themeShade="FF"/>
          <w:sz w:val="22"/>
          <w:szCs w:val="22"/>
          <w:lang w:val="en-GB"/>
        </w:rPr>
        <w:t xml:space="preserve">Good, D.J., Lyddy, C.J., Glomb, T.M., Bono, J.E., Brown, K.W., Duffy, M.K., Baer, R.A., Brewer, J.A. and Lazar, S.W. (2016) 'Contemplating mindfulness at work: An integrative review', </w:t>
      </w:r>
      <w:r w:rsidRPr="0362B149" w:rsidR="1D77A04D">
        <w:rPr>
          <w:rFonts w:ascii="Arial" w:hAnsi="Arial" w:eastAsia="Arial" w:cs="Arial"/>
          <w:b w:val="0"/>
          <w:bCs w:val="0"/>
          <w:i w:val="1"/>
          <w:iCs w:val="1"/>
          <w:noProof w:val="0"/>
          <w:color w:val="000000" w:themeColor="text1" w:themeTint="FF" w:themeShade="FF"/>
          <w:sz w:val="22"/>
          <w:szCs w:val="22"/>
          <w:lang w:val="en-GB"/>
        </w:rPr>
        <w:t>Journal of Management</w:t>
      </w:r>
      <w:r w:rsidRPr="0362B149" w:rsidR="1D77A04D">
        <w:rPr>
          <w:rFonts w:ascii="Arial" w:hAnsi="Arial" w:eastAsia="Arial" w:cs="Arial"/>
          <w:b w:val="0"/>
          <w:bCs w:val="0"/>
          <w:noProof w:val="0"/>
          <w:color w:val="000000" w:themeColor="text1" w:themeTint="FF" w:themeShade="FF"/>
          <w:sz w:val="22"/>
          <w:szCs w:val="22"/>
          <w:lang w:val="en-GB"/>
        </w:rPr>
        <w:t xml:space="preserve">, 42(1), pp. 114–142. </w:t>
      </w:r>
    </w:p>
    <w:p w:rsidR="0FC11310" w:rsidP="0FC11310" w:rsidRDefault="0FC11310" w14:paraId="1FFD08DA" w14:textId="5FFE834D">
      <w:pPr>
        <w:pStyle w:val="ListParagraph"/>
        <w:bidi w:val="0"/>
        <w:ind w:left="0"/>
        <w:rPr>
          <w:rFonts w:ascii="Arial" w:hAnsi="Arial" w:eastAsia="Arial" w:cs="Arial"/>
          <w:b w:val="0"/>
          <w:bCs w:val="0"/>
          <w:noProof w:val="0"/>
          <w:color w:val="000000" w:themeColor="text1" w:themeTint="FF" w:themeShade="FF"/>
          <w:sz w:val="22"/>
          <w:szCs w:val="22"/>
          <w:lang w:val="en-GB"/>
        </w:rPr>
      </w:pPr>
    </w:p>
    <w:p w:rsidR="1D77A04D" w:rsidP="0FC11310" w:rsidRDefault="1D77A04D" w14:paraId="0D7E4704" w14:textId="63B8427E">
      <w:pPr>
        <w:pStyle w:val="ListParagraph"/>
        <w:bidi w:val="0"/>
        <w:ind w:left="0"/>
        <w:rPr>
          <w:rFonts w:ascii="Arial" w:hAnsi="Arial" w:eastAsia="Arial" w:cs="Arial"/>
          <w:b w:val="0"/>
          <w:bCs w:val="0"/>
          <w:noProof w:val="0"/>
          <w:color w:val="000000" w:themeColor="text1" w:themeTint="FF" w:themeShade="FF"/>
          <w:sz w:val="22"/>
          <w:szCs w:val="22"/>
          <w:lang w:val="en-GB"/>
        </w:rPr>
      </w:pPr>
      <w:r w:rsidRPr="0362B149" w:rsidR="1D77A04D">
        <w:rPr>
          <w:rFonts w:ascii="Arial" w:hAnsi="Arial" w:eastAsia="Arial" w:cs="Arial"/>
          <w:b w:val="0"/>
          <w:bCs w:val="0"/>
          <w:noProof w:val="0"/>
          <w:color w:val="000000" w:themeColor="text1" w:themeTint="FF" w:themeShade="FF"/>
          <w:sz w:val="22"/>
          <w:szCs w:val="22"/>
          <w:lang w:val="en-GB"/>
        </w:rPr>
        <w:t xml:space="preserve">Goleman, D., Boyatzis, R. and McKee, A. (2013) </w:t>
      </w:r>
      <w:r w:rsidRPr="0362B149" w:rsidR="1D77A04D">
        <w:rPr>
          <w:rFonts w:ascii="Arial" w:hAnsi="Arial" w:eastAsia="Arial" w:cs="Arial"/>
          <w:b w:val="0"/>
          <w:bCs w:val="0"/>
          <w:i w:val="1"/>
          <w:iCs w:val="1"/>
          <w:noProof w:val="0"/>
          <w:color w:val="000000" w:themeColor="text1" w:themeTint="FF" w:themeShade="FF"/>
          <w:sz w:val="22"/>
          <w:szCs w:val="22"/>
          <w:lang w:val="en-GB"/>
        </w:rPr>
        <w:t>Primal Leadership: Unleashing the Power of Emotional Intelligence</w:t>
      </w:r>
      <w:r w:rsidRPr="0362B149" w:rsidR="1D77A04D">
        <w:rPr>
          <w:rFonts w:ascii="Arial" w:hAnsi="Arial" w:eastAsia="Arial" w:cs="Arial"/>
          <w:b w:val="0"/>
          <w:bCs w:val="0"/>
          <w:noProof w:val="0"/>
          <w:color w:val="000000" w:themeColor="text1" w:themeTint="FF" w:themeShade="FF"/>
          <w:sz w:val="22"/>
          <w:szCs w:val="22"/>
          <w:lang w:val="en-GB"/>
        </w:rPr>
        <w:t>. Boston: Harvard Business Review Press.</w:t>
      </w:r>
    </w:p>
    <w:p w:rsidR="1088E7F1" w:rsidP="0FC11310" w:rsidRDefault="1088E7F1" w14:paraId="7B3BF64E" w14:textId="7E22E78C">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1088E7F1">
        <w:rPr>
          <w:rFonts w:ascii="Arial" w:hAnsi="Arial" w:eastAsia="Arial" w:cs="Arial"/>
          <w:b w:val="0"/>
          <w:bCs w:val="0"/>
          <w:noProof w:val="0"/>
          <w:color w:val="000000" w:themeColor="text1" w:themeTint="FF" w:themeShade="FF"/>
          <w:sz w:val="22"/>
          <w:szCs w:val="22"/>
          <w:lang w:val="en-GB"/>
        </w:rPr>
        <w:t xml:space="preserve">Bar-On, R. (2006) </w:t>
      </w:r>
      <w:r w:rsidRPr="0362B149" w:rsidR="1088E7F1">
        <w:rPr>
          <w:rFonts w:ascii="Arial" w:hAnsi="Arial" w:eastAsia="Arial" w:cs="Arial"/>
          <w:b w:val="0"/>
          <w:bCs w:val="0"/>
          <w:i w:val="1"/>
          <w:iCs w:val="1"/>
          <w:noProof w:val="0"/>
          <w:color w:val="000000" w:themeColor="text1" w:themeTint="FF" w:themeShade="FF"/>
          <w:sz w:val="22"/>
          <w:szCs w:val="22"/>
          <w:lang w:val="en-GB"/>
        </w:rPr>
        <w:t>The Bar-On model of emotional-social intelligence (ESI)</w:t>
      </w:r>
      <w:r w:rsidRPr="0362B149" w:rsidR="1088E7F1">
        <w:rPr>
          <w:rFonts w:ascii="Arial" w:hAnsi="Arial" w:eastAsia="Arial" w:cs="Arial"/>
          <w:b w:val="0"/>
          <w:bCs w:val="0"/>
          <w:noProof w:val="0"/>
          <w:color w:val="000000" w:themeColor="text1" w:themeTint="FF" w:themeShade="FF"/>
          <w:sz w:val="22"/>
          <w:szCs w:val="22"/>
          <w:lang w:val="en-GB"/>
        </w:rPr>
        <w:t xml:space="preserve">. </w:t>
      </w:r>
      <w:r w:rsidRPr="0362B149" w:rsidR="1088E7F1">
        <w:rPr>
          <w:rFonts w:ascii="Arial" w:hAnsi="Arial" w:eastAsia="Arial" w:cs="Arial"/>
          <w:b w:val="0"/>
          <w:bCs w:val="0"/>
          <w:noProof w:val="0"/>
          <w:color w:val="000000" w:themeColor="text1" w:themeTint="FF" w:themeShade="FF"/>
          <w:sz w:val="22"/>
          <w:szCs w:val="22"/>
          <w:lang w:val="en-GB"/>
        </w:rPr>
        <w:t>Psicothema</w:t>
      </w:r>
      <w:r w:rsidRPr="0362B149" w:rsidR="1088E7F1">
        <w:rPr>
          <w:rFonts w:ascii="Arial" w:hAnsi="Arial" w:eastAsia="Arial" w:cs="Arial"/>
          <w:b w:val="0"/>
          <w:bCs w:val="0"/>
          <w:noProof w:val="0"/>
          <w:color w:val="000000" w:themeColor="text1" w:themeTint="FF" w:themeShade="FF"/>
          <w:sz w:val="22"/>
          <w:szCs w:val="22"/>
          <w:lang w:val="en-GB"/>
        </w:rPr>
        <w:t xml:space="preserve">, 18(Suppl), pp. 13–25. </w:t>
      </w:r>
    </w:p>
    <w:p w:rsidR="1088E7F1" w:rsidP="0FC11310" w:rsidRDefault="1088E7F1" w14:paraId="2715213D" w14:textId="66447B9A">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r w:rsidRPr="0362B149" w:rsidR="1088E7F1">
        <w:rPr>
          <w:rFonts w:ascii="Arial" w:hAnsi="Arial" w:eastAsia="Arial" w:cs="Arial"/>
          <w:b w:val="0"/>
          <w:bCs w:val="0"/>
          <w:noProof w:val="0"/>
          <w:color w:val="000000" w:themeColor="text1" w:themeTint="FF" w:themeShade="FF"/>
          <w:sz w:val="22"/>
          <w:szCs w:val="22"/>
          <w:lang w:val="en-GB"/>
        </w:rPr>
        <w:t xml:space="preserve">Goleman, D. (1998) </w:t>
      </w:r>
      <w:r w:rsidRPr="0362B149" w:rsidR="1088E7F1">
        <w:rPr>
          <w:rFonts w:ascii="Arial" w:hAnsi="Arial" w:eastAsia="Arial" w:cs="Arial"/>
          <w:b w:val="0"/>
          <w:bCs w:val="0"/>
          <w:i w:val="1"/>
          <w:iCs w:val="1"/>
          <w:noProof w:val="0"/>
          <w:color w:val="000000" w:themeColor="text1" w:themeTint="FF" w:themeShade="FF"/>
          <w:sz w:val="22"/>
          <w:szCs w:val="22"/>
          <w:lang w:val="en-GB"/>
        </w:rPr>
        <w:t>Working with Emotional Intelligence</w:t>
      </w:r>
      <w:r w:rsidRPr="0362B149" w:rsidR="1088E7F1">
        <w:rPr>
          <w:rFonts w:ascii="Arial" w:hAnsi="Arial" w:eastAsia="Arial" w:cs="Arial"/>
          <w:b w:val="0"/>
          <w:bCs w:val="0"/>
          <w:noProof w:val="0"/>
          <w:color w:val="000000" w:themeColor="text1" w:themeTint="FF" w:themeShade="FF"/>
          <w:sz w:val="22"/>
          <w:szCs w:val="22"/>
          <w:lang w:val="en-GB"/>
        </w:rPr>
        <w:t xml:space="preserve">. New York: Bantam Books. </w:t>
      </w:r>
    </w:p>
    <w:p w:rsidR="1088E7F1" w:rsidP="0FC11310" w:rsidRDefault="1088E7F1" w14:paraId="575E3DC1" w14:textId="3CCB822F">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r w:rsidRPr="0362B149" w:rsidR="1088E7F1">
        <w:rPr>
          <w:rFonts w:ascii="Arial" w:hAnsi="Arial" w:eastAsia="Arial" w:cs="Arial"/>
          <w:b w:val="0"/>
          <w:bCs w:val="0"/>
          <w:noProof w:val="0"/>
          <w:color w:val="000000" w:themeColor="text1" w:themeTint="FF" w:themeShade="FF"/>
          <w:sz w:val="22"/>
          <w:szCs w:val="22"/>
          <w:lang w:val="en-GB"/>
        </w:rPr>
        <w:t xml:space="preserve">Mayer, J.D. and Salovey, P. (1997) 'What is emotional intelligence?', in Salovey, P. and Sluyter, D. (eds.) </w:t>
      </w:r>
    </w:p>
    <w:p w:rsidR="0FC11310" w:rsidP="0362B149" w:rsidRDefault="0FC11310" w14:paraId="275E0894" w14:textId="00DD5D26">
      <w:pPr>
        <w:pStyle w:val="Normal"/>
        <w:bidi w:val="0"/>
        <w:spacing w:before="0" w:beforeAutospacing="off" w:after="0" w:afterAutospacing="off"/>
        <w:ind w:left="0"/>
        <w:rPr>
          <w:rFonts w:ascii="Arial" w:hAnsi="Arial" w:eastAsia="Arial" w:cs="Arial"/>
          <w:b w:val="0"/>
          <w:bCs w:val="0"/>
          <w:i w:val="1"/>
          <w:iCs w:val="1"/>
          <w:noProof w:val="0"/>
          <w:color w:val="000000" w:themeColor="text1" w:themeTint="FF" w:themeShade="FF"/>
          <w:sz w:val="22"/>
          <w:szCs w:val="22"/>
          <w:lang w:val="en-GB"/>
        </w:rPr>
      </w:pPr>
    </w:p>
    <w:p w:rsidR="1088E7F1" w:rsidP="0FC11310" w:rsidRDefault="1088E7F1" w14:paraId="58FC7C49" w14:textId="7CCD7041">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r w:rsidRPr="0362B149" w:rsidR="1088E7F1">
        <w:rPr>
          <w:rFonts w:ascii="Arial" w:hAnsi="Arial" w:eastAsia="Arial" w:cs="Arial"/>
          <w:b w:val="0"/>
          <w:bCs w:val="0"/>
          <w:i w:val="1"/>
          <w:iCs w:val="1"/>
          <w:noProof w:val="0"/>
          <w:color w:val="000000" w:themeColor="text1" w:themeTint="FF" w:themeShade="FF"/>
          <w:sz w:val="22"/>
          <w:szCs w:val="22"/>
          <w:lang w:val="en-GB"/>
        </w:rPr>
        <w:t>Emotional Development and Emotional Intelligence: Educational Implications</w:t>
      </w:r>
      <w:r w:rsidRPr="0362B149" w:rsidR="1088E7F1">
        <w:rPr>
          <w:rFonts w:ascii="Arial" w:hAnsi="Arial" w:eastAsia="Arial" w:cs="Arial"/>
          <w:b w:val="0"/>
          <w:bCs w:val="0"/>
          <w:noProof w:val="0"/>
          <w:color w:val="000000" w:themeColor="text1" w:themeTint="FF" w:themeShade="FF"/>
          <w:sz w:val="22"/>
          <w:szCs w:val="22"/>
          <w:lang w:val="en-GB"/>
        </w:rPr>
        <w:t>. New York: Basic Books.</w:t>
      </w:r>
    </w:p>
    <w:p w:rsidR="0FC11310" w:rsidP="0FC11310" w:rsidRDefault="0FC11310" w14:paraId="4CCE578B" w14:textId="15297EE5">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p>
    <w:p w:rsidR="63F0F539" w:rsidP="0FC11310" w:rsidRDefault="63F0F539" w14:paraId="6D1586CA" w14:textId="770066DD">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r w:rsidRPr="0362B149" w:rsidR="63F0F539">
        <w:rPr>
          <w:rFonts w:ascii="Arial" w:hAnsi="Arial" w:eastAsia="Arial" w:cs="Arial"/>
          <w:b w:val="0"/>
          <w:bCs w:val="0"/>
          <w:noProof w:val="0"/>
          <w:color w:val="000000" w:themeColor="text1" w:themeTint="FF" w:themeShade="FF"/>
          <w:sz w:val="22"/>
          <w:szCs w:val="22"/>
          <w:lang w:val="en-GB"/>
        </w:rPr>
        <w:t xml:space="preserve">Locke, E.A. (2005) 'Why emotional intelligence is an invalid concept', </w:t>
      </w:r>
      <w:r w:rsidRPr="0362B149" w:rsidR="63F0F539">
        <w:rPr>
          <w:rFonts w:ascii="Arial" w:hAnsi="Arial" w:eastAsia="Arial" w:cs="Arial"/>
          <w:b w:val="0"/>
          <w:bCs w:val="0"/>
          <w:i w:val="1"/>
          <w:iCs w:val="1"/>
          <w:noProof w:val="0"/>
          <w:color w:val="000000" w:themeColor="text1" w:themeTint="FF" w:themeShade="FF"/>
          <w:sz w:val="22"/>
          <w:szCs w:val="22"/>
          <w:lang w:val="en-GB"/>
        </w:rPr>
        <w:t xml:space="preserve">Journal of Organizational </w:t>
      </w:r>
      <w:r w:rsidRPr="0362B149" w:rsidR="63F0F539">
        <w:rPr>
          <w:rFonts w:ascii="Arial" w:hAnsi="Arial" w:eastAsia="Arial" w:cs="Arial"/>
          <w:b w:val="0"/>
          <w:bCs w:val="0"/>
          <w:i w:val="1"/>
          <w:iCs w:val="1"/>
          <w:noProof w:val="0"/>
          <w:color w:val="000000" w:themeColor="text1" w:themeTint="FF" w:themeShade="FF"/>
          <w:sz w:val="22"/>
          <w:szCs w:val="22"/>
          <w:lang w:val="en-GB"/>
        </w:rPr>
        <w:t>Behavior</w:t>
      </w:r>
      <w:r w:rsidRPr="0362B149" w:rsidR="63F0F539">
        <w:rPr>
          <w:rFonts w:ascii="Arial" w:hAnsi="Arial" w:eastAsia="Arial" w:cs="Arial"/>
          <w:b w:val="0"/>
          <w:bCs w:val="0"/>
          <w:noProof w:val="0"/>
          <w:color w:val="000000" w:themeColor="text1" w:themeTint="FF" w:themeShade="FF"/>
          <w:sz w:val="22"/>
          <w:szCs w:val="22"/>
          <w:lang w:val="en-GB"/>
        </w:rPr>
        <w:t xml:space="preserve">, 26(4), pp. 425–431. </w:t>
      </w:r>
    </w:p>
    <w:p w:rsidR="0FC11310" w:rsidP="0FC11310" w:rsidRDefault="0FC11310" w14:paraId="79C24CDD" w14:textId="6E1DA0A9">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p>
    <w:p w:rsidR="63F0F539" w:rsidP="0FC11310" w:rsidRDefault="63F0F539" w14:paraId="223C52FC" w14:textId="657EC74B">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r w:rsidRPr="0362B149" w:rsidR="63F0F539">
        <w:rPr>
          <w:rFonts w:ascii="Arial" w:hAnsi="Arial" w:eastAsia="Arial" w:cs="Arial"/>
          <w:b w:val="0"/>
          <w:bCs w:val="0"/>
          <w:noProof w:val="0"/>
          <w:color w:val="000000" w:themeColor="text1" w:themeTint="FF" w:themeShade="FF"/>
          <w:sz w:val="22"/>
          <w:szCs w:val="22"/>
          <w:lang w:val="en-GB"/>
        </w:rPr>
        <w:t xml:space="preserve">Miao, C., Humphrey, R.H. and Qian, S. (2017) 'A meta-analysis of emotional intelligence and work attitudes', </w:t>
      </w:r>
      <w:r w:rsidRPr="0362B149" w:rsidR="63F0F539">
        <w:rPr>
          <w:rFonts w:ascii="Arial" w:hAnsi="Arial" w:eastAsia="Arial" w:cs="Arial"/>
          <w:b w:val="0"/>
          <w:bCs w:val="0"/>
          <w:i w:val="1"/>
          <w:iCs w:val="1"/>
          <w:noProof w:val="0"/>
          <w:color w:val="000000" w:themeColor="text1" w:themeTint="FF" w:themeShade="FF"/>
          <w:sz w:val="22"/>
          <w:szCs w:val="22"/>
          <w:lang w:val="en-GB"/>
        </w:rPr>
        <w:t>Journal of Occupational and Organizational Psychology</w:t>
      </w:r>
      <w:r w:rsidRPr="0362B149" w:rsidR="63F0F539">
        <w:rPr>
          <w:rFonts w:ascii="Arial" w:hAnsi="Arial" w:eastAsia="Arial" w:cs="Arial"/>
          <w:b w:val="0"/>
          <w:bCs w:val="0"/>
          <w:noProof w:val="0"/>
          <w:color w:val="000000" w:themeColor="text1" w:themeTint="FF" w:themeShade="FF"/>
          <w:sz w:val="22"/>
          <w:szCs w:val="22"/>
          <w:lang w:val="en-GB"/>
        </w:rPr>
        <w:t>, 90(2), pp. 177–202.</w:t>
      </w:r>
    </w:p>
    <w:p w:rsidR="0FC11310" w:rsidP="0FC11310" w:rsidRDefault="0FC11310" w14:paraId="4B5A092A" w14:textId="00D408C4">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p>
    <w:p w:rsidR="63CC5438" w:rsidP="0FC11310" w:rsidRDefault="63CC5438" w14:paraId="53FAA759" w14:textId="1AD82E33">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Good, D.J., Lyddy, C.J., Glomb, T.M., Bono, J.E., Brown, K.W., Duffy, M.K., Baer, R.A., Brewer, J.A. and Lazar, S.W. (2016) ‘Contemplating mindfulness at work: An integrative review’, </w:t>
      </w:r>
      <w:r w:rsidRPr="0362B149" w:rsidR="63CC5438">
        <w:rPr>
          <w:rFonts w:ascii="Arial" w:hAnsi="Arial" w:eastAsia="Arial" w:cs="Arial"/>
          <w:b w:val="0"/>
          <w:bCs w:val="0"/>
          <w:i w:val="1"/>
          <w:iCs w:val="1"/>
          <w:noProof w:val="0"/>
          <w:color w:val="000000" w:themeColor="text1" w:themeTint="FF" w:themeShade="FF"/>
          <w:sz w:val="22"/>
          <w:szCs w:val="22"/>
          <w:lang w:val="en-GB"/>
        </w:rPr>
        <w:t>Journal of Management</w:t>
      </w:r>
      <w:r w:rsidRPr="0362B149" w:rsidR="63CC5438">
        <w:rPr>
          <w:rFonts w:ascii="Arial" w:hAnsi="Arial" w:eastAsia="Arial" w:cs="Arial"/>
          <w:b w:val="0"/>
          <w:bCs w:val="0"/>
          <w:noProof w:val="0"/>
          <w:color w:val="000000" w:themeColor="text1" w:themeTint="FF" w:themeShade="FF"/>
          <w:sz w:val="22"/>
          <w:szCs w:val="22"/>
          <w:lang w:val="en-GB"/>
        </w:rPr>
        <w:t xml:space="preserve">, 42(1), pp. 114–142. </w:t>
      </w:r>
    </w:p>
    <w:p w:rsidR="63CC5438" w:rsidP="0FC11310" w:rsidRDefault="63CC5438" w14:paraId="6DCE7765" w14:textId="18D46CFB">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Goleman, D. (1998) </w:t>
      </w:r>
      <w:r w:rsidRPr="0362B149" w:rsidR="63CC5438">
        <w:rPr>
          <w:rFonts w:ascii="Arial" w:hAnsi="Arial" w:eastAsia="Arial" w:cs="Arial"/>
          <w:b w:val="0"/>
          <w:bCs w:val="0"/>
          <w:i w:val="1"/>
          <w:iCs w:val="1"/>
          <w:noProof w:val="0"/>
          <w:color w:val="000000" w:themeColor="text1" w:themeTint="FF" w:themeShade="FF"/>
          <w:sz w:val="22"/>
          <w:szCs w:val="22"/>
          <w:lang w:val="en-GB"/>
        </w:rPr>
        <w:t>Working with Emotional Intelligence</w:t>
      </w:r>
      <w:r w:rsidRPr="0362B149" w:rsidR="63CC5438">
        <w:rPr>
          <w:rFonts w:ascii="Arial" w:hAnsi="Arial" w:eastAsia="Arial" w:cs="Arial"/>
          <w:b w:val="0"/>
          <w:bCs w:val="0"/>
          <w:noProof w:val="0"/>
          <w:color w:val="000000" w:themeColor="text1" w:themeTint="FF" w:themeShade="FF"/>
          <w:sz w:val="22"/>
          <w:szCs w:val="22"/>
          <w:lang w:val="en-GB"/>
        </w:rPr>
        <w:t xml:space="preserve">. New York: Bantam Books. </w:t>
      </w:r>
    </w:p>
    <w:p w:rsidR="63CC5438" w:rsidP="0FC11310" w:rsidRDefault="63CC5438" w14:paraId="6441EEE9" w14:textId="3DE688EA">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Goleman, D., Boyatzis, R. and McKee, A. (2013) </w:t>
      </w:r>
      <w:r w:rsidRPr="0362B149" w:rsidR="63CC5438">
        <w:rPr>
          <w:rFonts w:ascii="Arial" w:hAnsi="Arial" w:eastAsia="Arial" w:cs="Arial"/>
          <w:b w:val="0"/>
          <w:bCs w:val="0"/>
          <w:i w:val="1"/>
          <w:iCs w:val="1"/>
          <w:noProof w:val="0"/>
          <w:color w:val="000000" w:themeColor="text1" w:themeTint="FF" w:themeShade="FF"/>
          <w:sz w:val="22"/>
          <w:szCs w:val="22"/>
          <w:lang w:val="en-GB"/>
        </w:rPr>
        <w:t>Primal Leadership: Unleashing the Power of Emotional Intelligence</w:t>
      </w:r>
      <w:r w:rsidRPr="0362B149" w:rsidR="63CC5438">
        <w:rPr>
          <w:rFonts w:ascii="Arial" w:hAnsi="Arial" w:eastAsia="Arial" w:cs="Arial"/>
          <w:b w:val="0"/>
          <w:bCs w:val="0"/>
          <w:noProof w:val="0"/>
          <w:color w:val="000000" w:themeColor="text1" w:themeTint="FF" w:themeShade="FF"/>
          <w:sz w:val="22"/>
          <w:szCs w:val="22"/>
          <w:lang w:val="en-GB"/>
        </w:rPr>
        <w:t xml:space="preserve">. Boston: Harvard Business Review Press. </w:t>
      </w:r>
    </w:p>
    <w:p w:rsidR="63CC5438" w:rsidP="0FC11310" w:rsidRDefault="63CC5438" w14:paraId="2AB372BC" w14:textId="2B9C3E5C">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Kabat-Zinn, J. (2015) </w:t>
      </w:r>
      <w:r w:rsidRPr="0362B149" w:rsidR="63CC5438">
        <w:rPr>
          <w:rFonts w:ascii="Arial" w:hAnsi="Arial" w:eastAsia="Arial" w:cs="Arial"/>
          <w:b w:val="0"/>
          <w:bCs w:val="0"/>
          <w:i w:val="1"/>
          <w:iCs w:val="1"/>
          <w:noProof w:val="0"/>
          <w:color w:val="000000" w:themeColor="text1" w:themeTint="FF" w:themeShade="FF"/>
          <w:sz w:val="22"/>
          <w:szCs w:val="22"/>
          <w:lang w:val="en-GB"/>
        </w:rPr>
        <w:t>Mindfulness</w:t>
      </w:r>
      <w:r w:rsidRPr="0362B149" w:rsidR="63CC5438">
        <w:rPr>
          <w:rFonts w:ascii="Arial" w:hAnsi="Arial" w:eastAsia="Arial" w:cs="Arial"/>
          <w:b w:val="0"/>
          <w:bCs w:val="0"/>
          <w:noProof w:val="0"/>
          <w:color w:val="000000" w:themeColor="text1" w:themeTint="FF" w:themeShade="FF"/>
          <w:sz w:val="22"/>
          <w:szCs w:val="22"/>
          <w:lang w:val="en-GB"/>
        </w:rPr>
        <w:t xml:space="preserve">. London: Piatkus. </w:t>
      </w:r>
    </w:p>
    <w:p w:rsidR="63CC5438" w:rsidP="0FC11310" w:rsidRDefault="63CC5438" w14:paraId="63A48F35" w14:textId="139F7D30">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Northouse, P.G. (2022) </w:t>
      </w:r>
      <w:r w:rsidRPr="0362B149" w:rsidR="63CC5438">
        <w:rPr>
          <w:rFonts w:ascii="Arial" w:hAnsi="Arial" w:eastAsia="Arial" w:cs="Arial"/>
          <w:b w:val="0"/>
          <w:bCs w:val="0"/>
          <w:i w:val="1"/>
          <w:iCs w:val="1"/>
          <w:noProof w:val="0"/>
          <w:color w:val="000000" w:themeColor="text1" w:themeTint="FF" w:themeShade="FF"/>
          <w:sz w:val="22"/>
          <w:szCs w:val="22"/>
          <w:lang w:val="en-GB"/>
        </w:rPr>
        <w:t>Leadership: Theory and Practice</w:t>
      </w:r>
      <w:r w:rsidRPr="0362B149" w:rsidR="63CC5438">
        <w:rPr>
          <w:rFonts w:ascii="Arial" w:hAnsi="Arial" w:eastAsia="Arial" w:cs="Arial"/>
          <w:b w:val="0"/>
          <w:bCs w:val="0"/>
          <w:noProof w:val="0"/>
          <w:color w:val="000000" w:themeColor="text1" w:themeTint="FF" w:themeShade="FF"/>
          <w:sz w:val="22"/>
          <w:szCs w:val="22"/>
          <w:lang w:val="en-GB"/>
        </w:rPr>
        <w:t xml:space="preserve">. 9th edn. Thousand Oaks, CA: Sage Publications. </w:t>
      </w:r>
    </w:p>
    <w:p w:rsidR="63CC5438" w:rsidP="0FC11310" w:rsidRDefault="63CC5438" w14:paraId="2328C6FF" w14:textId="2A5EED5D">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Robbins, S.P. and Judge, T.A. (2023) </w:t>
      </w:r>
      <w:r w:rsidRPr="0362B149" w:rsidR="63CC5438">
        <w:rPr>
          <w:rFonts w:ascii="Arial" w:hAnsi="Arial" w:eastAsia="Arial" w:cs="Arial"/>
          <w:b w:val="0"/>
          <w:bCs w:val="0"/>
          <w:i w:val="1"/>
          <w:iCs w:val="1"/>
          <w:noProof w:val="0"/>
          <w:color w:val="000000" w:themeColor="text1" w:themeTint="FF" w:themeShade="FF"/>
          <w:sz w:val="22"/>
          <w:szCs w:val="22"/>
          <w:lang w:val="en-GB"/>
        </w:rPr>
        <w:t>Organizational Behavior</w:t>
      </w:r>
      <w:r w:rsidRPr="0362B149" w:rsidR="63CC5438">
        <w:rPr>
          <w:rFonts w:ascii="Arial" w:hAnsi="Arial" w:eastAsia="Arial" w:cs="Arial"/>
          <w:b w:val="0"/>
          <w:bCs w:val="0"/>
          <w:noProof w:val="0"/>
          <w:color w:val="000000" w:themeColor="text1" w:themeTint="FF" w:themeShade="FF"/>
          <w:sz w:val="22"/>
          <w:szCs w:val="22"/>
          <w:lang w:val="en-GB"/>
        </w:rPr>
        <w:t xml:space="preserve">. 19th edn. Harlow: Pearson. </w:t>
      </w:r>
    </w:p>
    <w:p w:rsidR="63CC5438" w:rsidP="0FC11310" w:rsidRDefault="63CC5438" w14:paraId="61078F3E" w14:textId="37799366">
      <w:pPr>
        <w:pStyle w:val="Normal"/>
        <w:bidi w:val="0"/>
        <w:ind w:left="0"/>
        <w:rPr>
          <w:rFonts w:ascii="Arial" w:hAnsi="Arial" w:eastAsia="Arial" w:cs="Arial"/>
          <w:b w:val="0"/>
          <w:bCs w:val="0"/>
          <w:noProof w:val="0"/>
          <w:color w:val="000000" w:themeColor="text1" w:themeTint="FF" w:themeShade="FF"/>
          <w:sz w:val="22"/>
          <w:szCs w:val="22"/>
          <w:lang w:val="en-GB"/>
        </w:rPr>
      </w:pPr>
      <w:r w:rsidRPr="0362B149" w:rsidR="63CC5438">
        <w:rPr>
          <w:rFonts w:ascii="Arial" w:hAnsi="Arial" w:eastAsia="Arial" w:cs="Arial"/>
          <w:b w:val="0"/>
          <w:bCs w:val="0"/>
          <w:noProof w:val="0"/>
          <w:color w:val="000000" w:themeColor="text1" w:themeTint="FF" w:themeShade="FF"/>
          <w:sz w:val="22"/>
          <w:szCs w:val="22"/>
          <w:lang w:val="en-GB"/>
        </w:rPr>
        <w:t xml:space="preserve">Twenge, J.M. (2023) </w:t>
      </w:r>
      <w:r w:rsidRPr="0362B149" w:rsidR="63CC5438">
        <w:rPr>
          <w:rFonts w:ascii="Arial" w:hAnsi="Arial" w:eastAsia="Arial" w:cs="Arial"/>
          <w:b w:val="0"/>
          <w:bCs w:val="0"/>
          <w:i w:val="1"/>
          <w:iCs w:val="1"/>
          <w:noProof w:val="0"/>
          <w:color w:val="000000" w:themeColor="text1" w:themeTint="FF" w:themeShade="FF"/>
          <w:sz w:val="22"/>
          <w:szCs w:val="22"/>
          <w:lang w:val="en-GB"/>
        </w:rPr>
        <w:t>Generations</w:t>
      </w:r>
      <w:r w:rsidRPr="0362B149" w:rsidR="63CC5438">
        <w:rPr>
          <w:rFonts w:ascii="Arial" w:hAnsi="Arial" w:eastAsia="Arial" w:cs="Arial"/>
          <w:b w:val="0"/>
          <w:bCs w:val="0"/>
          <w:noProof w:val="0"/>
          <w:color w:val="000000" w:themeColor="text1" w:themeTint="FF" w:themeShade="FF"/>
          <w:sz w:val="22"/>
          <w:szCs w:val="22"/>
          <w:lang w:val="en-GB"/>
        </w:rPr>
        <w:t>. New York: Atria Books.</w:t>
      </w:r>
    </w:p>
    <w:p w:rsidR="0FC11310" w:rsidP="0FC11310" w:rsidRDefault="0FC11310" w14:paraId="6582C5B8" w14:textId="4B6F70D4">
      <w:pPr>
        <w:pStyle w:val="Normal"/>
        <w:bidi w:val="0"/>
        <w:spacing w:before="0" w:beforeAutospacing="off" w:after="0" w:afterAutospacing="off"/>
        <w:ind w:left="0"/>
        <w:rPr>
          <w:rFonts w:ascii="Arial" w:hAnsi="Arial" w:eastAsia="Arial" w:cs="Arial"/>
          <w:b w:val="0"/>
          <w:bCs w:val="0"/>
          <w:noProof w:val="0"/>
          <w:color w:val="000000" w:themeColor="text1" w:themeTint="FF" w:themeShade="FF"/>
          <w:sz w:val="22"/>
          <w:szCs w:val="22"/>
          <w:lang w:val="en-GB"/>
        </w:rPr>
      </w:pPr>
    </w:p>
    <w:p w:rsidR="0FC11310" w:rsidP="0FC11310" w:rsidRDefault="0FC11310" w14:paraId="7E4491D2" w14:textId="4D356136">
      <w:pPr>
        <w:pStyle w:val="ListParagraph"/>
        <w:bidi w:val="0"/>
        <w:ind w:left="0"/>
        <w:rPr>
          <w:rFonts w:ascii="Arial" w:hAnsi="Arial" w:eastAsia="Arial" w:cs="Arial"/>
          <w:b w:val="0"/>
          <w:bCs w:val="0"/>
          <w:noProof w:val="0"/>
          <w:color w:val="000000" w:themeColor="text1" w:themeTint="FF" w:themeShade="FF"/>
          <w:sz w:val="22"/>
          <w:szCs w:val="22"/>
          <w:lang w:val="en-GB"/>
        </w:rPr>
      </w:pPr>
    </w:p>
    <w:p w:rsidR="0FC11310" w:rsidP="0FC11310" w:rsidRDefault="0FC11310" w14:paraId="5ADD1FC8" w14:textId="112A39FA">
      <w:pPr>
        <w:pStyle w:val="Normal"/>
        <w:bidi w:val="0"/>
        <w:rPr>
          <w:rFonts w:ascii="Arial" w:hAnsi="Arial" w:eastAsia="Arial" w:cs="Arial"/>
          <w:b w:val="0"/>
          <w:bCs w:val="0"/>
          <w:noProof w:val="0"/>
          <w:color w:val="000000" w:themeColor="text1" w:themeTint="FF" w:themeShade="FF"/>
          <w:sz w:val="22"/>
          <w:szCs w:val="22"/>
          <w:lang w:val="en-GB"/>
        </w:rPr>
      </w:pPr>
    </w:p>
    <w:p w:rsidR="0FC11310" w:rsidP="0FC11310" w:rsidRDefault="0FC11310" w14:paraId="2A2B6E7A" w14:textId="7AF7BA16">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3588EF8E" w14:textId="24E26E70">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16D1EBC4" w14:textId="0D36EF42">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736CCDF2" w14:textId="78FF6BEC">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26F687BD" w14:textId="296A0239">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0360D041" w14:textId="019D1BC5">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5B716CB8" w14:textId="20A3CCCD">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13603223" w14:textId="2DFD4CDD">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17256247" w14:textId="5842DDEA">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7EC2649C" w14:textId="0723B678">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42389678" w14:textId="319F7472">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04F80C33" w14:textId="1C1B7D40">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7CF971A4" w14:textId="101F0A33">
      <w:pPr>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p w:rsidR="0FC11310" w:rsidP="0FC11310" w:rsidRDefault="0FC11310" w14:paraId="2AF24C4C" w14:textId="223AB634">
      <w:pPr>
        <w:pStyle w:val="Normal"/>
        <w:bidi w:val="0"/>
        <w:spacing w:after="21" w:afterAutospacing="off" w:line="257" w:lineRule="auto"/>
        <w:jc w:val="left"/>
        <w:rPr>
          <w:rFonts w:ascii="Arial" w:hAnsi="Arial" w:eastAsia="Arial" w:cs="Arial"/>
          <w:b w:val="0"/>
          <w:b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21ca17a597aa4a21"/>
      <w:footerReference w:type="default" r:id="Rc009d09d27e44a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C11310" w:rsidTr="0FC11310" w14:paraId="66B67876">
      <w:trPr>
        <w:trHeight w:val="300"/>
      </w:trPr>
      <w:tc>
        <w:tcPr>
          <w:tcW w:w="3005" w:type="dxa"/>
          <w:tcMar/>
        </w:tcPr>
        <w:p w:rsidR="0FC11310" w:rsidP="0FC11310" w:rsidRDefault="0FC11310" w14:paraId="0B39144A" w14:textId="264D8098">
          <w:pPr>
            <w:pStyle w:val="Header"/>
            <w:bidi w:val="0"/>
            <w:ind w:left="-115"/>
            <w:jc w:val="left"/>
          </w:pPr>
        </w:p>
      </w:tc>
      <w:tc>
        <w:tcPr>
          <w:tcW w:w="3005" w:type="dxa"/>
          <w:tcMar/>
        </w:tcPr>
        <w:p w:rsidR="0FC11310" w:rsidP="0FC11310" w:rsidRDefault="0FC11310" w14:paraId="3A901B5E" w14:textId="3FC6A36D">
          <w:pPr>
            <w:pStyle w:val="Header"/>
            <w:bidi w:val="0"/>
            <w:jc w:val="center"/>
          </w:pPr>
        </w:p>
      </w:tc>
      <w:tc>
        <w:tcPr>
          <w:tcW w:w="3005" w:type="dxa"/>
          <w:tcMar/>
        </w:tcPr>
        <w:p w:rsidR="0FC11310" w:rsidP="0FC11310" w:rsidRDefault="0FC11310" w14:paraId="40749477" w14:textId="5A80E5BE">
          <w:pPr>
            <w:pStyle w:val="Header"/>
            <w:bidi w:val="0"/>
            <w:ind w:right="-115"/>
            <w:jc w:val="right"/>
          </w:pPr>
        </w:p>
      </w:tc>
    </w:tr>
  </w:tbl>
  <w:p w:rsidR="0FC11310" w:rsidP="0FC11310" w:rsidRDefault="0FC11310" w14:paraId="0050891E" w14:textId="06A17EA6">
    <w:pPr>
      <w:pStyle w:val="Footer"/>
      <w:bidi w:val="0"/>
    </w:pPr>
  </w:p>
</w:ftr>
</file>

<file path=word/header.xml><?xml version="1.0" encoding="utf-8"?>
<w:hdr xmlns:w14="http://schemas.microsoft.com/office/word/2010/wordml" xmlns:w="http://schemas.openxmlformats.org/wordprocessingml/2006/main">
  <w:p w:rsidR="0FC11310" w:rsidP="0FC11310" w:rsidRDefault="0FC11310" w14:paraId="1DDD3866" w14:textId="14BF2B39">
    <w:pPr>
      <w:pStyle w:val="Header"/>
      <w:bidi w:val="0"/>
    </w:pPr>
  </w:p>
</w:hdr>
</file>

<file path=word/intelligence2.xml><?xml version="1.0" encoding="utf-8"?>
<int2:intelligence xmlns:int2="http://schemas.microsoft.com/office/intelligence/2020/intelligence">
  <int2:observations>
    <int2:textHash int2:hashCode="WIJB1fvLF7Cxz7" int2:id="wYQQi6J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ad02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7e9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2a1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035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428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5c4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66ED0"/>
    <w:rsid w:val="00A972C2"/>
    <w:rsid w:val="00E58B48"/>
    <w:rsid w:val="01E6F247"/>
    <w:rsid w:val="0242675F"/>
    <w:rsid w:val="0362B149"/>
    <w:rsid w:val="0444DE5E"/>
    <w:rsid w:val="04FF0116"/>
    <w:rsid w:val="0561DD74"/>
    <w:rsid w:val="058713B4"/>
    <w:rsid w:val="0593B7CB"/>
    <w:rsid w:val="0EADA255"/>
    <w:rsid w:val="0F6A177B"/>
    <w:rsid w:val="0FC11310"/>
    <w:rsid w:val="0FEA9C1C"/>
    <w:rsid w:val="1088E7F1"/>
    <w:rsid w:val="10E4AF96"/>
    <w:rsid w:val="11A488FF"/>
    <w:rsid w:val="15847476"/>
    <w:rsid w:val="17137744"/>
    <w:rsid w:val="1924B160"/>
    <w:rsid w:val="195510FF"/>
    <w:rsid w:val="19A12983"/>
    <w:rsid w:val="1A0ED043"/>
    <w:rsid w:val="1BD64B67"/>
    <w:rsid w:val="1D77A04D"/>
    <w:rsid w:val="1D840015"/>
    <w:rsid w:val="1EA01487"/>
    <w:rsid w:val="1F89F319"/>
    <w:rsid w:val="1FDA1CC4"/>
    <w:rsid w:val="1FFCC43C"/>
    <w:rsid w:val="20187C6F"/>
    <w:rsid w:val="252FAA51"/>
    <w:rsid w:val="254E621D"/>
    <w:rsid w:val="2556E91A"/>
    <w:rsid w:val="282A0859"/>
    <w:rsid w:val="292AFB06"/>
    <w:rsid w:val="29746D21"/>
    <w:rsid w:val="2A5D58E9"/>
    <w:rsid w:val="2AB56566"/>
    <w:rsid w:val="2ABD010F"/>
    <w:rsid w:val="2BA2C382"/>
    <w:rsid w:val="2D8F44E3"/>
    <w:rsid w:val="2E2D794F"/>
    <w:rsid w:val="2F38EAAF"/>
    <w:rsid w:val="3066F2B5"/>
    <w:rsid w:val="30BBA98F"/>
    <w:rsid w:val="31B2488B"/>
    <w:rsid w:val="3211A175"/>
    <w:rsid w:val="330EEEBB"/>
    <w:rsid w:val="3ACC96B1"/>
    <w:rsid w:val="3C311F20"/>
    <w:rsid w:val="3C37A1AB"/>
    <w:rsid w:val="3D4E089D"/>
    <w:rsid w:val="3DF708F9"/>
    <w:rsid w:val="3E47818F"/>
    <w:rsid w:val="4004C72C"/>
    <w:rsid w:val="40AEAB05"/>
    <w:rsid w:val="414322FB"/>
    <w:rsid w:val="41458110"/>
    <w:rsid w:val="42586BCD"/>
    <w:rsid w:val="43518B73"/>
    <w:rsid w:val="45D797DF"/>
    <w:rsid w:val="45DCA61D"/>
    <w:rsid w:val="4BC1736F"/>
    <w:rsid w:val="4CCDBD8C"/>
    <w:rsid w:val="4F9FCB0F"/>
    <w:rsid w:val="5027BECD"/>
    <w:rsid w:val="50E66ED0"/>
    <w:rsid w:val="5197ACCF"/>
    <w:rsid w:val="5344C082"/>
    <w:rsid w:val="53A4B98F"/>
    <w:rsid w:val="542C74E9"/>
    <w:rsid w:val="578E0E3F"/>
    <w:rsid w:val="58AD3B5B"/>
    <w:rsid w:val="5A100241"/>
    <w:rsid w:val="5A546906"/>
    <w:rsid w:val="5A7583CE"/>
    <w:rsid w:val="5A8449A0"/>
    <w:rsid w:val="5BC164BC"/>
    <w:rsid w:val="5C21DE87"/>
    <w:rsid w:val="5F08F136"/>
    <w:rsid w:val="639D0B80"/>
    <w:rsid w:val="63CC5438"/>
    <w:rsid w:val="63F0F539"/>
    <w:rsid w:val="64BA9E92"/>
    <w:rsid w:val="66186DF5"/>
    <w:rsid w:val="67337997"/>
    <w:rsid w:val="68B31130"/>
    <w:rsid w:val="697C3FAD"/>
    <w:rsid w:val="69C1A05E"/>
    <w:rsid w:val="69D0C114"/>
    <w:rsid w:val="6A6A45E9"/>
    <w:rsid w:val="6B82DFF9"/>
    <w:rsid w:val="6E8B6DAB"/>
    <w:rsid w:val="6F6F14F3"/>
    <w:rsid w:val="6FFE0E50"/>
    <w:rsid w:val="726D99B0"/>
    <w:rsid w:val="73AC024D"/>
    <w:rsid w:val="74E6C769"/>
    <w:rsid w:val="77627C46"/>
    <w:rsid w:val="7825AA93"/>
    <w:rsid w:val="7BA112B3"/>
    <w:rsid w:val="7D60D8FA"/>
    <w:rsid w:val="7E2D277C"/>
    <w:rsid w:val="7EB62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EAD12"/>
  <w15:chartTrackingRefBased/>
  <w15:docId w15:val="{50192B2C-9E7F-4A99-93C1-EEE968EE1E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FC11310"/>
    <w:pPr>
      <w:tabs>
        <w:tab w:val="center" w:leader="none" w:pos="4680"/>
        <w:tab w:val="right" w:leader="none" w:pos="9360"/>
      </w:tabs>
      <w:spacing w:after="0" w:line="240" w:lineRule="auto"/>
    </w:pPr>
  </w:style>
  <w:style w:type="paragraph" w:styleId="Footer">
    <w:uiPriority w:val="99"/>
    <w:name w:val="footer"/>
    <w:basedOn w:val="Normal"/>
    <w:unhideWhenUsed/>
    <w:rsid w:val="0FC11310"/>
    <w:pPr>
      <w:tabs>
        <w:tab w:val="center" w:leader="none" w:pos="4680"/>
        <w:tab w:val="right" w:leader="none" w:pos="9360"/>
      </w:tabs>
      <w:spacing w:after="0" w:line="240" w:lineRule="auto"/>
    </w:pPr>
  </w:style>
  <w:style w:type="character" w:styleId="normaltextrun" w:customStyle="true">
    <w:uiPriority w:val="1"/>
    <w:name w:val="normaltextrun"/>
    <w:basedOn w:val="DefaultParagraphFont"/>
    <w:rsid w:val="0FC11310"/>
    <w:rPr>
      <w:rFonts w:ascii="Calibri" w:hAnsi="Calibri" w:eastAsia="等线" w:cs="" w:asciiTheme="minorAscii" w:hAnsiTheme="minorAscii" w:eastAsiaTheme="minorEastAsia" w:cstheme="minorBidi"/>
      <w:sz w:val="22"/>
      <w:szCs w:val="22"/>
    </w:rPr>
  </w:style>
  <w:style w:type="paragraph" w:styleId="ListParagraph">
    <w:uiPriority w:val="34"/>
    <w:name w:val="List Paragraph"/>
    <w:basedOn w:val="Normal"/>
    <w:qFormat/>
    <w:rsid w:val="0FC11310"/>
    <w:pPr>
      <w:spacing/>
      <w:ind w:left="720"/>
      <w:contextualSpacing/>
    </w:pPr>
  </w:style>
  <w:style w:type="paragraph" w:styleId="Heading1">
    <w:uiPriority w:val="9"/>
    <w:name w:val="heading 1"/>
    <w:basedOn w:val="Normal"/>
    <w:next w:val="Normal"/>
    <w:qFormat/>
    <w:rsid w:val="0FC1131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FC113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FC11310"/>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1ca17a597aa4a21" /><Relationship Type="http://schemas.openxmlformats.org/officeDocument/2006/relationships/footer" Target="/word/footer.xml" Id="Rc009d09d27e44a56" /><Relationship Type="http://schemas.microsoft.com/office/2020/10/relationships/intelligence" Target="/word/intelligence2.xml" Id="R2c279736cd644b66" /><Relationship Type="http://schemas.openxmlformats.org/officeDocument/2006/relationships/numbering" Target="/word/numbering.xml" Id="R3d38ad89569b49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Kashem (2410901)</dc:creator>
  <keywords/>
  <dc:description/>
  <lastModifiedBy>Abdul Kashem (2410901)</lastModifiedBy>
  <revision>3</revision>
  <dcterms:created xsi:type="dcterms:W3CDTF">2026-07-03T08:51:03.4009645Z</dcterms:created>
  <dcterms:modified xsi:type="dcterms:W3CDTF">2026-07-03T11:12:59.5666387Z</dcterms:modified>
</coreProperties>
</file>