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EA5D90" w14:textId="77777777" w:rsidR="00ED1049" w:rsidRPr="009F639E" w:rsidRDefault="00ED1049" w:rsidP="00B655F8">
      <w:pPr>
        <w:spacing w:line="360" w:lineRule="auto"/>
        <w:ind w:left="426"/>
        <w:jc w:val="both"/>
        <w:rPr>
          <w:rFonts w:cs="Arial"/>
          <w:lang w:val="en-GB"/>
        </w:rPr>
      </w:pPr>
    </w:p>
    <w:p w14:paraId="7B1440D0" w14:textId="77777777" w:rsidR="00ED1049" w:rsidRPr="009F639E" w:rsidRDefault="00000000" w:rsidP="00B655F8">
      <w:pPr>
        <w:spacing w:line="360" w:lineRule="auto"/>
        <w:ind w:left="426"/>
        <w:jc w:val="both"/>
        <w:rPr>
          <w:rFonts w:cs="Arial"/>
          <w:szCs w:val="24"/>
          <w:lang w:val="en-GB"/>
        </w:rPr>
      </w:pPr>
      <w:r w:rsidRPr="009F639E">
        <w:rPr>
          <w:rFonts w:cs="Arial"/>
          <w:noProof/>
          <w:szCs w:val="24"/>
          <w:lang w:val="en-GB"/>
        </w:rPr>
        <w:drawing>
          <wp:anchor distT="0" distB="0" distL="114300" distR="114300" simplePos="0" relativeHeight="251658240" behindDoc="0" locked="0" layoutInCell="1" allowOverlap="1" wp14:anchorId="7ED5A35F" wp14:editId="64E96002">
            <wp:simplePos x="0" y="0"/>
            <wp:positionH relativeFrom="margin">
              <wp:posOffset>-635</wp:posOffset>
            </wp:positionH>
            <wp:positionV relativeFrom="paragraph">
              <wp:posOffset>289560</wp:posOffset>
            </wp:positionV>
            <wp:extent cx="2600325" cy="914400"/>
            <wp:effectExtent l="0" t="0" r="9525"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tretch>
                      <a:fillRect/>
                    </a:stretch>
                  </pic:blipFill>
                  <pic:spPr bwMode="auto">
                    <a:xfrm>
                      <a:off x="0" y="0"/>
                      <a:ext cx="2600325" cy="9144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3077428" w14:textId="77777777" w:rsidR="00ED1049" w:rsidRPr="009F639E" w:rsidRDefault="00ED1049" w:rsidP="00B655F8">
      <w:pPr>
        <w:spacing w:line="360" w:lineRule="auto"/>
        <w:ind w:left="426"/>
        <w:jc w:val="both"/>
        <w:rPr>
          <w:rFonts w:cs="Arial"/>
          <w:szCs w:val="24"/>
          <w:lang w:val="en-GB"/>
        </w:rPr>
      </w:pPr>
    </w:p>
    <w:p w14:paraId="60000177" w14:textId="77777777" w:rsidR="00ED1049" w:rsidRPr="009F639E" w:rsidRDefault="00ED1049" w:rsidP="00B655F8">
      <w:pPr>
        <w:spacing w:line="360" w:lineRule="auto"/>
        <w:ind w:left="426"/>
        <w:jc w:val="both"/>
        <w:rPr>
          <w:rFonts w:cs="Arial"/>
          <w:szCs w:val="24"/>
          <w:lang w:val="en-GB"/>
        </w:rPr>
      </w:pPr>
    </w:p>
    <w:p w14:paraId="7B451163" w14:textId="77777777" w:rsidR="00ED1049" w:rsidRPr="009F639E" w:rsidRDefault="00ED1049" w:rsidP="00B655F8">
      <w:pPr>
        <w:spacing w:line="360" w:lineRule="auto"/>
        <w:ind w:left="426"/>
        <w:jc w:val="both"/>
        <w:rPr>
          <w:rFonts w:cs="Arial"/>
          <w:szCs w:val="24"/>
          <w:lang w:val="en-GB"/>
        </w:rPr>
      </w:pPr>
    </w:p>
    <w:p w14:paraId="23B8F708" w14:textId="77777777" w:rsidR="00ED1049" w:rsidRPr="009F639E" w:rsidRDefault="00ED1049" w:rsidP="00B655F8">
      <w:pPr>
        <w:tabs>
          <w:tab w:val="left" w:pos="6540"/>
        </w:tabs>
        <w:spacing w:line="360" w:lineRule="auto"/>
        <w:ind w:left="426"/>
        <w:jc w:val="both"/>
        <w:rPr>
          <w:rFonts w:cs="Arial"/>
          <w:sz w:val="28"/>
          <w:szCs w:val="28"/>
          <w:lang w:val="en-GB"/>
        </w:rPr>
      </w:pPr>
    </w:p>
    <w:p w14:paraId="09E9AF53" w14:textId="1C1EF2D7" w:rsidR="00ED1049" w:rsidRPr="009F639E" w:rsidRDefault="00000000" w:rsidP="00B655F8">
      <w:pPr>
        <w:tabs>
          <w:tab w:val="left" w:pos="6540"/>
        </w:tabs>
        <w:spacing w:line="360" w:lineRule="auto"/>
        <w:ind w:left="426"/>
        <w:jc w:val="both"/>
        <w:rPr>
          <w:rFonts w:ascii="Arial" w:hAnsi="Arial" w:cs="Arial"/>
          <w:sz w:val="28"/>
          <w:szCs w:val="28"/>
          <w:lang w:val="en-GB"/>
        </w:rPr>
      </w:pPr>
      <w:r w:rsidRPr="009F639E">
        <w:rPr>
          <w:rFonts w:ascii="Arial" w:hAnsi="Arial" w:cs="Arial"/>
          <w:b/>
          <w:bCs/>
          <w:sz w:val="28"/>
          <w:szCs w:val="28"/>
          <w:lang w:val="en-GB"/>
        </w:rPr>
        <w:t>Student name</w:t>
      </w:r>
      <w:r w:rsidRPr="009F639E">
        <w:rPr>
          <w:rFonts w:ascii="Arial" w:hAnsi="Arial" w:cs="Arial"/>
          <w:sz w:val="28"/>
          <w:szCs w:val="28"/>
          <w:lang w:val="en-GB"/>
        </w:rPr>
        <w:t>:</w:t>
      </w:r>
      <w:r w:rsidR="00C21FC7">
        <w:rPr>
          <w:rFonts w:ascii="Arial" w:hAnsi="Arial" w:cs="Arial"/>
          <w:sz w:val="28"/>
          <w:szCs w:val="28"/>
          <w:lang w:val="en-GB"/>
        </w:rPr>
        <w:t xml:space="preserve"> Niculina Carmen Butnaru</w:t>
      </w:r>
    </w:p>
    <w:p w14:paraId="64F7A638" w14:textId="540A9968" w:rsidR="00ED1049" w:rsidRPr="009F639E" w:rsidRDefault="00000000" w:rsidP="00545472">
      <w:pPr>
        <w:tabs>
          <w:tab w:val="left" w:pos="6540"/>
        </w:tabs>
        <w:spacing w:line="360" w:lineRule="auto"/>
        <w:ind w:left="426"/>
        <w:jc w:val="both"/>
        <w:rPr>
          <w:rFonts w:ascii="Arial" w:hAnsi="Arial" w:cs="Arial"/>
          <w:sz w:val="28"/>
          <w:szCs w:val="28"/>
          <w:lang w:val="en-GB"/>
        </w:rPr>
      </w:pPr>
      <w:r w:rsidRPr="009F639E">
        <w:rPr>
          <w:rFonts w:ascii="Arial" w:hAnsi="Arial" w:cs="Arial"/>
          <w:b/>
          <w:bCs/>
          <w:sz w:val="28"/>
          <w:szCs w:val="28"/>
          <w:lang w:val="en-GB"/>
        </w:rPr>
        <w:t>Student ID</w:t>
      </w:r>
      <w:r w:rsidRPr="009F639E">
        <w:rPr>
          <w:rFonts w:ascii="Arial" w:hAnsi="Arial" w:cs="Arial"/>
          <w:sz w:val="28"/>
          <w:szCs w:val="28"/>
          <w:lang w:val="en-GB"/>
        </w:rPr>
        <w:t>:</w:t>
      </w:r>
      <w:r w:rsidR="00C21FC7">
        <w:rPr>
          <w:rFonts w:ascii="Arial" w:hAnsi="Arial" w:cs="Arial"/>
          <w:sz w:val="28"/>
          <w:szCs w:val="28"/>
          <w:lang w:val="en-GB"/>
        </w:rPr>
        <w:t xml:space="preserve"> 2241990</w:t>
      </w:r>
    </w:p>
    <w:p w14:paraId="0BB08C7C" w14:textId="42E41210" w:rsidR="00ED1049" w:rsidRPr="009F639E" w:rsidRDefault="00000000" w:rsidP="00B655F8">
      <w:pPr>
        <w:tabs>
          <w:tab w:val="left" w:pos="6540"/>
        </w:tabs>
        <w:spacing w:line="360" w:lineRule="auto"/>
        <w:ind w:left="426"/>
        <w:jc w:val="both"/>
        <w:rPr>
          <w:rFonts w:ascii="Arial" w:hAnsi="Arial" w:cs="Arial"/>
          <w:sz w:val="28"/>
          <w:szCs w:val="28"/>
          <w:lang w:val="en-GB"/>
        </w:rPr>
      </w:pPr>
      <w:r w:rsidRPr="009F639E">
        <w:rPr>
          <w:rFonts w:ascii="Arial" w:hAnsi="Arial" w:cs="Arial"/>
          <w:b/>
          <w:bCs/>
          <w:sz w:val="28"/>
          <w:szCs w:val="28"/>
          <w:lang w:val="en-GB"/>
        </w:rPr>
        <w:t>Module name</w:t>
      </w:r>
      <w:r w:rsidRPr="009F639E">
        <w:rPr>
          <w:rFonts w:ascii="Arial" w:hAnsi="Arial" w:cs="Arial"/>
          <w:sz w:val="28"/>
          <w:szCs w:val="28"/>
          <w:lang w:val="en-GB"/>
        </w:rPr>
        <w:t xml:space="preserve">: </w:t>
      </w:r>
      <w:r w:rsidR="002D24AC">
        <w:rPr>
          <w:rFonts w:ascii="Arial" w:hAnsi="Arial" w:cs="Arial"/>
          <w:sz w:val="28"/>
          <w:szCs w:val="28"/>
          <w:lang w:val="en-GB"/>
        </w:rPr>
        <w:t>Independent Project</w:t>
      </w:r>
    </w:p>
    <w:p w14:paraId="0F0A383B" w14:textId="7BFC890C" w:rsidR="00ED1049" w:rsidRPr="009F639E" w:rsidRDefault="00000000" w:rsidP="00B655F8">
      <w:pPr>
        <w:tabs>
          <w:tab w:val="left" w:pos="6540"/>
        </w:tabs>
        <w:spacing w:line="360" w:lineRule="auto"/>
        <w:ind w:left="426"/>
        <w:jc w:val="both"/>
        <w:rPr>
          <w:rFonts w:ascii="Arial" w:hAnsi="Arial" w:cs="Arial"/>
          <w:sz w:val="28"/>
          <w:szCs w:val="28"/>
          <w:lang w:val="en-GB"/>
        </w:rPr>
      </w:pPr>
      <w:r w:rsidRPr="009F639E">
        <w:rPr>
          <w:rFonts w:ascii="Arial" w:hAnsi="Arial" w:cs="Arial"/>
          <w:b/>
          <w:bCs/>
          <w:sz w:val="28"/>
          <w:szCs w:val="28"/>
          <w:lang w:val="en-GB"/>
        </w:rPr>
        <w:t>Module code</w:t>
      </w:r>
      <w:r w:rsidRPr="009F639E">
        <w:rPr>
          <w:rFonts w:ascii="Arial" w:hAnsi="Arial" w:cs="Arial"/>
          <w:sz w:val="28"/>
          <w:szCs w:val="28"/>
          <w:lang w:val="en-GB"/>
        </w:rPr>
        <w:t>:</w:t>
      </w:r>
      <w:r w:rsidR="00AE79ED">
        <w:rPr>
          <w:rFonts w:ascii="Arial" w:hAnsi="Arial" w:cs="Arial"/>
          <w:sz w:val="28"/>
          <w:szCs w:val="28"/>
          <w:lang w:val="en-GB"/>
        </w:rPr>
        <w:t xml:space="preserve"> BMHP 6020</w:t>
      </w:r>
    </w:p>
    <w:p w14:paraId="161BF857" w14:textId="35230957" w:rsidR="00ED1049" w:rsidRPr="009F639E" w:rsidRDefault="00000000" w:rsidP="00B655F8">
      <w:pPr>
        <w:tabs>
          <w:tab w:val="left" w:pos="6540"/>
        </w:tabs>
        <w:spacing w:line="360" w:lineRule="auto"/>
        <w:ind w:left="426"/>
        <w:jc w:val="both"/>
        <w:rPr>
          <w:rFonts w:ascii="Arial" w:hAnsi="Arial" w:cs="Arial"/>
          <w:sz w:val="28"/>
          <w:szCs w:val="28"/>
          <w:lang w:val="en-GB"/>
        </w:rPr>
      </w:pPr>
      <w:r w:rsidRPr="009F639E">
        <w:rPr>
          <w:rFonts w:ascii="Arial" w:hAnsi="Arial" w:cs="Arial"/>
          <w:b/>
          <w:bCs/>
          <w:sz w:val="28"/>
          <w:szCs w:val="28"/>
          <w:lang w:val="en-GB"/>
        </w:rPr>
        <w:t>Supervisor’s name</w:t>
      </w:r>
      <w:r w:rsidRPr="009F639E">
        <w:rPr>
          <w:rFonts w:ascii="Arial" w:hAnsi="Arial" w:cs="Arial"/>
          <w:sz w:val="28"/>
          <w:szCs w:val="28"/>
          <w:lang w:val="en-GB"/>
        </w:rPr>
        <w:t>:</w:t>
      </w:r>
      <w:r w:rsidR="00AE79ED">
        <w:rPr>
          <w:rFonts w:ascii="Arial" w:hAnsi="Arial" w:cs="Arial"/>
          <w:sz w:val="28"/>
          <w:szCs w:val="28"/>
          <w:lang w:val="en-GB"/>
        </w:rPr>
        <w:t xml:space="preserve"> Chloe Harries</w:t>
      </w:r>
    </w:p>
    <w:p w14:paraId="4A12F154" w14:textId="77777777" w:rsidR="00ED1049" w:rsidRPr="009F639E" w:rsidRDefault="00ED1049" w:rsidP="00B655F8">
      <w:pPr>
        <w:spacing w:line="360" w:lineRule="auto"/>
        <w:jc w:val="both"/>
        <w:rPr>
          <w:rFonts w:cs="Arial"/>
          <w:lang w:val="en-GB"/>
        </w:rPr>
      </w:pPr>
    </w:p>
    <w:p w14:paraId="53C1078B" w14:textId="77777777" w:rsidR="00CC0A8F" w:rsidRPr="009F639E" w:rsidRDefault="00000000" w:rsidP="00B655F8">
      <w:pPr>
        <w:spacing w:line="360" w:lineRule="auto"/>
        <w:jc w:val="both"/>
        <w:rPr>
          <w:lang w:val="en-GB"/>
        </w:rPr>
      </w:pPr>
      <w:r w:rsidRPr="009F639E">
        <w:rPr>
          <w:lang w:val="en-GB"/>
        </w:rPr>
        <w:br w:type="pag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600" w:firstRow="0" w:lastRow="0" w:firstColumn="0" w:lastColumn="0" w:noHBand="1" w:noVBand="1"/>
        <w:tblDescription w:val="Layout table"/>
      </w:tblPr>
      <w:tblGrid>
        <w:gridCol w:w="4530"/>
        <w:gridCol w:w="416"/>
        <w:gridCol w:w="4497"/>
        <w:gridCol w:w="360"/>
        <w:gridCol w:w="4587"/>
      </w:tblGrid>
      <w:tr w:rsidR="00393240" w14:paraId="3597DF26" w14:textId="77777777" w:rsidTr="00B655F8">
        <w:trPr>
          <w:trHeight w:val="2690"/>
          <w:jc w:val="center"/>
        </w:trPr>
        <w:tc>
          <w:tcPr>
            <w:tcW w:w="4534" w:type="dxa"/>
          </w:tcPr>
          <w:p w14:paraId="2F4B4C25" w14:textId="77777777" w:rsidR="00EB6F36" w:rsidRPr="009F639E" w:rsidRDefault="00000000" w:rsidP="00B655F8">
            <w:pPr>
              <w:spacing w:line="360" w:lineRule="auto"/>
              <w:jc w:val="both"/>
              <w:rPr>
                <w:rFonts w:cs="Arial"/>
                <w:noProof/>
                <w:lang w:val="en-GB"/>
              </w:rPr>
            </w:pPr>
            <w:r>
              <w:rPr>
                <w:noProof/>
              </w:rPr>
              <w:lastRenderedPageBreak/>
              <w:drawing>
                <wp:anchor distT="0" distB="0" distL="114300" distR="114300" simplePos="0" relativeHeight="251659264" behindDoc="0" locked="0" layoutInCell="1" allowOverlap="1" wp14:anchorId="6815072A" wp14:editId="09C0B951">
                  <wp:simplePos x="0" y="0"/>
                  <wp:positionH relativeFrom="column">
                    <wp:posOffset>-1772</wp:posOffset>
                  </wp:positionH>
                  <wp:positionV relativeFrom="paragraph">
                    <wp:posOffset>121241</wp:posOffset>
                  </wp:positionV>
                  <wp:extent cx="2730500" cy="1350335"/>
                  <wp:effectExtent l="0" t="0" r="0" b="2540"/>
                  <wp:wrapNone/>
                  <wp:docPr id="2126966714" name="Picture 1" descr="CGM (Continuous Glucose Monitoring) | ADW Diabe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6966714" name="Picture 1" descr="CGM (Continuous Glucose Monitoring) | ADW Diabetes"/>
                          <pic:cNvPicPr>
                            <a:picLocks noChangeAspect="1" noChangeArrowheads="1"/>
                          </pic:cNvPicPr>
                        </pic:nvPicPr>
                        <pic:blipFill>
                          <a:blip r:embed="rId13">
                            <a:extLst>
                              <a:ext uri="{28A0092B-C50C-407E-A947-70E740481C1C}">
                                <a14:useLocalDpi xmlns:a14="http://schemas.microsoft.com/office/drawing/2010/main" val="0"/>
                              </a:ext>
                            </a:extLst>
                          </a:blip>
                          <a:stretch>
                            <a:fillRect/>
                          </a:stretch>
                        </pic:blipFill>
                        <pic:spPr bwMode="auto">
                          <a:xfrm>
                            <a:off x="0" y="0"/>
                            <a:ext cx="2731983" cy="1351068"/>
                          </a:xfrm>
                          <a:prstGeom prst="rect">
                            <a:avLst/>
                          </a:prstGeom>
                          <a:noFill/>
                          <a:ln>
                            <a:noFill/>
                          </a:ln>
                        </pic:spPr>
                      </pic:pic>
                    </a:graphicData>
                  </a:graphic>
                  <wp14:sizeRelV relativeFrom="margin">
                    <wp14:pctHeight>0</wp14:pctHeight>
                  </wp14:sizeRelV>
                </wp:anchor>
              </w:drawing>
            </w:r>
          </w:p>
          <w:p w14:paraId="76B4E973" w14:textId="77777777" w:rsidR="00346FFA" w:rsidRPr="009F639E" w:rsidRDefault="00346FFA" w:rsidP="00B655F8">
            <w:pPr>
              <w:spacing w:after="0" w:line="360" w:lineRule="auto"/>
              <w:jc w:val="both"/>
              <w:rPr>
                <w:rFonts w:cs="Arial"/>
                <w:noProof/>
                <w:lang w:val="en-GB"/>
              </w:rPr>
            </w:pPr>
          </w:p>
        </w:tc>
        <w:tc>
          <w:tcPr>
            <w:tcW w:w="416" w:type="dxa"/>
            <w:vMerge w:val="restart"/>
          </w:tcPr>
          <w:p w14:paraId="156CE1F5" w14:textId="77777777" w:rsidR="00346FFA" w:rsidRPr="009F639E" w:rsidRDefault="00346FFA" w:rsidP="00B655F8">
            <w:pPr>
              <w:spacing w:line="360" w:lineRule="auto"/>
              <w:jc w:val="both"/>
              <w:rPr>
                <w:rFonts w:cs="Arial"/>
                <w:noProof/>
                <w:lang w:val="en-GB"/>
              </w:rPr>
            </w:pPr>
          </w:p>
        </w:tc>
        <w:tc>
          <w:tcPr>
            <w:tcW w:w="4500" w:type="dxa"/>
            <w:vMerge w:val="restart"/>
          </w:tcPr>
          <w:p w14:paraId="0D252D2D" w14:textId="77777777" w:rsidR="00B67824" w:rsidRPr="009F639E" w:rsidRDefault="00000000" w:rsidP="00B655F8">
            <w:pPr>
              <w:pStyle w:val="Heading1"/>
              <w:spacing w:after="0" w:line="360" w:lineRule="auto"/>
              <w:jc w:val="both"/>
              <w:rPr>
                <w:rStyle w:val="Heading1Char"/>
                <w:rFonts w:asciiTheme="minorHAnsi" w:hAnsiTheme="minorHAnsi" w:cs="Arial"/>
                <w:b/>
                <w:lang w:val="en-GB"/>
              </w:rPr>
            </w:pPr>
            <w:r w:rsidRPr="009F639E">
              <w:rPr>
                <w:rFonts w:asciiTheme="minorHAnsi" w:hAnsiTheme="minorHAnsi" w:cs="Arial"/>
                <w:lang w:val="en-GB"/>
              </w:rPr>
              <w:t>Title and Aim of the Project</w:t>
            </w:r>
          </w:p>
          <w:p w14:paraId="6642E186" w14:textId="77777777" w:rsidR="00EB6F36" w:rsidRPr="009F639E" w:rsidRDefault="00000000" w:rsidP="00545472">
            <w:pPr>
              <w:spacing w:after="0" w:line="360" w:lineRule="auto"/>
              <w:jc w:val="both"/>
              <w:rPr>
                <w:rFonts w:cs="Arial"/>
                <w:lang w:val="en-GB"/>
              </w:rPr>
            </w:pPr>
            <w:r w:rsidRPr="009F639E">
              <w:rPr>
                <w:rFonts w:cs="Arial"/>
                <w:b/>
                <w:bCs/>
                <w:lang w:val="en-GB"/>
              </w:rPr>
              <w:t>Title:</w:t>
            </w:r>
            <w:r w:rsidRPr="009F639E">
              <w:rPr>
                <w:rFonts w:cs="Arial"/>
                <w:lang w:val="en-GB"/>
              </w:rPr>
              <w:t xml:space="preserve"> </w:t>
            </w:r>
            <w:r w:rsidR="00520ABA" w:rsidRPr="00520ABA">
              <w:rPr>
                <w:rFonts w:cs="Arial"/>
                <w:lang w:val="en-GB"/>
              </w:rPr>
              <w:t>The Role of Continuous Glucose Monitoring Systems (Libre and Dexcom) in Improving Diabetes Management at Home</w:t>
            </w:r>
          </w:p>
          <w:p w14:paraId="2ED2CB24" w14:textId="77777777" w:rsidR="00EB6F36" w:rsidRPr="009F639E" w:rsidRDefault="00000000" w:rsidP="00545472">
            <w:pPr>
              <w:spacing w:after="0" w:line="360" w:lineRule="auto"/>
              <w:jc w:val="both"/>
              <w:rPr>
                <w:rFonts w:cs="Arial"/>
                <w:lang w:val="en-GB"/>
              </w:rPr>
            </w:pPr>
            <w:r w:rsidRPr="009F639E">
              <w:rPr>
                <w:rFonts w:cs="Arial"/>
                <w:b/>
                <w:bCs/>
                <w:lang w:val="en-GB"/>
              </w:rPr>
              <w:t>Aim:</w:t>
            </w:r>
            <w:r w:rsidRPr="009F639E">
              <w:rPr>
                <w:rFonts w:cs="Arial"/>
                <w:lang w:val="en-GB"/>
              </w:rPr>
              <w:t xml:space="preserve"> </w:t>
            </w:r>
            <w:r w:rsidR="00520ABA" w:rsidRPr="00520ABA">
              <w:rPr>
                <w:rFonts w:cs="Arial"/>
                <w:lang w:val="en-GB"/>
              </w:rPr>
              <w:t>This study examines the effectiveness of the Libre and Dexcom Continuous Glucose systems in the improvement of home-based diabetes management, self-care, adherence and communication.</w:t>
            </w:r>
          </w:p>
          <w:p w14:paraId="67C7E869" w14:textId="77777777" w:rsidR="00EB6F36" w:rsidRPr="009F639E" w:rsidRDefault="00000000" w:rsidP="00545472">
            <w:pPr>
              <w:spacing w:after="0" w:line="360" w:lineRule="auto"/>
              <w:jc w:val="both"/>
              <w:rPr>
                <w:rFonts w:cs="Arial"/>
                <w:lang w:val="en-GB"/>
              </w:rPr>
            </w:pPr>
            <w:r w:rsidRPr="009F639E">
              <w:rPr>
                <w:rFonts w:cs="Arial"/>
                <w:b/>
                <w:bCs/>
                <w:lang w:val="en-GB"/>
              </w:rPr>
              <w:t>Methods:</w:t>
            </w:r>
            <w:r w:rsidRPr="009F639E">
              <w:rPr>
                <w:rFonts w:cs="Arial"/>
                <w:lang w:val="en-GB"/>
              </w:rPr>
              <w:t xml:space="preserve"> </w:t>
            </w:r>
            <w:r w:rsidR="00520ABA">
              <w:rPr>
                <w:rFonts w:cs="Arial"/>
                <w:lang w:val="en-GB"/>
              </w:rPr>
              <w:t xml:space="preserve"> </w:t>
            </w:r>
            <w:r w:rsidR="00520ABA" w:rsidRPr="00520ABA">
              <w:rPr>
                <w:rFonts w:cs="Arial"/>
                <w:lang w:val="en-GB"/>
              </w:rPr>
              <w:t>Qualitative research will be conducted with a secondary approach, with references to peer-reviewed literature, clinical reports, and health policy documents published during 2020-2025.</w:t>
            </w:r>
          </w:p>
        </w:tc>
        <w:tc>
          <w:tcPr>
            <w:tcW w:w="360" w:type="dxa"/>
            <w:vMerge w:val="restart"/>
          </w:tcPr>
          <w:p w14:paraId="7B2BF728" w14:textId="77777777" w:rsidR="00346FFA" w:rsidRPr="009F639E" w:rsidRDefault="00346FFA" w:rsidP="00B655F8">
            <w:pPr>
              <w:spacing w:line="360" w:lineRule="auto"/>
              <w:jc w:val="both"/>
              <w:rPr>
                <w:rFonts w:cs="Arial"/>
                <w:noProof/>
                <w:lang w:val="en-GB"/>
              </w:rPr>
            </w:pPr>
          </w:p>
        </w:tc>
        <w:tc>
          <w:tcPr>
            <w:tcW w:w="4590" w:type="dxa"/>
            <w:vAlign w:val="center"/>
          </w:tcPr>
          <w:p w14:paraId="60B5B2C3" w14:textId="77777777" w:rsidR="00346FFA" w:rsidRPr="009F639E" w:rsidRDefault="00000000" w:rsidP="00B655F8">
            <w:pPr>
              <w:spacing w:line="360" w:lineRule="auto"/>
              <w:jc w:val="both"/>
              <w:rPr>
                <w:rFonts w:cs="Arial"/>
                <w:noProof/>
                <w:lang w:val="en-GB"/>
              </w:rPr>
            </w:pPr>
            <w:r>
              <w:rPr>
                <w:noProof/>
              </w:rPr>
              <w:drawing>
                <wp:inline distT="0" distB="0" distL="0" distR="0" wp14:anchorId="419210D9" wp14:editId="1B9D260F">
                  <wp:extent cx="2766695" cy="1553210"/>
                  <wp:effectExtent l="0" t="0" r="0" b="8890"/>
                  <wp:docPr id="1665274133" name="Picture 2" descr="Dexcom vs. Abbott Freestyle Libre: Comparing the Top Glucose Monit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5274133" name="Picture 3" descr="Dexcom vs. Abbott Freestyle Libre: Comparing the Top Glucose Monitors"/>
                          <pic:cNvPicPr>
                            <a:picLocks noChangeAspect="1" noChangeArrowheads="1"/>
                          </pic:cNvPicPr>
                        </pic:nvPicPr>
                        <pic:blipFill>
                          <a:blip r:embed="rId14">
                            <a:extLst>
                              <a:ext uri="{28A0092B-C50C-407E-A947-70E740481C1C}">
                                <a14:useLocalDpi xmlns:a14="http://schemas.microsoft.com/office/drawing/2010/main" val="0"/>
                              </a:ext>
                            </a:extLst>
                          </a:blip>
                          <a:stretch>
                            <a:fillRect/>
                          </a:stretch>
                        </pic:blipFill>
                        <pic:spPr bwMode="auto">
                          <a:xfrm>
                            <a:off x="0" y="0"/>
                            <a:ext cx="2766695" cy="1553210"/>
                          </a:xfrm>
                          <a:prstGeom prst="rect">
                            <a:avLst/>
                          </a:prstGeom>
                          <a:noFill/>
                          <a:ln>
                            <a:noFill/>
                          </a:ln>
                        </pic:spPr>
                      </pic:pic>
                    </a:graphicData>
                  </a:graphic>
                </wp:inline>
              </w:drawing>
            </w:r>
          </w:p>
        </w:tc>
      </w:tr>
      <w:tr w:rsidR="00393240" w14:paraId="08A11C4B" w14:textId="77777777" w:rsidTr="00EB6F36">
        <w:trPr>
          <w:trHeight w:val="272"/>
          <w:jc w:val="center"/>
        </w:trPr>
        <w:tc>
          <w:tcPr>
            <w:tcW w:w="4534" w:type="dxa"/>
          </w:tcPr>
          <w:p w14:paraId="1E587565" w14:textId="77777777" w:rsidR="00346FFA" w:rsidRPr="009F639E" w:rsidRDefault="00346FFA" w:rsidP="00B655F8">
            <w:pPr>
              <w:spacing w:line="360" w:lineRule="auto"/>
              <w:jc w:val="both"/>
              <w:rPr>
                <w:rFonts w:cs="Arial"/>
                <w:noProof/>
                <w:lang w:val="en-GB"/>
              </w:rPr>
            </w:pPr>
          </w:p>
        </w:tc>
        <w:tc>
          <w:tcPr>
            <w:tcW w:w="416" w:type="dxa"/>
            <w:vMerge/>
          </w:tcPr>
          <w:p w14:paraId="429C6D32" w14:textId="77777777" w:rsidR="00346FFA" w:rsidRPr="009F639E" w:rsidRDefault="00346FFA" w:rsidP="00B655F8">
            <w:pPr>
              <w:spacing w:line="360" w:lineRule="auto"/>
              <w:jc w:val="both"/>
              <w:rPr>
                <w:rFonts w:cs="Arial"/>
                <w:noProof/>
                <w:lang w:val="en-GB"/>
              </w:rPr>
            </w:pPr>
          </w:p>
        </w:tc>
        <w:tc>
          <w:tcPr>
            <w:tcW w:w="4500" w:type="dxa"/>
            <w:vMerge/>
          </w:tcPr>
          <w:p w14:paraId="0615F846" w14:textId="77777777" w:rsidR="00346FFA" w:rsidRPr="009F639E" w:rsidRDefault="00346FFA" w:rsidP="00B655F8">
            <w:pPr>
              <w:spacing w:line="360" w:lineRule="auto"/>
              <w:jc w:val="both"/>
              <w:rPr>
                <w:rFonts w:eastAsia="Century Gothic" w:cs="Arial"/>
                <w:b/>
                <w:noProof/>
                <w:color w:val="FFFFFF"/>
                <w:sz w:val="24"/>
                <w:lang w:val="en-GB"/>
              </w:rPr>
            </w:pPr>
          </w:p>
        </w:tc>
        <w:tc>
          <w:tcPr>
            <w:tcW w:w="360" w:type="dxa"/>
            <w:vMerge/>
          </w:tcPr>
          <w:p w14:paraId="13E2587E" w14:textId="77777777" w:rsidR="00346FFA" w:rsidRPr="009F639E" w:rsidRDefault="00346FFA" w:rsidP="00B655F8">
            <w:pPr>
              <w:spacing w:line="360" w:lineRule="auto"/>
              <w:jc w:val="both"/>
              <w:rPr>
                <w:rFonts w:cs="Arial"/>
                <w:noProof/>
                <w:lang w:val="en-GB"/>
              </w:rPr>
            </w:pPr>
          </w:p>
        </w:tc>
        <w:tc>
          <w:tcPr>
            <w:tcW w:w="4590" w:type="dxa"/>
          </w:tcPr>
          <w:p w14:paraId="6D69A30D" w14:textId="77777777" w:rsidR="00346FFA" w:rsidRPr="009F639E" w:rsidRDefault="00346FFA" w:rsidP="00B655F8">
            <w:pPr>
              <w:pStyle w:val="NoSpacing"/>
              <w:spacing w:line="360" w:lineRule="auto"/>
              <w:jc w:val="both"/>
              <w:rPr>
                <w:rFonts w:cs="Arial"/>
                <w:lang w:val="en-GB"/>
              </w:rPr>
            </w:pPr>
          </w:p>
        </w:tc>
      </w:tr>
      <w:tr w:rsidR="00393240" w14:paraId="769BF966" w14:textId="77777777" w:rsidTr="00EB6F36">
        <w:trPr>
          <w:trHeight w:val="617"/>
          <w:jc w:val="center"/>
        </w:trPr>
        <w:tc>
          <w:tcPr>
            <w:tcW w:w="4534" w:type="dxa"/>
            <w:vMerge w:val="restart"/>
          </w:tcPr>
          <w:p w14:paraId="27C71262" w14:textId="77777777" w:rsidR="00B67824" w:rsidRPr="009F639E" w:rsidRDefault="00000000" w:rsidP="00B655F8">
            <w:pPr>
              <w:pStyle w:val="Heading1"/>
              <w:spacing w:after="0" w:line="360" w:lineRule="auto"/>
              <w:jc w:val="both"/>
              <w:rPr>
                <w:rStyle w:val="Heading1Char"/>
                <w:rFonts w:asciiTheme="minorHAnsi" w:hAnsiTheme="minorHAnsi" w:cs="Arial"/>
                <w:b/>
                <w:lang w:val="en-GB"/>
              </w:rPr>
            </w:pPr>
            <w:r w:rsidRPr="009F639E">
              <w:rPr>
                <w:rFonts w:asciiTheme="minorHAnsi" w:hAnsiTheme="minorHAnsi" w:cs="Arial"/>
                <w:lang w:val="en-GB"/>
              </w:rPr>
              <w:t>Methodology</w:t>
            </w:r>
          </w:p>
          <w:p w14:paraId="1B1908BA" w14:textId="78BB05E5" w:rsidR="00EB6F36" w:rsidRPr="009F639E" w:rsidRDefault="00000000" w:rsidP="00B655F8">
            <w:pPr>
              <w:spacing w:after="0" w:line="360" w:lineRule="auto"/>
              <w:jc w:val="both"/>
              <w:rPr>
                <w:rFonts w:cs="Arial"/>
                <w:lang w:val="en-GB"/>
              </w:rPr>
            </w:pPr>
            <w:r w:rsidRPr="009F639E">
              <w:rPr>
                <w:rFonts w:cs="Arial"/>
                <w:lang w:val="en-GB"/>
              </w:rPr>
              <w:t xml:space="preserve"> </w:t>
            </w:r>
            <w:r w:rsidR="00520ABA" w:rsidRPr="00520ABA">
              <w:rPr>
                <w:rFonts w:cs="Arial"/>
              </w:rPr>
              <w:t>The study is going to use a secondary qualitative design within the context of analysing the available evidence regarding CGM systems</w:t>
            </w:r>
            <w:r w:rsidR="00520ABA">
              <w:rPr>
                <w:rFonts w:cs="Arial"/>
              </w:rPr>
              <w:t>,</w:t>
            </w:r>
            <w:r w:rsidR="00520ABA" w:rsidRPr="00520ABA">
              <w:rPr>
                <w:rFonts w:cs="Arial"/>
              </w:rPr>
              <w:t xml:space="preserve"> and specifically</w:t>
            </w:r>
            <w:r w:rsidR="00FB2CF4">
              <w:rPr>
                <w:rFonts w:cs="Arial"/>
              </w:rPr>
              <w:t>,</w:t>
            </w:r>
            <w:r w:rsidR="00520ABA" w:rsidRPr="00520ABA">
              <w:rPr>
                <w:rFonts w:cs="Arial"/>
              </w:rPr>
              <w:t xml:space="preserve"> </w:t>
            </w:r>
            <w:r w:rsidR="00B826B4" w:rsidRPr="00520ABA">
              <w:rPr>
                <w:rFonts w:cs="Arial"/>
              </w:rPr>
              <w:t>Freestyle</w:t>
            </w:r>
            <w:r w:rsidR="00520ABA" w:rsidRPr="00520ABA">
              <w:rPr>
                <w:rFonts w:cs="Arial"/>
              </w:rPr>
              <w:t xml:space="preserve"> Libre and Dexcom G7 available at Abbott. The thematic analysis will be used to reveal common themes, including the empowerment of patients, improvement of </w:t>
            </w:r>
            <w:r w:rsidR="00520ABA" w:rsidRPr="00520ABA">
              <w:rPr>
                <w:rFonts w:cs="Arial"/>
              </w:rPr>
              <w:lastRenderedPageBreak/>
              <w:t>adherence, and the integration of digital health. The research adheres to a constructivist paradigm, as the knowledge is based on several data interpretations, instead of individual empirical evidence (Ratajczak et</w:t>
            </w:r>
            <w:r w:rsidR="00703196">
              <w:rPr>
                <w:rFonts w:cs="Arial"/>
              </w:rPr>
              <w:t>.</w:t>
            </w:r>
            <w:r w:rsidR="00520ABA" w:rsidRPr="00520ABA">
              <w:rPr>
                <w:rFonts w:cs="Arial"/>
              </w:rPr>
              <w:t xml:space="preserve"> al., 2025).</w:t>
            </w:r>
          </w:p>
        </w:tc>
        <w:tc>
          <w:tcPr>
            <w:tcW w:w="416" w:type="dxa"/>
            <w:vMerge/>
            <w:tcMar>
              <w:top w:w="29" w:type="dxa"/>
              <w:left w:w="29" w:type="dxa"/>
              <w:bottom w:w="29" w:type="dxa"/>
              <w:right w:w="29" w:type="dxa"/>
            </w:tcMar>
            <w:vAlign w:val="center"/>
          </w:tcPr>
          <w:p w14:paraId="2A709A38" w14:textId="77777777" w:rsidR="004642F0" w:rsidRPr="009F639E" w:rsidRDefault="004642F0" w:rsidP="00B655F8">
            <w:pPr>
              <w:pStyle w:val="NoSpacing"/>
              <w:spacing w:line="360" w:lineRule="auto"/>
              <w:jc w:val="both"/>
              <w:rPr>
                <w:rFonts w:cs="Arial"/>
                <w:noProof/>
                <w:lang w:val="en-GB"/>
              </w:rPr>
            </w:pPr>
          </w:p>
        </w:tc>
        <w:tc>
          <w:tcPr>
            <w:tcW w:w="4500" w:type="dxa"/>
            <w:vMerge/>
            <w:vAlign w:val="center"/>
          </w:tcPr>
          <w:p w14:paraId="3CD9173B" w14:textId="77777777" w:rsidR="004642F0" w:rsidRPr="009F639E" w:rsidRDefault="004642F0" w:rsidP="00B655F8">
            <w:pPr>
              <w:pStyle w:val="NoSpacing"/>
              <w:spacing w:line="360" w:lineRule="auto"/>
              <w:jc w:val="both"/>
              <w:rPr>
                <w:rFonts w:cs="Arial"/>
                <w:noProof/>
                <w:lang w:val="en-GB"/>
              </w:rPr>
            </w:pPr>
          </w:p>
        </w:tc>
        <w:tc>
          <w:tcPr>
            <w:tcW w:w="360" w:type="dxa"/>
            <w:vMerge/>
            <w:vAlign w:val="center"/>
          </w:tcPr>
          <w:p w14:paraId="6F5D17CF" w14:textId="77777777" w:rsidR="004642F0" w:rsidRPr="009F639E" w:rsidRDefault="004642F0" w:rsidP="00B655F8">
            <w:pPr>
              <w:pStyle w:val="NoSpacing"/>
              <w:spacing w:line="360" w:lineRule="auto"/>
              <w:jc w:val="both"/>
              <w:rPr>
                <w:rFonts w:cs="Arial"/>
                <w:noProof/>
                <w:lang w:val="en-GB"/>
              </w:rPr>
            </w:pPr>
          </w:p>
        </w:tc>
        <w:tc>
          <w:tcPr>
            <w:tcW w:w="4590" w:type="dxa"/>
            <w:vMerge w:val="restart"/>
          </w:tcPr>
          <w:p w14:paraId="6167572F" w14:textId="77777777" w:rsidR="00B67824" w:rsidRPr="009F639E" w:rsidRDefault="00000000" w:rsidP="00B655F8">
            <w:pPr>
              <w:pStyle w:val="Heading1"/>
              <w:spacing w:after="0" w:line="360" w:lineRule="auto"/>
              <w:jc w:val="both"/>
              <w:rPr>
                <w:rStyle w:val="Heading1Char"/>
                <w:rFonts w:asciiTheme="minorHAnsi" w:hAnsiTheme="minorHAnsi" w:cs="Arial"/>
                <w:b/>
                <w:lang w:val="en-GB"/>
              </w:rPr>
            </w:pPr>
            <w:r w:rsidRPr="009F639E">
              <w:rPr>
                <w:rFonts w:asciiTheme="minorHAnsi" w:hAnsiTheme="minorHAnsi" w:cs="Arial"/>
                <w:lang w:val="en-GB"/>
              </w:rPr>
              <w:t>Data Analysis</w:t>
            </w:r>
          </w:p>
          <w:p w14:paraId="548890FF" w14:textId="64B3E511" w:rsidR="0030329F" w:rsidRPr="009F639E" w:rsidRDefault="00000000" w:rsidP="00B655F8">
            <w:pPr>
              <w:pStyle w:val="Heading1"/>
              <w:spacing w:after="0" w:line="360" w:lineRule="auto"/>
              <w:jc w:val="both"/>
              <w:rPr>
                <w:rFonts w:asciiTheme="minorHAnsi" w:hAnsiTheme="minorHAnsi" w:cs="Arial"/>
                <w:b w:val="0"/>
                <w:spacing w:val="0"/>
                <w:sz w:val="22"/>
                <w:lang w:val="en-GB"/>
              </w:rPr>
            </w:pPr>
            <w:r w:rsidRPr="00920990">
              <w:rPr>
                <w:rFonts w:asciiTheme="minorHAnsi" w:hAnsiTheme="minorHAnsi" w:cs="Arial"/>
                <w:b w:val="0"/>
                <w:spacing w:val="0"/>
                <w:sz w:val="22"/>
              </w:rPr>
              <w:t xml:space="preserve">The research will use thematic analysis to systematically interpret secondary qualitative data. The gathered material on Libre and Dexcom Continuous Glucose Monitoring systems will be coded to find common themes, such as self-care improvement, behavioural adherence, and digital health integration. </w:t>
            </w:r>
            <w:proofErr w:type="gramStart"/>
            <w:r w:rsidR="00214B97" w:rsidRPr="00214B97">
              <w:rPr>
                <w:rFonts w:asciiTheme="minorHAnsi" w:hAnsiTheme="minorHAnsi" w:cs="Arial"/>
                <w:b w:val="0"/>
                <w:spacing w:val="0"/>
                <w:sz w:val="22"/>
              </w:rPr>
              <w:t xml:space="preserve">Patterns of </w:t>
            </w:r>
            <w:r w:rsidR="00214B97" w:rsidRPr="00214B97">
              <w:rPr>
                <w:rFonts w:asciiTheme="minorHAnsi" w:hAnsiTheme="minorHAnsi" w:cs="Arial"/>
                <w:b w:val="0"/>
                <w:spacing w:val="0"/>
                <w:sz w:val="22"/>
              </w:rPr>
              <w:lastRenderedPageBreak/>
              <w:t>patient</w:t>
            </w:r>
            <w:proofErr w:type="gramEnd"/>
            <w:r w:rsidR="00214B97" w:rsidRPr="00214B97">
              <w:rPr>
                <w:rFonts w:asciiTheme="minorHAnsi" w:hAnsiTheme="minorHAnsi" w:cs="Arial"/>
                <w:b w:val="0"/>
                <w:spacing w:val="0"/>
                <w:sz w:val="22"/>
              </w:rPr>
              <w:t xml:space="preserve"> outcomes, practicality, and patient empowerment will be compared </w:t>
            </w:r>
            <w:r w:rsidR="000F1ACE">
              <w:rPr>
                <w:rFonts w:asciiTheme="minorHAnsi" w:hAnsiTheme="minorHAnsi" w:cs="Arial"/>
                <w:b w:val="0"/>
                <w:spacing w:val="0"/>
                <w:sz w:val="22"/>
              </w:rPr>
              <w:t>to</w:t>
            </w:r>
            <w:r w:rsidR="00214B97" w:rsidRPr="00214B97">
              <w:rPr>
                <w:rFonts w:asciiTheme="minorHAnsi" w:hAnsiTheme="minorHAnsi" w:cs="Arial"/>
                <w:b w:val="0"/>
                <w:spacing w:val="0"/>
                <w:sz w:val="22"/>
              </w:rPr>
              <w:t xml:space="preserve"> </w:t>
            </w:r>
            <w:proofErr w:type="gramStart"/>
            <w:r w:rsidR="001A44B5">
              <w:rPr>
                <w:rFonts w:asciiTheme="minorHAnsi" w:hAnsiTheme="minorHAnsi" w:cs="Arial"/>
                <w:b w:val="0"/>
                <w:spacing w:val="0"/>
                <w:sz w:val="22"/>
              </w:rPr>
              <w:t>determine</w:t>
            </w:r>
            <w:proofErr w:type="gramEnd"/>
            <w:r w:rsidR="00214B97" w:rsidRPr="00214B97">
              <w:rPr>
                <w:rFonts w:asciiTheme="minorHAnsi" w:hAnsiTheme="minorHAnsi" w:cs="Arial"/>
                <w:b w:val="0"/>
                <w:spacing w:val="0"/>
                <w:sz w:val="22"/>
              </w:rPr>
              <w:t xml:space="preserve"> the effectiveness of both systems. The data analysis will be inductive to ensure that the themes raised by the literature </w:t>
            </w:r>
            <w:r w:rsidR="00214B97">
              <w:rPr>
                <w:rFonts w:asciiTheme="minorHAnsi" w:hAnsiTheme="minorHAnsi" w:cs="Arial"/>
                <w:b w:val="0"/>
                <w:spacing w:val="0"/>
                <w:sz w:val="22"/>
              </w:rPr>
              <w:t>are brought</w:t>
            </w:r>
            <w:r w:rsidR="00214B97" w:rsidRPr="00214B97">
              <w:rPr>
                <w:rFonts w:asciiTheme="minorHAnsi" w:hAnsiTheme="minorHAnsi" w:cs="Arial"/>
                <w:b w:val="0"/>
                <w:spacing w:val="0"/>
                <w:sz w:val="22"/>
              </w:rPr>
              <w:t xml:space="preserve"> to the table and not predetermined. </w:t>
            </w:r>
            <w:r w:rsidR="0034623D" w:rsidRPr="0034623D">
              <w:rPr>
                <w:rFonts w:asciiTheme="minorHAnsi" w:hAnsiTheme="minorHAnsi" w:cs="Arial"/>
                <w:b w:val="0"/>
                <w:spacing w:val="0"/>
                <w:sz w:val="22"/>
              </w:rPr>
              <w:t xml:space="preserve">This analysis process will facilitate the synthesis of the findings of various studies and indicate the benefits and obstacles to home-based diabetes management. This is in line with the </w:t>
            </w:r>
            <w:r w:rsidR="0034623D">
              <w:rPr>
                <w:rFonts w:asciiTheme="minorHAnsi" w:hAnsiTheme="minorHAnsi" w:cs="Arial"/>
                <w:b w:val="0"/>
                <w:spacing w:val="0"/>
                <w:sz w:val="22"/>
              </w:rPr>
              <w:t>practice</w:t>
            </w:r>
            <w:r w:rsidR="0034623D" w:rsidRPr="0034623D">
              <w:rPr>
                <w:rFonts w:asciiTheme="minorHAnsi" w:hAnsiTheme="minorHAnsi" w:cs="Arial"/>
                <w:b w:val="0"/>
                <w:spacing w:val="0"/>
                <w:sz w:val="22"/>
              </w:rPr>
              <w:t xml:space="preserve"> of Yoo and Kim (2023) and Edward and Priefer (2023) that would guarantee sound interpretation and overall comprehension of the </w:t>
            </w:r>
            <w:r w:rsidR="0034623D">
              <w:rPr>
                <w:rFonts w:asciiTheme="minorHAnsi" w:hAnsiTheme="minorHAnsi" w:cs="Arial"/>
                <w:b w:val="0"/>
                <w:spacing w:val="0"/>
                <w:sz w:val="22"/>
              </w:rPr>
              <w:t>practices</w:t>
            </w:r>
            <w:r w:rsidR="0034623D" w:rsidRPr="0034623D">
              <w:rPr>
                <w:rFonts w:asciiTheme="minorHAnsi" w:hAnsiTheme="minorHAnsi" w:cs="Arial"/>
                <w:b w:val="0"/>
                <w:spacing w:val="0"/>
                <w:sz w:val="22"/>
              </w:rPr>
              <w:t xml:space="preserve"> of continuous glucose monitoring.</w:t>
            </w:r>
          </w:p>
          <w:p w14:paraId="162F6832" w14:textId="77777777" w:rsidR="00B67824" w:rsidRPr="009F639E" w:rsidRDefault="00000000" w:rsidP="00B655F8">
            <w:pPr>
              <w:pStyle w:val="Heading1"/>
              <w:spacing w:after="0" w:line="360" w:lineRule="auto"/>
              <w:jc w:val="both"/>
              <w:rPr>
                <w:rStyle w:val="Heading1Char"/>
                <w:rFonts w:asciiTheme="minorHAnsi" w:hAnsiTheme="minorHAnsi" w:cs="Arial"/>
                <w:b/>
                <w:lang w:val="en-GB"/>
              </w:rPr>
            </w:pPr>
            <w:r w:rsidRPr="009F639E">
              <w:rPr>
                <w:rFonts w:asciiTheme="minorHAnsi" w:hAnsiTheme="minorHAnsi" w:cs="Arial"/>
                <w:lang w:val="en-GB"/>
              </w:rPr>
              <w:t>Ethical Considerations</w:t>
            </w:r>
          </w:p>
          <w:p w14:paraId="33BD0CAC" w14:textId="39DE2B76" w:rsidR="00B67824" w:rsidRPr="009F639E" w:rsidRDefault="00000000" w:rsidP="00B655F8">
            <w:pPr>
              <w:spacing w:after="0" w:line="360" w:lineRule="auto"/>
              <w:jc w:val="both"/>
              <w:rPr>
                <w:rFonts w:cs="Arial"/>
                <w:lang w:val="en-GB"/>
              </w:rPr>
            </w:pPr>
            <w:r w:rsidRPr="0034623D">
              <w:rPr>
                <w:rFonts w:cs="Arial"/>
              </w:rPr>
              <w:t xml:space="preserve">As secondary research, human subjects will not be involved in this research. The information will be obtained through sources that are validated publications. </w:t>
            </w:r>
            <w:r w:rsidRPr="00520ABA">
              <w:rPr>
                <w:rFonts w:cs="Arial"/>
              </w:rPr>
              <w:t>The issue of ethical integrity will be addressed by providing appropriate Harvard reference, source critical analysis, and recognition of all the authors (Ratajczak et</w:t>
            </w:r>
            <w:r w:rsidR="00703196">
              <w:rPr>
                <w:rFonts w:cs="Arial"/>
              </w:rPr>
              <w:t>.</w:t>
            </w:r>
            <w:r w:rsidRPr="00520ABA">
              <w:rPr>
                <w:rFonts w:cs="Arial"/>
              </w:rPr>
              <w:t xml:space="preserve"> al., 2025).</w:t>
            </w:r>
          </w:p>
        </w:tc>
      </w:tr>
      <w:tr w:rsidR="00393240" w14:paraId="7FA8ADB1" w14:textId="77777777" w:rsidTr="00EB6F36">
        <w:trPr>
          <w:trHeight w:val="60"/>
          <w:jc w:val="center"/>
        </w:trPr>
        <w:tc>
          <w:tcPr>
            <w:tcW w:w="4534" w:type="dxa"/>
            <w:vMerge/>
          </w:tcPr>
          <w:p w14:paraId="58BBB2DE" w14:textId="77777777" w:rsidR="004642F0" w:rsidRPr="009F639E" w:rsidRDefault="004642F0" w:rsidP="00B655F8">
            <w:pPr>
              <w:spacing w:line="360" w:lineRule="auto"/>
              <w:jc w:val="both"/>
              <w:rPr>
                <w:rFonts w:cs="Arial"/>
                <w:noProof/>
                <w:lang w:val="en-GB"/>
              </w:rPr>
            </w:pPr>
          </w:p>
        </w:tc>
        <w:tc>
          <w:tcPr>
            <w:tcW w:w="416" w:type="dxa"/>
            <w:vMerge/>
          </w:tcPr>
          <w:p w14:paraId="33C9CF62" w14:textId="77777777" w:rsidR="004642F0" w:rsidRPr="009F639E" w:rsidRDefault="004642F0" w:rsidP="00B655F8">
            <w:pPr>
              <w:spacing w:line="360" w:lineRule="auto"/>
              <w:jc w:val="both"/>
              <w:rPr>
                <w:rFonts w:cs="Arial"/>
                <w:noProof/>
                <w:lang w:val="en-GB"/>
              </w:rPr>
            </w:pPr>
          </w:p>
        </w:tc>
        <w:tc>
          <w:tcPr>
            <w:tcW w:w="4500" w:type="dxa"/>
          </w:tcPr>
          <w:p w14:paraId="6025A92F" w14:textId="77777777" w:rsidR="004642F0" w:rsidRPr="009F639E" w:rsidRDefault="004642F0" w:rsidP="00B655F8">
            <w:pPr>
              <w:spacing w:line="360" w:lineRule="auto"/>
              <w:jc w:val="both"/>
              <w:rPr>
                <w:rFonts w:cs="Arial"/>
                <w:noProof/>
                <w:lang w:val="en-GB"/>
              </w:rPr>
            </w:pPr>
          </w:p>
        </w:tc>
        <w:tc>
          <w:tcPr>
            <w:tcW w:w="360" w:type="dxa"/>
            <w:vMerge/>
          </w:tcPr>
          <w:p w14:paraId="1FD84DF6" w14:textId="77777777" w:rsidR="004642F0" w:rsidRPr="009F639E" w:rsidRDefault="004642F0" w:rsidP="00B655F8">
            <w:pPr>
              <w:spacing w:line="360" w:lineRule="auto"/>
              <w:jc w:val="both"/>
              <w:rPr>
                <w:rFonts w:cs="Arial"/>
                <w:noProof/>
                <w:lang w:val="en-GB"/>
              </w:rPr>
            </w:pPr>
          </w:p>
        </w:tc>
        <w:tc>
          <w:tcPr>
            <w:tcW w:w="4590" w:type="dxa"/>
            <w:vMerge/>
          </w:tcPr>
          <w:p w14:paraId="4833A0B2" w14:textId="77777777" w:rsidR="004642F0" w:rsidRPr="009F639E" w:rsidRDefault="004642F0" w:rsidP="00B655F8">
            <w:pPr>
              <w:spacing w:line="360" w:lineRule="auto"/>
              <w:jc w:val="both"/>
              <w:rPr>
                <w:rFonts w:cs="Arial"/>
                <w:sz w:val="21"/>
                <w:lang w:val="en-GB"/>
              </w:rPr>
            </w:pPr>
          </w:p>
        </w:tc>
      </w:tr>
      <w:tr w:rsidR="00393240" w14:paraId="7E55036B" w14:textId="77777777" w:rsidTr="00EB6F36">
        <w:trPr>
          <w:trHeight w:val="6431"/>
          <w:jc w:val="center"/>
        </w:trPr>
        <w:tc>
          <w:tcPr>
            <w:tcW w:w="4534" w:type="dxa"/>
            <w:vMerge/>
          </w:tcPr>
          <w:p w14:paraId="051C6820" w14:textId="77777777" w:rsidR="004642F0" w:rsidRPr="009F639E" w:rsidRDefault="004642F0" w:rsidP="00B655F8">
            <w:pPr>
              <w:spacing w:line="360" w:lineRule="auto"/>
              <w:jc w:val="both"/>
              <w:rPr>
                <w:rFonts w:cs="Arial"/>
                <w:noProof/>
                <w:lang w:val="en-GB"/>
              </w:rPr>
            </w:pPr>
          </w:p>
        </w:tc>
        <w:tc>
          <w:tcPr>
            <w:tcW w:w="416" w:type="dxa"/>
            <w:vMerge/>
          </w:tcPr>
          <w:p w14:paraId="2DD33AD0" w14:textId="77777777" w:rsidR="004642F0" w:rsidRPr="009F639E" w:rsidRDefault="004642F0" w:rsidP="00B655F8">
            <w:pPr>
              <w:spacing w:line="360" w:lineRule="auto"/>
              <w:jc w:val="both"/>
              <w:rPr>
                <w:rFonts w:cs="Arial"/>
                <w:noProof/>
                <w:lang w:val="en-GB"/>
              </w:rPr>
            </w:pPr>
          </w:p>
        </w:tc>
        <w:tc>
          <w:tcPr>
            <w:tcW w:w="4500" w:type="dxa"/>
          </w:tcPr>
          <w:p w14:paraId="1B841754" w14:textId="77777777" w:rsidR="00EB6F36" w:rsidRPr="009F639E" w:rsidRDefault="00000000" w:rsidP="00873BC1">
            <w:pPr>
              <w:pStyle w:val="Heading1"/>
              <w:spacing w:after="0" w:line="360" w:lineRule="auto"/>
              <w:jc w:val="both"/>
              <w:rPr>
                <w:rStyle w:val="Heading1Char"/>
                <w:rFonts w:asciiTheme="minorHAnsi" w:hAnsiTheme="minorHAnsi" w:cs="Arial"/>
                <w:b/>
                <w:lang w:val="en-GB"/>
              </w:rPr>
            </w:pPr>
            <w:r w:rsidRPr="009F639E">
              <w:rPr>
                <w:rFonts w:asciiTheme="minorHAnsi" w:hAnsiTheme="minorHAnsi" w:cs="Arial"/>
                <w:lang w:val="en-GB"/>
              </w:rPr>
              <w:t>Data Collection</w:t>
            </w:r>
          </w:p>
          <w:p w14:paraId="357FBC38" w14:textId="77777777" w:rsidR="00EB6F36" w:rsidRPr="009F639E" w:rsidRDefault="00000000" w:rsidP="00B655F8">
            <w:pPr>
              <w:spacing w:line="360" w:lineRule="auto"/>
              <w:jc w:val="both"/>
              <w:rPr>
                <w:rFonts w:cs="Arial"/>
                <w:lang w:val="en-GB"/>
              </w:rPr>
            </w:pPr>
            <w:r w:rsidRPr="00920990">
              <w:rPr>
                <w:rFonts w:cs="Arial"/>
              </w:rPr>
              <w:t xml:space="preserve">This research will use academic databases such as PubMed, ScienceDirect, and Google Scholar as the source of secondary qualitative data. Keywords that will be used in applying a Boolean search strategy include “Libre, Dexcom, Continuous Glucose Monitoring, and home diabetes care. </w:t>
            </w:r>
            <w:r w:rsidR="00214B97" w:rsidRPr="00214B97">
              <w:rPr>
                <w:rFonts w:cs="Arial"/>
              </w:rPr>
              <w:t xml:space="preserve">Peer-reviewed articles, clinical </w:t>
            </w:r>
            <w:r w:rsidR="00214B97">
              <w:rPr>
                <w:rFonts w:cs="Arial"/>
              </w:rPr>
              <w:t>research</w:t>
            </w:r>
            <w:r w:rsidR="00214B97" w:rsidRPr="00214B97">
              <w:rPr>
                <w:rFonts w:cs="Arial"/>
              </w:rPr>
              <w:t>, and official health policy reports published in the last 2020-2025 will be included. The sources will ensure the reliability, relevance, and credibility of the data and provide a complete picture of the efficacy of continuous glucose monitoring systems in diabetes management at home.</w:t>
            </w:r>
          </w:p>
        </w:tc>
        <w:tc>
          <w:tcPr>
            <w:tcW w:w="360" w:type="dxa"/>
            <w:vMerge/>
          </w:tcPr>
          <w:p w14:paraId="00648DDC" w14:textId="77777777" w:rsidR="004642F0" w:rsidRPr="009F639E" w:rsidRDefault="004642F0" w:rsidP="00B655F8">
            <w:pPr>
              <w:spacing w:line="360" w:lineRule="auto"/>
              <w:jc w:val="both"/>
              <w:rPr>
                <w:rFonts w:cs="Arial"/>
                <w:noProof/>
                <w:lang w:val="en-GB"/>
              </w:rPr>
            </w:pPr>
          </w:p>
        </w:tc>
        <w:tc>
          <w:tcPr>
            <w:tcW w:w="4590" w:type="dxa"/>
            <w:vMerge/>
          </w:tcPr>
          <w:p w14:paraId="2CA2D869" w14:textId="77777777" w:rsidR="004642F0" w:rsidRPr="009F639E" w:rsidRDefault="004642F0" w:rsidP="00B655F8">
            <w:pPr>
              <w:spacing w:line="360" w:lineRule="auto"/>
              <w:jc w:val="both"/>
              <w:rPr>
                <w:rFonts w:cs="Arial"/>
                <w:sz w:val="21"/>
                <w:lang w:val="en-GB"/>
              </w:rPr>
            </w:pPr>
          </w:p>
        </w:tc>
      </w:tr>
    </w:tbl>
    <w:p w14:paraId="1E710ED8" w14:textId="77777777" w:rsidR="007757C0" w:rsidRDefault="007757C0" w:rsidP="00FF6551">
      <w:pPr>
        <w:rPr>
          <w:lang w:val="en-GB"/>
        </w:rPr>
      </w:pPr>
    </w:p>
    <w:p w14:paraId="72532864" w14:textId="77777777" w:rsidR="00EB6F36" w:rsidRDefault="00000000" w:rsidP="0085109C">
      <w:pPr>
        <w:pStyle w:val="Heading1"/>
        <w:spacing w:after="0" w:line="360" w:lineRule="auto"/>
        <w:rPr>
          <w:lang w:val="en-GB"/>
        </w:rPr>
      </w:pPr>
      <w:r w:rsidRPr="009F639E">
        <w:rPr>
          <w:lang w:val="en-GB"/>
        </w:rPr>
        <w:t>References</w:t>
      </w:r>
    </w:p>
    <w:p w14:paraId="2216A2E4" w14:textId="77777777" w:rsidR="00743B5B" w:rsidRDefault="00743B5B" w:rsidP="00743B5B">
      <w:pPr>
        <w:spacing w:after="0" w:line="360" w:lineRule="auto"/>
        <w:jc w:val="both"/>
      </w:pPr>
      <w:r w:rsidRPr="00520ABA">
        <w:t xml:space="preserve">Edward, R. and Priefer, R. (2023). A comparison of continuous glucose monitors (CGMs) in diabetes management: A systematic literature review. </w:t>
      </w:r>
      <w:r w:rsidRPr="00520ABA">
        <w:rPr>
          <w:i/>
          <w:iCs/>
        </w:rPr>
        <w:t>Primary Care Diabetes</w:t>
      </w:r>
      <w:r w:rsidRPr="00520ABA">
        <w:t xml:space="preserve">, 17(6), pp.529–534. </w:t>
      </w:r>
      <w:proofErr w:type="spellStart"/>
      <w:r w:rsidRPr="00520ABA">
        <w:t>doi:</w:t>
      </w:r>
      <w:hyperlink r:id="rId15" w:history="1">
        <w:r w:rsidRPr="00520ABA">
          <w:rPr>
            <w:rStyle w:val="Hyperlink"/>
          </w:rPr>
          <w:t>https</w:t>
        </w:r>
        <w:proofErr w:type="spellEnd"/>
        <w:r w:rsidRPr="00520ABA">
          <w:rPr>
            <w:rStyle w:val="Hyperlink"/>
          </w:rPr>
          <w:t>://doi.org/10.1016/j.pcd.2023.10.009</w:t>
        </w:r>
      </w:hyperlink>
    </w:p>
    <w:p w14:paraId="492A2638" w14:textId="01256836" w:rsidR="00743B5B" w:rsidRPr="00520ABA" w:rsidRDefault="00743B5B" w:rsidP="00743B5B">
      <w:pPr>
        <w:spacing w:after="0" w:line="360" w:lineRule="auto"/>
        <w:jc w:val="both"/>
        <w:rPr>
          <w:lang w:val="en-GB"/>
        </w:rPr>
      </w:pPr>
      <w:r w:rsidRPr="006F0474">
        <w:rPr>
          <w:lang w:val="en-GB"/>
        </w:rPr>
        <w:t xml:space="preserve">Rahimi, B., Nadri, H., Afshar, H.L. and </w:t>
      </w:r>
      <w:proofErr w:type="spellStart"/>
      <w:r w:rsidRPr="006F0474">
        <w:rPr>
          <w:lang w:val="en-GB"/>
        </w:rPr>
        <w:t>Timpka</w:t>
      </w:r>
      <w:proofErr w:type="spellEnd"/>
      <w:r w:rsidRPr="006F0474">
        <w:rPr>
          <w:lang w:val="en-GB"/>
        </w:rPr>
        <w:t>, T. (2018). A Systematic Review of the Technology Acceptance Model in Health Informatics. Applied Clinical Informatics,</w:t>
      </w:r>
      <w:r w:rsidR="00EF4B24">
        <w:rPr>
          <w:lang w:val="en-GB"/>
        </w:rPr>
        <w:t xml:space="preserve"> </w:t>
      </w:r>
      <w:r w:rsidRPr="006F0474">
        <w:rPr>
          <w:lang w:val="en-GB"/>
        </w:rPr>
        <w:t xml:space="preserve">online 09(03), pp.604–634. </w:t>
      </w:r>
      <w:proofErr w:type="spellStart"/>
      <w:r w:rsidR="00EF4B24">
        <w:rPr>
          <w:lang w:val="en-GB"/>
        </w:rPr>
        <w:t>d</w:t>
      </w:r>
      <w:r w:rsidRPr="006F0474">
        <w:rPr>
          <w:lang w:val="en-GB"/>
        </w:rPr>
        <w:t>oi</w:t>
      </w:r>
      <w:proofErr w:type="spellEnd"/>
      <w:r w:rsidRPr="006F0474">
        <w:rPr>
          <w:lang w:val="en-GB"/>
        </w:rPr>
        <w:t xml:space="preserve">: </w:t>
      </w:r>
      <w:hyperlink r:id="rId16" w:history="1">
        <w:r w:rsidR="00FF51D3" w:rsidRPr="00635C24">
          <w:rPr>
            <w:rStyle w:val="Hyperlink"/>
            <w:lang w:val="en-GB"/>
          </w:rPr>
          <w:t>https://doi.org/10.1055/s-0038-1668091</w:t>
        </w:r>
      </w:hyperlink>
      <w:r>
        <w:rPr>
          <w:lang w:val="en-GB"/>
        </w:rPr>
        <w:t xml:space="preserve">  </w:t>
      </w:r>
    </w:p>
    <w:p w14:paraId="6BE3F675" w14:textId="77777777" w:rsidR="00855328" w:rsidRDefault="00855328" w:rsidP="00855328">
      <w:pPr>
        <w:spacing w:after="0" w:line="360" w:lineRule="auto"/>
        <w:jc w:val="both"/>
        <w:rPr>
          <w:lang w:val="en-GB"/>
        </w:rPr>
      </w:pPr>
      <w:proofErr w:type="spellStart"/>
      <w:r w:rsidRPr="006F0474">
        <w:rPr>
          <w:lang w:val="en-GB"/>
        </w:rPr>
        <w:t>Rodbard</w:t>
      </w:r>
      <w:proofErr w:type="spellEnd"/>
      <w:r w:rsidRPr="006F0474">
        <w:rPr>
          <w:lang w:val="en-GB"/>
        </w:rPr>
        <w:t xml:space="preserve">, D. (2017). Continuous Glucose Monitoring: A Review of Recent Studies Demonstrating Improved </w:t>
      </w:r>
      <w:proofErr w:type="spellStart"/>
      <w:r w:rsidRPr="006F0474">
        <w:rPr>
          <w:lang w:val="en-GB"/>
        </w:rPr>
        <w:t>Glycemic</w:t>
      </w:r>
      <w:proofErr w:type="spellEnd"/>
      <w:r w:rsidRPr="006F0474">
        <w:rPr>
          <w:lang w:val="en-GB"/>
        </w:rPr>
        <w:t xml:space="preserve"> Outcomes. Diabetes Technology &amp; Therapeutics, [online] 19(S3), p.S-25-S-37. </w:t>
      </w:r>
      <w:proofErr w:type="spellStart"/>
      <w:r>
        <w:rPr>
          <w:lang w:val="en-GB"/>
        </w:rPr>
        <w:t>d</w:t>
      </w:r>
      <w:r w:rsidRPr="006F0474">
        <w:rPr>
          <w:lang w:val="en-GB"/>
        </w:rPr>
        <w:t>oi</w:t>
      </w:r>
      <w:proofErr w:type="spellEnd"/>
      <w:r w:rsidRPr="006F0474">
        <w:rPr>
          <w:lang w:val="en-GB"/>
        </w:rPr>
        <w:t xml:space="preserve">: </w:t>
      </w:r>
      <w:hyperlink r:id="rId17" w:history="1">
        <w:r w:rsidRPr="00A86836">
          <w:rPr>
            <w:rStyle w:val="Hyperlink"/>
            <w:lang w:val="en-GB"/>
          </w:rPr>
          <w:t>https://doi.org/10.1089/dia.2017.0035</w:t>
        </w:r>
      </w:hyperlink>
      <w:r>
        <w:rPr>
          <w:lang w:val="en-GB"/>
        </w:rPr>
        <w:t xml:space="preserve">   </w:t>
      </w:r>
    </w:p>
    <w:p w14:paraId="71D4BAC4" w14:textId="5E087E53" w:rsidR="00B66F7B" w:rsidRDefault="00743B5B" w:rsidP="00720356">
      <w:pPr>
        <w:spacing w:after="0" w:line="360" w:lineRule="auto"/>
        <w:jc w:val="both"/>
      </w:pPr>
      <w:r w:rsidRPr="00520ABA">
        <w:t xml:space="preserve">Ratajczak, P., Oziewicz, K., Sommer, I., </w:t>
      </w:r>
      <w:proofErr w:type="spellStart"/>
      <w:r w:rsidRPr="00520ABA">
        <w:t>Kopciuch</w:t>
      </w:r>
      <w:proofErr w:type="spellEnd"/>
      <w:r w:rsidRPr="00520ABA">
        <w:t xml:space="preserve">, D., Paczkowska, A., Zaprutko, T. and Kus, K. (2025). The Perspective on Secondary Research Practices: A Cross-Sectional Analysis. </w:t>
      </w:r>
      <w:r w:rsidRPr="00520ABA">
        <w:rPr>
          <w:i/>
          <w:iCs/>
        </w:rPr>
        <w:t>Healthcare</w:t>
      </w:r>
      <w:r w:rsidRPr="00520ABA">
        <w:t xml:space="preserve">, 13(8), p.927. </w:t>
      </w:r>
      <w:proofErr w:type="spellStart"/>
      <w:r w:rsidRPr="00520ABA">
        <w:t>doi:</w:t>
      </w:r>
      <w:hyperlink r:id="rId18" w:history="1">
        <w:r w:rsidRPr="00520ABA">
          <w:rPr>
            <w:rStyle w:val="Hyperlink"/>
          </w:rPr>
          <w:t>https</w:t>
        </w:r>
        <w:proofErr w:type="spellEnd"/>
        <w:r w:rsidRPr="00520ABA">
          <w:rPr>
            <w:rStyle w:val="Hyperlink"/>
          </w:rPr>
          <w:t>://doi.org/10.3390/healthcare13080927</w:t>
        </w:r>
      </w:hyperlink>
      <w:r w:rsidR="00B66F7B">
        <w:t>.</w:t>
      </w:r>
    </w:p>
    <w:p w14:paraId="0652B427" w14:textId="77777777" w:rsidR="00743B5B" w:rsidRPr="00520ABA" w:rsidRDefault="00743B5B" w:rsidP="00743B5B">
      <w:pPr>
        <w:spacing w:after="0" w:line="360" w:lineRule="auto"/>
        <w:jc w:val="both"/>
      </w:pPr>
      <w:r w:rsidRPr="00520ABA">
        <w:t xml:space="preserve">Yoo, J.H. and Kim, J.H. (2023). Advances in Continuous Glucose Monitoring and Integrated Devices for Management of Diabetes with Insulin-Based Therapy: Improvement in Glycemic Control. </w:t>
      </w:r>
      <w:r w:rsidRPr="00520ABA">
        <w:rPr>
          <w:i/>
          <w:iCs/>
        </w:rPr>
        <w:t>Korean Diabetes Journal</w:t>
      </w:r>
      <w:r w:rsidRPr="00520ABA">
        <w:t xml:space="preserve">, 47(1). </w:t>
      </w:r>
      <w:proofErr w:type="spellStart"/>
      <w:r w:rsidRPr="00520ABA">
        <w:t>doi:</w:t>
      </w:r>
      <w:hyperlink r:id="rId19" w:history="1">
        <w:r w:rsidRPr="00520ABA">
          <w:rPr>
            <w:rStyle w:val="Hyperlink"/>
          </w:rPr>
          <w:t>https</w:t>
        </w:r>
        <w:proofErr w:type="spellEnd"/>
        <w:r w:rsidRPr="00520ABA">
          <w:rPr>
            <w:rStyle w:val="Hyperlink"/>
          </w:rPr>
          <w:t>://doi.org/10.4093/dmj.2022.0271</w:t>
        </w:r>
      </w:hyperlink>
      <w:r w:rsidRPr="00520ABA">
        <w:t>.</w:t>
      </w:r>
    </w:p>
    <w:p w14:paraId="3A52355A" w14:textId="47CC9DBA" w:rsidR="0085109C" w:rsidRPr="0085109C" w:rsidRDefault="0085109C" w:rsidP="0001118B">
      <w:pPr>
        <w:spacing w:after="0" w:line="360" w:lineRule="auto"/>
        <w:jc w:val="both"/>
        <w:rPr>
          <w:lang w:val="en-GB"/>
        </w:rPr>
      </w:pPr>
    </w:p>
    <w:sectPr w:rsidR="0085109C" w:rsidRPr="0085109C" w:rsidSect="00C46111">
      <w:headerReference w:type="default" r:id="rId20"/>
      <w:footerReference w:type="default" r:id="rId21"/>
      <w:headerReference w:type="first" r:id="rId22"/>
      <w:footerReference w:type="first" r:id="rId23"/>
      <w:pgSz w:w="15840" w:h="12240" w:orient="landscape" w:code="1"/>
      <w:pgMar w:top="720" w:right="720" w:bottom="576" w:left="720" w:header="432" w:footer="28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35EC8E" w14:textId="77777777" w:rsidR="00047041" w:rsidRDefault="00047041">
      <w:pPr>
        <w:spacing w:after="0"/>
      </w:pPr>
      <w:r>
        <w:separator/>
      </w:r>
    </w:p>
  </w:endnote>
  <w:endnote w:type="continuationSeparator" w:id="0">
    <w:p w14:paraId="55D8F1D2" w14:textId="77777777" w:rsidR="00047041" w:rsidRDefault="00047041">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entury Schoolbook">
    <w:panose1 w:val="0204060405050502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50334232"/>
      <w:docPartObj>
        <w:docPartGallery w:val="Page Numbers (Bottom of Page)"/>
        <w:docPartUnique/>
      </w:docPartObj>
    </w:sdtPr>
    <w:sdtEndPr>
      <w:rPr>
        <w:color w:val="7F7F7F" w:themeColor="background1" w:themeShade="7F"/>
        <w:spacing w:val="60"/>
      </w:rPr>
    </w:sdtEndPr>
    <w:sdtContent>
      <w:p w14:paraId="60917ACE" w14:textId="2ECB20DD" w:rsidR="00FF6551" w:rsidRDefault="00FF6551">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C34CC62" w14:textId="77777777" w:rsidR="00FF6551" w:rsidRDefault="00FF655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91492109"/>
      <w:docPartObj>
        <w:docPartGallery w:val="Page Numbers (Bottom of Page)"/>
        <w:docPartUnique/>
      </w:docPartObj>
    </w:sdtPr>
    <w:sdtEndPr>
      <w:rPr>
        <w:color w:val="7F7F7F" w:themeColor="background1" w:themeShade="7F"/>
        <w:spacing w:val="60"/>
      </w:rPr>
    </w:sdtEndPr>
    <w:sdtContent>
      <w:p w14:paraId="2C97D361" w14:textId="77777777" w:rsidR="0048598B" w:rsidRDefault="00000000">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5794ECA1" w14:textId="77777777" w:rsidR="0048598B" w:rsidRDefault="004859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8A20DA" w14:textId="77777777" w:rsidR="00047041" w:rsidRDefault="00047041">
      <w:pPr>
        <w:spacing w:after="0"/>
      </w:pPr>
      <w:r>
        <w:separator/>
      </w:r>
    </w:p>
  </w:footnote>
  <w:footnote w:type="continuationSeparator" w:id="0">
    <w:p w14:paraId="5682A649" w14:textId="77777777" w:rsidR="00047041" w:rsidRDefault="00047041">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971187" w14:textId="77777777" w:rsidR="00CC0A8F" w:rsidRDefault="00000000">
    <w:pPr>
      <w:pStyle w:val="Header"/>
    </w:pPr>
    <w:r>
      <w: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669110" w14:textId="77777777" w:rsidR="008B0F18" w:rsidRDefault="008B0F18">
    <w:pPr>
      <w:pStyle w:val="Header"/>
    </w:pPr>
  </w:p>
  <w:p w14:paraId="4AD7BB0C" w14:textId="77777777" w:rsidR="00D210FA" w:rsidRDefault="00D210F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352C9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1C74428D"/>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2AE53E2F"/>
    <w:multiLevelType w:val="multilevel"/>
    <w:tmpl w:val="52A4F67A"/>
    <w:lvl w:ilvl="0">
      <w:start w:val="1"/>
      <w:numFmt w:val="bullet"/>
      <w:lvlText w:val=""/>
      <w:lvlJc w:val="left"/>
      <w:pPr>
        <w:ind w:left="720" w:hanging="360"/>
      </w:pPr>
      <w:rPr>
        <w:rFonts w:ascii="Wingdings" w:hAnsi="Wingdings" w:hint="default"/>
        <w:color w:val="44546A" w:themeColor="text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346E2CFD"/>
    <w:multiLevelType w:val="hybridMultilevel"/>
    <w:tmpl w:val="52A4F67A"/>
    <w:lvl w:ilvl="0" w:tplc="4B64C8A2">
      <w:start w:val="1"/>
      <w:numFmt w:val="bullet"/>
      <w:lvlText w:val=""/>
      <w:lvlJc w:val="left"/>
      <w:pPr>
        <w:ind w:left="720" w:hanging="360"/>
      </w:pPr>
      <w:rPr>
        <w:rFonts w:ascii="Wingdings" w:hAnsi="Wingdings" w:hint="default"/>
      </w:rPr>
    </w:lvl>
    <w:lvl w:ilvl="1" w:tplc="A21CA138" w:tentative="1">
      <w:start w:val="1"/>
      <w:numFmt w:val="bullet"/>
      <w:lvlText w:val="o"/>
      <w:lvlJc w:val="left"/>
      <w:pPr>
        <w:ind w:left="1440" w:hanging="360"/>
      </w:pPr>
      <w:rPr>
        <w:rFonts w:ascii="Courier New" w:hAnsi="Courier New" w:cs="Courier New" w:hint="default"/>
      </w:rPr>
    </w:lvl>
    <w:lvl w:ilvl="2" w:tplc="49D8763E" w:tentative="1">
      <w:start w:val="1"/>
      <w:numFmt w:val="bullet"/>
      <w:lvlText w:val=""/>
      <w:lvlJc w:val="left"/>
      <w:pPr>
        <w:ind w:left="2160" w:hanging="360"/>
      </w:pPr>
      <w:rPr>
        <w:rFonts w:ascii="Wingdings" w:hAnsi="Wingdings" w:hint="default"/>
      </w:rPr>
    </w:lvl>
    <w:lvl w:ilvl="3" w:tplc="858AA6D8" w:tentative="1">
      <w:start w:val="1"/>
      <w:numFmt w:val="bullet"/>
      <w:lvlText w:val=""/>
      <w:lvlJc w:val="left"/>
      <w:pPr>
        <w:ind w:left="2880" w:hanging="360"/>
      </w:pPr>
      <w:rPr>
        <w:rFonts w:ascii="Symbol" w:hAnsi="Symbol" w:hint="default"/>
      </w:rPr>
    </w:lvl>
    <w:lvl w:ilvl="4" w:tplc="2F3ECA68" w:tentative="1">
      <w:start w:val="1"/>
      <w:numFmt w:val="bullet"/>
      <w:lvlText w:val="o"/>
      <w:lvlJc w:val="left"/>
      <w:pPr>
        <w:ind w:left="3600" w:hanging="360"/>
      </w:pPr>
      <w:rPr>
        <w:rFonts w:ascii="Courier New" w:hAnsi="Courier New" w:cs="Courier New" w:hint="default"/>
      </w:rPr>
    </w:lvl>
    <w:lvl w:ilvl="5" w:tplc="947CBF22" w:tentative="1">
      <w:start w:val="1"/>
      <w:numFmt w:val="bullet"/>
      <w:lvlText w:val=""/>
      <w:lvlJc w:val="left"/>
      <w:pPr>
        <w:ind w:left="4320" w:hanging="360"/>
      </w:pPr>
      <w:rPr>
        <w:rFonts w:ascii="Wingdings" w:hAnsi="Wingdings" w:hint="default"/>
      </w:rPr>
    </w:lvl>
    <w:lvl w:ilvl="6" w:tplc="30F20B20" w:tentative="1">
      <w:start w:val="1"/>
      <w:numFmt w:val="bullet"/>
      <w:lvlText w:val=""/>
      <w:lvlJc w:val="left"/>
      <w:pPr>
        <w:ind w:left="5040" w:hanging="360"/>
      </w:pPr>
      <w:rPr>
        <w:rFonts w:ascii="Symbol" w:hAnsi="Symbol" w:hint="default"/>
      </w:rPr>
    </w:lvl>
    <w:lvl w:ilvl="7" w:tplc="386044D0" w:tentative="1">
      <w:start w:val="1"/>
      <w:numFmt w:val="bullet"/>
      <w:lvlText w:val="o"/>
      <w:lvlJc w:val="left"/>
      <w:pPr>
        <w:ind w:left="5760" w:hanging="360"/>
      </w:pPr>
      <w:rPr>
        <w:rFonts w:ascii="Courier New" w:hAnsi="Courier New" w:cs="Courier New" w:hint="default"/>
      </w:rPr>
    </w:lvl>
    <w:lvl w:ilvl="8" w:tplc="42B6D1CA" w:tentative="1">
      <w:start w:val="1"/>
      <w:numFmt w:val="bullet"/>
      <w:lvlText w:val=""/>
      <w:lvlJc w:val="left"/>
      <w:pPr>
        <w:ind w:left="6480" w:hanging="360"/>
      </w:pPr>
      <w:rPr>
        <w:rFonts w:ascii="Wingdings" w:hAnsi="Wingdings" w:hint="default"/>
      </w:rPr>
    </w:lvl>
  </w:abstractNum>
  <w:abstractNum w:abstractNumId="4" w15:restartNumberingAfterBreak="0">
    <w:nsid w:val="611B1704"/>
    <w:multiLevelType w:val="multilevel"/>
    <w:tmpl w:val="52A4F67A"/>
    <w:lvl w:ilvl="0">
      <w:start w:val="1"/>
      <w:numFmt w:val="bullet"/>
      <w:lvlText w:val=""/>
      <w:lvlJc w:val="left"/>
      <w:pPr>
        <w:ind w:left="720" w:hanging="360"/>
      </w:pPr>
      <w:rPr>
        <w:rFonts w:ascii="Wingdings" w:hAnsi="Wingdings" w:hint="default"/>
        <w:color w:val="44546A" w:themeColor="text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7E1D6E3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7FDE3617"/>
    <w:multiLevelType w:val="hybridMultilevel"/>
    <w:tmpl w:val="BC3AB0C6"/>
    <w:lvl w:ilvl="0" w:tplc="0A2EE136">
      <w:start w:val="1"/>
      <w:numFmt w:val="bullet"/>
      <w:lvlText w:val=""/>
      <w:lvlJc w:val="left"/>
      <w:pPr>
        <w:ind w:left="720" w:hanging="360"/>
      </w:pPr>
      <w:rPr>
        <w:rFonts w:ascii="Wingdings" w:hAnsi="Wingdings" w:hint="default"/>
      </w:rPr>
    </w:lvl>
    <w:lvl w:ilvl="1" w:tplc="72D020BE" w:tentative="1">
      <w:start w:val="1"/>
      <w:numFmt w:val="bullet"/>
      <w:lvlText w:val="o"/>
      <w:lvlJc w:val="left"/>
      <w:pPr>
        <w:ind w:left="1440" w:hanging="360"/>
      </w:pPr>
      <w:rPr>
        <w:rFonts w:ascii="Courier New" w:hAnsi="Courier New" w:cs="Courier New" w:hint="default"/>
      </w:rPr>
    </w:lvl>
    <w:lvl w:ilvl="2" w:tplc="6EC27CE2" w:tentative="1">
      <w:start w:val="1"/>
      <w:numFmt w:val="bullet"/>
      <w:lvlText w:val=""/>
      <w:lvlJc w:val="left"/>
      <w:pPr>
        <w:ind w:left="2160" w:hanging="360"/>
      </w:pPr>
      <w:rPr>
        <w:rFonts w:ascii="Wingdings" w:hAnsi="Wingdings" w:hint="default"/>
      </w:rPr>
    </w:lvl>
    <w:lvl w:ilvl="3" w:tplc="827C6BE4" w:tentative="1">
      <w:start w:val="1"/>
      <w:numFmt w:val="bullet"/>
      <w:lvlText w:val=""/>
      <w:lvlJc w:val="left"/>
      <w:pPr>
        <w:ind w:left="2880" w:hanging="360"/>
      </w:pPr>
      <w:rPr>
        <w:rFonts w:ascii="Symbol" w:hAnsi="Symbol" w:hint="default"/>
      </w:rPr>
    </w:lvl>
    <w:lvl w:ilvl="4" w:tplc="72362472" w:tentative="1">
      <w:start w:val="1"/>
      <w:numFmt w:val="bullet"/>
      <w:lvlText w:val="o"/>
      <w:lvlJc w:val="left"/>
      <w:pPr>
        <w:ind w:left="3600" w:hanging="360"/>
      </w:pPr>
      <w:rPr>
        <w:rFonts w:ascii="Courier New" w:hAnsi="Courier New" w:cs="Courier New" w:hint="default"/>
      </w:rPr>
    </w:lvl>
    <w:lvl w:ilvl="5" w:tplc="9BD23D04" w:tentative="1">
      <w:start w:val="1"/>
      <w:numFmt w:val="bullet"/>
      <w:lvlText w:val=""/>
      <w:lvlJc w:val="left"/>
      <w:pPr>
        <w:ind w:left="4320" w:hanging="360"/>
      </w:pPr>
      <w:rPr>
        <w:rFonts w:ascii="Wingdings" w:hAnsi="Wingdings" w:hint="default"/>
      </w:rPr>
    </w:lvl>
    <w:lvl w:ilvl="6" w:tplc="4CD640BE" w:tentative="1">
      <w:start w:val="1"/>
      <w:numFmt w:val="bullet"/>
      <w:lvlText w:val=""/>
      <w:lvlJc w:val="left"/>
      <w:pPr>
        <w:ind w:left="5040" w:hanging="360"/>
      </w:pPr>
      <w:rPr>
        <w:rFonts w:ascii="Symbol" w:hAnsi="Symbol" w:hint="default"/>
      </w:rPr>
    </w:lvl>
    <w:lvl w:ilvl="7" w:tplc="445264AE" w:tentative="1">
      <w:start w:val="1"/>
      <w:numFmt w:val="bullet"/>
      <w:lvlText w:val="o"/>
      <w:lvlJc w:val="left"/>
      <w:pPr>
        <w:ind w:left="5760" w:hanging="360"/>
      </w:pPr>
      <w:rPr>
        <w:rFonts w:ascii="Courier New" w:hAnsi="Courier New" w:cs="Courier New" w:hint="default"/>
      </w:rPr>
    </w:lvl>
    <w:lvl w:ilvl="8" w:tplc="E33893D2" w:tentative="1">
      <w:start w:val="1"/>
      <w:numFmt w:val="bullet"/>
      <w:lvlText w:val=""/>
      <w:lvlJc w:val="left"/>
      <w:pPr>
        <w:ind w:left="6480" w:hanging="360"/>
      </w:pPr>
      <w:rPr>
        <w:rFonts w:ascii="Wingdings" w:hAnsi="Wingdings" w:hint="default"/>
      </w:rPr>
    </w:lvl>
  </w:abstractNum>
  <w:num w:numId="1" w16cid:durableId="877359420">
    <w:abstractNumId w:val="1"/>
  </w:num>
  <w:num w:numId="2" w16cid:durableId="66732129">
    <w:abstractNumId w:val="0"/>
  </w:num>
  <w:num w:numId="3" w16cid:durableId="1791968620">
    <w:abstractNumId w:val="5"/>
  </w:num>
  <w:num w:numId="4" w16cid:durableId="67852329">
    <w:abstractNumId w:val="6"/>
  </w:num>
  <w:num w:numId="5" w16cid:durableId="825783799">
    <w:abstractNumId w:val="3"/>
  </w:num>
  <w:num w:numId="6" w16cid:durableId="1203637911">
    <w:abstractNumId w:val="2"/>
  </w:num>
  <w:num w:numId="7" w16cid:durableId="139311788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oNotDisplayPageBoundaries/>
  <w:proofState w:spelling="clean" w:grammar="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drawingGridHorizontalSpacing w:val="105"/>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3C19"/>
    <w:rsid w:val="00002366"/>
    <w:rsid w:val="0001118B"/>
    <w:rsid w:val="00023293"/>
    <w:rsid w:val="00041D66"/>
    <w:rsid w:val="00047041"/>
    <w:rsid w:val="00061977"/>
    <w:rsid w:val="00067884"/>
    <w:rsid w:val="000778FC"/>
    <w:rsid w:val="0008782A"/>
    <w:rsid w:val="000A065A"/>
    <w:rsid w:val="000F1ACE"/>
    <w:rsid w:val="00106FC5"/>
    <w:rsid w:val="00120DEC"/>
    <w:rsid w:val="00123C19"/>
    <w:rsid w:val="001617CF"/>
    <w:rsid w:val="001A44B5"/>
    <w:rsid w:val="001C55B6"/>
    <w:rsid w:val="001D6CC4"/>
    <w:rsid w:val="00206405"/>
    <w:rsid w:val="00206888"/>
    <w:rsid w:val="00214B97"/>
    <w:rsid w:val="00253267"/>
    <w:rsid w:val="00261E93"/>
    <w:rsid w:val="0026789A"/>
    <w:rsid w:val="002823CD"/>
    <w:rsid w:val="00286AAD"/>
    <w:rsid w:val="00287787"/>
    <w:rsid w:val="00291685"/>
    <w:rsid w:val="002B0A3D"/>
    <w:rsid w:val="002D24AC"/>
    <w:rsid w:val="002D6CE4"/>
    <w:rsid w:val="003007A7"/>
    <w:rsid w:val="0030329F"/>
    <w:rsid w:val="003257E1"/>
    <w:rsid w:val="00325DEC"/>
    <w:rsid w:val="0034623D"/>
    <w:rsid w:val="00346FFA"/>
    <w:rsid w:val="00393240"/>
    <w:rsid w:val="003A3069"/>
    <w:rsid w:val="003C20B5"/>
    <w:rsid w:val="003D2A95"/>
    <w:rsid w:val="003E545F"/>
    <w:rsid w:val="003F03D2"/>
    <w:rsid w:val="003F1E1A"/>
    <w:rsid w:val="004045E5"/>
    <w:rsid w:val="004201C0"/>
    <w:rsid w:val="00421496"/>
    <w:rsid w:val="00422C27"/>
    <w:rsid w:val="0044367C"/>
    <w:rsid w:val="004642F0"/>
    <w:rsid w:val="00480999"/>
    <w:rsid w:val="0048598B"/>
    <w:rsid w:val="00496547"/>
    <w:rsid w:val="004B1CA8"/>
    <w:rsid w:val="004C232B"/>
    <w:rsid w:val="00500564"/>
    <w:rsid w:val="0051102B"/>
    <w:rsid w:val="0051315C"/>
    <w:rsid w:val="00520ABA"/>
    <w:rsid w:val="00526175"/>
    <w:rsid w:val="00545472"/>
    <w:rsid w:val="00553244"/>
    <w:rsid w:val="00564A36"/>
    <w:rsid w:val="005807AE"/>
    <w:rsid w:val="005838BC"/>
    <w:rsid w:val="00595119"/>
    <w:rsid w:val="005B57E1"/>
    <w:rsid w:val="005C6004"/>
    <w:rsid w:val="005E3332"/>
    <w:rsid w:val="005E61E0"/>
    <w:rsid w:val="005F0F31"/>
    <w:rsid w:val="006024ED"/>
    <w:rsid w:val="0061793F"/>
    <w:rsid w:val="0062123A"/>
    <w:rsid w:val="00650DE8"/>
    <w:rsid w:val="006605F8"/>
    <w:rsid w:val="00662DF0"/>
    <w:rsid w:val="006676A1"/>
    <w:rsid w:val="006833BD"/>
    <w:rsid w:val="006B79BC"/>
    <w:rsid w:val="006D2642"/>
    <w:rsid w:val="006D67B7"/>
    <w:rsid w:val="006E2D42"/>
    <w:rsid w:val="006F127C"/>
    <w:rsid w:val="006F23E3"/>
    <w:rsid w:val="006F6239"/>
    <w:rsid w:val="00703196"/>
    <w:rsid w:val="00717D54"/>
    <w:rsid w:val="00720356"/>
    <w:rsid w:val="00720FEE"/>
    <w:rsid w:val="00743B5B"/>
    <w:rsid w:val="00764B6F"/>
    <w:rsid w:val="007757C0"/>
    <w:rsid w:val="007A332D"/>
    <w:rsid w:val="007B4B92"/>
    <w:rsid w:val="007C7319"/>
    <w:rsid w:val="007D2DC3"/>
    <w:rsid w:val="007D43B3"/>
    <w:rsid w:val="007F20B4"/>
    <w:rsid w:val="007F525E"/>
    <w:rsid w:val="0082695D"/>
    <w:rsid w:val="0083044C"/>
    <w:rsid w:val="0085109C"/>
    <w:rsid w:val="0085182D"/>
    <w:rsid w:val="00855328"/>
    <w:rsid w:val="00867E5F"/>
    <w:rsid w:val="008709F5"/>
    <w:rsid w:val="00873BC1"/>
    <w:rsid w:val="00876DE3"/>
    <w:rsid w:val="00877A91"/>
    <w:rsid w:val="008823AC"/>
    <w:rsid w:val="00884E86"/>
    <w:rsid w:val="008927FF"/>
    <w:rsid w:val="008B0F18"/>
    <w:rsid w:val="008E2F15"/>
    <w:rsid w:val="008E3921"/>
    <w:rsid w:val="0090027B"/>
    <w:rsid w:val="00905238"/>
    <w:rsid w:val="00917445"/>
    <w:rsid w:val="00920990"/>
    <w:rsid w:val="0094702A"/>
    <w:rsid w:val="00960B2D"/>
    <w:rsid w:val="00967DAB"/>
    <w:rsid w:val="00990E76"/>
    <w:rsid w:val="00991A53"/>
    <w:rsid w:val="00996F4E"/>
    <w:rsid w:val="009F639E"/>
    <w:rsid w:val="009F71FE"/>
    <w:rsid w:val="00A31F33"/>
    <w:rsid w:val="00A70A62"/>
    <w:rsid w:val="00A71DA8"/>
    <w:rsid w:val="00AB1210"/>
    <w:rsid w:val="00AB2FA9"/>
    <w:rsid w:val="00AB770D"/>
    <w:rsid w:val="00AE79ED"/>
    <w:rsid w:val="00AF2088"/>
    <w:rsid w:val="00AF5FB0"/>
    <w:rsid w:val="00B0080A"/>
    <w:rsid w:val="00B0538C"/>
    <w:rsid w:val="00B228DC"/>
    <w:rsid w:val="00B37AB8"/>
    <w:rsid w:val="00B418DE"/>
    <w:rsid w:val="00B47FE7"/>
    <w:rsid w:val="00B655F8"/>
    <w:rsid w:val="00B66F7B"/>
    <w:rsid w:val="00B67824"/>
    <w:rsid w:val="00B826B4"/>
    <w:rsid w:val="00BA4242"/>
    <w:rsid w:val="00BC491F"/>
    <w:rsid w:val="00BE15BA"/>
    <w:rsid w:val="00BE55E4"/>
    <w:rsid w:val="00C20ED0"/>
    <w:rsid w:val="00C21FC7"/>
    <w:rsid w:val="00C348A8"/>
    <w:rsid w:val="00C46111"/>
    <w:rsid w:val="00C83332"/>
    <w:rsid w:val="00C92403"/>
    <w:rsid w:val="00C95E04"/>
    <w:rsid w:val="00CA3246"/>
    <w:rsid w:val="00CC0207"/>
    <w:rsid w:val="00CC0A8F"/>
    <w:rsid w:val="00CC24B6"/>
    <w:rsid w:val="00CD2854"/>
    <w:rsid w:val="00CD3A64"/>
    <w:rsid w:val="00CD7266"/>
    <w:rsid w:val="00CE08CD"/>
    <w:rsid w:val="00D0664A"/>
    <w:rsid w:val="00D210FA"/>
    <w:rsid w:val="00D30F1D"/>
    <w:rsid w:val="00D561A5"/>
    <w:rsid w:val="00D57231"/>
    <w:rsid w:val="00D87B48"/>
    <w:rsid w:val="00D91203"/>
    <w:rsid w:val="00D94FD1"/>
    <w:rsid w:val="00DE0286"/>
    <w:rsid w:val="00E40AD4"/>
    <w:rsid w:val="00E41692"/>
    <w:rsid w:val="00E55D74"/>
    <w:rsid w:val="00E81234"/>
    <w:rsid w:val="00E9037E"/>
    <w:rsid w:val="00EA120D"/>
    <w:rsid w:val="00EA49C3"/>
    <w:rsid w:val="00EB5E14"/>
    <w:rsid w:val="00EB6F36"/>
    <w:rsid w:val="00EC0528"/>
    <w:rsid w:val="00ED1049"/>
    <w:rsid w:val="00ED6FEF"/>
    <w:rsid w:val="00EE19D9"/>
    <w:rsid w:val="00EF26FC"/>
    <w:rsid w:val="00EF4B24"/>
    <w:rsid w:val="00F37523"/>
    <w:rsid w:val="00F4687F"/>
    <w:rsid w:val="00F50168"/>
    <w:rsid w:val="00F50D34"/>
    <w:rsid w:val="00F53A31"/>
    <w:rsid w:val="00F61360"/>
    <w:rsid w:val="00F82CDC"/>
    <w:rsid w:val="00F912EF"/>
    <w:rsid w:val="00FB2CF4"/>
    <w:rsid w:val="00FC538A"/>
    <w:rsid w:val="00FD04DD"/>
    <w:rsid w:val="00FE2B9F"/>
    <w:rsid w:val="00FE5BDB"/>
    <w:rsid w:val="00FF3CF0"/>
    <w:rsid w:val="00FF51D3"/>
    <w:rsid w:val="00FF655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7A4F503"/>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2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qFormat="1"/>
    <w:lsdException w:name="heading 4" w:semiHidden="1" w:uiPriority="0" w:unhideWhenUsed="1"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uiPriority="21"/>
    <w:lsdException w:name="Subtle Reference" w:uiPriority="31"/>
    <w:lsdException w:name="Intense Reference" w:uiPriority="32"/>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C46111"/>
  </w:style>
  <w:style w:type="paragraph" w:styleId="Heading1">
    <w:name w:val="heading 1"/>
    <w:basedOn w:val="Normal"/>
    <w:next w:val="Normal"/>
    <w:link w:val="Heading1Char"/>
    <w:autoRedefine/>
    <w:uiPriority w:val="9"/>
    <w:qFormat/>
    <w:rsid w:val="00B655F8"/>
    <w:pPr>
      <w:spacing w:after="240"/>
      <w:outlineLvl w:val="0"/>
    </w:pPr>
    <w:rPr>
      <w:rFonts w:asciiTheme="majorHAnsi" w:hAnsiTheme="majorHAnsi"/>
      <w:b/>
      <w:spacing w:val="10"/>
      <w:sz w:val="28"/>
    </w:rPr>
  </w:style>
  <w:style w:type="paragraph" w:styleId="Heading2">
    <w:name w:val="heading 2"/>
    <w:basedOn w:val="Normal"/>
    <w:next w:val="Normal"/>
    <w:link w:val="Heading2Char"/>
    <w:uiPriority w:val="9"/>
    <w:qFormat/>
    <w:rsid w:val="00990E76"/>
    <w:pPr>
      <w:spacing w:after="240"/>
      <w:outlineLvl w:val="1"/>
    </w:pPr>
    <w:rPr>
      <w:rFonts w:asciiTheme="majorHAnsi" w:hAnsiTheme="majorHAnsi"/>
      <w:b/>
      <w:color w:val="FFFFFF" w:themeColor="background1"/>
      <w:spacing w:val="10"/>
      <w:sz w:val="28"/>
    </w:rPr>
  </w:style>
  <w:style w:type="paragraph" w:styleId="Heading3">
    <w:name w:val="heading 3"/>
    <w:basedOn w:val="Normal"/>
    <w:next w:val="Normal"/>
    <w:link w:val="Heading3Char"/>
    <w:uiPriority w:val="9"/>
    <w:semiHidden/>
    <w:qFormat/>
    <w:rsid w:val="0030329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next w:val="Normal"/>
    <w:link w:val="Heading4Char"/>
    <w:semiHidden/>
    <w:qFormat/>
    <w:rsid w:val="0085182D"/>
    <w:pPr>
      <w:spacing w:after="240"/>
      <w:outlineLvl w:val="3"/>
    </w:pPr>
    <w:rPr>
      <w:rFonts w:eastAsia="Times New Roman" w:cs="Arial"/>
      <w:b/>
      <w:noProof/>
      <w:color w:val="ED7D31" w:themeColor="accent2"/>
      <w:spacing w:val="10"/>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D6C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semiHidden/>
    <w:rsid w:val="00A70A62"/>
    <w:rPr>
      <w:rFonts w:eastAsia="Times New Roman" w:cs="Arial"/>
      <w:b/>
      <w:noProof/>
      <w:color w:val="ED7D31" w:themeColor="accent2"/>
      <w:spacing w:val="10"/>
      <w:sz w:val="28"/>
      <w:szCs w:val="32"/>
    </w:rPr>
  </w:style>
  <w:style w:type="paragraph" w:styleId="Title">
    <w:name w:val="Title"/>
    <w:basedOn w:val="Normal"/>
    <w:next w:val="Normal"/>
    <w:link w:val="TitleChar"/>
    <w:uiPriority w:val="10"/>
    <w:qFormat/>
    <w:rsid w:val="00990E76"/>
    <w:pPr>
      <w:spacing w:after="200"/>
      <w:contextualSpacing/>
      <w:jc w:val="center"/>
    </w:pPr>
    <w:rPr>
      <w:rFonts w:asciiTheme="majorHAnsi" w:eastAsiaTheme="majorEastAsia" w:hAnsiTheme="majorHAnsi" w:cstheme="majorBidi"/>
      <w:b/>
      <w:color w:val="FFFFFF" w:themeColor="background1"/>
      <w:spacing w:val="-10"/>
      <w:kern w:val="28"/>
      <w:sz w:val="48"/>
      <w:szCs w:val="56"/>
    </w:rPr>
  </w:style>
  <w:style w:type="character" w:customStyle="1" w:styleId="TitleChar">
    <w:name w:val="Title Char"/>
    <w:basedOn w:val="DefaultParagraphFont"/>
    <w:link w:val="Title"/>
    <w:uiPriority w:val="10"/>
    <w:rsid w:val="00990E76"/>
    <w:rPr>
      <w:rFonts w:asciiTheme="majorHAnsi" w:eastAsiaTheme="majorEastAsia" w:hAnsiTheme="majorHAnsi" w:cstheme="majorBidi"/>
      <w:b/>
      <w:color w:val="FFFFFF" w:themeColor="background1"/>
      <w:spacing w:val="-10"/>
      <w:kern w:val="28"/>
      <w:sz w:val="48"/>
      <w:szCs w:val="56"/>
    </w:rPr>
  </w:style>
  <w:style w:type="paragraph" w:styleId="ListParagraph">
    <w:name w:val="List Paragraph"/>
    <w:basedOn w:val="Normal"/>
    <w:uiPriority w:val="34"/>
    <w:semiHidden/>
    <w:rsid w:val="00877A91"/>
    <w:pPr>
      <w:ind w:left="720"/>
      <w:contextualSpacing/>
    </w:pPr>
  </w:style>
  <w:style w:type="character" w:styleId="Strong">
    <w:name w:val="Strong"/>
    <w:basedOn w:val="DefaultParagraphFont"/>
    <w:uiPriority w:val="22"/>
    <w:semiHidden/>
    <w:rsid w:val="00967DAB"/>
    <w:rPr>
      <w:b/>
      <w:bCs/>
    </w:rPr>
  </w:style>
  <w:style w:type="character" w:customStyle="1" w:styleId="Heading1Char">
    <w:name w:val="Heading 1 Char"/>
    <w:basedOn w:val="DefaultParagraphFont"/>
    <w:link w:val="Heading1"/>
    <w:uiPriority w:val="9"/>
    <w:rsid w:val="00B655F8"/>
    <w:rPr>
      <w:rFonts w:asciiTheme="majorHAnsi" w:hAnsiTheme="majorHAnsi"/>
      <w:b/>
      <w:spacing w:val="10"/>
      <w:sz w:val="28"/>
    </w:rPr>
  </w:style>
  <w:style w:type="character" w:styleId="Hashtag">
    <w:name w:val="Hashtag"/>
    <w:basedOn w:val="DefaultParagraphFont"/>
    <w:uiPriority w:val="99"/>
    <w:semiHidden/>
    <w:rsid w:val="00967DAB"/>
    <w:rPr>
      <w:color w:val="2B579A"/>
      <w:shd w:val="clear" w:color="auto" w:fill="E6E6E6"/>
    </w:rPr>
  </w:style>
  <w:style w:type="character" w:styleId="IntenseEmphasis">
    <w:name w:val="Intense Emphasis"/>
    <w:basedOn w:val="DefaultParagraphFont"/>
    <w:uiPriority w:val="21"/>
    <w:semiHidden/>
    <w:rsid w:val="00967DAB"/>
    <w:rPr>
      <w:i/>
      <w:iCs/>
      <w:color w:val="4472C4" w:themeColor="accent1"/>
    </w:rPr>
  </w:style>
  <w:style w:type="paragraph" w:styleId="IntenseQuote">
    <w:name w:val="Intense Quote"/>
    <w:basedOn w:val="Normal"/>
    <w:next w:val="Normal"/>
    <w:link w:val="IntenseQuoteChar"/>
    <w:uiPriority w:val="30"/>
    <w:semiHidden/>
    <w:rsid w:val="00967DAB"/>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semiHidden/>
    <w:rsid w:val="00967DAB"/>
    <w:rPr>
      <w:rFonts w:eastAsia="Times New Roman" w:cs="Times New Roman"/>
      <w:i/>
      <w:iCs/>
      <w:color w:val="4472C4" w:themeColor="accent1"/>
      <w:sz w:val="21"/>
    </w:rPr>
  </w:style>
  <w:style w:type="character" w:styleId="IntenseReference">
    <w:name w:val="Intense Reference"/>
    <w:basedOn w:val="DefaultParagraphFont"/>
    <w:uiPriority w:val="32"/>
    <w:semiHidden/>
    <w:rsid w:val="00967DAB"/>
    <w:rPr>
      <w:b/>
      <w:bCs/>
      <w:smallCaps/>
      <w:color w:val="4472C4" w:themeColor="accent1"/>
      <w:spacing w:val="5"/>
    </w:rPr>
  </w:style>
  <w:style w:type="character" w:styleId="SubtleReference">
    <w:name w:val="Subtle Reference"/>
    <w:basedOn w:val="DefaultParagraphFont"/>
    <w:uiPriority w:val="31"/>
    <w:semiHidden/>
    <w:rsid w:val="00967DAB"/>
    <w:rPr>
      <w:smallCaps/>
      <w:color w:val="5A5A5A" w:themeColor="text1" w:themeTint="A5"/>
    </w:rPr>
  </w:style>
  <w:style w:type="character" w:styleId="UnresolvedMention">
    <w:name w:val="Unresolved Mention"/>
    <w:basedOn w:val="DefaultParagraphFont"/>
    <w:uiPriority w:val="99"/>
    <w:semiHidden/>
    <w:rsid w:val="00967DAB"/>
    <w:rPr>
      <w:color w:val="808080"/>
      <w:shd w:val="clear" w:color="auto" w:fill="E6E6E6"/>
    </w:rPr>
  </w:style>
  <w:style w:type="character" w:customStyle="1" w:styleId="Heading2Char">
    <w:name w:val="Heading 2 Char"/>
    <w:basedOn w:val="DefaultParagraphFont"/>
    <w:link w:val="Heading2"/>
    <w:uiPriority w:val="9"/>
    <w:rsid w:val="00990E76"/>
    <w:rPr>
      <w:rFonts w:asciiTheme="majorHAnsi" w:hAnsiTheme="majorHAnsi"/>
      <w:b/>
      <w:color w:val="FFFFFF" w:themeColor="background1"/>
      <w:spacing w:val="10"/>
      <w:sz w:val="28"/>
    </w:rPr>
  </w:style>
  <w:style w:type="paragraph" w:customStyle="1" w:styleId="NormalTextDarkBackground">
    <w:name w:val="Normal Text Dark Background"/>
    <w:basedOn w:val="Normal"/>
    <w:qFormat/>
    <w:rsid w:val="00990E76"/>
    <w:rPr>
      <w:color w:val="FFFFFF" w:themeColor="background1"/>
    </w:rPr>
  </w:style>
  <w:style w:type="paragraph" w:styleId="Header">
    <w:name w:val="header"/>
    <w:basedOn w:val="Normal"/>
    <w:link w:val="HeaderChar"/>
    <w:uiPriority w:val="99"/>
    <w:rsid w:val="00C46111"/>
    <w:pPr>
      <w:spacing w:after="0"/>
    </w:pPr>
  </w:style>
  <w:style w:type="character" w:customStyle="1" w:styleId="HeaderChar">
    <w:name w:val="Header Char"/>
    <w:basedOn w:val="DefaultParagraphFont"/>
    <w:link w:val="Header"/>
    <w:uiPriority w:val="99"/>
    <w:rsid w:val="00C46111"/>
  </w:style>
  <w:style w:type="paragraph" w:styleId="Footer">
    <w:name w:val="footer"/>
    <w:basedOn w:val="Normal"/>
    <w:link w:val="FooterChar"/>
    <w:uiPriority w:val="99"/>
    <w:rsid w:val="00C46111"/>
    <w:pPr>
      <w:spacing w:after="0"/>
    </w:pPr>
  </w:style>
  <w:style w:type="character" w:customStyle="1" w:styleId="FooterChar">
    <w:name w:val="Footer Char"/>
    <w:basedOn w:val="DefaultParagraphFont"/>
    <w:link w:val="Footer"/>
    <w:uiPriority w:val="99"/>
    <w:rsid w:val="00C46111"/>
  </w:style>
  <w:style w:type="paragraph" w:styleId="NoSpacing">
    <w:name w:val="No Spacing"/>
    <w:uiPriority w:val="1"/>
    <w:semiHidden/>
    <w:qFormat/>
    <w:rsid w:val="00CC0A8F"/>
    <w:rPr>
      <w:rFonts w:eastAsia="Times New Roman" w:cs="Times New Roman"/>
    </w:rPr>
  </w:style>
  <w:style w:type="character" w:styleId="PlaceholderText">
    <w:name w:val="Placeholder Text"/>
    <w:basedOn w:val="DefaultParagraphFont"/>
    <w:uiPriority w:val="99"/>
    <w:semiHidden/>
    <w:rsid w:val="00206405"/>
    <w:rPr>
      <w:color w:val="808080"/>
    </w:rPr>
  </w:style>
  <w:style w:type="paragraph" w:styleId="Quote">
    <w:name w:val="Quote"/>
    <w:basedOn w:val="Normal"/>
    <w:next w:val="Normal"/>
    <w:link w:val="QuoteChar"/>
    <w:uiPriority w:val="29"/>
    <w:qFormat/>
    <w:rsid w:val="00C46111"/>
    <w:pPr>
      <w:spacing w:after="200"/>
      <w:jc w:val="center"/>
    </w:pPr>
    <w:rPr>
      <w:rFonts w:asciiTheme="majorHAnsi" w:hAnsiTheme="majorHAnsi"/>
      <w:b/>
      <w:noProof/>
      <w:color w:val="44546A" w:themeColor="text2"/>
      <w:spacing w:val="-10"/>
      <w:sz w:val="48"/>
      <w:szCs w:val="100"/>
    </w:rPr>
  </w:style>
  <w:style w:type="character" w:customStyle="1" w:styleId="QuoteChar">
    <w:name w:val="Quote Char"/>
    <w:basedOn w:val="DefaultParagraphFont"/>
    <w:link w:val="Quote"/>
    <w:uiPriority w:val="29"/>
    <w:rsid w:val="00C46111"/>
    <w:rPr>
      <w:rFonts w:asciiTheme="majorHAnsi" w:hAnsiTheme="majorHAnsi"/>
      <w:b/>
      <w:noProof/>
      <w:color w:val="44546A" w:themeColor="text2"/>
      <w:spacing w:val="-10"/>
      <w:sz w:val="48"/>
      <w:szCs w:val="100"/>
    </w:rPr>
  </w:style>
  <w:style w:type="character" w:customStyle="1" w:styleId="Heading3Char">
    <w:name w:val="Heading 3 Char"/>
    <w:basedOn w:val="DefaultParagraphFont"/>
    <w:link w:val="Heading3"/>
    <w:uiPriority w:val="9"/>
    <w:semiHidden/>
    <w:rsid w:val="0030329F"/>
    <w:rPr>
      <w:rFonts w:asciiTheme="majorHAnsi" w:eastAsiaTheme="majorEastAsia" w:hAnsiTheme="majorHAnsi" w:cstheme="majorBidi"/>
      <w:color w:val="1F3763" w:themeColor="accent1" w:themeShade="7F"/>
      <w:sz w:val="24"/>
      <w:szCs w:val="24"/>
    </w:rPr>
  </w:style>
  <w:style w:type="character" w:styleId="Hyperlink">
    <w:name w:val="Hyperlink"/>
    <w:basedOn w:val="DefaultParagraphFont"/>
    <w:uiPriority w:val="99"/>
    <w:unhideWhenUsed/>
    <w:rsid w:val="0030329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eg"/><Relationship Id="rId18" Type="http://schemas.openxmlformats.org/officeDocument/2006/relationships/hyperlink" Target="https://doi.org/10.3390/healthcare13080927"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image" Target="cid:image001.png@01D0EA4A.2BD679A0" TargetMode="External"/><Relationship Id="rId17" Type="http://schemas.openxmlformats.org/officeDocument/2006/relationships/hyperlink" Target="https://doi.org/10.1089/dia.2017.0035"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doi.org/10.1055/s-0038-1668091"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doi.org/10.1016/j.pcd.2023.10.009" TargetMode="External"/><Relationship Id="rId23"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yperlink" Target="https://doi.org/10.4093/dmj.2022.0271"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koutsogeorgou\AppData\Roaming\Microsoft\Templates\Education%20brochur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Custom 6">
      <a:majorFont>
        <a:latin typeface="Century Schoolbook"/>
        <a:ea typeface=""/>
        <a:cs typeface=""/>
      </a:majorFont>
      <a:minorFont>
        <a:latin typeface="Century Schoolbook"/>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MediaServiceKeyPoints xmlns="71af3243-3dd4-4a8d-8c0d-dd76da1f02a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1" ma:contentTypeDescription="Create a new document." ma:contentTypeScope="" ma:versionID="1c2eb7a32e66fb6e4260f3771546a5e2">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04e1f6479c48b08974ba73b5ca973489"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4176C48E-4C0F-468C-B5F5-074B2EE9B9EF}">
  <ds:schemaRefs>
    <ds:schemaRef ds:uri="http://schemas.microsoft.com/office/2006/metadata/properties"/>
    <ds:schemaRef ds:uri="http://schemas.microsoft.com/office/infopath/2007/PartnerControls"/>
    <ds:schemaRef ds:uri="71af3243-3dd4-4a8d-8c0d-dd76da1f02a5"/>
  </ds:schemaRefs>
</ds:datastoreItem>
</file>

<file path=customXml/itemProps2.xml><?xml version="1.0" encoding="utf-8"?>
<ds:datastoreItem xmlns:ds="http://schemas.openxmlformats.org/officeDocument/2006/customXml" ds:itemID="{FFA9BDFA-A1B5-4F38-8B5A-3C85B1433FEA}">
  <ds:schemaRefs>
    <ds:schemaRef ds:uri="http://schemas.microsoft.com/sharepoint/v3/contenttype/forms"/>
  </ds:schemaRefs>
</ds:datastoreItem>
</file>

<file path=customXml/itemProps3.xml><?xml version="1.0" encoding="utf-8"?>
<ds:datastoreItem xmlns:ds="http://schemas.openxmlformats.org/officeDocument/2006/customXml" ds:itemID="{9D9B858D-C272-42FB-BFB4-3B09EE2E67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32B06B9-27AB-40FB-B977-14D6FC8A98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Education brochure</Template>
  <TotalTime>0</TotalTime>
  <Pages>4</Pages>
  <Words>703</Words>
  <Characters>4012</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2025-11-02T18:07:00Z</dcterms:created>
  <dcterms:modified xsi:type="dcterms:W3CDTF">2026-03-17T14:31:00Z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y fmtid="{D5CDD505-2E9C-101B-9397-08002B2CF9AE}" pid="3" name="GrammarlyDocumentId">
    <vt:lpwstr>5b57d1e6-0735-4877-9eb2-ee7a7a62f3de</vt:lpwstr>
  </property>
  <property fmtid="{D5CDD505-2E9C-101B-9397-08002B2CF9AE}" pid="4" name="MSIP_Label_defa4170-0d19-0005-0004-bc88714345d2_ActionId">
    <vt:lpwstr>e1012cc0-764f-4d53-8b27-30640406e8e5</vt:lpwstr>
  </property>
  <property fmtid="{D5CDD505-2E9C-101B-9397-08002B2CF9AE}" pid="5" name="MSIP_Label_defa4170-0d19-0005-0004-bc88714345d2_ContentBits">
    <vt:lpwstr>0</vt:lpwstr>
  </property>
  <property fmtid="{D5CDD505-2E9C-101B-9397-08002B2CF9AE}" pid="6" name="MSIP_Label_defa4170-0d19-0005-0004-bc88714345d2_Enabled">
    <vt:lpwstr>true</vt:lpwstr>
  </property>
  <property fmtid="{D5CDD505-2E9C-101B-9397-08002B2CF9AE}" pid="7" name="MSIP_Label_defa4170-0d19-0005-0004-bc88714345d2_Method">
    <vt:lpwstr>Standard</vt:lpwstr>
  </property>
  <property fmtid="{D5CDD505-2E9C-101B-9397-08002B2CF9AE}" pid="8" name="MSIP_Label_defa4170-0d19-0005-0004-bc88714345d2_Name">
    <vt:lpwstr>defa4170-0d19-0005-0004-bc88714345d2</vt:lpwstr>
  </property>
  <property fmtid="{D5CDD505-2E9C-101B-9397-08002B2CF9AE}" pid="9" name="MSIP_Label_defa4170-0d19-0005-0004-bc88714345d2_SetDate">
    <vt:lpwstr>2025-04-22T13:41:50Z</vt:lpwstr>
  </property>
  <property fmtid="{D5CDD505-2E9C-101B-9397-08002B2CF9AE}" pid="10" name="MSIP_Label_defa4170-0d19-0005-0004-bc88714345d2_SiteId">
    <vt:lpwstr>43bfd43f-1952-47ce-b956-d0c29c3dc983</vt:lpwstr>
  </property>
  <property fmtid="{D5CDD505-2E9C-101B-9397-08002B2CF9AE}" pid="11" name="MSIP_Label_defa4170-0d19-0005-0004-bc88714345d2_Tag">
    <vt:lpwstr>10, 3, 0, 1</vt:lpwstr>
  </property>
</Properties>
</file>