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B31A8" w14:textId="502F5DEE" w:rsidR="007C139D" w:rsidRPr="00015F79" w:rsidRDefault="000F5F57" w:rsidP="002D6E2D">
      <w:pPr>
        <w:spacing w:line="360" w:lineRule="auto"/>
        <w:rPr>
          <w:rFonts w:ascii="Arial" w:hAnsi="Arial" w:cs="Arial"/>
          <w:b/>
          <w:bCs/>
          <w:sz w:val="36"/>
          <w:szCs w:val="36"/>
          <w:u w:val="single"/>
        </w:rPr>
      </w:pPr>
      <w:r w:rsidRPr="00015F79">
        <w:rPr>
          <w:rFonts w:ascii="Arial" w:hAnsi="Arial" w:cs="Arial"/>
          <w:b/>
          <w:bCs/>
          <w:sz w:val="36"/>
          <w:szCs w:val="36"/>
          <w:u w:val="single"/>
        </w:rPr>
        <w:t>Aseiniad ysgrifenedig sy’n gwerthuso’n feirniadol sut y gellir defnyddio Asesu ar gyfer Dysgu mewn cyfres o gyfleoedd dysgu i hybu cynnydd ar draws y meysydd dysgu a phrofiad a ddewiswyd. (4000 o eiriau)</w:t>
      </w:r>
      <w:r w:rsidR="002D6E2D" w:rsidRPr="00015F79">
        <w:rPr>
          <w:rFonts w:ascii="Arial" w:hAnsi="Arial" w:cs="Arial"/>
          <w:b/>
          <w:bCs/>
          <w:sz w:val="36"/>
          <w:szCs w:val="36"/>
          <w:u w:val="single"/>
        </w:rPr>
        <w:t xml:space="preserve"> </w:t>
      </w:r>
    </w:p>
    <w:p w14:paraId="7F2A6537" w14:textId="70297863" w:rsidR="002A7996" w:rsidRPr="00015F79" w:rsidRDefault="00E16900" w:rsidP="00DC5F1E">
      <w:pPr>
        <w:spacing w:line="360" w:lineRule="auto"/>
        <w:rPr>
          <w:rFonts w:ascii="Arial" w:hAnsi="Arial" w:cs="Arial"/>
        </w:rPr>
      </w:pPr>
      <w:r w:rsidRPr="00015F79">
        <w:rPr>
          <w:rFonts w:ascii="Arial" w:hAnsi="Arial" w:cs="Arial"/>
        </w:rPr>
        <w:t>Yn yr aseiniad hwn, byddaf yn trafod ystod o strategaethau Asesu ar gyfer Dysgu (Aa</w:t>
      </w:r>
      <w:r w:rsidRPr="00015F79">
        <w:rPr>
          <w:rFonts w:ascii="Arial" w:hAnsi="Arial" w:cs="Arial"/>
        </w:rPr>
        <w:t>g</w:t>
      </w:r>
      <w:r w:rsidRPr="00015F79">
        <w:rPr>
          <w:rFonts w:ascii="Arial" w:hAnsi="Arial" w:cs="Arial"/>
        </w:rPr>
        <w:t>D) a fy mhrofiadau i wrth ddefnyddio nifer o ddulliau gwahanol yn y dosbarth er mwyn hybu cynnydd a brwdfrydedd y disgyblion i ddysgu. Mae modd i athrawon ddefnyddio Aa</w:t>
      </w:r>
      <w:r w:rsidR="009A7D97" w:rsidRPr="00015F79">
        <w:rPr>
          <w:rFonts w:ascii="Arial" w:hAnsi="Arial" w:cs="Arial"/>
        </w:rPr>
        <w:t>g</w:t>
      </w:r>
      <w:r w:rsidRPr="00015F79">
        <w:rPr>
          <w:rFonts w:ascii="Arial" w:hAnsi="Arial" w:cs="Arial"/>
        </w:rPr>
        <w:t>D mewn sawl ffordd er mwyn sicrhau addysg effeithiol. Mae pedwar dull gwahanol o Aa</w:t>
      </w:r>
      <w:r w:rsidR="009A7D97" w:rsidRPr="00015F79">
        <w:rPr>
          <w:rFonts w:ascii="Arial" w:hAnsi="Arial" w:cs="Arial"/>
        </w:rPr>
        <w:t>g</w:t>
      </w:r>
      <w:r w:rsidRPr="00015F79">
        <w:rPr>
          <w:rFonts w:ascii="Arial" w:hAnsi="Arial" w:cs="Arial"/>
        </w:rPr>
        <w:t>D, rhain yw; rhannu’r meini prawf llwyddiant, ansawdd y cwestiynu, ansawdd yr adborth a hunanasesu neu asesu cyfoedion. Yn ystod fy nghyfnod PAP cefais gyfle i ddefnyddio sawl dull er mwyn profi Aa</w:t>
      </w:r>
      <w:r w:rsidR="009A7D97" w:rsidRPr="00015F79">
        <w:rPr>
          <w:rFonts w:ascii="Arial" w:hAnsi="Arial" w:cs="Arial"/>
        </w:rPr>
        <w:t>g</w:t>
      </w:r>
      <w:r w:rsidRPr="00015F79">
        <w:rPr>
          <w:rFonts w:ascii="Arial" w:hAnsi="Arial" w:cs="Arial"/>
        </w:rPr>
        <w:t>D</w:t>
      </w:r>
      <w:r w:rsidR="009A7D97" w:rsidRPr="00015F79">
        <w:rPr>
          <w:rFonts w:ascii="Arial" w:hAnsi="Arial" w:cs="Arial"/>
        </w:rPr>
        <w:t>, ac y</w:t>
      </w:r>
      <w:r w:rsidRPr="00015F79">
        <w:rPr>
          <w:rFonts w:ascii="Arial" w:hAnsi="Arial" w:cs="Arial"/>
        </w:rPr>
        <w:t xml:space="preserve">n yr aseiniad hwn, rydw i’n awyddus o werthuso’n feirniadol ystod eang o strategaethau defnyddiais. </w:t>
      </w:r>
      <w:r w:rsidR="009A7D97" w:rsidRPr="00015F79">
        <w:rPr>
          <w:rFonts w:ascii="Arial" w:hAnsi="Arial" w:cs="Arial"/>
        </w:rPr>
        <w:t>Rhan hollbwysig o’r Cwricwlwm newydd i Gymru gan Graham Donaldson yw’r deuddeg egwyddor addysgeg. Mae’r deuddeg egwyddor addysgeg wedi’u cynllunio er mwyn cefnogi addysgwyr wrth i ni ddylunio a cheisio cyflwyno’r cwricwlwm yn ein gwersi. Trwy ddilyn y cwricwlwm, bydd hyn yn helpu dysgwyr i ddatblygu ymhellach a sicrhau cynnydd y dysgwyr. Gwelir pwyslais mawr ar Aa</w:t>
      </w:r>
      <w:r w:rsidR="009A7D97" w:rsidRPr="00015F79">
        <w:rPr>
          <w:rFonts w:ascii="Arial" w:hAnsi="Arial" w:cs="Arial"/>
        </w:rPr>
        <w:t>g</w:t>
      </w:r>
      <w:r w:rsidR="009A7D97" w:rsidRPr="00015F79">
        <w:rPr>
          <w:rFonts w:ascii="Arial" w:hAnsi="Arial" w:cs="Arial"/>
        </w:rPr>
        <w:t>D yn y seithfed egwyddor addysgeg sef “Mae addysgu a dysgu da yn golygu dilyn egwyddorion asesu ar gyfer dysgu” (Donaldson, 2015).</w:t>
      </w:r>
      <w:r w:rsidR="00654F6D" w:rsidRPr="00015F79">
        <w:rPr>
          <w:rFonts w:ascii="Arial" w:hAnsi="Arial" w:cs="Arial"/>
        </w:rPr>
        <w:t xml:space="preserve"> </w:t>
      </w:r>
      <w:r w:rsidR="009A7D97" w:rsidRPr="00015F79">
        <w:rPr>
          <w:rFonts w:ascii="Arial" w:hAnsi="Arial" w:cs="Arial"/>
        </w:rPr>
        <w:t>Cynghora’r deuddeg egwyddor addysgeg bod dilyn strategaethau Aa</w:t>
      </w:r>
      <w:r w:rsidR="009A7D97" w:rsidRPr="00015F79">
        <w:rPr>
          <w:rFonts w:ascii="Arial" w:hAnsi="Arial" w:cs="Arial"/>
        </w:rPr>
        <w:t>g</w:t>
      </w:r>
      <w:r w:rsidR="009A7D97" w:rsidRPr="00015F79">
        <w:rPr>
          <w:rFonts w:ascii="Arial" w:hAnsi="Arial" w:cs="Arial"/>
        </w:rPr>
        <w:t>D yn galluogi addysgwyr i wneud addysg yn fwy effeithiol. Awgrymir i athrawon gynnig adborth ystyrlon a rheolaidd drwy arwain dysgwyr i lawr y trywydd cywir drwy esbonio’r cam nesaf yn eu dysgu. Yn ogystal, anoga Donaldson i ddefnyddio dulliau adborth rhwng cyfoedion i hyrwyddo awyrgylch ac amgylchedd dysgu gadarnhaol (Donaldson, 2015).</w:t>
      </w:r>
    </w:p>
    <w:p w14:paraId="20DFED54" w14:textId="091AA9F5" w:rsidR="009A7D97" w:rsidRPr="00015F79" w:rsidRDefault="009A7D97" w:rsidP="00DC5F1E">
      <w:pPr>
        <w:spacing w:line="360" w:lineRule="auto"/>
        <w:rPr>
          <w:rFonts w:ascii="Arial" w:hAnsi="Arial" w:cs="Arial"/>
        </w:rPr>
      </w:pPr>
      <w:r w:rsidRPr="00015F79">
        <w:rPr>
          <w:rFonts w:ascii="Arial" w:hAnsi="Arial" w:cs="Arial"/>
        </w:rPr>
        <w:t>Mae ystadegau yn dangos bod addysg sy’n cynnwys y dysgwyr yn arwain at gyrhaeddiad a chynnydd pellach o fewn gwersi (Froyd a Simpson, 2008). Yn ogystal, awgryma Froyd a Simpson (2008) bod dylanwadau cadarnhaol wrth ddefnyddio dulliau addysgu sy’n ganolog ar ddysgwyr ar berfformiad academaidd ac agweddau’r dosbarth tuag at ddysgu. Mae Aa</w:t>
      </w:r>
      <w:r w:rsidRPr="00015F79">
        <w:rPr>
          <w:rFonts w:ascii="Arial" w:hAnsi="Arial" w:cs="Arial"/>
        </w:rPr>
        <w:t>g</w:t>
      </w:r>
      <w:r w:rsidRPr="00015F79">
        <w:rPr>
          <w:rFonts w:ascii="Arial" w:hAnsi="Arial" w:cs="Arial"/>
        </w:rPr>
        <w:t>D yn cyfrannu at greu amgylchedd dysgu ddeinamig sy'n canolbwyntio ar y myfyriwr sy'n helpu i baratoi myfyrwyr ar gyfer llwyddiant mewn byd sy'n newid yn barhaus. Mewn cyfweliad, esbonia Dylan Wiliam yr holl fanteision o hunanasesu neu asesu cyfoedion wrth addysgu. Disgrifia bod hyn yn annog dysgwyr i fyfyrio ar yr hyn a ddysgir ac yn helpu sicrhau dealltwriaeth bellach o fewn y pwnc.</w:t>
      </w:r>
      <w:r w:rsidR="00654F6D" w:rsidRPr="00015F79">
        <w:rPr>
          <w:rFonts w:ascii="Arial" w:hAnsi="Arial" w:cs="Arial"/>
        </w:rPr>
        <w:t xml:space="preserve"> </w:t>
      </w:r>
      <w:r w:rsidRPr="00015F79">
        <w:rPr>
          <w:rFonts w:ascii="Arial" w:hAnsi="Arial" w:cs="Arial"/>
        </w:rPr>
        <w:t xml:space="preserve">Yn ychwanegol, dywedodd Wiliam fod dysgwyr ac yn enwedig bechgyn yn fwy tebygol o gofio’r wybodaeth newydd a’i gofio’n hirdymor (Morris, </w:t>
      </w:r>
      <w:r w:rsidRPr="00015F79">
        <w:rPr>
          <w:rFonts w:ascii="Arial" w:hAnsi="Arial" w:cs="Arial"/>
        </w:rPr>
        <w:lastRenderedPageBreak/>
        <w:t>2007). Yn y Cwricwlwm Newydd i Gymru a gynlluniwyd gan Graham Donaldson, Un agwedd nodedig o’r cwricwlwm newydd yw’r newid sylweddol yn y canllawiau asesu. Nid oes pwyslais bellach ar asesiadau gorfodol ym mhob Cyfnod Allweddol (CA). Caniateir hyn ddull mwy hyblyg wrth asesu sy’n canolbwyntio ar y dysgwr (Tyack, 2019). Pwysleisir yr arwyddocâd o Aa</w:t>
      </w:r>
      <w:r w:rsidRPr="00015F79">
        <w:rPr>
          <w:rFonts w:ascii="Arial" w:hAnsi="Arial" w:cs="Arial"/>
        </w:rPr>
        <w:t>g</w:t>
      </w:r>
      <w:r w:rsidRPr="00015F79">
        <w:rPr>
          <w:rFonts w:ascii="Arial" w:hAnsi="Arial" w:cs="Arial"/>
        </w:rPr>
        <w:t>D ymhellach gan Dylan Wiliam wrth iddo ddatgan bod Aa</w:t>
      </w:r>
      <w:r w:rsidRPr="00015F79">
        <w:rPr>
          <w:rFonts w:ascii="Arial" w:hAnsi="Arial" w:cs="Arial"/>
        </w:rPr>
        <w:t>g</w:t>
      </w:r>
      <w:r w:rsidRPr="00015F79">
        <w:rPr>
          <w:rFonts w:ascii="Arial" w:hAnsi="Arial" w:cs="Arial"/>
        </w:rPr>
        <w:t>D effeithiol gan addysgwyr yn gallu ‘dyblu’ cyflymder y dysgu a hybu cynnydd (Donaldson, 2015). Wrth ystyried hyn, credaf ein bod ni’n gallu manteisio ar y cyfle hwn fel addysgwyr, ac wrth sicrhau AaGD effeithiol, gellir darparu addysg bellach i’r dysgwyr.</w:t>
      </w:r>
    </w:p>
    <w:p w14:paraId="2BE25554" w14:textId="77777777" w:rsidR="009A7D97" w:rsidRPr="00015F79" w:rsidRDefault="009A7D97" w:rsidP="00DC5F1E">
      <w:pPr>
        <w:spacing w:line="360" w:lineRule="auto"/>
        <w:rPr>
          <w:rFonts w:ascii="Arial" w:hAnsi="Arial" w:cs="Arial"/>
        </w:rPr>
      </w:pPr>
      <w:r w:rsidRPr="00015F79">
        <w:rPr>
          <w:rFonts w:ascii="Arial" w:hAnsi="Arial" w:cs="Arial"/>
        </w:rPr>
        <w:t>Roeddwn i ar leoliad gyda dosbarth blwyddyn tri a thema’r dosbarth oedd afonydd. Yn yr aseiniad hwn byddaf yn trafod tair gwers a chynlluniais yn ystod fy nghyfnod lleoliad sy’n canolbwyntio ar wahanol Feysydd Dysgu a Phrofiad (MdaPh). Un wers a gynlluniais oedd gwers Ieithoedd, Llythrennedd a Chyfathrebu (ILlaCh). Ysgrifennu barddoniaeth wrth ystyried taith wrth ymyl yr afon leol oedd y wers. Ceisiais sbarduno eu dychymyg drwy roi fidio o daith yr afon, a hyrwyddo iddyn nhw feddwl am eu synhwyrau. Gofynnais gwestiynau; beth ydych chi’n gweld, clywed, teimlo, arogli? Unwaith adeiladwyd banc o eirfa fel dosbarth, gofynnais iddyn nhw ddilyn patrwm wrth ysgrifennu eu taith afon bersonol. Dosbarthais fodel i blant is eu gallu’r dosbarth er mwyn sicrhau eu bod nhw’n dilyn y patrwm a strwythur wrth fewnbynnu eu geirfa.</w:t>
      </w:r>
      <w:r w:rsidRPr="00015F79">
        <w:rPr>
          <w:rFonts w:ascii="Arial" w:hAnsi="Arial" w:cs="Arial"/>
        </w:rPr>
        <w:t xml:space="preserve"> </w:t>
      </w:r>
      <w:r w:rsidRPr="00015F79">
        <w:rPr>
          <w:rFonts w:ascii="Arial" w:hAnsi="Arial" w:cs="Arial"/>
        </w:rPr>
        <w:t>Prif fwriad y wers oedd ehangu geirfa’r dosbarth, defnyddio’u dychymyg wrth ysgrifennu’n greadigol. Yr ail wers a gynlluniais oedd gwers Celfyddydau Mynegiannol (CM) wrth edrych ar waith arlunydd lleol Dorian Spencer ar afonydd a thirwedd Cymru a’r ardal leol. Cyflwynais yr arlunydd a thrafod gyda’r dosbarth am ei dechnegau wrth arlunio. Dangosais sawl enghraifft o’i waith drwy gyfeirio at ardaloedd lleol a sbarduno sgwrs, gofyn beth roedd y plant yn hoffi am ei waith neu dechneg. Yna, esboniais y broses o dyfrliwio cyn gofyn i’r dysgwyr fynd ati i efelychu ei waith a’i defnyddio fel ysbrydoliaeth wrth baentio llun o daith afon. Dosbarthais luniau o adeiladau nodedig neu bentrefi sydd wrth ymyl yr afon leol er mwyn taflu syniadau i’r disgyblion.</w:t>
      </w:r>
      <w:r w:rsidRPr="00015F79">
        <w:rPr>
          <w:rFonts w:ascii="Arial" w:hAnsi="Arial" w:cs="Arial"/>
        </w:rPr>
        <w:t xml:space="preserve"> </w:t>
      </w:r>
      <w:r w:rsidRPr="00015F79">
        <w:rPr>
          <w:rFonts w:ascii="Arial" w:hAnsi="Arial" w:cs="Arial"/>
        </w:rPr>
        <w:t>Prif fwriad y wers oedd dysgu waith Dorian Spencer a defnyddio’i waith i ddysgu am dechnegau dyfrliwio a’i phrofi nhw wrth gyflawni celf. Y drydedd wers a gynlluniais oedd gwers Iechyd a Lles (IaLl). Darllenais lyfr o’r enw “A planet full of plastic” a oedd yn llyfr am lygredd, yr amgylchedd ac yn enwedig y sbwriel o fewn y dŵr. Gofynnais sawl gwestiwn yn ystod darllen y llyfr i sicrhau dealltwriaeth y disgyblion o’r hyn a ddarllenwyd. Ar ôl darllen y stori, cefais drafodaeth gyda’r dosbarth a’i holi am yr amgylchedd a cheisio meddwl am ffyrdd galle’n nhw wneud i helpu. Bwriad y wers hon oedd dysgu’r disgyblion am y byd o’u cwmpas a’u haddysgu am broblemau’r byd. Roedd y drafodaeth yn effeithiol wrth gadw ymgysylltiad a diddordeb y dysgwyr o fewn y pwnc, roedd y dysgwyr yn amlwg yn hoff o’r wers a’n awyddus o ddysgu.</w:t>
      </w:r>
      <w:r w:rsidRPr="00015F79">
        <w:rPr>
          <w:rFonts w:ascii="Arial" w:hAnsi="Arial" w:cs="Arial"/>
        </w:rPr>
        <w:t xml:space="preserve"> </w:t>
      </w:r>
    </w:p>
    <w:p w14:paraId="4A68DF4C" w14:textId="77777777" w:rsidR="009D499F" w:rsidRPr="00015F79" w:rsidRDefault="009D499F" w:rsidP="00DC5F1E">
      <w:pPr>
        <w:spacing w:line="360" w:lineRule="auto"/>
        <w:rPr>
          <w:rFonts w:ascii="Arial" w:hAnsi="Arial" w:cs="Arial"/>
        </w:rPr>
      </w:pPr>
      <w:r w:rsidRPr="00015F79">
        <w:rPr>
          <w:rFonts w:ascii="Arial" w:hAnsi="Arial" w:cs="Arial"/>
        </w:rPr>
        <w:lastRenderedPageBreak/>
        <w:t>Yn ystod y gwersi hyn, roedd hi’n hollbwysig fy mod i’n defnyddio amrywiaeth o strategaethau AaGD er mwyn asesu dealltwriaeth y dysgwyr ar y pwnc, a sicrhau bod cynnydd yn cael ei wneud gan bob disgybl o ganlyniad i’r wers. Os ydw i fel athro yn AaGD yn effeithiol, bysai modd i mi fyfyrio’r wers ac asesu dealltwriaeth y disgyblion. Gyda’r wybodaeth hyn, gallaf addasu’r wers neu wneud ychydig o fȃn-newidiadau er mwyn darparu gwers addasach tro nesaf. Yn ôl ymchwil “Teachers need to know about their pupils' progress and difficulties with learning so that they can adapt their own work to meet pupils' needs”. (Black a Wiliam, 1998a tud.3). I gefnogi, awgryma Schön (1983, tud.223) er mwyn i gynllunydd wella’i ymarfer, mae’r rhaid iddyn nhw edrych yn ôl a chynnal adolygiad er mwyn myfyrio a gwella.</w:t>
      </w:r>
      <w:r w:rsidRPr="00015F79">
        <w:rPr>
          <w:rFonts w:ascii="Arial" w:hAnsi="Arial" w:cs="Arial"/>
        </w:rPr>
        <w:t xml:space="preserve"> </w:t>
      </w:r>
      <w:r w:rsidRPr="00015F79">
        <w:rPr>
          <w:rFonts w:ascii="Arial" w:hAnsi="Arial" w:cs="Arial"/>
        </w:rPr>
        <w:t>Gellir trawsnewid hyn i fywyd addysgol a chynnal meddylfryd tebyg wrth geisio addasu gwersi i anghenion bob disgybl er mwyn sicrhau cynnydd. Rhoddir pwyslais cryf ar ansawdd yr adborth gan AaGD, mae’n bwysig ein bod ni’n sicrhau ei fod yn berthnasol, yn amserol ac yn adeiladol. Mae adborth nid yn unig yn gadael myfyrwyr i wybod o'u dealltwriaeth o’r dasg, ond hefyd yn eu harwain tuag at wneud cynnydd a sicrhau gwelliannau i’u gwaith. Mae John Hattie yn ddamcaniaethwr sy’n dadlau bod defnydd effeithiol o adborth yn gallu helpu cynnydd dysgwyr. Ond mae Hattie ein rhybuddio bod rhai dulliau o adborth yn fwy effeithiol nac eraill, ac weithiau hyd yn oed yn gallu llesteirio cynnydd.</w:t>
      </w:r>
      <w:r w:rsidRPr="00015F79">
        <w:rPr>
          <w:rFonts w:ascii="Arial" w:hAnsi="Arial" w:cs="Arial"/>
        </w:rPr>
        <w:t xml:space="preserve"> </w:t>
      </w:r>
      <w:r w:rsidR="00D74CB7" w:rsidRPr="00015F79">
        <w:rPr>
          <w:rFonts w:ascii="Arial" w:hAnsi="Arial" w:cs="Arial"/>
        </w:rPr>
        <w:t>“Feedback is one of the most powerful influences on learning and achievement, but this impact can be either positive or negative”</w:t>
      </w:r>
      <w:r w:rsidR="00FA3EEE" w:rsidRPr="00015F79">
        <w:rPr>
          <w:rFonts w:ascii="Arial" w:hAnsi="Arial" w:cs="Arial"/>
        </w:rPr>
        <w:t xml:space="preserve"> (Hattie a Timperley, 2007, tud.81). </w:t>
      </w:r>
      <w:r w:rsidRPr="00015F79">
        <w:rPr>
          <w:rFonts w:ascii="Arial" w:hAnsi="Arial" w:cs="Arial"/>
        </w:rPr>
        <w:t xml:space="preserve">Awgryma nad yw rhoi canmoliaeth o berfformiad neu gyrhaeddiad ar dasg yn effeithiol iawn wrth geisio sicrhau cynnydd pellach. Yn hytrach, dadleua bod adborth adeiladol yn addasach, gan gynnwys y wybodaeth o’r camau nesaf yn eu dysgu er mwyn sicrhau bod y dysgwyr yn derbyn a deall yr adborth (Hattie a Timperley, 2007, tud.86). </w:t>
      </w:r>
    </w:p>
    <w:p w14:paraId="3B3D135C" w14:textId="77777777" w:rsidR="009D499F" w:rsidRPr="00015F79" w:rsidRDefault="009D499F" w:rsidP="00DC5F1E">
      <w:pPr>
        <w:spacing w:line="360" w:lineRule="auto"/>
        <w:rPr>
          <w:rFonts w:ascii="Arial" w:hAnsi="Arial" w:cs="Arial"/>
        </w:rPr>
      </w:pPr>
      <w:r w:rsidRPr="00015F79">
        <w:rPr>
          <w:rFonts w:ascii="Arial" w:hAnsi="Arial" w:cs="Arial"/>
        </w:rPr>
        <w:t>Ar y llaw arall, ceir ychydig o feirniadaeth o asesu gydag adborth gan Robert J. Marzano. Er ei fod yn cydnabod pwysigrwydd asesu, mae’n pryderu dros gamddefnyddio data asesu. Pwysleisia Marzano bod angen agwedd cymwys wrth ddarparu adborth, ac yn argymell i athrawon peidio gorbwysleisio asesu ar ddisgyblion (Marzano, Pickering a McTighe, 1993, tud.26). Yn ôl Sherrington (2019), Y nod wrth roi adborth effeithiol yw newid gallu myfyrwyr i gynhyrchu gwaith gwell yn annibynnol, nid dim ond i wella eu gwaith unwaith. Wrth ystyried hyn, mae’n hynod o bwysig ein bod ni’n esbonio i ddysgwyr sut mae gwneud gwelliannau er mwyn iddyn nhw allu ymarfer hyn a sicrhau eu cynnydd a chyrhaeddiad pellach. Ceir pwyslais mawr ar adborth amserol, a’i bod yn cael ei rhoi yn y fan a’r lle wrth i ddisgyblion gwblhau’r gwaith.</w:t>
      </w:r>
      <w:r w:rsidRPr="00015F79">
        <w:rPr>
          <w:rFonts w:ascii="Arial" w:hAnsi="Arial" w:cs="Arial"/>
        </w:rPr>
        <w:t xml:space="preserve"> </w:t>
      </w:r>
      <w:r w:rsidRPr="00015F79">
        <w:rPr>
          <w:rFonts w:ascii="Arial" w:hAnsi="Arial" w:cs="Arial"/>
        </w:rPr>
        <w:t xml:space="preserve">Yn ogystal mae angen cynnig adborth sy’n benodol, yn aml ac yn symud y dysgu yn ei flaen (Skeet, 2020). Er hyn, mae hi ychydig yn afrealistig cynnig adborth manwl i ddosbarth cyfan o ddysgwyr o fewn gwers. Gall fywyd yn yr ystafell ddosbarth fod ychydig yn anrhagweladwy, ond mewn dosbarth cyfan amhosib braidd bysai cynnig adborth i bob </w:t>
      </w:r>
      <w:r w:rsidRPr="00015F79">
        <w:rPr>
          <w:rFonts w:ascii="Arial" w:hAnsi="Arial" w:cs="Arial"/>
        </w:rPr>
        <w:lastRenderedPageBreak/>
        <w:t>disgybl. Wedi dweud hyn, mae hi dal yn bwysig i athrawon ceisio sicrhau bod adborth yn amserol er mwyn i ddisgyblion deall pa newidiadau sy’n rhaid gwneud er mwyn gwella. Y mwyaf aml a chyson yw’r adborth mae’n hyrwyddo dysgwyr i oedi, ymgysylltu, myfyrio ac addasu ymddygiad yn y fan a’r lle. Mae darparu adborth effeithiol ar unwaith yn hytrach nag yn achlysurol yn gwneud dysgu yn brofiad gweithredol (Markovic, 2022).</w:t>
      </w:r>
    </w:p>
    <w:p w14:paraId="6995D56E" w14:textId="77777777" w:rsidR="009D499F" w:rsidRPr="00015F79" w:rsidRDefault="009D499F" w:rsidP="00DC5F1E">
      <w:pPr>
        <w:spacing w:line="360" w:lineRule="auto"/>
        <w:rPr>
          <w:rFonts w:ascii="Arial" w:hAnsi="Arial" w:cs="Arial"/>
        </w:rPr>
      </w:pPr>
      <w:r w:rsidRPr="00015F79">
        <w:rPr>
          <w:rFonts w:ascii="Arial" w:hAnsi="Arial" w:cs="Arial"/>
        </w:rPr>
        <w:t>Dull arall o AaGD a ddefnyddir yn aml gan athrawon yw rhannu’r Meini Prawf Llwyddiant (MPLl) gyda’r dysgwyr. Mae’r arfer a welir yn gyson ar draws ysgolion Cymru a’r Deyrnas Unedig a gosod nod y wers a thrafod sut i lwyddo yn y dasg. Mae’n bwysig fod gan fyfyrwyr yr un syniad â'u hathro a beth ddylent fod yn ei ddysgu ym mhob gwers. Nid yw’r dysgwyr yn mynd i fod yn ymwybodol o hyn oni bai ei fod wedi'i nodi a’i thrafod gyda’r dosbarth yn glir (STEM Learning, 2010). Awgryma Rooney (2007) fod gan athrawon rôl wrth osod MPLl y wers i’r disgyblion gan fodelu’r hyn sydd angen ei wneud. Gan ddangos beth sy’n rhaid gwneud i lwyddo a’i thrafod, bydd hyn yn sicrhau dealltwriaeth a bod modd i ddysgwyr gwybod sut i edrych a defnyddio’r MPLl er mwyn gwella’u gwaith. Yn ogystal, bysai trafod y MPLl gyda’r dysgwyr yn rhoi syniad o’r athro o ddealltwriaeth y plant a dangos os oes angen addasu’i thechneg o addysgu. Gall cyd-gynllunio MPLl fod yn ymarfer da yn y dosbarth gan ei fod yn sicrhau eu bod nhw’n ymgysylltu gyda’r dasg, a galluogi trafodaeth o beth sydd angen gwneud i lwyddo (Opportunity Education, d.d.). Yn ôl Wiliam (2018, p.64) gall gyd-gynllunio MPLl chreu awyrgylch ble mae’r dysgwyr yn trafod y wers a beth sydd angen gwneud i lwyddo. Dadleua bod dysgwyr yn fwy tebygol o gymhwyso sgiliau angenrheidiol i lwyddo yn eu gwaith ar ôl ei drafod. Ceir feirniadaeth o’r defnydd o MPLl gan rhai gan ei fod yn wastraff amser i fyfyrwyr gyda MPLl amwys, anfuddiol. Yn lle, awgryma Didau (2015), dylai addysgwyr treulio amser yn enghreifftio sut i lwyddo a modelu'r broses dylai gymryd i gwblhau tasg.</w:t>
      </w:r>
    </w:p>
    <w:p w14:paraId="2B8FB680" w14:textId="49E71278" w:rsidR="004F7794" w:rsidRPr="00015F79" w:rsidRDefault="009D499F" w:rsidP="00DC5F1E">
      <w:pPr>
        <w:spacing w:line="360" w:lineRule="auto"/>
        <w:rPr>
          <w:rFonts w:ascii="Arial" w:hAnsi="Arial" w:cs="Arial"/>
        </w:rPr>
      </w:pPr>
      <w:r w:rsidRPr="00015F79">
        <w:rPr>
          <w:rFonts w:ascii="Arial" w:hAnsi="Arial" w:cs="Arial"/>
        </w:rPr>
        <w:t>Strategaeth arall a ddefnyddiwyd gan addysgwyr i AaGD yw cwestiynu, mae ystod o wahanol ffyrdd o gwestiynu a gall fod yn hynod effeithiol wrth sicrhau llif ac effeithlonrwydd gwersi. Dylai gwestiynu gynnwys cydbwysedd o wahanol gwestiynu er mwyn gwrando ar ddysgwyr, ailgyfeirio ymatebion i lawr y trywydd cywir a chaniatáu digon o amser i ddysgwyr ateb cwestiynau (Arslan et al., 2006). Esbonia Croom a Stair (2005), bod athro da yn gallu addasu’r cwestiynu er mwyn sicrhau profiad dysgu effeithiol i ddysgwyr. Mae cwestiynu yn gallu bod yn hynod o effeithiol yn enwedig wrth lywio’r wers i lawr trywydd penodol. Er hyn, mae Croom a Stair (2005) hefyd yn rhybuddio bod rhaid ei ddefnyddio yn fedrus er mwyn bod yn effeithiol.</w:t>
      </w:r>
      <w:r w:rsidRPr="00015F79">
        <w:rPr>
          <w:rFonts w:ascii="Arial" w:hAnsi="Arial" w:cs="Arial"/>
        </w:rPr>
        <w:t xml:space="preserve"> </w:t>
      </w:r>
      <w:r w:rsidRPr="00015F79">
        <w:rPr>
          <w:rFonts w:ascii="Arial" w:hAnsi="Arial" w:cs="Arial"/>
        </w:rPr>
        <w:t xml:space="preserve">Disgrifia ei bod hi’n bwysig i athrawon osgoi defnyddio cwestiynau fel ffordd o reoli’r dosbarth a’i fod yn gamgymeriad cyson gan athrawon newydd (Croom a Stair, 2005). Pwysleisia Vygotsky’r rôl hollbwysig o ryngweithio cymdeithasol o fewn addysgu. Awgryma fod cwestiynu o fewn cyd-destun cymdeithasol yn hybu datblygiad dysgwyr yn </w:t>
      </w:r>
      <w:r w:rsidRPr="00015F79">
        <w:rPr>
          <w:rFonts w:ascii="Arial" w:hAnsi="Arial" w:cs="Arial"/>
        </w:rPr>
        <w:lastRenderedPageBreak/>
        <w:t>wybyddol. Yn ogystal, gall cwestiynu rhwng cyfoedion yn y dosbarth sgaffaldi’r dysgu yn enwedig os yw unigolyn is ei gallu yn trafod gyda phlentyn uwch ei gallu (Scott a Palincsar, 2013). Rhaid cydnabod manteision cwestiynu yn y cyd-destun addysgol, ond er hyn mae'n hollbwysig ystyried yr anfanteision posib a allai fod yn gysylltiedig gyda chwestiynu.</w:t>
      </w:r>
      <w:r w:rsidRPr="00015F79">
        <w:rPr>
          <w:rFonts w:ascii="Arial" w:hAnsi="Arial" w:cs="Arial"/>
        </w:rPr>
        <w:t xml:space="preserve"> </w:t>
      </w:r>
      <w:r w:rsidRPr="00015F79">
        <w:rPr>
          <w:rFonts w:ascii="Arial" w:hAnsi="Arial" w:cs="Arial"/>
        </w:rPr>
        <w:t xml:space="preserve">Ceir feirniadaeth o gwestiynu gan rhai damcaniaethwyr megis Bruner, Postman a Weingartner sy’n datgan gall gorbwysais ar gwestiynau caeedig arwain at lai o ddealltwriaeth. Gall gwestiynu plant gyda chwestiynau caeedig rhoi’n plentyn ar y fan a’r lle gan roi llawer o bwysau ar eu hysgwyddau a dychryn y dysgwyr. Os yw’r cwestiwn yn codi ofn ar blentyn, mae’n osgoi dysgu sylweddol (Postman a Weingartner, 1971). </w:t>
      </w:r>
      <w:r w:rsidR="00623AB8" w:rsidRPr="00015F79">
        <w:rPr>
          <w:rFonts w:ascii="Arial" w:hAnsi="Arial" w:cs="Arial"/>
        </w:rPr>
        <w:t>Maen</w:t>
      </w:r>
      <w:r w:rsidRPr="00015F79">
        <w:rPr>
          <w:rFonts w:ascii="Arial" w:hAnsi="Arial" w:cs="Arial"/>
        </w:rPr>
        <w:t xml:space="preserve"> nhw’</w:t>
      </w:r>
      <w:r w:rsidR="00623AB8" w:rsidRPr="00015F79">
        <w:rPr>
          <w:rFonts w:ascii="Arial" w:hAnsi="Arial" w:cs="Arial"/>
        </w:rPr>
        <w:t>n pwysleisio’r</w:t>
      </w:r>
      <w:r w:rsidRPr="00015F79">
        <w:rPr>
          <w:rFonts w:ascii="Arial" w:hAnsi="Arial" w:cs="Arial"/>
        </w:rPr>
        <w:t xml:space="preserve"> pwysigrwydd meithrin sgiliau meddwl yn gritigol a chreadigrwydd  gwirioneddol mewn dysgwyr drwy sicrhau ymgysylltiad cryfach i wersi a’r dysgu.</w:t>
      </w:r>
    </w:p>
    <w:p w14:paraId="6448A6E5" w14:textId="10312A9F" w:rsidR="00905962" w:rsidRPr="00015F79" w:rsidRDefault="00905962" w:rsidP="00DC5F1E">
      <w:pPr>
        <w:spacing w:line="360" w:lineRule="auto"/>
        <w:rPr>
          <w:rFonts w:ascii="Arial" w:hAnsi="Arial" w:cs="Arial"/>
        </w:rPr>
      </w:pPr>
      <w:r w:rsidRPr="00015F79">
        <w:rPr>
          <w:rFonts w:ascii="Arial" w:hAnsi="Arial" w:cs="Arial"/>
        </w:rPr>
        <w:t>Ceir defnydd effeithiol o Aa</w:t>
      </w:r>
      <w:r w:rsidRPr="00015F79">
        <w:rPr>
          <w:rFonts w:ascii="Arial" w:hAnsi="Arial" w:cs="Arial"/>
        </w:rPr>
        <w:t>g</w:t>
      </w:r>
      <w:r w:rsidRPr="00015F79">
        <w:rPr>
          <w:rFonts w:ascii="Arial" w:hAnsi="Arial" w:cs="Arial"/>
        </w:rPr>
        <w:t>D effaith gadarnhaol ar gyrhaeddiad disgyblion a’n dangos bod addysgu da yn digwydd (Estyn, 2022). Strategaeth fwy diweddar a ddefnyddir ar draws ysgolion o Aa</w:t>
      </w:r>
      <w:r w:rsidRPr="00015F79">
        <w:rPr>
          <w:rFonts w:ascii="Arial" w:hAnsi="Arial" w:cs="Arial"/>
        </w:rPr>
        <w:t>g</w:t>
      </w:r>
      <w:r w:rsidRPr="00015F79">
        <w:rPr>
          <w:rFonts w:ascii="Arial" w:hAnsi="Arial" w:cs="Arial"/>
        </w:rPr>
        <w:t>D yw hunanasesu neu asesu cyfoedion. Mae hunanasesu yn gallu cyfrannu at ymarfer sgiliau hunanreolaeth unigolion (Zimmerman, 1989). Yn ogystal, mae gan fyfyrwyr sydd ȃ hunan-effeithlonrwydd uchel gwell ystod o strategaethau dysgu o’u canlyniadau dysgu wrth hunanasesu (Kurtz a Borkowski, 1984). Ond wrth ystyried hwn, mae plant is eu gallu neu blant sydd gyda sgiliau hunan-effeithlonrwydd gwaeth, yn cael mwy o drafferth cael budd allan o hunanasesu a myfyrio dros eu gwaith. Creda Vygotsky bod y syniad o asesu cyfoedion yn cefnogi’r syniad o wneud asesu a dysgu yn fwy hwylus gan ganiatáu i fyfyrwyr i elwa ar ystod o safbwyntiau a mewnwelediadau gwahanol o fewn y dosbarth (Neff, 2019).</w:t>
      </w:r>
      <w:r w:rsidR="004B11DA" w:rsidRPr="00015F79">
        <w:rPr>
          <w:rFonts w:ascii="Arial" w:hAnsi="Arial" w:cs="Arial"/>
        </w:rPr>
        <w:t xml:space="preserve">  </w:t>
      </w:r>
      <w:r w:rsidRPr="00015F79">
        <w:rPr>
          <w:rFonts w:ascii="Arial" w:hAnsi="Arial" w:cs="Arial"/>
        </w:rPr>
        <w:t>Ymhellach, mae asesu cyfoedion a dysgu gyda chyfoedion yn ffordd dda o sicrhau pwrpas i wersi ar draws y cwricwlwm (Adams a Hamm, 2019, tud.43). Er hyn, ceir feirniadaeth o hunanasesu gan Anson (2018) wrth iddo ddatgan “individuals with low levels of competence will judge themselves to be more competent than they really are”. Wrth ystyried hyn, efallai dylen ni rhoi mwy o gymorth i blant is eu gallu wrth hunanasesu a modelu’r broses neu roi clod i enghreifftiau da o ddysgwyr yn bod yn gritigol dros eu gwaith. Yn fy marn i mae’r holl ddulliau Aa</w:t>
      </w:r>
      <w:r w:rsidRPr="00015F79">
        <w:rPr>
          <w:rFonts w:ascii="Arial" w:hAnsi="Arial" w:cs="Arial"/>
        </w:rPr>
        <w:t>g</w:t>
      </w:r>
      <w:r w:rsidRPr="00015F79">
        <w:rPr>
          <w:rFonts w:ascii="Arial" w:hAnsi="Arial" w:cs="Arial"/>
        </w:rPr>
        <w:t>D yma yn rhai effeithiol tu hwnt os ceir eu defnyddio yn gywir ac yn effeithiol. Mae pob dosbarth yn wahanol ac mae’n bosib gwneud mȃn-newidiadau er mwyn sicrhau bod dulliau a strategaethau Aa</w:t>
      </w:r>
      <w:r w:rsidRPr="00015F79">
        <w:rPr>
          <w:rFonts w:ascii="Arial" w:hAnsi="Arial" w:cs="Arial"/>
        </w:rPr>
        <w:t>g</w:t>
      </w:r>
      <w:r w:rsidRPr="00015F79">
        <w:rPr>
          <w:rFonts w:ascii="Arial" w:hAnsi="Arial" w:cs="Arial"/>
        </w:rPr>
        <w:t>D priodol yn cael eu defnyddio.</w:t>
      </w:r>
    </w:p>
    <w:p w14:paraId="63836048" w14:textId="77777777" w:rsidR="00905962" w:rsidRPr="00015F79" w:rsidRDefault="00905962" w:rsidP="00DC5F1E">
      <w:pPr>
        <w:spacing w:line="360" w:lineRule="auto"/>
        <w:rPr>
          <w:rFonts w:ascii="Arial" w:hAnsi="Arial" w:cs="Arial"/>
        </w:rPr>
      </w:pPr>
      <w:r w:rsidRPr="00015F79">
        <w:rPr>
          <w:rFonts w:ascii="Arial" w:hAnsi="Arial" w:cs="Arial"/>
        </w:rPr>
        <w:t xml:space="preserve">Yn y rhan yma o’r aseiniad byddaf yn trafod y gwersi a gynlluniais gyda phob un yn targedu MDAPh gwahanol. Y wers gyntaf byddai’n trafod yw’r wers Ieithoedd, Llythrennedd a Chyfathrebu (ILlaCh) gyda ffocws ar farddoniaeth ac yr afon leol gan ddilyn thema’r dosbarth o afonydd Cymru. Mae sicrhau cynnwys gwersi ILlaCh yn hanfodol er mwyn rhoi cymorth i ddysgwyr ymarfer a dysgu’r holl sgiliau sy’n allweddol i fynegi eu hunain a chyfathrebu yn effeithiol drwy gynnig safbwyntiau mewn sgyrsiau a datblygu perthnasoedd (Llywodraeth </w:t>
      </w:r>
      <w:r w:rsidRPr="00015F79">
        <w:rPr>
          <w:rFonts w:ascii="Arial" w:hAnsi="Arial" w:cs="Arial"/>
        </w:rPr>
        <w:lastRenderedPageBreak/>
        <w:t>Cymru, 2019a). Ffocws y wers oedd ysgrifennu creadigol, yn bennaf barddoniaeth sy’n dilyn y cam nesaf yn eu dysgu sef y wers ddiwethaf o edrych ar a dadansoddi cerdd fel dosbarth. Yn ôl Göçen (2019) mae ysgrifennu creadigol yn ffordd o gyfathrebu syniadau yn rhugl ac yn effeithiol drwy drosglwyddo emosiynau gan ddefnyddio geiriau.</w:t>
      </w:r>
      <w:r w:rsidR="00856433" w:rsidRPr="00015F79">
        <w:rPr>
          <w:rFonts w:ascii="Arial" w:hAnsi="Arial" w:cs="Arial"/>
        </w:rPr>
        <w:t xml:space="preserve"> </w:t>
      </w:r>
      <w:r w:rsidRPr="00015F79">
        <w:rPr>
          <w:rFonts w:ascii="Arial" w:hAnsi="Arial" w:cs="Arial"/>
        </w:rPr>
        <w:t xml:space="preserve">(Gweler atodiad un) Gwelais y dysgwyr yn datblygu yn eu meddwl ac ysgrifennu creadigol yn y wers hon. Dangosais fidio o daith yr afon leol a oedd yn dangos sawl adeilad neu bentref nodedig a oedd wrth ymyl yr afon. Cyfunais ddwy dechneg AaGD yn enwedig yng nghyflwyniad y wers hon, cwestiynu ac asesu cyfoedion. Gofynnais gwestiynau agored fel “Beth ydych chi’n ei weld neu glywed” er mwyn tanio dychymyg y dysgwyr. Anogais iddyn nhw ysgrifennu unrhyw syniadau ar eu byrddau gwyn bach ac ar ddiwedd y fidio, gofynnais iddyn nhw droi at eu partneriaid a thrafod eu canfyddiadau. Roedd hyn yn hynod effeithiol gan fod rhai unigolion yn teimlo’n fwy hyderus wrth fynegi syniadau o fewn partneriaid yn hytrach nag ofni cael ateb anghywir o flaen dosbarth cyfan </w:t>
      </w:r>
      <w:r w:rsidR="0099046F" w:rsidRPr="00015F79">
        <w:rPr>
          <w:rFonts w:ascii="Arial" w:hAnsi="Arial" w:cs="Arial"/>
        </w:rPr>
        <w:t xml:space="preserve">(Lancashire County Council, 2006). </w:t>
      </w:r>
      <w:r w:rsidRPr="00015F79">
        <w:rPr>
          <w:rFonts w:ascii="Arial" w:hAnsi="Arial" w:cs="Arial"/>
        </w:rPr>
        <w:t>Yn ychwanegol, gofynnais gwestiynau agored gan hyrwyddo’r dysgwyr i ddefnyddio’u synhwyrau i ddychmygu beth alle’n nhw gynnwys yn eu cerddi. Gall defnydd effeithiol o gwestiynu’n agored sicrhau bod dysgwyr yn rhannu barn, ymhelaethu a theimladau gan gyfleu bod eu llais a barn yn bwysig yn yr ystafell ddosbarth (Svanes a Andersson-Bakken, 2021). Roedd hi’n anodd ceisio sicrhau bod pob disgybl yn treulio’r amser yn rhannu syniadau neu fyfyrdodau sydd ychydig o wendid i drafod gyda phartneriaid, ond i oresgyn hyn defnyddiais amserydd gweledol. Roedd hyn yn effeithiol wrth sicrhau bod yr amser trafod yn ddigon byr i sicrhau bod y disgyblion ddim yn mynd oddi ar y dasg. Tra’r oedd y disgyblion yn trafod, cerddais o amgylch y dosbarth a gwrando ar sawl sgwrs a syniadau yn cael eu cyfnewid. Ar ddiwedd yr amserydd rhannais sawl peth clywais i oedd yn greadigol a’i ychwanegu i’r banc geirfa.</w:t>
      </w:r>
      <w:r w:rsidRPr="00015F79">
        <w:rPr>
          <w:rFonts w:ascii="Arial" w:hAnsi="Arial" w:cs="Arial"/>
        </w:rPr>
        <w:t xml:space="preserve"> </w:t>
      </w:r>
      <w:r w:rsidRPr="00015F79">
        <w:rPr>
          <w:rFonts w:ascii="Arial" w:hAnsi="Arial" w:cs="Arial"/>
        </w:rPr>
        <w:t>Esboniais unrhyw eirfa anghyfarwydd i’r dosbarth er mwyn sicrhau dealltwriaeth lawn o’r eirfa newydd. Roedd hyn yn wych wrth rannu syniadau a chyfuno gwybodaeth i greu banc o eirfa, rhoddir model i’r dosbarth ac yn gyffredinol gwella ansawdd yr addysg (University of Cumbria, d.d.). Cyn symud ymlaen i’r brif dasg, modelais y strwythur o’r gerdd oeddwn i eisiau iddyn nhw ddilyn cyn i’r plant fynd ati i ddechrau. Ar gyfer y plant is eu gallu, dosbarthais daflen gyda’r model wedi’i osod iddyn nhw er mwyn gwahaniaethu’r dasg. Ar ddiwedd y dasg i gymhwyso’r dysgu gofynnais i ambell unigolyn ddarllen allan llinell o’u cerdd drwy ddefnyddio dewis ar hap gyda’r ffyn lolipop. Mae dewis ar hap yn gallu dangos tegwch gan addysgwyr wrth ddosbarthu cyfleoedd i’r dysgwyr gan atgyfnerthu’r ymdeimlad o degwch o fewn y dosbarth.</w:t>
      </w:r>
      <w:r w:rsidRPr="00015F79">
        <w:rPr>
          <w:rFonts w:ascii="Arial" w:hAnsi="Arial" w:cs="Arial"/>
        </w:rPr>
        <w:t xml:space="preserve"> </w:t>
      </w:r>
      <w:r w:rsidRPr="00015F79">
        <w:rPr>
          <w:rFonts w:ascii="Arial" w:hAnsi="Arial" w:cs="Arial"/>
        </w:rPr>
        <w:t xml:space="preserve">Drwy fod yn deg ac arddangos cydraddoldeb a chynnig yr un cyfleodd i bob unigolyn, mae’n arddangos tegwch i’r dosbarth sy’n sgil hollbwysig mewn bywyd (Burbules, Lord a Sherman, 1982). Er hyn ceir feirniadaeth o gwestiynau ar hap gan ei fod yn gallu rhoi myfyrwyr yn y fan a’r lle a’i gwneud iddyn nhw deimlo’n anghyfforddus neu’n bryderus am gael eu dewis. Mae hyn yn enwedig yn broblem i blant is eu gallu sydd </w:t>
      </w:r>
      <w:r w:rsidRPr="00015F79">
        <w:rPr>
          <w:rFonts w:ascii="Arial" w:hAnsi="Arial" w:cs="Arial"/>
        </w:rPr>
        <w:lastRenderedPageBreak/>
        <w:t xml:space="preserve">efallai ddim yn hyderus wrth siarad yn gyhoeddus o flaen dosbarth. Yn ôl Young (1991) mae disgybl sy’n bryderus yn fwy amharod i gyfrannu yn gyhoeddus o fewn gwersi ac yn lle gwaethygu’r pryder dylem osgoi gwaethygu’r sefyllfa drwy wneud yr unigolyn deimlo’n wael.  </w:t>
      </w:r>
    </w:p>
    <w:p w14:paraId="7454A175" w14:textId="1FFD1927" w:rsidR="00905962" w:rsidRPr="00015F79" w:rsidRDefault="00905962" w:rsidP="00DC5F1E">
      <w:pPr>
        <w:spacing w:line="360" w:lineRule="auto"/>
        <w:rPr>
          <w:rStyle w:val="normaltextrun"/>
          <w:rFonts w:ascii="Arial" w:hAnsi="Arial" w:cs="Arial"/>
          <w:color w:val="000000"/>
          <w:shd w:val="clear" w:color="auto" w:fill="FFFFFF"/>
        </w:rPr>
      </w:pPr>
      <w:r w:rsidRPr="00015F79">
        <w:rPr>
          <w:rFonts w:ascii="Arial" w:hAnsi="Arial" w:cs="Arial"/>
        </w:rPr>
        <w:t xml:space="preserve">Yr ail wers rydw i am drafod yw’r wers ar y Celfyddydau Mynegiannol (CM) a gynlluniais ar arlunydd enwog lleol o’r enw Dorian Spencer a’i dechnegau celfyddydol. Mae’r CM yn MdaPh sy’n cael ei osgoi yn aml gan athrawon, ond mae hi’r un mor bwysig a pob MdaPh arall. Disgrifia Marie Jeanne McNaughton, Mitchell a Eaton (2003) gwersi CM fel gwersi sy’n siŵr o sicrhau lefelau ymgysylltiad uchel o ganlyniad i fwynhad os yw’r wers wedi’i gynllunio’n effeithiol. Maent hefyd yn datgan bod dysgwyr yn ennill ymdeimlad o gyflawniad ac yn ystyried mwy o hunan-barch wrth gwblhau ac ymgysylltu gyda gwaith sy’n gysylltiedig gyda’r CM. (Gweler atodiad </w:t>
      </w:r>
      <w:r w:rsidR="00D642EA" w:rsidRPr="00015F79">
        <w:rPr>
          <w:rFonts w:ascii="Arial" w:hAnsi="Arial" w:cs="Arial"/>
        </w:rPr>
        <w:t>dau</w:t>
      </w:r>
      <w:r w:rsidRPr="00015F79">
        <w:rPr>
          <w:rFonts w:ascii="Arial" w:hAnsi="Arial" w:cs="Arial"/>
        </w:rPr>
        <w:t xml:space="preserve">) Ffocws y wers oedd cyflwyno arlunydd lleol gan drafod ei dechnegau arlunio gan edrych ar enghreifftiau o’i waith o ardaloedd lleol Cymru. Anogais y dysgwyr i fynegi eu meddyliau ar y lliwiau, siapiau, ac emosiynau sy'n cael eu cyfleu yng ngwaith Dorian Spencer. </w:t>
      </w:r>
      <w:r w:rsidRPr="00015F79">
        <w:rPr>
          <w:rFonts w:ascii="Arial" w:hAnsi="Arial" w:cs="Arial"/>
        </w:rPr>
        <w:t xml:space="preserve"> </w:t>
      </w:r>
      <w:r w:rsidRPr="00015F79">
        <w:rPr>
          <w:rStyle w:val="normaltextrun"/>
          <w:rFonts w:ascii="Arial" w:hAnsi="Arial" w:cs="Arial"/>
          <w:color w:val="000000"/>
          <w:shd w:val="clear" w:color="auto" w:fill="FFFFFF"/>
        </w:rPr>
        <w:t>Roedd hyn yn effeithiol gan glywed llais y dysgwyr ac annog trafodaeth dosbarth ynglŷn â’i waith a’i dechnegau. Mae’n hollbwysig cymryd mantais ar ddiddordeb sylweddol y dysgwyr yn y gwaith drwy gefnogi ac ymestyn eu llais a barn (Campbell et al., d.d.). Esboniais y broses o ddyfrliwio i’r dysgwyr a dangos fidio o’r arlunydd ei hun yn cwblhau darn o waith syml. Dosbarthais sawl copi o’i waith ar ardaloedd lleol fel ysbrydoliaeth a hybu’r dosbarth i geisio efelychu ei waith wrth iddyn nhw arlunio taith yr afon leol. Yn fy marn i, roedd y wers yn effeithiol gan fod gan y dysgwyr gyfle i feddwl yn greadigol ac roedd rhyddid gyda nhw i arlunio a dyfrliwio un rhywbeth yn eu dychymyg. Strategaeth AaGD defnyddiais ar gyfer y wers CM oedd defnydd effeithiol o rannu’r MPLl. Yn ôl Clarke (2014, tud.79), mae angen i’r dysgwyr ddeall y MPLl a’r diffiniad o beth sydd angen gwneud i lwyddo yn ôl yr athro. A thrwy wneud hyn, yn deall a monitro eu cynnydd yn ystod y dasg. Yn ogystal, ceir feirniadaeth o rannu’r MPLl gan Clarke (2014, tud.79) hefyd wrth iddi rybuddio i addysgwyr osgoi gosod MPLl rhy benodol gan ei fod yn gorlwytho sylw a threulio gormod o amser ar ddysgu arwynebol yn hytrach na dysgu dwfn.</w:t>
      </w:r>
    </w:p>
    <w:p w14:paraId="4393ADE0" w14:textId="241C73E5" w:rsidR="00A74405" w:rsidRPr="00015F79" w:rsidRDefault="005706E5" w:rsidP="00DC5F1E">
      <w:pPr>
        <w:spacing w:line="360" w:lineRule="auto"/>
        <w:rPr>
          <w:rFonts w:ascii="Arial" w:hAnsi="Arial" w:cs="Arial"/>
        </w:rPr>
      </w:pPr>
      <w:r w:rsidRPr="00015F79">
        <w:rPr>
          <w:rFonts w:ascii="Arial" w:hAnsi="Arial" w:cs="Arial"/>
        </w:rPr>
        <w:t xml:space="preserve">Wrth ystyried ymchwil Black a Wiliam (1998b) gall asesu ffurfiannol helpu bob disgybl a thrwy osod MPLl, mae’n darparu dealltwriaeth glir i’r dysgwyr o’r hyn sydd angen er mwyn llwyddo a gwella’r gwaith. Dadleua hefyd bod rhannu’r MPLl yn egluro disgwyliadau’n effeithiol, a phryd bydd dysgwyr yn deall yr hyn sy’n ddisgwyliedig maent yn gwybod sut i fodloni’r disgwyliadau a chynhyrchu gwaith gwell. Mae Robinson yn beirniadu unrhyw systemau addysgol sydd yn llesteirio’r cyfle i fod yn greadigol, ac mae hyn yn enwedig yn bwysig wrth ystyried taw MdaPh y wers yw’r CM lle mae creadigrwydd yn hollbwysig. Awgryma Robinson gall gadw’n gaeth at MPLl gyfyngu ar barodrwydd myfyrwyr i archwilio y tu hwnt i’r MPLl, ac yn rhwystro’u creadigrwydd (Robinson a Aronica, 2015, tud.52). I osgoi </w:t>
      </w:r>
      <w:r w:rsidRPr="00015F79">
        <w:rPr>
          <w:rFonts w:ascii="Arial" w:hAnsi="Arial" w:cs="Arial"/>
        </w:rPr>
        <w:lastRenderedPageBreak/>
        <w:t>hyn, cyd-gynllunion ni’r MPLl fel dosbarth wrth wylio a thrafod am dechnegau arlunio Dorian Spencer a phennu pa dechnegau dyfrliwio ac arlunio oedd angen dilyn ac efelychu er mwyn llwyddo. Trwy gynnal y dysgwyr o fewn y cynllunio rhoddir pwyslais a gwerth i’w barn ac o ganlyniad i hyn maent yn fwy tebygol o feddwl am y MPLl a sut i’w ddilyn.</w:t>
      </w:r>
    </w:p>
    <w:p w14:paraId="0BEFF066" w14:textId="70A0BBA8" w:rsidR="005706E5" w:rsidRPr="00015F79" w:rsidRDefault="005706E5" w:rsidP="00DC5F1E">
      <w:pPr>
        <w:spacing w:line="360" w:lineRule="auto"/>
        <w:rPr>
          <w:rFonts w:ascii="Arial" w:hAnsi="Arial" w:cs="Arial"/>
        </w:rPr>
      </w:pPr>
      <w:r w:rsidRPr="00015F79">
        <w:rPr>
          <w:rFonts w:ascii="Arial" w:hAnsi="Arial" w:cs="Arial"/>
        </w:rPr>
        <w:t xml:space="preserve">Y drydedd wers a gynlluniais oedd y wers Iechyd a Lles (IaLl) ar y stori o “A planet full of plastic” a oedd yn cyd-fynd gyda thema’r dosbarth wrth drafod llygredd a phlastig yn ein dŵr. Yn ôl Llywodraeth Cymru (2019b) mae cynnwys gwersi IaLl o fewn y cwricwlwm yn hollbwysig gan ei fod yn helpu datblygu gallu’r plant i wynebu problemau a datrys problemau bywyd go iawn drwy ystyried cyfleoedd bywyd. Roedd y stori benodol dewisais i ddarllen i’r dosbarth yn stori oedd yn sôn am y broblem o lygredd ar y ddaear, yn enwedig y plastig. Mae hi’n hynod o bwysig cynnwys y dysgwyr o fewn newyddion am y byd go iawn ac i helpu dysgwyr cael eu grymuso fel dinasyddion byd-eang. Yn ogystal, angenrheidiol yw cynnig cyfleoedd i fyfyrwyr gael gwell cysylltiad â natur a dealltwriaeth o newid hinsawdd a llygredd (Boyd et al., 2022). (Gweler atodiad </w:t>
      </w:r>
      <w:r w:rsidR="00D642EA" w:rsidRPr="00015F79">
        <w:rPr>
          <w:rFonts w:ascii="Arial" w:hAnsi="Arial" w:cs="Arial"/>
        </w:rPr>
        <w:t>tri</w:t>
      </w:r>
      <w:r w:rsidRPr="00015F79">
        <w:rPr>
          <w:rFonts w:ascii="Arial" w:hAnsi="Arial" w:cs="Arial"/>
        </w:rPr>
        <w:t xml:space="preserve">) Y strategaeth AaGD mwyaf addas a defnyddiol yn y wers hon oedd cwestiynu, boed yn gwestiwn agored i glywed barn neu gwestiwn i asesu dealltwriaeth y dysgwyr o’r testun. Mae Vygotsky yn ddamcaniaethwr sy’n cefnogi’r defnydd o gwestiynu yn ei theori parth datblygiad procsimol. Dadleua Vygotsky bod addysgu da yn digwydd wrth i ddysgwr gwblhau tasgau neu ateb cwestiynau gyda chymorth rhywun mwy gwybodus sef yr athro ar lawr y dosbarth (McLeod, 2023). Yn ogystal, mae cwestiynu yn cael ei ystyried yn ffordd hynod effeithiol o sgaffaldi dysgwyr a sicrhau dealltwriaeth. Trwy gwestiynu dan arweiniad yn ystod darllen y stori ffeithiol, agorais sawl gyfle i ddechrau sgwrs a thrafod y pwnc yn hwylus a magi ddiddordeb y dysgwyr.   </w:t>
      </w:r>
    </w:p>
    <w:p w14:paraId="77B95F0C" w14:textId="09185A6F" w:rsidR="00202D95" w:rsidRPr="00015F79" w:rsidRDefault="005706E5" w:rsidP="00DC5F1E">
      <w:pPr>
        <w:spacing w:line="360" w:lineRule="auto"/>
        <w:rPr>
          <w:rFonts w:ascii="Arial" w:hAnsi="Arial" w:cs="Arial"/>
        </w:rPr>
      </w:pPr>
      <w:r w:rsidRPr="00015F79">
        <w:rPr>
          <w:rFonts w:ascii="Arial" w:hAnsi="Arial" w:cs="Arial"/>
        </w:rPr>
        <w:t>Yn groes i hyn, mae Ivan Illich yn ddamcaniaethwr sy’n credu gall gorbwysais ar natur systematig a sefydliadol addysg fod yn broblem. Awgryma gall arferion traddodiadol o addysgu fel cwestiynu neu gor-gwestiynu yn gallu llesteirio cynnydd a’n cyfyngu ar ddychymyg dysgwyr wth ateb (Bruno-Jofré a Zaldívar, 2012).  Wrth ystyried hyn mae'n bwysig fel addysgwyr ein bod ni ddim yn gwyrdroi gwersi gormod, a wrth ofyn cwestiynau i ofyn rhai agored sy’n rhoi’r cyfle i unigolion ateb yn greadigol a sicrhau cynnydd a dealltwriaeth bellach. Er hyn, gwelais ddefnydd o strategaeth AagD o gwestiynu yn effeithiol ond wrth ystyried safbwynt Vygotsky a Illich, rhaid sicrhau ein bod yn ystyried sut y caiff cwestiynau eu fframio. O fewn fy ngwers i, gan mai’r bwriadau dysgu oedd sbarduno sgwrs am lygredd, newid hinsawdd a chynhesu byd eang, credaf bysai cwestiynau agored a magi sgwrs yn fuddiol yn enwedig wrth ystyried oed y dysgwyr Blwyddyn tri. Y bwriad wrth gwestiynu oedd annog meddwl yn feirniadol, yn greadigol ac ennyn trafodaeth ddosbarth am y pwnc.</w:t>
      </w:r>
    </w:p>
    <w:p w14:paraId="5A867ECA" w14:textId="7C926E4B" w:rsidR="008A14F9" w:rsidRPr="00015F79" w:rsidRDefault="00DC5F1E" w:rsidP="00DC5F1E">
      <w:pPr>
        <w:spacing w:line="360" w:lineRule="auto"/>
        <w:rPr>
          <w:rFonts w:ascii="Arial" w:hAnsi="Arial" w:cs="Arial"/>
        </w:rPr>
      </w:pPr>
      <w:r w:rsidRPr="00015F79">
        <w:rPr>
          <w:rFonts w:ascii="Arial" w:hAnsi="Arial" w:cs="Arial"/>
        </w:rPr>
        <w:lastRenderedPageBreak/>
        <w:t>I gloi, yn amlwg mae gan AagD sawl mantais os caiff ei ddefnyddio yn effeithiol, mae sawl ffordd wahanol gellir ei ddefnyddio er mwyn AagD, boed yn cwestiynu, rhannu adborth, rhannu’r MPLl, hunanasesu neu asesu cyfoedion. Cafwyd AagD ei hargymell yn gyson gan ddamcaniaethwyr Dylan Wiliam a Paul Black. Canolbwyntia eu theori nhw ar feithrin awyrgylch o welliant a chynnydd dysgwyr yn y dosbarth. Yn ôl Wiliam a Black, mae dysgwyr yn gallu defnyddio asesu ffurfiannol er mwyn monitro a myfyrio ar eu cynnydd a gwneud newidiadau o ganlyniad i adborth gan yr athro neu gyfoedion (Jones, 2022). Yn ogystal, angenrheidiol yw sicrhau bod addysgwyr yn ceisio rhoi adborth pwrpasol, amserol i fyfyrwyr cymaint â phosib. Prin yw’r dysgwyr fydd o ddifri yn edrych yn ôl ar waith yn y gorffennol a darllen adborth athro. I ddatrys hyn, drwy annog adborth yn y fan a’r lle, mae’n rhoi’r cyfle i ddysgwyr fyfyrio ar eu gwaith a’i wella.</w:t>
      </w:r>
      <w:r w:rsidRPr="00015F79">
        <w:rPr>
          <w:rFonts w:ascii="Arial" w:hAnsi="Arial" w:cs="Arial"/>
        </w:rPr>
        <w:t xml:space="preserve"> </w:t>
      </w:r>
      <w:r w:rsidR="002F7B54" w:rsidRPr="00015F79">
        <w:rPr>
          <w:rFonts w:ascii="Arial" w:hAnsi="Arial" w:cs="Arial"/>
        </w:rPr>
        <w:t>Ymhellach mae John Hattie yn ddamcaniaethwr sy’n nodi bod defnydd effeithiol o AagD yn cynyddu lefelau ymgysylltiad dysgwyr i’r dysgu a gwersi.</w:t>
      </w:r>
      <w:r w:rsidR="00AE7D9D" w:rsidRPr="00015F79">
        <w:rPr>
          <w:rFonts w:ascii="Arial" w:hAnsi="Arial" w:cs="Arial"/>
        </w:rPr>
        <w:t xml:space="preserve"> Mae’n honni pan fydd myfyrwyr yn cymryd rhan mewn cyfleoedd hunanasesu a myfyriol, byddent yn datblygu’n well oherwydd mae’r dysgu’n cael ei wneud yn fwy gweledol </w:t>
      </w:r>
      <w:r w:rsidR="00AE7D9D" w:rsidRPr="00015F79">
        <w:rPr>
          <w:rFonts w:ascii="Arial" w:hAnsi="Arial" w:cs="Arial"/>
        </w:rPr>
        <w:t>(Cambridge Assessment International Education, 2011)</w:t>
      </w:r>
      <w:r w:rsidR="00AE7D9D" w:rsidRPr="00015F79">
        <w:rPr>
          <w:rFonts w:ascii="Arial" w:hAnsi="Arial" w:cs="Arial"/>
        </w:rPr>
        <w:t>. Yn ogystal, creda Hattie fod rhoi’r cyfle yma i ddisgyblion yn rhoi ymdeimlan o berthyn iddyn nhw, a byddent yn fwy brwdfrydig i ddysgu o ganlyniad i hyn.</w:t>
      </w:r>
    </w:p>
    <w:p w14:paraId="0F6EAB2F" w14:textId="088CAB25" w:rsidR="006324A4" w:rsidRPr="00015F79" w:rsidRDefault="00DC5F1E" w:rsidP="00DC5F1E">
      <w:pPr>
        <w:spacing w:line="360" w:lineRule="auto"/>
        <w:rPr>
          <w:rFonts w:ascii="Arial" w:hAnsi="Arial" w:cs="Arial"/>
        </w:rPr>
      </w:pPr>
      <w:r w:rsidRPr="00015F79">
        <w:rPr>
          <w:rFonts w:ascii="Arial" w:hAnsi="Arial" w:cs="Arial"/>
        </w:rPr>
        <w:t>Yn amlwg mae sawl mantais i AagD effeithiol ond hefyd fel y trafodais yn yr aseiniad hwn, mae sawl gwendid gyda rhai o’r dulliau, a’n dangos bod rhaid i addysgwyr fod yn wyliadwrus wrth eu defnyddio. Ceir feirniadaeth o strategaethau AagD rhy draddodiadol gan Alfie Kohn yn ei erthygl “The Case against Grades”. Er nad yw’r erthygl yn union yn gwrthwynebu AagD ond mae Kohn yn mynegi anfodlonrwydd o rhai strategaeth fwy traddodiadol o asesu fel graddio gan ei fod yn dueddol o danseilio myfyrwyr a chael effaith negyddol ar eu cymhelliant a dysgu (Kohn, 2012, tud.9).</w:t>
      </w:r>
    </w:p>
    <w:p w14:paraId="513F61F3" w14:textId="77777777" w:rsidR="00015F79" w:rsidRPr="00015F79" w:rsidRDefault="00015F79" w:rsidP="00DC5F1E">
      <w:pPr>
        <w:spacing w:line="360" w:lineRule="auto"/>
        <w:rPr>
          <w:rFonts w:ascii="Arial" w:hAnsi="Arial" w:cs="Arial"/>
          <w:sz w:val="23"/>
          <w:szCs w:val="23"/>
        </w:rPr>
      </w:pPr>
    </w:p>
    <w:p w14:paraId="42327944" w14:textId="77777777" w:rsidR="00015F79" w:rsidRPr="00015F79" w:rsidRDefault="00015F79" w:rsidP="00DC5F1E">
      <w:pPr>
        <w:spacing w:line="360" w:lineRule="auto"/>
        <w:rPr>
          <w:rFonts w:ascii="Arial" w:hAnsi="Arial" w:cs="Arial"/>
          <w:sz w:val="23"/>
          <w:szCs w:val="23"/>
        </w:rPr>
      </w:pPr>
    </w:p>
    <w:p w14:paraId="62A76105" w14:textId="77777777" w:rsidR="00015F79" w:rsidRPr="00015F79" w:rsidRDefault="00015F79" w:rsidP="00DC5F1E">
      <w:pPr>
        <w:spacing w:line="360" w:lineRule="auto"/>
        <w:rPr>
          <w:rFonts w:ascii="Arial" w:hAnsi="Arial" w:cs="Arial"/>
          <w:sz w:val="23"/>
          <w:szCs w:val="23"/>
        </w:rPr>
      </w:pPr>
    </w:p>
    <w:p w14:paraId="5C198E16" w14:textId="77777777" w:rsidR="00015F79" w:rsidRPr="00015F79" w:rsidRDefault="00015F79" w:rsidP="00DC5F1E">
      <w:pPr>
        <w:spacing w:line="360" w:lineRule="auto"/>
        <w:rPr>
          <w:rFonts w:ascii="Arial" w:hAnsi="Arial" w:cs="Arial"/>
          <w:sz w:val="23"/>
          <w:szCs w:val="23"/>
        </w:rPr>
      </w:pPr>
    </w:p>
    <w:p w14:paraId="7A5113CA" w14:textId="77777777" w:rsidR="00015F79" w:rsidRPr="00015F79" w:rsidRDefault="00015F79" w:rsidP="00DC5F1E">
      <w:pPr>
        <w:spacing w:line="360" w:lineRule="auto"/>
        <w:rPr>
          <w:rFonts w:ascii="Arial" w:hAnsi="Arial" w:cs="Arial"/>
          <w:sz w:val="23"/>
          <w:szCs w:val="23"/>
        </w:rPr>
      </w:pPr>
    </w:p>
    <w:p w14:paraId="794696F6" w14:textId="77777777" w:rsidR="00015F79" w:rsidRPr="00015F79" w:rsidRDefault="00015F79" w:rsidP="00DC5F1E">
      <w:pPr>
        <w:spacing w:line="360" w:lineRule="auto"/>
        <w:rPr>
          <w:rFonts w:ascii="Arial" w:hAnsi="Arial" w:cs="Arial"/>
          <w:sz w:val="23"/>
          <w:szCs w:val="23"/>
        </w:rPr>
      </w:pPr>
    </w:p>
    <w:p w14:paraId="207FF5A6" w14:textId="77777777" w:rsidR="00015F79" w:rsidRPr="00015F79" w:rsidRDefault="00015F79" w:rsidP="00DC5F1E">
      <w:pPr>
        <w:spacing w:line="360" w:lineRule="auto"/>
        <w:rPr>
          <w:rFonts w:ascii="Arial" w:hAnsi="Arial" w:cs="Arial"/>
          <w:sz w:val="23"/>
          <w:szCs w:val="23"/>
        </w:rPr>
      </w:pPr>
    </w:p>
    <w:p w14:paraId="5B0D77A5" w14:textId="77777777" w:rsidR="005E147D" w:rsidRDefault="005E147D" w:rsidP="00DC5F1E">
      <w:pPr>
        <w:spacing w:line="360" w:lineRule="auto"/>
        <w:rPr>
          <w:rFonts w:ascii="Arial" w:hAnsi="Arial" w:cs="Arial"/>
          <w:sz w:val="23"/>
          <w:szCs w:val="23"/>
        </w:rPr>
      </w:pPr>
    </w:p>
    <w:p w14:paraId="27FC8D5E" w14:textId="702BCABC" w:rsidR="00015F79" w:rsidRPr="00015F79" w:rsidRDefault="00015F79" w:rsidP="00DC5F1E">
      <w:pPr>
        <w:spacing w:line="360" w:lineRule="auto"/>
        <w:rPr>
          <w:rFonts w:ascii="Arial" w:hAnsi="Arial" w:cs="Arial"/>
          <w:b/>
          <w:bCs/>
          <w:sz w:val="28"/>
          <w:szCs w:val="28"/>
        </w:rPr>
      </w:pPr>
      <w:r w:rsidRPr="00015F79">
        <w:rPr>
          <w:rFonts w:ascii="Arial" w:hAnsi="Arial" w:cs="Arial"/>
          <w:b/>
          <w:bCs/>
          <w:sz w:val="28"/>
          <w:szCs w:val="28"/>
        </w:rPr>
        <w:lastRenderedPageBreak/>
        <w:t>Rhestr cyferinodi</w:t>
      </w:r>
    </w:p>
    <w:p w14:paraId="6B8A8213" w14:textId="0F00430F"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Adams, D. a Hamm, M. (2019). </w:t>
      </w:r>
      <w:r w:rsidRPr="00015F79">
        <w:rPr>
          <w:rFonts w:ascii="Arial" w:hAnsi="Arial" w:cs="Arial"/>
          <w:i/>
          <w:iCs/>
          <w:sz w:val="22"/>
          <w:szCs w:val="22"/>
        </w:rPr>
        <w:t>Collaboration, Communications, and Critical Thinking</w:t>
      </w:r>
      <w:r w:rsidRPr="00015F79">
        <w:rPr>
          <w:rFonts w:ascii="Arial" w:hAnsi="Arial" w:cs="Arial"/>
          <w:sz w:val="22"/>
          <w:szCs w:val="22"/>
        </w:rPr>
        <w:t xml:space="preserve">. Rowman &amp; Littlefield, </w:t>
      </w:r>
      <w:r>
        <w:rPr>
          <w:rFonts w:ascii="Arial" w:hAnsi="Arial" w:cs="Arial"/>
          <w:sz w:val="22"/>
          <w:szCs w:val="22"/>
        </w:rPr>
        <w:t>tud</w:t>
      </w:r>
      <w:r w:rsidRPr="00015F79">
        <w:rPr>
          <w:rFonts w:ascii="Arial" w:hAnsi="Arial" w:cs="Arial"/>
          <w:sz w:val="22"/>
          <w:szCs w:val="22"/>
        </w:rPr>
        <w:t>.43–45.</w:t>
      </w:r>
    </w:p>
    <w:p w14:paraId="3BACFBE1" w14:textId="4EB70CE7"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Anson, I.G. (2018). Partisanship, Political Knowledge, and the Dunning-Kruger Effect. </w:t>
      </w:r>
      <w:r w:rsidRPr="00015F79">
        <w:rPr>
          <w:rFonts w:ascii="Arial" w:hAnsi="Arial" w:cs="Arial"/>
          <w:i/>
          <w:iCs/>
          <w:sz w:val="22"/>
          <w:szCs w:val="22"/>
        </w:rPr>
        <w:t>Political Psychology</w:t>
      </w:r>
      <w:r w:rsidRPr="00015F79">
        <w:rPr>
          <w:rFonts w:ascii="Arial" w:hAnsi="Arial" w:cs="Arial"/>
          <w:sz w:val="22"/>
          <w:szCs w:val="22"/>
        </w:rPr>
        <w:t xml:space="preserve">, 39(5), </w:t>
      </w:r>
      <w:r>
        <w:rPr>
          <w:rFonts w:ascii="Arial" w:hAnsi="Arial" w:cs="Arial"/>
          <w:sz w:val="22"/>
          <w:szCs w:val="22"/>
        </w:rPr>
        <w:t>tud</w:t>
      </w:r>
      <w:r w:rsidRPr="00015F79">
        <w:rPr>
          <w:rFonts w:ascii="Arial" w:hAnsi="Arial" w:cs="Arial"/>
          <w:sz w:val="22"/>
          <w:szCs w:val="22"/>
        </w:rPr>
        <w:t xml:space="preserve">.1173–1192.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://doi.org/10.1111/pops.12490</w:t>
      </w:r>
      <w:proofErr w:type="gramEnd"/>
      <w:r w:rsidRPr="00015F79">
        <w:rPr>
          <w:rFonts w:ascii="Arial" w:hAnsi="Arial" w:cs="Arial"/>
          <w:sz w:val="22"/>
          <w:szCs w:val="22"/>
        </w:rPr>
        <w:t>.</w:t>
      </w:r>
    </w:p>
    <w:p w14:paraId="7647ACA5" w14:textId="277A3F75"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Arslan, M., </w:t>
      </w:r>
      <w:proofErr w:type="spellStart"/>
      <w:r w:rsidRPr="00015F79">
        <w:rPr>
          <w:rFonts w:ascii="Arial" w:hAnsi="Arial" w:cs="Arial"/>
          <w:sz w:val="22"/>
          <w:szCs w:val="22"/>
        </w:rPr>
        <w:t>Sözcükler</w:t>
      </w:r>
      <w:proofErr w:type="spellEnd"/>
      <w:r w:rsidRPr="00015F79">
        <w:rPr>
          <w:rFonts w:ascii="Arial" w:hAnsi="Arial" w:cs="Arial"/>
          <w:sz w:val="22"/>
          <w:szCs w:val="22"/>
        </w:rPr>
        <w:t xml:space="preserve">, A., </w:t>
      </w:r>
      <w:proofErr w:type="spellStart"/>
      <w:r w:rsidRPr="00015F79">
        <w:rPr>
          <w:rFonts w:ascii="Arial" w:hAnsi="Arial" w:cs="Arial"/>
          <w:sz w:val="22"/>
          <w:szCs w:val="22"/>
        </w:rPr>
        <w:t>Sınıf</w:t>
      </w:r>
      <w:proofErr w:type="spellEnd"/>
      <w:r w:rsidRPr="00015F79">
        <w:rPr>
          <w:rFonts w:ascii="Arial" w:hAnsi="Arial" w:cs="Arial"/>
          <w:sz w:val="22"/>
          <w:szCs w:val="22"/>
        </w:rPr>
        <w:t xml:space="preserve"> a </w:t>
      </w:r>
      <w:proofErr w:type="spellStart"/>
      <w:r w:rsidRPr="00015F79">
        <w:rPr>
          <w:rFonts w:ascii="Arial" w:hAnsi="Arial" w:cs="Arial"/>
          <w:sz w:val="22"/>
          <w:szCs w:val="22"/>
        </w:rPr>
        <w:t>Sorma</w:t>
      </w:r>
      <w:proofErr w:type="spellEnd"/>
      <w:r w:rsidRPr="00015F79">
        <w:rPr>
          <w:rFonts w:ascii="Arial" w:hAnsi="Arial" w:cs="Arial"/>
          <w:sz w:val="22"/>
          <w:szCs w:val="22"/>
        </w:rPr>
        <w:t xml:space="preserve">, S. (2006). The Role of Questioning in the Classroom. </w:t>
      </w:r>
      <w:r w:rsidRPr="00015F79">
        <w:rPr>
          <w:rFonts w:ascii="Arial" w:hAnsi="Arial" w:cs="Arial"/>
          <w:i/>
          <w:iCs/>
          <w:sz w:val="22"/>
          <w:szCs w:val="22"/>
        </w:rPr>
        <w:t xml:space="preserve">Hasan Ali Yücel </w:t>
      </w:r>
      <w:proofErr w:type="spellStart"/>
      <w:r w:rsidRPr="00015F79">
        <w:rPr>
          <w:rFonts w:ascii="Arial" w:hAnsi="Arial" w:cs="Arial"/>
          <w:i/>
          <w:iCs/>
          <w:sz w:val="22"/>
          <w:szCs w:val="22"/>
        </w:rPr>
        <w:t>Eğitim</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Fakültesi</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Dergisi</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Sayı</w:t>
      </w:r>
      <w:proofErr w:type="spellEnd"/>
      <w:r w:rsidRPr="00015F79">
        <w:rPr>
          <w:rFonts w:ascii="Arial" w:hAnsi="Arial" w:cs="Arial"/>
          <w:sz w:val="22"/>
          <w:szCs w:val="22"/>
        </w:rPr>
        <w:t xml:space="preserve">, 2, </w:t>
      </w:r>
      <w:r>
        <w:rPr>
          <w:rFonts w:ascii="Arial" w:hAnsi="Arial" w:cs="Arial"/>
          <w:sz w:val="22"/>
          <w:szCs w:val="22"/>
        </w:rPr>
        <w:t>tud</w:t>
      </w:r>
      <w:r w:rsidRPr="00015F79">
        <w:rPr>
          <w:rFonts w:ascii="Arial" w:hAnsi="Arial" w:cs="Arial"/>
          <w:sz w:val="22"/>
          <w:szCs w:val="22"/>
        </w:rPr>
        <w:t>.81–103. https://dergipark.org.tr/en/download/article-file/93057.</w:t>
      </w:r>
    </w:p>
    <w:p w14:paraId="36B721D7" w14:textId="223016B5"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Black, P. a Wiliam, D. (1998a). </w:t>
      </w:r>
      <w:r w:rsidRPr="00015F79">
        <w:rPr>
          <w:rFonts w:ascii="Arial" w:hAnsi="Arial" w:cs="Arial"/>
          <w:i/>
          <w:iCs/>
          <w:sz w:val="22"/>
          <w:szCs w:val="22"/>
        </w:rPr>
        <w:t xml:space="preserve">Inside the black </w:t>
      </w:r>
      <w:proofErr w:type="gramStart"/>
      <w:r w:rsidRPr="00015F79">
        <w:rPr>
          <w:rFonts w:ascii="Arial" w:hAnsi="Arial" w:cs="Arial"/>
          <w:i/>
          <w:iCs/>
          <w:sz w:val="22"/>
          <w:szCs w:val="22"/>
        </w:rPr>
        <w:t>box :</w:t>
      </w:r>
      <w:proofErr w:type="gramEnd"/>
      <w:r w:rsidRPr="00015F79">
        <w:rPr>
          <w:rFonts w:ascii="Arial" w:hAnsi="Arial" w:cs="Arial"/>
          <w:i/>
          <w:iCs/>
          <w:sz w:val="22"/>
          <w:szCs w:val="22"/>
        </w:rPr>
        <w:t xml:space="preserve"> raising standards through classroom assessment</w:t>
      </w:r>
      <w:r w:rsidRPr="00015F79">
        <w:rPr>
          <w:rFonts w:ascii="Arial" w:hAnsi="Arial" w:cs="Arial"/>
          <w:sz w:val="22"/>
          <w:szCs w:val="22"/>
        </w:rPr>
        <w:t xml:space="preserve">. Cheltenham, Vic.: Hawker Brownlow Education, </w:t>
      </w:r>
      <w:r>
        <w:rPr>
          <w:rFonts w:ascii="Arial" w:hAnsi="Arial" w:cs="Arial"/>
          <w:sz w:val="22"/>
          <w:szCs w:val="22"/>
        </w:rPr>
        <w:t>tud</w:t>
      </w:r>
      <w:r w:rsidRPr="00015F79">
        <w:rPr>
          <w:rFonts w:ascii="Arial" w:hAnsi="Arial" w:cs="Arial"/>
          <w:sz w:val="22"/>
          <w:szCs w:val="22"/>
        </w:rPr>
        <w:t>.3.</w:t>
      </w:r>
    </w:p>
    <w:p w14:paraId="2A99FE2A" w14:textId="4C03D17C"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Black, P. a Wiliam, D. (1998b). Inside the Black Box: Raising Standards through Classroom Assessment. </w:t>
      </w:r>
      <w:r w:rsidRPr="00015F79">
        <w:rPr>
          <w:rFonts w:ascii="Arial" w:hAnsi="Arial" w:cs="Arial"/>
          <w:i/>
          <w:iCs/>
          <w:sz w:val="22"/>
          <w:szCs w:val="22"/>
        </w:rPr>
        <w:t xml:space="preserve">Phi Delta </w:t>
      </w:r>
      <w:proofErr w:type="spellStart"/>
      <w:r w:rsidRPr="00015F79">
        <w:rPr>
          <w:rFonts w:ascii="Arial" w:hAnsi="Arial" w:cs="Arial"/>
          <w:i/>
          <w:iCs/>
          <w:sz w:val="22"/>
          <w:szCs w:val="22"/>
        </w:rPr>
        <w:t>Kappan</w:t>
      </w:r>
      <w:proofErr w:type="spellEnd"/>
      <w:r w:rsidRPr="00015F79">
        <w:rPr>
          <w:rFonts w:ascii="Arial" w:hAnsi="Arial" w:cs="Arial"/>
          <w:sz w:val="22"/>
          <w:szCs w:val="22"/>
        </w:rPr>
        <w:t xml:space="preserve">, 92(1), </w:t>
      </w:r>
      <w:r>
        <w:rPr>
          <w:rFonts w:ascii="Arial" w:hAnsi="Arial" w:cs="Arial"/>
          <w:sz w:val="22"/>
          <w:szCs w:val="22"/>
        </w:rPr>
        <w:t>tud</w:t>
      </w:r>
      <w:r w:rsidRPr="00015F79">
        <w:rPr>
          <w:rFonts w:ascii="Arial" w:hAnsi="Arial" w:cs="Arial"/>
          <w:sz w:val="22"/>
          <w:szCs w:val="22"/>
        </w:rPr>
        <w:t xml:space="preserve">.81–90.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://doi.org/10.1177/003172171009200119</w:t>
      </w:r>
      <w:proofErr w:type="gramEnd"/>
      <w:r w:rsidRPr="00015F79">
        <w:rPr>
          <w:rFonts w:ascii="Arial" w:hAnsi="Arial" w:cs="Arial"/>
          <w:sz w:val="22"/>
          <w:szCs w:val="22"/>
        </w:rPr>
        <w:t>.</w:t>
      </w:r>
    </w:p>
    <w:p w14:paraId="70B8488D" w14:textId="3FDF3D69"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Boyd, King, Mann a Neame (2022). </w:t>
      </w:r>
      <w:r w:rsidRPr="00015F79">
        <w:rPr>
          <w:rFonts w:ascii="Arial" w:hAnsi="Arial" w:cs="Arial"/>
          <w:i/>
          <w:iCs/>
          <w:sz w:val="22"/>
          <w:szCs w:val="22"/>
        </w:rPr>
        <w:t>Sustainability Matters in Early Childhood</w:t>
      </w:r>
      <w:r w:rsidRPr="00015F79">
        <w:rPr>
          <w:rFonts w:ascii="Arial" w:hAnsi="Arial" w:cs="Arial"/>
          <w:sz w:val="22"/>
          <w:szCs w:val="22"/>
        </w:rPr>
        <w:t>. https://www.ncfe.org.uk/media/p1socs4v/sustainability-matters-in-early-childhood-resource.pdf [</w:t>
      </w:r>
      <w:proofErr w:type="spellStart"/>
      <w:r>
        <w:rPr>
          <w:rFonts w:ascii="Arial" w:hAnsi="Arial" w:cs="Arial"/>
          <w:sz w:val="22"/>
          <w:szCs w:val="22"/>
        </w:rPr>
        <w:t>Dyddiad</w:t>
      </w:r>
      <w:proofErr w:type="spellEnd"/>
      <w:r>
        <w:rPr>
          <w:rFonts w:ascii="Arial" w:hAnsi="Arial" w:cs="Arial"/>
          <w:sz w:val="22"/>
          <w:szCs w:val="22"/>
        </w:rPr>
        <w:t xml:space="preserve"> </w:t>
      </w:r>
      <w:proofErr w:type="spellStart"/>
      <w:r>
        <w:rPr>
          <w:rFonts w:ascii="Arial" w:hAnsi="Arial" w:cs="Arial"/>
          <w:sz w:val="22"/>
          <w:szCs w:val="22"/>
        </w:rPr>
        <w:t>Mynediad</w:t>
      </w:r>
      <w:proofErr w:type="spellEnd"/>
      <w:r>
        <w:rPr>
          <w:rFonts w:ascii="Arial" w:hAnsi="Arial" w:cs="Arial"/>
          <w:sz w:val="22"/>
          <w:szCs w:val="22"/>
        </w:rPr>
        <w:t xml:space="preserve"> 09/01/2024</w:t>
      </w:r>
      <w:r w:rsidRPr="00015F79">
        <w:rPr>
          <w:rFonts w:ascii="Arial" w:hAnsi="Arial" w:cs="Arial"/>
          <w:sz w:val="22"/>
          <w:szCs w:val="22"/>
        </w:rPr>
        <w:t>].</w:t>
      </w:r>
    </w:p>
    <w:p w14:paraId="68C44B5F" w14:textId="078E5D4B"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Bruno-</w:t>
      </w:r>
      <w:proofErr w:type="spellStart"/>
      <w:r w:rsidRPr="00015F79">
        <w:rPr>
          <w:rFonts w:ascii="Arial" w:hAnsi="Arial" w:cs="Arial"/>
          <w:sz w:val="22"/>
          <w:szCs w:val="22"/>
        </w:rPr>
        <w:t>Jofré</w:t>
      </w:r>
      <w:proofErr w:type="spellEnd"/>
      <w:r w:rsidRPr="00015F79">
        <w:rPr>
          <w:rFonts w:ascii="Arial" w:hAnsi="Arial" w:cs="Arial"/>
          <w:sz w:val="22"/>
          <w:szCs w:val="22"/>
        </w:rPr>
        <w:t xml:space="preserve">, R. a Zaldívar, </w:t>
      </w:r>
      <w:proofErr w:type="spellStart"/>
      <w:r w:rsidRPr="00015F79">
        <w:rPr>
          <w:rFonts w:ascii="Arial" w:hAnsi="Arial" w:cs="Arial"/>
          <w:sz w:val="22"/>
          <w:szCs w:val="22"/>
        </w:rPr>
        <w:t>J.I</w:t>
      </w:r>
      <w:proofErr w:type="spellEnd"/>
      <w:r w:rsidRPr="00015F79">
        <w:rPr>
          <w:rFonts w:ascii="Arial" w:hAnsi="Arial" w:cs="Arial"/>
          <w:sz w:val="22"/>
          <w:szCs w:val="22"/>
        </w:rPr>
        <w:t xml:space="preserve">. (2012). Ivan Illich’s Late Critique </w:t>
      </w:r>
      <w:proofErr w:type="spellStart"/>
      <w:r w:rsidRPr="00015F79">
        <w:rPr>
          <w:rFonts w:ascii="Arial" w:hAnsi="Arial" w:cs="Arial"/>
          <w:sz w:val="22"/>
          <w:szCs w:val="22"/>
        </w:rPr>
        <w:t>ofDeschooling</w:t>
      </w:r>
      <w:proofErr w:type="spellEnd"/>
      <w:r w:rsidRPr="00015F79">
        <w:rPr>
          <w:rFonts w:ascii="Arial" w:hAnsi="Arial" w:cs="Arial"/>
          <w:sz w:val="22"/>
          <w:szCs w:val="22"/>
        </w:rPr>
        <w:t xml:space="preserve"> Society: ‘I Was Largely Barking Up the Wrong Tree’. </w:t>
      </w:r>
      <w:r w:rsidRPr="00015F79">
        <w:rPr>
          <w:rFonts w:ascii="Arial" w:hAnsi="Arial" w:cs="Arial"/>
          <w:i/>
          <w:iCs/>
          <w:sz w:val="22"/>
          <w:szCs w:val="22"/>
        </w:rPr>
        <w:t>Educational Theory</w:t>
      </w:r>
      <w:r w:rsidRPr="00015F79">
        <w:rPr>
          <w:rFonts w:ascii="Arial" w:hAnsi="Arial" w:cs="Arial"/>
          <w:sz w:val="22"/>
          <w:szCs w:val="22"/>
        </w:rPr>
        <w:t xml:space="preserve">, 62(5), </w:t>
      </w:r>
      <w:r>
        <w:rPr>
          <w:rFonts w:ascii="Arial" w:hAnsi="Arial" w:cs="Arial"/>
          <w:sz w:val="22"/>
          <w:szCs w:val="22"/>
        </w:rPr>
        <w:t>tud</w:t>
      </w:r>
      <w:r w:rsidRPr="00015F79">
        <w:rPr>
          <w:rFonts w:ascii="Arial" w:hAnsi="Arial" w:cs="Arial"/>
          <w:sz w:val="22"/>
          <w:szCs w:val="22"/>
        </w:rPr>
        <w:t xml:space="preserve">.573–592.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://doi.org/10.1111/j.1741-5446.2012.00464.x</w:t>
      </w:r>
      <w:proofErr w:type="gramEnd"/>
      <w:r w:rsidRPr="00015F79">
        <w:rPr>
          <w:rFonts w:ascii="Arial" w:hAnsi="Arial" w:cs="Arial"/>
          <w:sz w:val="22"/>
          <w:szCs w:val="22"/>
        </w:rPr>
        <w:t>.</w:t>
      </w:r>
    </w:p>
    <w:p w14:paraId="4D8C68FB" w14:textId="466583A6" w:rsidR="00015F79" w:rsidRPr="00015F79" w:rsidRDefault="00015F79" w:rsidP="00015F79">
      <w:pPr>
        <w:pStyle w:val="NormalWeb"/>
        <w:spacing w:before="0" w:beforeAutospacing="0" w:after="240" w:afterAutospacing="0" w:line="360" w:lineRule="auto"/>
        <w:rPr>
          <w:rFonts w:ascii="Arial" w:hAnsi="Arial" w:cs="Arial"/>
          <w:sz w:val="22"/>
          <w:szCs w:val="22"/>
        </w:rPr>
      </w:pPr>
      <w:proofErr w:type="spellStart"/>
      <w:r w:rsidRPr="00015F79">
        <w:rPr>
          <w:rFonts w:ascii="Arial" w:hAnsi="Arial" w:cs="Arial"/>
          <w:sz w:val="22"/>
          <w:szCs w:val="22"/>
        </w:rPr>
        <w:t>Burbules</w:t>
      </w:r>
      <w:proofErr w:type="spellEnd"/>
      <w:r w:rsidRPr="00015F79">
        <w:rPr>
          <w:rFonts w:ascii="Arial" w:hAnsi="Arial" w:cs="Arial"/>
          <w:sz w:val="22"/>
          <w:szCs w:val="22"/>
        </w:rPr>
        <w:t xml:space="preserve">, N.C., Lord, B.T. a Sherman, A.L. (1982). Equity, Equal Opportunity, and Education. </w:t>
      </w:r>
      <w:r w:rsidRPr="00015F79">
        <w:rPr>
          <w:rFonts w:ascii="Arial" w:hAnsi="Arial" w:cs="Arial"/>
          <w:i/>
          <w:iCs/>
          <w:sz w:val="22"/>
          <w:szCs w:val="22"/>
        </w:rPr>
        <w:t>Educational Evaluation and Policy Analysis</w:t>
      </w:r>
      <w:r w:rsidRPr="00015F79">
        <w:rPr>
          <w:rFonts w:ascii="Arial" w:hAnsi="Arial" w:cs="Arial"/>
          <w:sz w:val="22"/>
          <w:szCs w:val="22"/>
        </w:rPr>
        <w:t xml:space="preserve">, 4(2), </w:t>
      </w:r>
      <w:r w:rsidR="00A948CE">
        <w:rPr>
          <w:rFonts w:ascii="Arial" w:hAnsi="Arial" w:cs="Arial"/>
          <w:sz w:val="22"/>
          <w:szCs w:val="22"/>
        </w:rPr>
        <w:t>tud</w:t>
      </w:r>
      <w:r w:rsidRPr="00015F79">
        <w:rPr>
          <w:rFonts w:ascii="Arial" w:hAnsi="Arial" w:cs="Arial"/>
          <w:sz w:val="22"/>
          <w:szCs w:val="22"/>
        </w:rPr>
        <w:t xml:space="preserve">.169–187.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://doi.org/10.3102/01623737004002169</w:t>
      </w:r>
      <w:proofErr w:type="gramEnd"/>
      <w:r w:rsidRPr="00015F79">
        <w:rPr>
          <w:rFonts w:ascii="Arial" w:hAnsi="Arial" w:cs="Arial"/>
          <w:sz w:val="22"/>
          <w:szCs w:val="22"/>
        </w:rPr>
        <w:t>.</w:t>
      </w:r>
    </w:p>
    <w:p w14:paraId="1EA44D7C" w14:textId="3F881EE7"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Cambridge Assessment International Education (2011). </w:t>
      </w:r>
      <w:r w:rsidRPr="00015F79">
        <w:rPr>
          <w:rFonts w:ascii="Arial" w:hAnsi="Arial" w:cs="Arial"/>
          <w:i/>
          <w:iCs/>
          <w:sz w:val="22"/>
          <w:szCs w:val="22"/>
        </w:rPr>
        <w:t>Getting Started with Assessment for Learning</w:t>
      </w:r>
      <w:r w:rsidRPr="00015F79">
        <w:rPr>
          <w:rFonts w:ascii="Arial" w:hAnsi="Arial" w:cs="Arial"/>
          <w:sz w:val="22"/>
          <w:szCs w:val="22"/>
        </w:rPr>
        <w:t>. Cambridge-community.org.uk. Available at: https://cambridge-community.org.uk/professional-development/gswafl/index.html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09/01/2024</w:t>
      </w:r>
      <w:r w:rsidRPr="00015F79">
        <w:rPr>
          <w:rFonts w:ascii="Arial" w:hAnsi="Arial" w:cs="Arial"/>
          <w:sz w:val="22"/>
          <w:szCs w:val="22"/>
        </w:rPr>
        <w:t>].</w:t>
      </w:r>
    </w:p>
    <w:p w14:paraId="203D61E5" w14:textId="05DD713F"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Campbell, F., Eland, J., Rumpus, A. a Shacklock, R. (</w:t>
      </w:r>
      <w:proofErr w:type="spellStart"/>
      <w:r w:rsidR="00A948CE">
        <w:rPr>
          <w:rFonts w:ascii="Arial" w:hAnsi="Arial" w:cs="Arial"/>
          <w:sz w:val="22"/>
          <w:szCs w:val="22"/>
        </w:rPr>
        <w:t>d</w:t>
      </w:r>
      <w:r w:rsidRPr="00015F79">
        <w:rPr>
          <w:rFonts w:ascii="Arial" w:hAnsi="Arial" w:cs="Arial"/>
          <w:sz w:val="22"/>
          <w:szCs w:val="22"/>
        </w:rPr>
        <w:t>.d.</w:t>
      </w:r>
      <w:proofErr w:type="spellEnd"/>
      <w:r w:rsidRPr="00015F79">
        <w:rPr>
          <w:rFonts w:ascii="Arial" w:hAnsi="Arial" w:cs="Arial"/>
          <w:sz w:val="22"/>
          <w:szCs w:val="22"/>
        </w:rPr>
        <w:t xml:space="preserve">). </w:t>
      </w:r>
      <w:r w:rsidRPr="00015F79">
        <w:rPr>
          <w:rFonts w:ascii="Arial" w:hAnsi="Arial" w:cs="Arial"/>
          <w:i/>
          <w:iCs/>
          <w:sz w:val="22"/>
          <w:szCs w:val="22"/>
        </w:rPr>
        <w:t>Hearing the student voice Involving students in curriculum design and delivery Final report Written by</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https://www.sparqs.ac.uk/ch/E3%20Hearing%20the%20student%20voice%20involving%20s</w:t>
      </w:r>
      <w:r w:rsidRPr="00015F79">
        <w:rPr>
          <w:rFonts w:ascii="Arial" w:hAnsi="Arial" w:cs="Arial"/>
          <w:sz w:val="22"/>
          <w:szCs w:val="22"/>
        </w:rPr>
        <w:lastRenderedPageBreak/>
        <w:t>tudents%20in%20curriculum%20design%20and%20development.pdf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09/01/2024</w:t>
      </w:r>
      <w:r w:rsidRPr="00015F79">
        <w:rPr>
          <w:rFonts w:ascii="Arial" w:hAnsi="Arial" w:cs="Arial"/>
          <w:sz w:val="22"/>
          <w:szCs w:val="22"/>
        </w:rPr>
        <w:t>].</w:t>
      </w:r>
    </w:p>
    <w:p w14:paraId="6DE14B7B" w14:textId="4EF7D2C2"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Clarke, S. (2014). </w:t>
      </w:r>
      <w:r w:rsidRPr="00015F79">
        <w:rPr>
          <w:rFonts w:ascii="Arial" w:hAnsi="Arial" w:cs="Arial"/>
          <w:i/>
          <w:iCs/>
          <w:sz w:val="22"/>
          <w:szCs w:val="22"/>
        </w:rPr>
        <w:t>Outstanding Formative Assessment: Culture and Practice</w:t>
      </w:r>
      <w:r w:rsidRPr="00015F79">
        <w:rPr>
          <w:rFonts w:ascii="Arial" w:hAnsi="Arial" w:cs="Arial"/>
          <w:sz w:val="22"/>
          <w:szCs w:val="22"/>
        </w:rPr>
        <w:t xml:space="preserve">. London: Hodder Education, </w:t>
      </w:r>
      <w:r w:rsidR="00A948CE">
        <w:rPr>
          <w:rFonts w:ascii="Arial" w:hAnsi="Arial" w:cs="Arial"/>
          <w:sz w:val="22"/>
          <w:szCs w:val="22"/>
        </w:rPr>
        <w:t>tud</w:t>
      </w:r>
      <w:r w:rsidRPr="00015F79">
        <w:rPr>
          <w:rFonts w:ascii="Arial" w:hAnsi="Arial" w:cs="Arial"/>
          <w:sz w:val="22"/>
          <w:szCs w:val="22"/>
        </w:rPr>
        <w:t>.79.</w:t>
      </w:r>
    </w:p>
    <w:p w14:paraId="77199DD9" w14:textId="41BC6562"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Croom, B. a Stair, K. (2005). The Assessment of Teaching and Learning. </w:t>
      </w:r>
      <w:r w:rsidRPr="00015F79">
        <w:rPr>
          <w:rFonts w:ascii="Arial" w:hAnsi="Arial" w:cs="Arial"/>
          <w:i/>
          <w:iCs/>
          <w:sz w:val="22"/>
          <w:szCs w:val="22"/>
        </w:rPr>
        <w:t>The Agricultural Education Magazine</w:t>
      </w:r>
      <w:r w:rsidRPr="00015F79">
        <w:rPr>
          <w:rFonts w:ascii="Arial" w:hAnsi="Arial" w:cs="Arial"/>
          <w:sz w:val="22"/>
          <w:szCs w:val="22"/>
        </w:rPr>
        <w:t xml:space="preserve">, 78(1), </w:t>
      </w:r>
      <w:r w:rsidR="00A948CE">
        <w:rPr>
          <w:rFonts w:ascii="Arial" w:hAnsi="Arial" w:cs="Arial"/>
          <w:sz w:val="22"/>
          <w:szCs w:val="22"/>
        </w:rPr>
        <w:t>tud</w:t>
      </w:r>
      <w:r w:rsidRPr="00015F79">
        <w:rPr>
          <w:rFonts w:ascii="Arial" w:hAnsi="Arial" w:cs="Arial"/>
          <w:sz w:val="22"/>
          <w:szCs w:val="22"/>
        </w:rPr>
        <w:t>.2–13.</w:t>
      </w:r>
    </w:p>
    <w:p w14:paraId="2CC98AE4" w14:textId="0C0DDB9E"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Didau, D. (2015). </w:t>
      </w:r>
      <w:r w:rsidRPr="00015F79">
        <w:rPr>
          <w:rFonts w:ascii="Arial" w:hAnsi="Arial" w:cs="Arial"/>
          <w:i/>
          <w:iCs/>
          <w:sz w:val="22"/>
          <w:szCs w:val="22"/>
        </w:rPr>
        <w:t>Why I struggle with learning objectives and success criteria</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David Didau. Available at: https://learningspy.co.uk/learning/8696/#_edn1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4AE20673" w14:textId="17D2C68F"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Donaldson, G. (2015). </w:t>
      </w:r>
      <w:proofErr w:type="spellStart"/>
      <w:r w:rsidRPr="00015F79">
        <w:rPr>
          <w:rFonts w:ascii="Arial" w:hAnsi="Arial" w:cs="Arial"/>
          <w:i/>
          <w:iCs/>
          <w:sz w:val="22"/>
          <w:szCs w:val="22"/>
        </w:rPr>
        <w:t>Dyfodol</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Llwyddiannus</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Adolygiad</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Annibynnol</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o’r</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Cwricwlwm</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a’r</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Trefniadau</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Asesu</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yng</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Nghymru</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Chwefror</w:t>
      </w:r>
      <w:proofErr w:type="spellEnd"/>
      <w:r w:rsidRPr="00015F79">
        <w:rPr>
          <w:rFonts w:ascii="Arial" w:hAnsi="Arial" w:cs="Arial"/>
          <w:i/>
          <w:iCs/>
          <w:sz w:val="22"/>
          <w:szCs w:val="22"/>
        </w:rPr>
        <w:t xml:space="preserve"> 2015</w:t>
      </w:r>
      <w:r w:rsidRPr="00015F79">
        <w:rPr>
          <w:rFonts w:ascii="Arial" w:hAnsi="Arial" w:cs="Arial"/>
          <w:sz w:val="22"/>
          <w:szCs w:val="22"/>
        </w:rPr>
        <w:t xml:space="preserve">. </w:t>
      </w:r>
      <w:r w:rsidR="00A948CE">
        <w:rPr>
          <w:rFonts w:ascii="Arial" w:hAnsi="Arial" w:cs="Arial"/>
          <w:sz w:val="22"/>
          <w:szCs w:val="22"/>
        </w:rPr>
        <w:t>tud</w:t>
      </w:r>
      <w:r w:rsidRPr="00015F79">
        <w:rPr>
          <w:rFonts w:ascii="Arial" w:hAnsi="Arial" w:cs="Arial"/>
          <w:sz w:val="22"/>
          <w:szCs w:val="22"/>
        </w:rPr>
        <w:t>.65–70.</w:t>
      </w:r>
      <w:r w:rsidR="00A948CE">
        <w:rPr>
          <w:rFonts w:ascii="Arial" w:hAnsi="Arial" w:cs="Arial"/>
          <w:sz w:val="22"/>
          <w:szCs w:val="22"/>
        </w:rPr>
        <w:t xml:space="preserve"> </w:t>
      </w:r>
      <w:r w:rsidRPr="00015F79">
        <w:rPr>
          <w:rFonts w:ascii="Arial" w:hAnsi="Arial" w:cs="Arial"/>
          <w:sz w:val="22"/>
          <w:szCs w:val="22"/>
        </w:rPr>
        <w:t>https://www.llyw.cymru/sites/default/files/publications/2018-03/dyfodol-llwyddiannus.pdf.</w:t>
      </w:r>
    </w:p>
    <w:p w14:paraId="5C1E3767" w14:textId="16342797"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Estyn (2022). </w:t>
      </w:r>
      <w:r w:rsidRPr="00015F79">
        <w:rPr>
          <w:rFonts w:ascii="Arial" w:hAnsi="Arial" w:cs="Arial"/>
          <w:i/>
          <w:iCs/>
          <w:sz w:val="22"/>
          <w:szCs w:val="22"/>
        </w:rPr>
        <w:t>Effective approaches to assessment that improve teaching and learning</w:t>
      </w:r>
      <w:r w:rsidRPr="00015F79">
        <w:rPr>
          <w:rFonts w:ascii="Arial" w:hAnsi="Arial" w:cs="Arial"/>
          <w:sz w:val="22"/>
          <w:szCs w:val="22"/>
        </w:rPr>
        <w:t>. https://www.estyn.gov.wales/system/files/2022-10/Effective%20approaches%20to%20assessment%20that%20improve%20teaching%20and%20learning.pdf.</w:t>
      </w:r>
    </w:p>
    <w:p w14:paraId="0E404B27" w14:textId="3FD0C6FE"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Froyd, J. a Simpson, N. (2008). </w:t>
      </w:r>
      <w:r w:rsidRPr="00015F79">
        <w:rPr>
          <w:rFonts w:ascii="Arial" w:hAnsi="Arial" w:cs="Arial"/>
          <w:i/>
          <w:iCs/>
          <w:sz w:val="22"/>
          <w:szCs w:val="22"/>
        </w:rPr>
        <w:t>Student-</w:t>
      </w:r>
      <w:proofErr w:type="spellStart"/>
      <w:r w:rsidRPr="00015F79">
        <w:rPr>
          <w:rFonts w:ascii="Arial" w:hAnsi="Arial" w:cs="Arial"/>
          <w:i/>
          <w:iCs/>
          <w:sz w:val="22"/>
          <w:szCs w:val="22"/>
        </w:rPr>
        <w:t>Centered</w:t>
      </w:r>
      <w:proofErr w:type="spellEnd"/>
      <w:r w:rsidRPr="00015F79">
        <w:rPr>
          <w:rFonts w:ascii="Arial" w:hAnsi="Arial" w:cs="Arial"/>
          <w:i/>
          <w:iCs/>
          <w:sz w:val="22"/>
          <w:szCs w:val="22"/>
        </w:rPr>
        <w:t xml:space="preserve"> Learning Addressing Faculty Questions about Student- </w:t>
      </w:r>
      <w:proofErr w:type="spellStart"/>
      <w:r w:rsidRPr="00015F79">
        <w:rPr>
          <w:rFonts w:ascii="Arial" w:hAnsi="Arial" w:cs="Arial"/>
          <w:i/>
          <w:iCs/>
          <w:sz w:val="22"/>
          <w:szCs w:val="22"/>
        </w:rPr>
        <w:t>Centered</w:t>
      </w:r>
      <w:proofErr w:type="spellEnd"/>
      <w:r w:rsidRPr="00015F79">
        <w:rPr>
          <w:rFonts w:ascii="Arial" w:hAnsi="Arial" w:cs="Arial"/>
          <w:i/>
          <w:iCs/>
          <w:sz w:val="22"/>
          <w:szCs w:val="22"/>
        </w:rPr>
        <w:t xml:space="preserve"> Learning</w:t>
      </w:r>
      <w:r w:rsidRPr="00015F79">
        <w:rPr>
          <w:rFonts w:ascii="Arial" w:hAnsi="Arial" w:cs="Arial"/>
          <w:sz w:val="22"/>
          <w:szCs w:val="22"/>
        </w:rPr>
        <w:t>. https://citeseerx.ist.psu.edu/document?repid=rep1&amp;type=pdf&amp;doi=5271a3d0a0d10f37e5b93f1ae3f00587dc802a8c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04/01/2024</w:t>
      </w:r>
      <w:r w:rsidRPr="00015F79">
        <w:rPr>
          <w:rFonts w:ascii="Arial" w:hAnsi="Arial" w:cs="Arial"/>
          <w:sz w:val="22"/>
          <w:szCs w:val="22"/>
        </w:rPr>
        <w:t>].</w:t>
      </w:r>
    </w:p>
    <w:p w14:paraId="538FDDC0" w14:textId="68A87307" w:rsidR="00015F79" w:rsidRPr="00015F79" w:rsidRDefault="00015F79" w:rsidP="00015F79">
      <w:pPr>
        <w:pStyle w:val="NormalWeb"/>
        <w:spacing w:before="0" w:beforeAutospacing="0" w:after="240" w:afterAutospacing="0" w:line="360" w:lineRule="auto"/>
        <w:rPr>
          <w:rFonts w:ascii="Arial" w:hAnsi="Arial" w:cs="Arial"/>
          <w:sz w:val="22"/>
          <w:szCs w:val="22"/>
        </w:rPr>
      </w:pPr>
      <w:proofErr w:type="spellStart"/>
      <w:r w:rsidRPr="00015F79">
        <w:rPr>
          <w:rFonts w:ascii="Arial" w:hAnsi="Arial" w:cs="Arial"/>
          <w:sz w:val="22"/>
          <w:szCs w:val="22"/>
        </w:rPr>
        <w:t>Göçen</w:t>
      </w:r>
      <w:proofErr w:type="spellEnd"/>
      <w:r w:rsidRPr="00015F79">
        <w:rPr>
          <w:rFonts w:ascii="Arial" w:hAnsi="Arial" w:cs="Arial"/>
          <w:sz w:val="22"/>
          <w:szCs w:val="22"/>
        </w:rPr>
        <w:t xml:space="preserve">, G. (2019). Writing Attitude Scale. </w:t>
      </w:r>
      <w:r w:rsidRPr="00015F79">
        <w:rPr>
          <w:rFonts w:ascii="Arial" w:hAnsi="Arial" w:cs="Arial"/>
          <w:i/>
          <w:iCs/>
          <w:sz w:val="22"/>
          <w:szCs w:val="22"/>
        </w:rPr>
        <w:t>Journal of Language and Linguistic Studies</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 xml:space="preserve">15(3), </w:t>
      </w:r>
      <w:r w:rsidR="00A948CE">
        <w:rPr>
          <w:rFonts w:ascii="Arial" w:hAnsi="Arial" w:cs="Arial"/>
          <w:sz w:val="22"/>
          <w:szCs w:val="22"/>
        </w:rPr>
        <w:t>tud</w:t>
      </w:r>
      <w:r w:rsidRPr="00015F79">
        <w:rPr>
          <w:rFonts w:ascii="Arial" w:hAnsi="Arial" w:cs="Arial"/>
          <w:sz w:val="22"/>
          <w:szCs w:val="22"/>
        </w:rPr>
        <w:t>.1032–1044.https://dergipark.org.tr/en/download/article-file/828135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513AECA2" w14:textId="5AC8C796"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Hattie, J. a Timperley, H. (2007). The Power of Feedback. </w:t>
      </w:r>
      <w:r w:rsidRPr="00015F79">
        <w:rPr>
          <w:rFonts w:ascii="Arial" w:hAnsi="Arial" w:cs="Arial"/>
          <w:i/>
          <w:iCs/>
          <w:sz w:val="22"/>
          <w:szCs w:val="22"/>
        </w:rPr>
        <w:t>Review of Educational Research</w:t>
      </w:r>
      <w:r w:rsidRPr="00015F79">
        <w:rPr>
          <w:rFonts w:ascii="Arial" w:hAnsi="Arial" w:cs="Arial"/>
          <w:sz w:val="22"/>
          <w:szCs w:val="22"/>
        </w:rPr>
        <w:t xml:space="preserve">, 77(1), </w:t>
      </w:r>
      <w:r w:rsidR="00A948CE">
        <w:rPr>
          <w:rFonts w:ascii="Arial" w:hAnsi="Arial" w:cs="Arial"/>
          <w:sz w:val="22"/>
          <w:szCs w:val="22"/>
        </w:rPr>
        <w:t>tud</w:t>
      </w:r>
      <w:r w:rsidRPr="00015F79">
        <w:rPr>
          <w:rFonts w:ascii="Arial" w:hAnsi="Arial" w:cs="Arial"/>
          <w:sz w:val="22"/>
          <w:szCs w:val="22"/>
        </w:rPr>
        <w:t xml:space="preserve">.81–112.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://doi.org/10.3102/003465430298487</w:t>
      </w:r>
      <w:proofErr w:type="gramEnd"/>
      <w:r w:rsidRPr="00015F79">
        <w:rPr>
          <w:rFonts w:ascii="Arial" w:hAnsi="Arial" w:cs="Arial"/>
          <w:sz w:val="22"/>
          <w:szCs w:val="22"/>
        </w:rPr>
        <w:t>.</w:t>
      </w:r>
    </w:p>
    <w:p w14:paraId="5C94F38B" w14:textId="37CFC06D"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Jones, K. (2022). </w:t>
      </w:r>
      <w:r w:rsidRPr="00015F79">
        <w:rPr>
          <w:rFonts w:ascii="Arial" w:hAnsi="Arial" w:cs="Arial"/>
          <w:i/>
          <w:iCs/>
          <w:sz w:val="22"/>
          <w:szCs w:val="22"/>
        </w:rPr>
        <w:t>A Summary of Evidence Based Formative Assessment Strategies</w:t>
      </w:r>
      <w:r w:rsidRPr="00015F79">
        <w:rPr>
          <w:rFonts w:ascii="Arial" w:hAnsi="Arial" w:cs="Arial"/>
          <w:sz w:val="22"/>
          <w:szCs w:val="22"/>
        </w:rPr>
        <w:t>. Evidence Based Education</w:t>
      </w:r>
      <w:r w:rsidR="00A948CE">
        <w:rPr>
          <w:rFonts w:ascii="Arial" w:hAnsi="Arial" w:cs="Arial"/>
          <w:sz w:val="22"/>
          <w:szCs w:val="22"/>
        </w:rPr>
        <w:t>.</w:t>
      </w:r>
      <w:r w:rsidRPr="00015F79">
        <w:rPr>
          <w:rFonts w:ascii="Arial" w:hAnsi="Arial" w:cs="Arial"/>
          <w:sz w:val="22"/>
          <w:szCs w:val="22"/>
        </w:rPr>
        <w:t xml:space="preserve"> https://evidencebased.education/a-summary-of-evidence-based-formative-assessment-strategies/.</w:t>
      </w:r>
    </w:p>
    <w:p w14:paraId="594FFC87" w14:textId="08B320F1"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Kohn, A. (2012). The Case against Grades. </w:t>
      </w:r>
      <w:r w:rsidRPr="00015F79">
        <w:rPr>
          <w:rFonts w:ascii="Arial" w:hAnsi="Arial" w:cs="Arial"/>
          <w:i/>
          <w:iCs/>
          <w:sz w:val="22"/>
          <w:szCs w:val="22"/>
        </w:rPr>
        <w:t>The Education Digest</w:t>
      </w:r>
      <w:r w:rsidRPr="00015F79">
        <w:rPr>
          <w:rFonts w:ascii="Arial" w:hAnsi="Arial" w:cs="Arial"/>
          <w:sz w:val="22"/>
          <w:szCs w:val="22"/>
        </w:rPr>
        <w:t xml:space="preserve">, 77(5), </w:t>
      </w:r>
      <w:r w:rsidR="00A948CE">
        <w:rPr>
          <w:rFonts w:ascii="Arial" w:hAnsi="Arial" w:cs="Arial"/>
          <w:sz w:val="22"/>
          <w:szCs w:val="22"/>
        </w:rPr>
        <w:t>tud</w:t>
      </w:r>
      <w:r w:rsidRPr="00015F79">
        <w:rPr>
          <w:rFonts w:ascii="Arial" w:hAnsi="Arial" w:cs="Arial"/>
          <w:sz w:val="22"/>
          <w:szCs w:val="22"/>
        </w:rPr>
        <w:t>.8–9.</w:t>
      </w:r>
    </w:p>
    <w:p w14:paraId="6C97A97F" w14:textId="68549C1B"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lastRenderedPageBreak/>
        <w:t xml:space="preserve">Kurtz, B.E. a Borkowski, J.G. (1984). Children’s Metacognition: exploring relations among knowledge, process and motivational </w:t>
      </w:r>
      <w:proofErr w:type="gramStart"/>
      <w:r w:rsidRPr="00015F79">
        <w:rPr>
          <w:rFonts w:ascii="Arial" w:hAnsi="Arial" w:cs="Arial"/>
          <w:sz w:val="22"/>
          <w:szCs w:val="22"/>
        </w:rPr>
        <w:t>variables .</w:t>
      </w:r>
      <w:proofErr w:type="gramEnd"/>
      <w:r w:rsidRPr="00015F79">
        <w:rPr>
          <w:rFonts w:ascii="Arial" w:hAnsi="Arial" w:cs="Arial"/>
          <w:sz w:val="22"/>
          <w:szCs w:val="22"/>
        </w:rPr>
        <w:t xml:space="preserve"> </w:t>
      </w:r>
      <w:r w:rsidRPr="00015F79">
        <w:rPr>
          <w:rFonts w:ascii="Arial" w:hAnsi="Arial" w:cs="Arial"/>
          <w:i/>
          <w:iCs/>
          <w:sz w:val="22"/>
          <w:szCs w:val="22"/>
        </w:rPr>
        <w:t>Journal of Experimental Child Psychology</w:t>
      </w:r>
      <w:r w:rsidRPr="00015F79">
        <w:rPr>
          <w:rFonts w:ascii="Arial" w:hAnsi="Arial" w:cs="Arial"/>
          <w:sz w:val="22"/>
          <w:szCs w:val="22"/>
        </w:rPr>
        <w:t xml:space="preserve">, 37(1), </w:t>
      </w:r>
      <w:r w:rsidR="00A948CE">
        <w:rPr>
          <w:rFonts w:ascii="Arial" w:hAnsi="Arial" w:cs="Arial"/>
          <w:sz w:val="22"/>
          <w:szCs w:val="22"/>
        </w:rPr>
        <w:t>tud</w:t>
      </w:r>
      <w:r w:rsidRPr="00015F79">
        <w:rPr>
          <w:rFonts w:ascii="Arial" w:hAnsi="Arial" w:cs="Arial"/>
          <w:sz w:val="22"/>
          <w:szCs w:val="22"/>
        </w:rPr>
        <w:t xml:space="preserve">.335–354.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://doi.org/10.1016/0022-0965(84)90054-7</w:t>
      </w:r>
      <w:proofErr w:type="gramEnd"/>
      <w:r w:rsidRPr="00015F79">
        <w:rPr>
          <w:rFonts w:ascii="Arial" w:hAnsi="Arial" w:cs="Arial"/>
          <w:sz w:val="22"/>
          <w:szCs w:val="22"/>
        </w:rPr>
        <w:t>.</w:t>
      </w:r>
    </w:p>
    <w:p w14:paraId="114E60E7" w14:textId="11A1F79F"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Lancashire County Council (2006). </w:t>
      </w:r>
      <w:r w:rsidRPr="00015F79">
        <w:rPr>
          <w:rFonts w:ascii="Arial" w:hAnsi="Arial" w:cs="Arial"/>
          <w:i/>
          <w:iCs/>
          <w:sz w:val="22"/>
          <w:szCs w:val="22"/>
        </w:rPr>
        <w:t>A guidance booklet for schools</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https://www.egfl.org.uk/sites/default/files/School_effectiveness/Teaching_and_learning/SEND/Talk-partners.pdf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06E849D3" w14:textId="5A29D572" w:rsidR="00015F79" w:rsidRPr="00015F79" w:rsidRDefault="00015F79" w:rsidP="00015F79">
      <w:pPr>
        <w:pStyle w:val="NormalWeb"/>
        <w:spacing w:before="0" w:beforeAutospacing="0" w:after="240" w:afterAutospacing="0" w:line="360" w:lineRule="auto"/>
        <w:rPr>
          <w:rFonts w:ascii="Arial" w:hAnsi="Arial" w:cs="Arial"/>
          <w:sz w:val="22"/>
          <w:szCs w:val="22"/>
        </w:rPr>
      </w:pPr>
      <w:proofErr w:type="spellStart"/>
      <w:r w:rsidRPr="00015F79">
        <w:rPr>
          <w:rFonts w:ascii="Arial" w:hAnsi="Arial" w:cs="Arial"/>
          <w:sz w:val="22"/>
          <w:szCs w:val="22"/>
        </w:rPr>
        <w:t>Llywodraeth</w:t>
      </w:r>
      <w:proofErr w:type="spellEnd"/>
      <w:r w:rsidRPr="00015F79">
        <w:rPr>
          <w:rFonts w:ascii="Arial" w:hAnsi="Arial" w:cs="Arial"/>
          <w:sz w:val="22"/>
          <w:szCs w:val="22"/>
        </w:rPr>
        <w:t xml:space="preserve"> Cymru (2019a). </w:t>
      </w:r>
      <w:r w:rsidRPr="00015F79">
        <w:rPr>
          <w:rFonts w:ascii="Arial" w:hAnsi="Arial" w:cs="Arial"/>
          <w:i/>
          <w:iCs/>
          <w:sz w:val="22"/>
          <w:szCs w:val="22"/>
        </w:rPr>
        <w:t xml:space="preserve">Iechyd a </w:t>
      </w:r>
      <w:proofErr w:type="spellStart"/>
      <w:r w:rsidRPr="00015F79">
        <w:rPr>
          <w:rFonts w:ascii="Arial" w:hAnsi="Arial" w:cs="Arial"/>
          <w:i/>
          <w:iCs/>
          <w:sz w:val="22"/>
          <w:szCs w:val="22"/>
        </w:rPr>
        <w:t>Lles</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Cyflwyniad</w:t>
      </w:r>
      <w:proofErr w:type="spellEnd"/>
      <w:r w:rsidRPr="00015F79">
        <w:rPr>
          <w:rFonts w:ascii="Arial" w:hAnsi="Arial" w:cs="Arial"/>
          <w:i/>
          <w:iCs/>
          <w:sz w:val="22"/>
          <w:szCs w:val="22"/>
        </w:rPr>
        <w:t xml:space="preserve"> - Hwb</w:t>
      </w:r>
      <w:r w:rsidRPr="00015F79">
        <w:rPr>
          <w:rFonts w:ascii="Arial" w:hAnsi="Arial" w:cs="Arial"/>
          <w:sz w:val="22"/>
          <w:szCs w:val="22"/>
        </w:rPr>
        <w:t xml:space="preserve">. </w:t>
      </w:r>
      <w:proofErr w:type="spellStart"/>
      <w:proofErr w:type="gramStart"/>
      <w:r w:rsidRPr="00015F79">
        <w:rPr>
          <w:rFonts w:ascii="Arial" w:hAnsi="Arial" w:cs="Arial"/>
          <w:sz w:val="22"/>
          <w:szCs w:val="22"/>
        </w:rPr>
        <w:t>hwb.gov.wales</w:t>
      </w:r>
      <w:proofErr w:type="spellEnd"/>
      <w:proofErr w:type="gramEnd"/>
      <w:r w:rsidRPr="00015F79">
        <w:rPr>
          <w:rFonts w:ascii="Arial" w:hAnsi="Arial" w:cs="Arial"/>
          <w:sz w:val="22"/>
          <w:szCs w:val="22"/>
        </w:rPr>
        <w:t>. Available at: https://hwb.gov.wales/cwricwlwm-i-gymru/iechyd-a-lles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09/01/2024</w:t>
      </w:r>
      <w:r w:rsidRPr="00015F79">
        <w:rPr>
          <w:rFonts w:ascii="Arial" w:hAnsi="Arial" w:cs="Arial"/>
          <w:sz w:val="22"/>
          <w:szCs w:val="22"/>
        </w:rPr>
        <w:t>].</w:t>
      </w:r>
    </w:p>
    <w:p w14:paraId="1864D735" w14:textId="0873FF69" w:rsidR="00015F79" w:rsidRPr="00015F79" w:rsidRDefault="00015F79" w:rsidP="00015F79">
      <w:pPr>
        <w:pStyle w:val="NormalWeb"/>
        <w:spacing w:before="0" w:beforeAutospacing="0" w:after="240" w:afterAutospacing="0" w:line="360" w:lineRule="auto"/>
        <w:rPr>
          <w:rFonts w:ascii="Arial" w:hAnsi="Arial" w:cs="Arial"/>
          <w:sz w:val="22"/>
          <w:szCs w:val="22"/>
        </w:rPr>
      </w:pPr>
      <w:proofErr w:type="spellStart"/>
      <w:r w:rsidRPr="00015F79">
        <w:rPr>
          <w:rFonts w:ascii="Arial" w:hAnsi="Arial" w:cs="Arial"/>
          <w:sz w:val="22"/>
          <w:szCs w:val="22"/>
        </w:rPr>
        <w:t>Llywodraeth</w:t>
      </w:r>
      <w:proofErr w:type="spellEnd"/>
      <w:r w:rsidRPr="00015F79">
        <w:rPr>
          <w:rFonts w:ascii="Arial" w:hAnsi="Arial" w:cs="Arial"/>
          <w:sz w:val="22"/>
          <w:szCs w:val="22"/>
        </w:rPr>
        <w:t xml:space="preserve"> Cymru (2019b). </w:t>
      </w:r>
      <w:proofErr w:type="spellStart"/>
      <w:r w:rsidRPr="00015F79">
        <w:rPr>
          <w:rFonts w:ascii="Arial" w:hAnsi="Arial" w:cs="Arial"/>
          <w:i/>
          <w:iCs/>
          <w:sz w:val="22"/>
          <w:szCs w:val="22"/>
        </w:rPr>
        <w:t>Ieithoedd</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Llythrennedd</w:t>
      </w:r>
      <w:proofErr w:type="spellEnd"/>
      <w:r w:rsidRPr="00015F79">
        <w:rPr>
          <w:rFonts w:ascii="Arial" w:hAnsi="Arial" w:cs="Arial"/>
          <w:i/>
          <w:iCs/>
          <w:sz w:val="22"/>
          <w:szCs w:val="22"/>
        </w:rPr>
        <w:t xml:space="preserve"> a </w:t>
      </w:r>
      <w:proofErr w:type="spellStart"/>
      <w:r w:rsidRPr="00015F79">
        <w:rPr>
          <w:rFonts w:ascii="Arial" w:hAnsi="Arial" w:cs="Arial"/>
          <w:i/>
          <w:iCs/>
          <w:sz w:val="22"/>
          <w:szCs w:val="22"/>
        </w:rPr>
        <w:t>Chyfathrebu</w:t>
      </w:r>
      <w:proofErr w:type="spellEnd"/>
      <w:r w:rsidRPr="00015F79">
        <w:rPr>
          <w:rFonts w:ascii="Arial" w:hAnsi="Arial" w:cs="Arial"/>
          <w:i/>
          <w:iCs/>
          <w:sz w:val="22"/>
          <w:szCs w:val="22"/>
        </w:rPr>
        <w:t xml:space="preserve">: </w:t>
      </w:r>
      <w:proofErr w:type="spellStart"/>
      <w:r w:rsidRPr="00015F79">
        <w:rPr>
          <w:rFonts w:ascii="Arial" w:hAnsi="Arial" w:cs="Arial"/>
          <w:i/>
          <w:iCs/>
          <w:sz w:val="22"/>
          <w:szCs w:val="22"/>
        </w:rPr>
        <w:t>Cyflwyniad</w:t>
      </w:r>
      <w:proofErr w:type="spellEnd"/>
      <w:r w:rsidRPr="00015F79">
        <w:rPr>
          <w:rFonts w:ascii="Arial" w:hAnsi="Arial" w:cs="Arial"/>
          <w:i/>
          <w:iCs/>
          <w:sz w:val="22"/>
          <w:szCs w:val="22"/>
        </w:rPr>
        <w:t xml:space="preserve"> - Hw</w:t>
      </w:r>
      <w:r w:rsidR="00A948CE">
        <w:rPr>
          <w:rFonts w:ascii="Arial" w:hAnsi="Arial" w:cs="Arial"/>
          <w:i/>
          <w:iCs/>
          <w:sz w:val="22"/>
          <w:szCs w:val="22"/>
        </w:rPr>
        <w:t>b</w:t>
      </w:r>
      <w:r w:rsidRPr="00015F79">
        <w:rPr>
          <w:rFonts w:ascii="Arial" w:hAnsi="Arial" w:cs="Arial"/>
          <w:sz w:val="22"/>
          <w:szCs w:val="22"/>
        </w:rPr>
        <w:t xml:space="preserve"> </w:t>
      </w:r>
      <w:proofErr w:type="spellStart"/>
      <w:proofErr w:type="gramStart"/>
      <w:r w:rsidRPr="00015F79">
        <w:rPr>
          <w:rFonts w:ascii="Arial" w:hAnsi="Arial" w:cs="Arial"/>
          <w:sz w:val="22"/>
          <w:szCs w:val="22"/>
        </w:rPr>
        <w:t>hwb.gov.wales</w:t>
      </w:r>
      <w:proofErr w:type="spellEnd"/>
      <w:proofErr w:type="gramEnd"/>
      <w:r w:rsidRPr="00015F79">
        <w:rPr>
          <w:rFonts w:ascii="Arial" w:hAnsi="Arial" w:cs="Arial"/>
          <w:sz w:val="22"/>
          <w:szCs w:val="22"/>
        </w:rPr>
        <w:t>. Available at: https://hwb.gov.wales/cwricwlwm-i-gymru/ieithoedd-llythrennedd-a-chyfathrebu/.</w:t>
      </w:r>
    </w:p>
    <w:p w14:paraId="6FA0BE87" w14:textId="34C7A9BF"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Marie Jeanne McNaughton, Mitchell, L. </w:t>
      </w:r>
      <w:proofErr w:type="gramStart"/>
      <w:r w:rsidRPr="00015F79">
        <w:rPr>
          <w:rFonts w:ascii="Arial" w:hAnsi="Arial" w:cs="Arial"/>
          <w:sz w:val="22"/>
          <w:szCs w:val="22"/>
        </w:rPr>
        <w:t>a</w:t>
      </w:r>
      <w:proofErr w:type="gramEnd"/>
      <w:r w:rsidRPr="00015F79">
        <w:rPr>
          <w:rFonts w:ascii="Arial" w:hAnsi="Arial" w:cs="Arial"/>
          <w:sz w:val="22"/>
          <w:szCs w:val="22"/>
        </w:rPr>
        <w:t xml:space="preserve"> Eaton, W. (2003). Expressive Arts. </w:t>
      </w:r>
      <w:r w:rsidRPr="00015F79">
        <w:rPr>
          <w:rFonts w:ascii="Arial" w:hAnsi="Arial" w:cs="Arial"/>
          <w:i/>
          <w:iCs/>
          <w:sz w:val="22"/>
          <w:szCs w:val="22"/>
        </w:rPr>
        <w:t xml:space="preserve">A curriculum for excellence review of research </w:t>
      </w:r>
      <w:proofErr w:type="gramStart"/>
      <w:r w:rsidRPr="00015F79">
        <w:rPr>
          <w:rFonts w:ascii="Arial" w:hAnsi="Arial" w:cs="Arial"/>
          <w:i/>
          <w:iCs/>
          <w:sz w:val="22"/>
          <w:szCs w:val="22"/>
        </w:rPr>
        <w:t xml:space="preserve">literature </w:t>
      </w:r>
      <w:r w:rsidRPr="00015F79">
        <w:rPr>
          <w:rFonts w:ascii="Arial" w:hAnsi="Arial" w:cs="Arial"/>
          <w:sz w:val="22"/>
          <w:szCs w:val="22"/>
        </w:rPr>
        <w:t>.</w:t>
      </w:r>
      <w:proofErr w:type="gramEnd"/>
    </w:p>
    <w:p w14:paraId="04BA3CAE" w14:textId="204FC6F1"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Markovic, I. (2022). </w:t>
      </w:r>
      <w:r w:rsidRPr="00015F79">
        <w:rPr>
          <w:rFonts w:ascii="Arial" w:hAnsi="Arial" w:cs="Arial"/>
          <w:i/>
          <w:iCs/>
          <w:sz w:val="22"/>
          <w:szCs w:val="22"/>
        </w:rPr>
        <w:t>Why Giving Instant Feedback Is Important for Effective Learning</w:t>
      </w:r>
      <w:r w:rsidRPr="00015F79">
        <w:rPr>
          <w:rFonts w:ascii="Arial" w:hAnsi="Arial" w:cs="Arial"/>
          <w:sz w:val="22"/>
          <w:szCs w:val="22"/>
        </w:rPr>
        <w:t xml:space="preserve">. </w:t>
      </w:r>
      <w:hyperlink r:id="rId7" w:history="1">
        <w:r w:rsidR="00A948CE" w:rsidRPr="005C021E">
          <w:rPr>
            <w:rStyle w:val="Hyperlink"/>
            <w:rFonts w:ascii="Arial" w:hAnsi="Arial" w:cs="Arial"/>
            <w:sz w:val="22"/>
            <w:szCs w:val="22"/>
          </w:rPr>
          <w:t>www.edume.com</w:t>
        </w:r>
      </w:hyperlink>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https://www.edume.com/blog/role-of-feedback-in-improving-learning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06/01/2024</w:t>
      </w:r>
      <w:r w:rsidRPr="00015F79">
        <w:rPr>
          <w:rFonts w:ascii="Arial" w:hAnsi="Arial" w:cs="Arial"/>
          <w:sz w:val="22"/>
          <w:szCs w:val="22"/>
        </w:rPr>
        <w:t>].</w:t>
      </w:r>
    </w:p>
    <w:p w14:paraId="77B68798" w14:textId="0CA6EF12"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Marzano, R.J., Pickering, D. a McTighe, J. (1993). </w:t>
      </w:r>
      <w:r w:rsidRPr="00015F79">
        <w:rPr>
          <w:rFonts w:ascii="Arial" w:hAnsi="Arial" w:cs="Arial"/>
          <w:i/>
          <w:iCs/>
          <w:sz w:val="22"/>
          <w:szCs w:val="22"/>
        </w:rPr>
        <w:t>Assessing Student Outcomes</w:t>
      </w:r>
      <w:r w:rsidRPr="00015F79">
        <w:rPr>
          <w:rFonts w:ascii="Arial" w:hAnsi="Arial" w:cs="Arial"/>
          <w:sz w:val="22"/>
          <w:szCs w:val="22"/>
        </w:rPr>
        <w:t xml:space="preserve">. </w:t>
      </w:r>
      <w:proofErr w:type="spellStart"/>
      <w:r w:rsidRPr="00015F79">
        <w:rPr>
          <w:rFonts w:ascii="Arial" w:hAnsi="Arial" w:cs="Arial"/>
          <w:sz w:val="22"/>
          <w:szCs w:val="22"/>
        </w:rPr>
        <w:t>ASCD</w:t>
      </w:r>
      <w:proofErr w:type="spellEnd"/>
      <w:r w:rsidRPr="00015F79">
        <w:rPr>
          <w:rFonts w:ascii="Arial" w:hAnsi="Arial" w:cs="Arial"/>
          <w:sz w:val="22"/>
          <w:szCs w:val="22"/>
        </w:rPr>
        <w:t xml:space="preserve">, </w:t>
      </w:r>
      <w:r w:rsidR="00A948CE">
        <w:rPr>
          <w:rFonts w:ascii="Arial" w:hAnsi="Arial" w:cs="Arial"/>
          <w:sz w:val="22"/>
          <w:szCs w:val="22"/>
        </w:rPr>
        <w:t>tud</w:t>
      </w:r>
      <w:r w:rsidRPr="00015F79">
        <w:rPr>
          <w:rFonts w:ascii="Arial" w:hAnsi="Arial" w:cs="Arial"/>
          <w:sz w:val="22"/>
          <w:szCs w:val="22"/>
        </w:rPr>
        <w:t>.26–37.</w:t>
      </w:r>
    </w:p>
    <w:p w14:paraId="307CCEC0" w14:textId="55A5649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McLeod, S. (2023). </w:t>
      </w:r>
      <w:r w:rsidRPr="00015F79">
        <w:rPr>
          <w:rFonts w:ascii="Arial" w:hAnsi="Arial" w:cs="Arial"/>
          <w:i/>
          <w:iCs/>
          <w:sz w:val="22"/>
          <w:szCs w:val="22"/>
        </w:rPr>
        <w:t>The Zone of Proximal Development and Scaffolding</w:t>
      </w:r>
      <w:r w:rsidRPr="00015F79">
        <w:rPr>
          <w:rFonts w:ascii="Arial" w:hAnsi="Arial" w:cs="Arial"/>
          <w:sz w:val="22"/>
          <w:szCs w:val="22"/>
        </w:rPr>
        <w:t>. Simply Psychology.</w:t>
      </w:r>
      <w:r w:rsidR="00A948CE">
        <w:rPr>
          <w:rFonts w:ascii="Arial" w:hAnsi="Arial" w:cs="Arial"/>
          <w:sz w:val="22"/>
          <w:szCs w:val="22"/>
        </w:rPr>
        <w:t xml:space="preserve"> </w:t>
      </w:r>
      <w:r w:rsidRPr="00015F79">
        <w:rPr>
          <w:rFonts w:ascii="Arial" w:hAnsi="Arial" w:cs="Arial"/>
          <w:sz w:val="22"/>
          <w:szCs w:val="22"/>
        </w:rPr>
        <w:t>https://www.simplypsychology.org/Zone-of-Proximal-Development.html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09/01/2024</w:t>
      </w:r>
      <w:r w:rsidRPr="00015F79">
        <w:rPr>
          <w:rFonts w:ascii="Arial" w:hAnsi="Arial" w:cs="Arial"/>
          <w:sz w:val="22"/>
          <w:szCs w:val="22"/>
        </w:rPr>
        <w:t>].</w:t>
      </w:r>
    </w:p>
    <w:p w14:paraId="3F147165" w14:textId="77777777"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Morris, E. (2007). </w:t>
      </w:r>
      <w:r w:rsidRPr="00015F79">
        <w:rPr>
          <w:rFonts w:ascii="Arial" w:hAnsi="Arial" w:cs="Arial"/>
          <w:i/>
          <w:iCs/>
          <w:sz w:val="22"/>
          <w:szCs w:val="22"/>
        </w:rPr>
        <w:t>Dylan Wiliam</w:t>
      </w:r>
      <w:r w:rsidRPr="00015F79">
        <w:rPr>
          <w:rFonts w:ascii="Arial" w:hAnsi="Arial" w:cs="Arial"/>
          <w:sz w:val="22"/>
          <w:szCs w:val="22"/>
        </w:rPr>
        <w:t xml:space="preserve">. </w:t>
      </w:r>
      <w:r w:rsidRPr="00015F79">
        <w:rPr>
          <w:rFonts w:ascii="Arial" w:hAnsi="Arial" w:cs="Arial"/>
          <w:i/>
          <w:iCs/>
          <w:sz w:val="22"/>
          <w:szCs w:val="22"/>
        </w:rPr>
        <w:t>Teachers TV/UK Department of Education</w:t>
      </w:r>
      <w:r w:rsidRPr="00015F79">
        <w:rPr>
          <w:rFonts w:ascii="Arial" w:hAnsi="Arial" w:cs="Arial"/>
          <w:sz w:val="22"/>
          <w:szCs w:val="22"/>
        </w:rPr>
        <w:t>.</w:t>
      </w:r>
    </w:p>
    <w:p w14:paraId="0E4EFAC6" w14:textId="11ADCF6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Neff, L. (2019). </w:t>
      </w:r>
      <w:r w:rsidRPr="00015F79">
        <w:rPr>
          <w:rFonts w:ascii="Arial" w:hAnsi="Arial" w:cs="Arial"/>
          <w:i/>
          <w:iCs/>
          <w:sz w:val="22"/>
          <w:szCs w:val="22"/>
        </w:rPr>
        <w:t>Lev Vygotsky and Social Learning Theories</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Nau.edu. https://jan.ucc.nau.edu/lsn/educator/edtech/learningtheorieswebsite/vygotsky.htm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06F7318F" w14:textId="40CAB03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Opportunity Education (</w:t>
      </w:r>
      <w:proofErr w:type="spellStart"/>
      <w:r w:rsidR="00A948CE">
        <w:rPr>
          <w:rFonts w:ascii="Arial" w:hAnsi="Arial" w:cs="Arial"/>
          <w:sz w:val="22"/>
          <w:szCs w:val="22"/>
        </w:rPr>
        <w:t>d</w:t>
      </w:r>
      <w:r w:rsidRPr="00015F79">
        <w:rPr>
          <w:rFonts w:ascii="Arial" w:hAnsi="Arial" w:cs="Arial"/>
          <w:sz w:val="22"/>
          <w:szCs w:val="22"/>
        </w:rPr>
        <w:t>.d.</w:t>
      </w:r>
      <w:proofErr w:type="spellEnd"/>
      <w:r w:rsidRPr="00015F79">
        <w:rPr>
          <w:rFonts w:ascii="Arial" w:hAnsi="Arial" w:cs="Arial"/>
          <w:sz w:val="22"/>
          <w:szCs w:val="22"/>
        </w:rPr>
        <w:t xml:space="preserve">). </w:t>
      </w:r>
      <w:r w:rsidRPr="00015F79">
        <w:rPr>
          <w:rFonts w:ascii="Arial" w:hAnsi="Arial" w:cs="Arial"/>
          <w:i/>
          <w:iCs/>
          <w:sz w:val="22"/>
          <w:szCs w:val="22"/>
        </w:rPr>
        <w:t>How To Co-Create Success Criteria with Students</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https://opportunityeducation.org/wp-content/uploads/2023/11/How-To_-Co-Create-Success-Criteria-with-Students-1.pdf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06/01/2024</w:t>
      </w:r>
      <w:r w:rsidRPr="00015F79">
        <w:rPr>
          <w:rFonts w:ascii="Arial" w:hAnsi="Arial" w:cs="Arial"/>
          <w:sz w:val="22"/>
          <w:szCs w:val="22"/>
        </w:rPr>
        <w:t>].</w:t>
      </w:r>
    </w:p>
    <w:p w14:paraId="5434F432" w14:textId="00370712"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lastRenderedPageBreak/>
        <w:t xml:space="preserve">Postman, N. a Weingartner, C. (1971). </w:t>
      </w:r>
      <w:r w:rsidRPr="00015F79">
        <w:rPr>
          <w:rFonts w:ascii="Arial" w:hAnsi="Arial" w:cs="Arial"/>
          <w:i/>
          <w:iCs/>
          <w:sz w:val="22"/>
          <w:szCs w:val="22"/>
        </w:rPr>
        <w:t>Teaching as a Subversive Activity</w:t>
      </w:r>
      <w:r w:rsidRPr="00015F79">
        <w:rPr>
          <w:rFonts w:ascii="Arial" w:hAnsi="Arial" w:cs="Arial"/>
          <w:sz w:val="22"/>
          <w:szCs w:val="22"/>
        </w:rPr>
        <w:t>. https://osu-wams-blogs-uploads.s3.amazonaws.com/blogs.dir/241/files/2009/07/Teaching-as-a-Subversive-Activity-Postman.pdf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0E88F351" w14:textId="16E59D19"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Robinson, K. a Aronica, L. (2015). </w:t>
      </w:r>
      <w:r w:rsidRPr="00015F79">
        <w:rPr>
          <w:rFonts w:ascii="Arial" w:hAnsi="Arial" w:cs="Arial"/>
          <w:i/>
          <w:iCs/>
          <w:sz w:val="22"/>
          <w:szCs w:val="22"/>
        </w:rPr>
        <w:t xml:space="preserve">Creative </w:t>
      </w:r>
      <w:proofErr w:type="gramStart"/>
      <w:r w:rsidRPr="00015F79">
        <w:rPr>
          <w:rFonts w:ascii="Arial" w:hAnsi="Arial" w:cs="Arial"/>
          <w:i/>
          <w:iCs/>
          <w:sz w:val="22"/>
          <w:szCs w:val="22"/>
        </w:rPr>
        <w:t>Schools :</w:t>
      </w:r>
      <w:proofErr w:type="gramEnd"/>
      <w:r w:rsidRPr="00015F79">
        <w:rPr>
          <w:rFonts w:ascii="Arial" w:hAnsi="Arial" w:cs="Arial"/>
          <w:i/>
          <w:iCs/>
          <w:sz w:val="22"/>
          <w:szCs w:val="22"/>
        </w:rPr>
        <w:t xml:space="preserve"> revolutionizing education from the ground up Ken Robinson.</w:t>
      </w:r>
      <w:r w:rsidRPr="00015F79">
        <w:rPr>
          <w:rFonts w:ascii="Arial" w:hAnsi="Arial" w:cs="Arial"/>
          <w:sz w:val="22"/>
          <w:szCs w:val="22"/>
        </w:rPr>
        <w:t xml:space="preserve"> Allen Lane, </w:t>
      </w:r>
      <w:r w:rsidR="00A948CE">
        <w:rPr>
          <w:rFonts w:ascii="Arial" w:hAnsi="Arial" w:cs="Arial"/>
          <w:sz w:val="22"/>
          <w:szCs w:val="22"/>
        </w:rPr>
        <w:t>tud</w:t>
      </w:r>
      <w:r w:rsidRPr="00015F79">
        <w:rPr>
          <w:rFonts w:ascii="Arial" w:hAnsi="Arial" w:cs="Arial"/>
          <w:sz w:val="22"/>
          <w:szCs w:val="22"/>
        </w:rPr>
        <w:t>.51–62.</w:t>
      </w:r>
    </w:p>
    <w:p w14:paraId="36EB130A" w14:textId="7F5B4CB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Rooney, R. (2007). </w:t>
      </w:r>
      <w:r w:rsidRPr="00015F79">
        <w:rPr>
          <w:rFonts w:ascii="Arial" w:hAnsi="Arial" w:cs="Arial"/>
          <w:i/>
          <w:iCs/>
          <w:sz w:val="22"/>
          <w:szCs w:val="22"/>
        </w:rPr>
        <w:t>Using success criteria</w:t>
      </w:r>
      <w:r w:rsidRPr="00015F79">
        <w:rPr>
          <w:rFonts w:ascii="Arial" w:hAnsi="Arial" w:cs="Arial"/>
          <w:sz w:val="22"/>
          <w:szCs w:val="22"/>
        </w:rPr>
        <w:t>. www.proquest.com. https://www.proquest.com/openview/da83f816a29d5bc767566bfd326e605d/1?pq-origsite=gscholar&amp;cbl=28686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06/01/2024</w:t>
      </w:r>
      <w:r w:rsidRPr="00015F79">
        <w:rPr>
          <w:rFonts w:ascii="Arial" w:hAnsi="Arial" w:cs="Arial"/>
          <w:sz w:val="22"/>
          <w:szCs w:val="22"/>
        </w:rPr>
        <w:t>].</w:t>
      </w:r>
    </w:p>
    <w:p w14:paraId="73462B57" w14:textId="2ECD9D41"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Schön, D.A. (1983). </w:t>
      </w:r>
      <w:r w:rsidRPr="00015F79">
        <w:rPr>
          <w:rFonts w:ascii="Arial" w:hAnsi="Arial" w:cs="Arial"/>
          <w:i/>
          <w:iCs/>
          <w:sz w:val="22"/>
          <w:szCs w:val="22"/>
        </w:rPr>
        <w:t>Reflective Practitioner</w:t>
      </w:r>
      <w:r w:rsidRPr="00015F79">
        <w:rPr>
          <w:rFonts w:ascii="Arial" w:hAnsi="Arial" w:cs="Arial"/>
          <w:sz w:val="22"/>
          <w:szCs w:val="22"/>
        </w:rPr>
        <w:t xml:space="preserve">. Taylor And Francis, </w:t>
      </w:r>
      <w:r w:rsidR="00A948CE">
        <w:rPr>
          <w:rFonts w:ascii="Arial" w:hAnsi="Arial" w:cs="Arial"/>
          <w:sz w:val="22"/>
          <w:szCs w:val="22"/>
        </w:rPr>
        <w:t>tud</w:t>
      </w:r>
      <w:r w:rsidRPr="00015F79">
        <w:rPr>
          <w:rFonts w:ascii="Arial" w:hAnsi="Arial" w:cs="Arial"/>
          <w:sz w:val="22"/>
          <w:szCs w:val="22"/>
        </w:rPr>
        <w:t>.223.</w:t>
      </w:r>
    </w:p>
    <w:p w14:paraId="65F99819" w14:textId="5EC278E8"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Scott, S. a </w:t>
      </w:r>
      <w:proofErr w:type="spellStart"/>
      <w:r w:rsidRPr="00015F79">
        <w:rPr>
          <w:rFonts w:ascii="Arial" w:hAnsi="Arial" w:cs="Arial"/>
          <w:sz w:val="22"/>
          <w:szCs w:val="22"/>
        </w:rPr>
        <w:t>Palincsar</w:t>
      </w:r>
      <w:proofErr w:type="spellEnd"/>
      <w:r w:rsidRPr="00015F79">
        <w:rPr>
          <w:rFonts w:ascii="Arial" w:hAnsi="Arial" w:cs="Arial"/>
          <w:sz w:val="22"/>
          <w:szCs w:val="22"/>
        </w:rPr>
        <w:t xml:space="preserve">, A. (2013). </w:t>
      </w:r>
      <w:r w:rsidRPr="00015F79">
        <w:rPr>
          <w:rFonts w:ascii="Arial" w:hAnsi="Arial" w:cs="Arial"/>
          <w:i/>
          <w:iCs/>
          <w:sz w:val="22"/>
          <w:szCs w:val="22"/>
        </w:rPr>
        <w:t>Sociocultural theory</w:t>
      </w:r>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 xml:space="preserve">The Gale Group, </w:t>
      </w:r>
      <w:r w:rsidR="00A948CE">
        <w:rPr>
          <w:rFonts w:ascii="Arial" w:hAnsi="Arial" w:cs="Arial"/>
          <w:sz w:val="22"/>
          <w:szCs w:val="22"/>
        </w:rPr>
        <w:t>tud</w:t>
      </w:r>
      <w:r w:rsidRPr="00015F79">
        <w:rPr>
          <w:rFonts w:ascii="Arial" w:hAnsi="Arial" w:cs="Arial"/>
          <w:sz w:val="22"/>
          <w:szCs w:val="22"/>
        </w:rPr>
        <w:t>.3–4.</w:t>
      </w:r>
      <w:r w:rsidR="00A948CE">
        <w:rPr>
          <w:rFonts w:ascii="Arial" w:hAnsi="Arial" w:cs="Arial"/>
          <w:sz w:val="22"/>
          <w:szCs w:val="22"/>
        </w:rPr>
        <w:t xml:space="preserve"> </w:t>
      </w:r>
      <w:r w:rsidRPr="00015F79">
        <w:rPr>
          <w:rFonts w:ascii="Arial" w:hAnsi="Arial" w:cs="Arial"/>
          <w:sz w:val="22"/>
          <w:szCs w:val="22"/>
        </w:rPr>
        <w:t>https://www.dr-hatfield.com/theorists/resources/sociocultural_theory.pdf.</w:t>
      </w:r>
    </w:p>
    <w:p w14:paraId="334CDBB6" w14:textId="5C130384"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Sherrington, T. (2019). </w:t>
      </w:r>
      <w:r w:rsidRPr="00015F79">
        <w:rPr>
          <w:rFonts w:ascii="Arial" w:hAnsi="Arial" w:cs="Arial"/>
          <w:i/>
          <w:iCs/>
          <w:sz w:val="22"/>
          <w:szCs w:val="22"/>
        </w:rPr>
        <w:t>Revisiting Dylan Wiliam’s Five Brilliant Formative Assessment Strategies.</w:t>
      </w:r>
      <w:r w:rsidRPr="00015F79">
        <w:rPr>
          <w:rFonts w:ascii="Arial" w:hAnsi="Arial" w:cs="Arial"/>
          <w:sz w:val="22"/>
          <w:szCs w:val="22"/>
        </w:rPr>
        <w:t xml:space="preserve"> </w:t>
      </w:r>
      <w:proofErr w:type="spellStart"/>
      <w:r w:rsidRPr="00015F79">
        <w:rPr>
          <w:rFonts w:ascii="Arial" w:hAnsi="Arial" w:cs="Arial"/>
          <w:sz w:val="22"/>
          <w:szCs w:val="22"/>
        </w:rPr>
        <w:t>teacherhead</w:t>
      </w:r>
      <w:proofErr w:type="spellEnd"/>
      <w:r w:rsidRPr="00015F79">
        <w:rPr>
          <w:rFonts w:ascii="Arial" w:hAnsi="Arial" w:cs="Arial"/>
          <w:sz w:val="22"/>
          <w:szCs w:val="22"/>
        </w:rPr>
        <w:t>.</w:t>
      </w:r>
      <w:r w:rsidR="00A948CE">
        <w:rPr>
          <w:rFonts w:ascii="Arial" w:hAnsi="Arial" w:cs="Arial"/>
          <w:sz w:val="22"/>
          <w:szCs w:val="22"/>
        </w:rPr>
        <w:t xml:space="preserve"> </w:t>
      </w:r>
      <w:r w:rsidRPr="00015F79">
        <w:rPr>
          <w:rFonts w:ascii="Arial" w:hAnsi="Arial" w:cs="Arial"/>
          <w:sz w:val="22"/>
          <w:szCs w:val="22"/>
        </w:rPr>
        <w:t>https://teacherhead.com/2019/01/10/revisiting-dylan-wiliams-five-brilliant-formative-assessment-strategies/.</w:t>
      </w:r>
    </w:p>
    <w:p w14:paraId="2695ACC9" w14:textId="75B3F513"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Skeet, J. (2020). </w:t>
      </w:r>
      <w:r w:rsidRPr="00015F79">
        <w:rPr>
          <w:rFonts w:ascii="Arial" w:hAnsi="Arial" w:cs="Arial"/>
          <w:i/>
          <w:iCs/>
          <w:sz w:val="22"/>
          <w:szCs w:val="22"/>
        </w:rPr>
        <w:t>What is assessment for learning and why is it important?</w:t>
      </w:r>
      <w:r w:rsidRPr="00015F79">
        <w:rPr>
          <w:rFonts w:ascii="Arial" w:hAnsi="Arial" w:cs="Arial"/>
          <w:sz w:val="22"/>
          <w:szCs w:val="22"/>
        </w:rPr>
        <w:t xml:space="preserve"> www.macmillanenglish.com. https://www.macmillanenglish.com/blog-resources/article/advancing-learning-what-is-assessment-for-learning-and-why-is-it-important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06/01/2024</w:t>
      </w:r>
      <w:r w:rsidRPr="00015F79">
        <w:rPr>
          <w:rFonts w:ascii="Arial" w:hAnsi="Arial" w:cs="Arial"/>
          <w:sz w:val="22"/>
          <w:szCs w:val="22"/>
        </w:rPr>
        <w:t>].</w:t>
      </w:r>
    </w:p>
    <w:p w14:paraId="5712626D" w14:textId="4110A2F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STEM Learning (2010). </w:t>
      </w:r>
      <w:r w:rsidRPr="00015F79">
        <w:rPr>
          <w:rFonts w:ascii="Arial" w:hAnsi="Arial" w:cs="Arial"/>
          <w:i/>
          <w:iCs/>
          <w:sz w:val="22"/>
          <w:szCs w:val="22"/>
        </w:rPr>
        <w:t>John Hattie: Learning intentions and success criteria | STEM</w:t>
      </w:r>
      <w:r w:rsidRPr="00015F79">
        <w:rPr>
          <w:rFonts w:ascii="Arial" w:hAnsi="Arial" w:cs="Arial"/>
          <w:sz w:val="22"/>
          <w:szCs w:val="22"/>
        </w:rPr>
        <w:t>. Stem.org.uk.</w:t>
      </w:r>
      <w:r w:rsidR="00A948CE">
        <w:rPr>
          <w:rFonts w:ascii="Arial" w:hAnsi="Arial" w:cs="Arial"/>
          <w:sz w:val="22"/>
          <w:szCs w:val="22"/>
        </w:rPr>
        <w:t xml:space="preserve"> </w:t>
      </w:r>
      <w:r w:rsidRPr="00015F79">
        <w:rPr>
          <w:rFonts w:ascii="Arial" w:hAnsi="Arial" w:cs="Arial"/>
          <w:sz w:val="22"/>
          <w:szCs w:val="22"/>
        </w:rPr>
        <w:t>https://www.stem.org.uk/resources/elibrary/resource/273227/john-hattie-learning-intentions-and-success-criteria.</w:t>
      </w:r>
    </w:p>
    <w:p w14:paraId="7756CD68" w14:textId="157BD031"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Svanes, I.K. </w:t>
      </w:r>
      <w:proofErr w:type="gramStart"/>
      <w:r w:rsidRPr="00015F79">
        <w:rPr>
          <w:rFonts w:ascii="Arial" w:hAnsi="Arial" w:cs="Arial"/>
          <w:sz w:val="22"/>
          <w:szCs w:val="22"/>
        </w:rPr>
        <w:t>a</w:t>
      </w:r>
      <w:proofErr w:type="gramEnd"/>
      <w:r w:rsidRPr="00015F79">
        <w:rPr>
          <w:rFonts w:ascii="Arial" w:hAnsi="Arial" w:cs="Arial"/>
          <w:sz w:val="22"/>
          <w:szCs w:val="22"/>
        </w:rPr>
        <w:t xml:space="preserve"> Andersson-Bakken, E. (2021). Teachers’ use of open questions: investigating the various functions of open questions as a mediating tool in early literacy education. </w:t>
      </w:r>
      <w:r w:rsidRPr="00015F79">
        <w:rPr>
          <w:rFonts w:ascii="Arial" w:hAnsi="Arial" w:cs="Arial"/>
          <w:i/>
          <w:iCs/>
          <w:sz w:val="22"/>
          <w:szCs w:val="22"/>
        </w:rPr>
        <w:t>Education Inquiry</w:t>
      </w:r>
      <w:r w:rsidRPr="00015F79">
        <w:rPr>
          <w:rFonts w:ascii="Arial" w:hAnsi="Arial" w:cs="Arial"/>
          <w:sz w:val="22"/>
          <w:szCs w:val="22"/>
        </w:rPr>
        <w:t xml:space="preserve">, 14(2), </w:t>
      </w:r>
      <w:r w:rsidR="00A948CE">
        <w:rPr>
          <w:rFonts w:ascii="Arial" w:hAnsi="Arial" w:cs="Arial"/>
          <w:sz w:val="22"/>
          <w:szCs w:val="22"/>
        </w:rPr>
        <w:t>tud</w:t>
      </w:r>
      <w:r w:rsidRPr="00015F79">
        <w:rPr>
          <w:rFonts w:ascii="Arial" w:hAnsi="Arial" w:cs="Arial"/>
          <w:sz w:val="22"/>
          <w:szCs w:val="22"/>
        </w:rPr>
        <w:t xml:space="preserve">.1–20.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://doi.org/10.1080/20004508.2021.1985247</w:t>
      </w:r>
      <w:proofErr w:type="gramEnd"/>
      <w:r w:rsidRPr="00015F79">
        <w:rPr>
          <w:rFonts w:ascii="Arial" w:hAnsi="Arial" w:cs="Arial"/>
          <w:sz w:val="22"/>
          <w:szCs w:val="22"/>
        </w:rPr>
        <w:t>.</w:t>
      </w:r>
    </w:p>
    <w:p w14:paraId="5812F881" w14:textId="78E8BEFB"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Tyack, P. (2019). </w:t>
      </w:r>
      <w:r w:rsidRPr="00015F79">
        <w:rPr>
          <w:rFonts w:ascii="Arial" w:hAnsi="Arial" w:cs="Arial"/>
          <w:i/>
          <w:iCs/>
          <w:sz w:val="22"/>
          <w:szCs w:val="22"/>
        </w:rPr>
        <w:t>The Curriculum for Wales</w:t>
      </w:r>
      <w:r w:rsidRPr="00015F79">
        <w:rPr>
          <w:rFonts w:ascii="Arial" w:hAnsi="Arial" w:cs="Arial"/>
          <w:sz w:val="22"/>
          <w:szCs w:val="22"/>
        </w:rPr>
        <w:t>. www.structural-learning.com. https://www.structural-learning.com/post/the-curriculum-for-wales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04/01/</w:t>
      </w:r>
      <w:r w:rsidRPr="00015F79">
        <w:rPr>
          <w:rFonts w:ascii="Arial" w:hAnsi="Arial" w:cs="Arial"/>
          <w:sz w:val="22"/>
          <w:szCs w:val="22"/>
        </w:rPr>
        <w:t>2024].</w:t>
      </w:r>
    </w:p>
    <w:p w14:paraId="6AD45217" w14:textId="4527291A"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University of Cumbria (</w:t>
      </w:r>
      <w:proofErr w:type="spellStart"/>
      <w:r w:rsidR="00A948CE">
        <w:rPr>
          <w:rFonts w:ascii="Arial" w:hAnsi="Arial" w:cs="Arial"/>
          <w:sz w:val="22"/>
          <w:szCs w:val="22"/>
        </w:rPr>
        <w:t>d</w:t>
      </w:r>
      <w:r w:rsidRPr="00015F79">
        <w:rPr>
          <w:rFonts w:ascii="Arial" w:hAnsi="Arial" w:cs="Arial"/>
          <w:sz w:val="22"/>
          <w:szCs w:val="22"/>
        </w:rPr>
        <w:t>.d.</w:t>
      </w:r>
      <w:proofErr w:type="spellEnd"/>
      <w:r w:rsidRPr="00015F79">
        <w:rPr>
          <w:rFonts w:ascii="Arial" w:hAnsi="Arial" w:cs="Arial"/>
          <w:sz w:val="22"/>
          <w:szCs w:val="22"/>
        </w:rPr>
        <w:t xml:space="preserve">). </w:t>
      </w:r>
      <w:r w:rsidRPr="00015F79">
        <w:rPr>
          <w:rFonts w:ascii="Arial" w:hAnsi="Arial" w:cs="Arial"/>
          <w:i/>
          <w:iCs/>
          <w:sz w:val="22"/>
          <w:szCs w:val="22"/>
        </w:rPr>
        <w:t>Sharing Ideas | University of Cumbria</w:t>
      </w:r>
      <w:r w:rsidRPr="00015F79">
        <w:rPr>
          <w:rFonts w:ascii="Arial" w:hAnsi="Arial" w:cs="Arial"/>
          <w:sz w:val="22"/>
          <w:szCs w:val="22"/>
        </w:rPr>
        <w:t>. www.cumbria.ac.uk. https://www.cumbria.ac.uk/research/enterprise/tean/teachers-and-educators-storehouse/sharing-ideas/ [</w:t>
      </w:r>
      <w:proofErr w:type="spellStart"/>
      <w:r w:rsidR="00A948CE">
        <w:rPr>
          <w:rFonts w:ascii="Arial" w:hAnsi="Arial" w:cs="Arial"/>
          <w:sz w:val="22"/>
          <w:szCs w:val="22"/>
        </w:rPr>
        <w:t>Dyddiad</w:t>
      </w:r>
      <w:proofErr w:type="spellEnd"/>
      <w:r w:rsidR="00A948CE">
        <w:rPr>
          <w:rFonts w:ascii="Arial" w:hAnsi="Arial" w:cs="Arial"/>
          <w:sz w:val="22"/>
          <w:szCs w:val="22"/>
        </w:rPr>
        <w:t xml:space="preserve"> </w:t>
      </w:r>
      <w:proofErr w:type="spellStart"/>
      <w:r w:rsidR="00A948CE">
        <w:rPr>
          <w:rFonts w:ascii="Arial" w:hAnsi="Arial" w:cs="Arial"/>
          <w:sz w:val="22"/>
          <w:szCs w:val="22"/>
        </w:rPr>
        <w:t>Mynediad</w:t>
      </w:r>
      <w:proofErr w:type="spellEnd"/>
      <w:r w:rsidR="00A948CE">
        <w:rPr>
          <w:rFonts w:ascii="Arial" w:hAnsi="Arial" w:cs="Arial"/>
          <w:sz w:val="22"/>
          <w:szCs w:val="22"/>
        </w:rPr>
        <w:t xml:space="preserve"> 08/01/2024</w:t>
      </w:r>
      <w:r w:rsidRPr="00015F79">
        <w:rPr>
          <w:rFonts w:ascii="Arial" w:hAnsi="Arial" w:cs="Arial"/>
          <w:sz w:val="22"/>
          <w:szCs w:val="22"/>
        </w:rPr>
        <w:t>].</w:t>
      </w:r>
    </w:p>
    <w:p w14:paraId="6E5E2567" w14:textId="695F1E2B"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lastRenderedPageBreak/>
        <w:t xml:space="preserve">Wiliam, D. (2018). </w:t>
      </w:r>
      <w:r w:rsidRPr="00015F79">
        <w:rPr>
          <w:rFonts w:ascii="Arial" w:hAnsi="Arial" w:cs="Arial"/>
          <w:i/>
          <w:iCs/>
          <w:sz w:val="22"/>
          <w:szCs w:val="22"/>
        </w:rPr>
        <w:t>Embedded Formative Assessment</w:t>
      </w:r>
      <w:r w:rsidRPr="00015F79">
        <w:rPr>
          <w:rFonts w:ascii="Arial" w:hAnsi="Arial" w:cs="Arial"/>
          <w:sz w:val="22"/>
          <w:szCs w:val="22"/>
        </w:rPr>
        <w:t xml:space="preserve">. 2nd ed. Bloomington, Indiana Solution Tree Press, </w:t>
      </w:r>
      <w:r w:rsidR="00221581">
        <w:rPr>
          <w:rFonts w:ascii="Arial" w:hAnsi="Arial" w:cs="Arial"/>
          <w:sz w:val="22"/>
          <w:szCs w:val="22"/>
        </w:rPr>
        <w:t>tud</w:t>
      </w:r>
      <w:r w:rsidRPr="00015F79">
        <w:rPr>
          <w:rFonts w:ascii="Arial" w:hAnsi="Arial" w:cs="Arial"/>
          <w:sz w:val="22"/>
          <w:szCs w:val="22"/>
        </w:rPr>
        <w:t>.64.</w:t>
      </w:r>
    </w:p>
    <w:p w14:paraId="2CCDD3BC" w14:textId="79360EB4" w:rsidR="00015F79" w:rsidRP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Young, D.J. (1991). Creating a Low-Anxiety Classroom Environment: What Does Language Anxiety Research Suggest? </w:t>
      </w:r>
      <w:r w:rsidRPr="00015F79">
        <w:rPr>
          <w:rFonts w:ascii="Arial" w:hAnsi="Arial" w:cs="Arial"/>
          <w:i/>
          <w:iCs/>
          <w:sz w:val="22"/>
          <w:szCs w:val="22"/>
        </w:rPr>
        <w:t>The Modern Language Journal</w:t>
      </w:r>
      <w:r w:rsidRPr="00015F79">
        <w:rPr>
          <w:rFonts w:ascii="Arial" w:hAnsi="Arial" w:cs="Arial"/>
          <w:sz w:val="22"/>
          <w:szCs w:val="22"/>
        </w:rPr>
        <w:t xml:space="preserve">, 75(4), </w:t>
      </w:r>
      <w:r w:rsidR="00221581">
        <w:rPr>
          <w:rFonts w:ascii="Arial" w:hAnsi="Arial" w:cs="Arial"/>
          <w:sz w:val="22"/>
          <w:szCs w:val="22"/>
        </w:rPr>
        <w:t>tud</w:t>
      </w:r>
      <w:r w:rsidRPr="00015F79">
        <w:rPr>
          <w:rFonts w:ascii="Arial" w:hAnsi="Arial" w:cs="Arial"/>
          <w:sz w:val="22"/>
          <w:szCs w:val="22"/>
        </w:rPr>
        <w:t>.426–437.</w:t>
      </w:r>
    </w:p>
    <w:p w14:paraId="6F409BC0" w14:textId="1DD92513" w:rsidR="00015F79" w:rsidRDefault="00015F79" w:rsidP="00015F79">
      <w:pPr>
        <w:pStyle w:val="NormalWeb"/>
        <w:spacing w:before="0" w:beforeAutospacing="0" w:after="240" w:afterAutospacing="0" w:line="360" w:lineRule="auto"/>
        <w:rPr>
          <w:rFonts w:ascii="Arial" w:hAnsi="Arial" w:cs="Arial"/>
          <w:sz w:val="22"/>
          <w:szCs w:val="22"/>
        </w:rPr>
      </w:pPr>
      <w:r w:rsidRPr="00015F79">
        <w:rPr>
          <w:rFonts w:ascii="Arial" w:hAnsi="Arial" w:cs="Arial"/>
          <w:sz w:val="22"/>
          <w:szCs w:val="22"/>
        </w:rPr>
        <w:t xml:space="preserve">Zimmerman, B.J. (1989). A social cognitive view of self-regulated academic learning. </w:t>
      </w:r>
      <w:r w:rsidRPr="00015F79">
        <w:rPr>
          <w:rFonts w:ascii="Arial" w:hAnsi="Arial" w:cs="Arial"/>
          <w:i/>
          <w:iCs/>
          <w:sz w:val="22"/>
          <w:szCs w:val="22"/>
        </w:rPr>
        <w:t>Journal of Educational Psychology</w:t>
      </w:r>
      <w:r w:rsidRPr="00015F79">
        <w:rPr>
          <w:rFonts w:ascii="Arial" w:hAnsi="Arial" w:cs="Arial"/>
          <w:sz w:val="22"/>
          <w:szCs w:val="22"/>
        </w:rPr>
        <w:t xml:space="preserve">, 81(3), </w:t>
      </w:r>
      <w:r w:rsidR="00221581">
        <w:rPr>
          <w:rFonts w:ascii="Arial" w:hAnsi="Arial" w:cs="Arial"/>
          <w:sz w:val="22"/>
          <w:szCs w:val="22"/>
        </w:rPr>
        <w:t>tud</w:t>
      </w:r>
      <w:r w:rsidRPr="00015F79">
        <w:rPr>
          <w:rFonts w:ascii="Arial" w:hAnsi="Arial" w:cs="Arial"/>
          <w:sz w:val="22"/>
          <w:szCs w:val="22"/>
        </w:rPr>
        <w:t xml:space="preserve">.329–339. </w:t>
      </w:r>
      <w:proofErr w:type="spellStart"/>
      <w:proofErr w:type="gramStart"/>
      <w:r w:rsidRPr="00015F79">
        <w:rPr>
          <w:rFonts w:ascii="Arial" w:hAnsi="Arial" w:cs="Arial"/>
          <w:sz w:val="22"/>
          <w:szCs w:val="22"/>
        </w:rPr>
        <w:t>doi:https</w:t>
      </w:r>
      <w:proofErr w:type="spellEnd"/>
      <w:r w:rsidRPr="00015F79">
        <w:rPr>
          <w:rFonts w:ascii="Arial" w:hAnsi="Arial" w:cs="Arial"/>
          <w:sz w:val="22"/>
          <w:szCs w:val="22"/>
        </w:rPr>
        <w:t>://doi.org/10.1037/0022-0663.81.3.329</w:t>
      </w:r>
      <w:proofErr w:type="gramEnd"/>
      <w:r w:rsidRPr="00015F79">
        <w:rPr>
          <w:rFonts w:ascii="Arial" w:hAnsi="Arial" w:cs="Arial"/>
          <w:sz w:val="22"/>
          <w:szCs w:val="22"/>
        </w:rPr>
        <w:t>.</w:t>
      </w:r>
    </w:p>
    <w:p w14:paraId="454F8677"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1BB32E10"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09818974"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3BBEF46F"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4300CB6A"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5F0D95B6"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408B4E5E"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29C81F77"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2F4F83F0"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512E23A1"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5DC8FFCA"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2D01A19E"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07B57873"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75303E08"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6E0A91FD"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6997540B"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63E091BF" w14:textId="77777777" w:rsidR="005E147D" w:rsidRDefault="005E147D" w:rsidP="00015F79">
      <w:pPr>
        <w:pStyle w:val="NormalWeb"/>
        <w:spacing w:before="0" w:beforeAutospacing="0" w:after="240" w:afterAutospacing="0" w:line="360" w:lineRule="auto"/>
        <w:rPr>
          <w:rFonts w:ascii="Arial" w:hAnsi="Arial" w:cs="Arial"/>
          <w:sz w:val="22"/>
          <w:szCs w:val="22"/>
        </w:rPr>
      </w:pPr>
    </w:p>
    <w:p w14:paraId="0006E4F9" w14:textId="2ED5506D" w:rsidR="005E147D" w:rsidRDefault="005E147D" w:rsidP="00015F79">
      <w:pPr>
        <w:pStyle w:val="NormalWeb"/>
        <w:spacing w:before="0" w:beforeAutospacing="0" w:after="240" w:afterAutospacing="0" w:line="360" w:lineRule="auto"/>
        <w:rPr>
          <w:rFonts w:ascii="Arial" w:hAnsi="Arial" w:cs="Arial"/>
          <w:b/>
          <w:bCs/>
          <w:sz w:val="28"/>
          <w:szCs w:val="28"/>
        </w:rPr>
      </w:pPr>
      <w:proofErr w:type="spellStart"/>
      <w:r>
        <w:rPr>
          <w:rFonts w:ascii="Arial" w:hAnsi="Arial" w:cs="Arial"/>
          <w:b/>
          <w:bCs/>
          <w:sz w:val="28"/>
          <w:szCs w:val="28"/>
        </w:rPr>
        <w:lastRenderedPageBreak/>
        <w:t>Atodiadau</w:t>
      </w:r>
      <w:proofErr w:type="spellEnd"/>
    </w:p>
    <w:p w14:paraId="39CD8DEA" w14:textId="333845F4" w:rsidR="005E147D" w:rsidRDefault="005E147D" w:rsidP="00015F79">
      <w:pPr>
        <w:pStyle w:val="NormalWeb"/>
        <w:spacing w:before="0" w:beforeAutospacing="0" w:after="240" w:afterAutospacing="0" w:line="360" w:lineRule="auto"/>
        <w:rPr>
          <w:rFonts w:ascii="Arial" w:hAnsi="Arial" w:cs="Arial"/>
          <w:b/>
          <w:bCs/>
          <w:sz w:val="28"/>
          <w:szCs w:val="28"/>
        </w:rPr>
      </w:pPr>
      <w:proofErr w:type="spellStart"/>
      <w:r>
        <w:rPr>
          <w:rFonts w:ascii="Arial" w:hAnsi="Arial" w:cs="Arial"/>
          <w:b/>
          <w:bCs/>
          <w:sz w:val="28"/>
          <w:szCs w:val="28"/>
        </w:rPr>
        <w:t>Atodiad</w:t>
      </w:r>
      <w:proofErr w:type="spellEnd"/>
      <w:r>
        <w:rPr>
          <w:rFonts w:ascii="Arial" w:hAnsi="Arial" w:cs="Arial"/>
          <w:b/>
          <w:bCs/>
          <w:sz w:val="28"/>
          <w:szCs w:val="28"/>
        </w:rPr>
        <w:t xml:space="preserve"> un</w:t>
      </w:r>
    </w:p>
    <w:p w14:paraId="0EB471F2" w14:textId="02545D87" w:rsidR="005E147D" w:rsidRPr="005E147D" w:rsidRDefault="00E902DB" w:rsidP="00015F79">
      <w:pPr>
        <w:pStyle w:val="NormalWeb"/>
        <w:spacing w:before="0" w:beforeAutospacing="0" w:after="240" w:afterAutospacing="0" w:line="360" w:lineRule="auto"/>
        <w:rPr>
          <w:rFonts w:ascii="Arial" w:hAnsi="Arial" w:cs="Arial"/>
          <w:b/>
          <w:bCs/>
          <w:sz w:val="28"/>
          <w:szCs w:val="28"/>
        </w:rPr>
      </w:pPr>
      <w:r w:rsidRPr="00E902DB">
        <w:rPr>
          <w:rFonts w:ascii="Arial" w:hAnsi="Arial" w:cs="Arial"/>
          <w:b/>
          <w:bCs/>
          <w:sz w:val="28"/>
          <w:szCs w:val="28"/>
        </w:rPr>
        <w:drawing>
          <wp:inline distT="0" distB="0" distL="0" distR="0" wp14:anchorId="7994ACA7" wp14:editId="16CDCFF4">
            <wp:extent cx="5731510" cy="3571240"/>
            <wp:effectExtent l="0" t="0" r="0" b="0"/>
            <wp:docPr id="87774077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7740771" name="Picture 1" descr="A screenshot of a computer&#10;&#10;Description automatically generated"/>
                    <pic:cNvPicPr/>
                  </pic:nvPicPr>
                  <pic:blipFill>
                    <a:blip r:embed="rId8"/>
                    <a:stretch>
                      <a:fillRect/>
                    </a:stretch>
                  </pic:blipFill>
                  <pic:spPr>
                    <a:xfrm>
                      <a:off x="0" y="0"/>
                      <a:ext cx="5731510" cy="3571240"/>
                    </a:xfrm>
                    <a:prstGeom prst="rect">
                      <a:avLst/>
                    </a:prstGeom>
                  </pic:spPr>
                </pic:pic>
              </a:graphicData>
            </a:graphic>
          </wp:inline>
        </w:drawing>
      </w:r>
    </w:p>
    <w:p w14:paraId="4C8C22DB" w14:textId="77777777" w:rsidR="00015F79" w:rsidRPr="00015F79" w:rsidRDefault="00015F79" w:rsidP="00DC5F1E">
      <w:pPr>
        <w:spacing w:line="360" w:lineRule="auto"/>
        <w:rPr>
          <w:rFonts w:ascii="Arial" w:hAnsi="Arial" w:cs="Arial"/>
          <w:b/>
          <w:bCs/>
          <w:sz w:val="28"/>
          <w:szCs w:val="28"/>
        </w:rPr>
      </w:pPr>
    </w:p>
    <w:p w14:paraId="19CA1EBB" w14:textId="0BF996B1" w:rsidR="00297229" w:rsidRPr="00015F79" w:rsidRDefault="00E902DB" w:rsidP="008904F7">
      <w:pPr>
        <w:rPr>
          <w:rFonts w:ascii="Arial" w:hAnsi="Arial" w:cs="Arial"/>
        </w:rPr>
      </w:pPr>
      <w:r w:rsidRPr="00E902DB">
        <w:rPr>
          <w:rFonts w:ascii="Arial" w:hAnsi="Arial" w:cs="Arial"/>
        </w:rPr>
        <w:drawing>
          <wp:inline distT="0" distB="0" distL="0" distR="0" wp14:anchorId="0116B53C" wp14:editId="491CA2D6">
            <wp:extent cx="5731510" cy="3527425"/>
            <wp:effectExtent l="0" t="0" r="0" b="0"/>
            <wp:docPr id="1866279049"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6279049" name="Picture 1" descr="A screenshot of a computer screen&#10;&#10;Description automatically generated"/>
                    <pic:cNvPicPr/>
                  </pic:nvPicPr>
                  <pic:blipFill>
                    <a:blip r:embed="rId9"/>
                    <a:stretch>
                      <a:fillRect/>
                    </a:stretch>
                  </pic:blipFill>
                  <pic:spPr>
                    <a:xfrm>
                      <a:off x="0" y="0"/>
                      <a:ext cx="5731510" cy="3527425"/>
                    </a:xfrm>
                    <a:prstGeom prst="rect">
                      <a:avLst/>
                    </a:prstGeom>
                  </pic:spPr>
                </pic:pic>
              </a:graphicData>
            </a:graphic>
          </wp:inline>
        </w:drawing>
      </w:r>
    </w:p>
    <w:p w14:paraId="72E8EB26" w14:textId="0412339A" w:rsidR="00583AD0" w:rsidRDefault="00E902DB" w:rsidP="008904F7">
      <w:pPr>
        <w:rPr>
          <w:rFonts w:ascii="Arial" w:hAnsi="Arial" w:cs="Arial"/>
        </w:rPr>
      </w:pPr>
      <w:r w:rsidRPr="00E902DB">
        <w:rPr>
          <w:rFonts w:ascii="Arial" w:hAnsi="Arial" w:cs="Arial"/>
        </w:rPr>
        <w:lastRenderedPageBreak/>
        <w:drawing>
          <wp:inline distT="0" distB="0" distL="0" distR="0" wp14:anchorId="49525756" wp14:editId="1116F8DC">
            <wp:extent cx="5731510" cy="1657985"/>
            <wp:effectExtent l="0" t="0" r="0" b="0"/>
            <wp:docPr id="52039068" name="Picture 1" descr="A black and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039068" name="Picture 1" descr="A black and white text&#10;&#10;Description automatically generated"/>
                    <pic:cNvPicPr/>
                  </pic:nvPicPr>
                  <pic:blipFill>
                    <a:blip r:embed="rId10"/>
                    <a:stretch>
                      <a:fillRect/>
                    </a:stretch>
                  </pic:blipFill>
                  <pic:spPr>
                    <a:xfrm>
                      <a:off x="0" y="0"/>
                      <a:ext cx="5731510" cy="1657985"/>
                    </a:xfrm>
                    <a:prstGeom prst="rect">
                      <a:avLst/>
                    </a:prstGeom>
                  </pic:spPr>
                </pic:pic>
              </a:graphicData>
            </a:graphic>
          </wp:inline>
        </w:drawing>
      </w:r>
    </w:p>
    <w:p w14:paraId="2A2D521E" w14:textId="77777777" w:rsidR="00E902DB" w:rsidRDefault="00E902DB" w:rsidP="008904F7">
      <w:pPr>
        <w:rPr>
          <w:rFonts w:ascii="Arial" w:hAnsi="Arial" w:cs="Arial"/>
        </w:rPr>
      </w:pPr>
    </w:p>
    <w:p w14:paraId="40AECBFC" w14:textId="20C9D128" w:rsidR="00E902DB" w:rsidRPr="00E902DB" w:rsidRDefault="00E902DB" w:rsidP="008904F7">
      <w:pPr>
        <w:rPr>
          <w:rFonts w:ascii="Arial" w:hAnsi="Arial" w:cs="Arial"/>
          <w:b/>
          <w:bCs/>
          <w:sz w:val="28"/>
          <w:szCs w:val="28"/>
        </w:rPr>
      </w:pPr>
      <w:r w:rsidRPr="00E902DB">
        <w:rPr>
          <w:rFonts w:ascii="Arial" w:hAnsi="Arial" w:cs="Arial"/>
          <w:b/>
          <w:bCs/>
          <w:sz w:val="28"/>
          <w:szCs w:val="28"/>
        </w:rPr>
        <w:t>Atodiad dau</w:t>
      </w:r>
    </w:p>
    <w:p w14:paraId="56A9F5D5" w14:textId="52015C93" w:rsidR="00AF7E33" w:rsidRPr="00015F79" w:rsidRDefault="00E902DB" w:rsidP="008904F7">
      <w:pPr>
        <w:rPr>
          <w:rFonts w:ascii="Arial" w:hAnsi="Arial" w:cs="Arial"/>
        </w:rPr>
      </w:pPr>
      <w:r w:rsidRPr="00E902DB">
        <w:rPr>
          <w:rFonts w:ascii="Arial" w:hAnsi="Arial" w:cs="Arial"/>
        </w:rPr>
        <w:drawing>
          <wp:inline distT="0" distB="0" distL="0" distR="0" wp14:anchorId="19494F44" wp14:editId="0CF70748">
            <wp:extent cx="5731510" cy="3506470"/>
            <wp:effectExtent l="0" t="0" r="0" b="0"/>
            <wp:docPr id="179411489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4114896" name="Picture 1" descr="A screenshot of a computer&#10;&#10;Description automatically generated"/>
                    <pic:cNvPicPr/>
                  </pic:nvPicPr>
                  <pic:blipFill>
                    <a:blip r:embed="rId11"/>
                    <a:stretch>
                      <a:fillRect/>
                    </a:stretch>
                  </pic:blipFill>
                  <pic:spPr>
                    <a:xfrm>
                      <a:off x="0" y="0"/>
                      <a:ext cx="5731510" cy="3506470"/>
                    </a:xfrm>
                    <a:prstGeom prst="rect">
                      <a:avLst/>
                    </a:prstGeom>
                  </pic:spPr>
                </pic:pic>
              </a:graphicData>
            </a:graphic>
          </wp:inline>
        </w:drawing>
      </w:r>
      <w:r w:rsidRPr="00E902DB">
        <w:rPr>
          <w:rFonts w:ascii="Arial" w:hAnsi="Arial" w:cs="Arial"/>
        </w:rPr>
        <w:drawing>
          <wp:inline distT="0" distB="0" distL="0" distR="0" wp14:anchorId="7EC58291" wp14:editId="2C62E839">
            <wp:extent cx="5731510" cy="2927350"/>
            <wp:effectExtent l="0" t="0" r="0" b="0"/>
            <wp:docPr id="45068218" name="Picture 1" descr="A black and white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8218" name="Picture 1" descr="A black and white screen with white text&#10;&#10;Description automatically generated"/>
                    <pic:cNvPicPr/>
                  </pic:nvPicPr>
                  <pic:blipFill>
                    <a:blip r:embed="rId12"/>
                    <a:stretch>
                      <a:fillRect/>
                    </a:stretch>
                  </pic:blipFill>
                  <pic:spPr>
                    <a:xfrm>
                      <a:off x="0" y="0"/>
                      <a:ext cx="5731510" cy="2927350"/>
                    </a:xfrm>
                    <a:prstGeom prst="rect">
                      <a:avLst/>
                    </a:prstGeom>
                  </pic:spPr>
                </pic:pic>
              </a:graphicData>
            </a:graphic>
          </wp:inline>
        </w:drawing>
      </w:r>
    </w:p>
    <w:p w14:paraId="745A2BAF" w14:textId="6E4F6494" w:rsidR="0075580B" w:rsidRPr="00015F79" w:rsidRDefault="00E902DB" w:rsidP="00CA6A9A">
      <w:pPr>
        <w:rPr>
          <w:rFonts w:ascii="Arial" w:hAnsi="Arial" w:cs="Arial"/>
        </w:rPr>
      </w:pPr>
      <w:r w:rsidRPr="00E902DB">
        <w:rPr>
          <w:rFonts w:ascii="Arial" w:hAnsi="Arial" w:cs="Arial"/>
        </w:rPr>
        <w:lastRenderedPageBreak/>
        <w:drawing>
          <wp:inline distT="0" distB="0" distL="0" distR="0" wp14:anchorId="167C5CF8" wp14:editId="7B2B20DF">
            <wp:extent cx="5731510" cy="2011045"/>
            <wp:effectExtent l="0" t="0" r="0" b="0"/>
            <wp:docPr id="705480847"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5480847" name="Picture 1" descr="A black screen with white text&#10;&#10;Description automatically generated"/>
                    <pic:cNvPicPr/>
                  </pic:nvPicPr>
                  <pic:blipFill>
                    <a:blip r:embed="rId13"/>
                    <a:stretch>
                      <a:fillRect/>
                    </a:stretch>
                  </pic:blipFill>
                  <pic:spPr>
                    <a:xfrm>
                      <a:off x="0" y="0"/>
                      <a:ext cx="5731510" cy="2011045"/>
                    </a:xfrm>
                    <a:prstGeom prst="rect">
                      <a:avLst/>
                    </a:prstGeom>
                  </pic:spPr>
                </pic:pic>
              </a:graphicData>
            </a:graphic>
          </wp:inline>
        </w:drawing>
      </w:r>
    </w:p>
    <w:p w14:paraId="2842976E" w14:textId="77777777" w:rsidR="00CA6A9A" w:rsidRPr="00015F79" w:rsidRDefault="00CA6A9A" w:rsidP="00680D3B">
      <w:pPr>
        <w:rPr>
          <w:rFonts w:ascii="Arial" w:hAnsi="Arial" w:cs="Arial"/>
        </w:rPr>
      </w:pPr>
    </w:p>
    <w:p w14:paraId="2C43DE70" w14:textId="0689F1B7" w:rsidR="00163AA8" w:rsidRDefault="00E902DB" w:rsidP="00680D3B">
      <w:pPr>
        <w:rPr>
          <w:rFonts w:ascii="Arial" w:hAnsi="Arial" w:cs="Arial"/>
          <w:b/>
          <w:bCs/>
          <w:sz w:val="28"/>
          <w:szCs w:val="28"/>
        </w:rPr>
      </w:pPr>
      <w:r>
        <w:rPr>
          <w:rFonts w:ascii="Arial" w:hAnsi="Arial" w:cs="Arial"/>
          <w:b/>
          <w:bCs/>
          <w:sz w:val="28"/>
          <w:szCs w:val="28"/>
        </w:rPr>
        <w:t>Atodiad tri</w:t>
      </w:r>
    </w:p>
    <w:p w14:paraId="0DB3CE0C" w14:textId="70C9F509" w:rsidR="00305BA1" w:rsidRDefault="00305BA1" w:rsidP="00680D3B">
      <w:pPr>
        <w:rPr>
          <w:rFonts w:ascii="Arial" w:hAnsi="Arial" w:cs="Arial"/>
          <w:b/>
          <w:bCs/>
          <w:sz w:val="28"/>
          <w:szCs w:val="28"/>
        </w:rPr>
      </w:pPr>
      <w:r w:rsidRPr="00305BA1">
        <w:rPr>
          <w:rFonts w:ascii="Arial" w:hAnsi="Arial" w:cs="Arial"/>
          <w:b/>
          <w:bCs/>
          <w:sz w:val="28"/>
          <w:szCs w:val="28"/>
        </w:rPr>
        <w:drawing>
          <wp:inline distT="0" distB="0" distL="0" distR="0" wp14:anchorId="0ECA3CBB" wp14:editId="039953B1">
            <wp:extent cx="5731510" cy="3350260"/>
            <wp:effectExtent l="0" t="0" r="0" b="0"/>
            <wp:docPr id="620615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0615215" name="Picture 1" descr="A screenshot of a computer&#10;&#10;Description automatically generated"/>
                    <pic:cNvPicPr/>
                  </pic:nvPicPr>
                  <pic:blipFill>
                    <a:blip r:embed="rId14"/>
                    <a:stretch>
                      <a:fillRect/>
                    </a:stretch>
                  </pic:blipFill>
                  <pic:spPr>
                    <a:xfrm>
                      <a:off x="0" y="0"/>
                      <a:ext cx="5731510" cy="3350260"/>
                    </a:xfrm>
                    <a:prstGeom prst="rect">
                      <a:avLst/>
                    </a:prstGeom>
                  </pic:spPr>
                </pic:pic>
              </a:graphicData>
            </a:graphic>
          </wp:inline>
        </w:drawing>
      </w:r>
    </w:p>
    <w:p w14:paraId="3C10F4E8" w14:textId="3DAA15CF" w:rsidR="00305BA1" w:rsidRDefault="00305BA1" w:rsidP="00680D3B">
      <w:pPr>
        <w:rPr>
          <w:rFonts w:ascii="Arial" w:hAnsi="Arial" w:cs="Arial"/>
          <w:b/>
          <w:bCs/>
          <w:sz w:val="28"/>
          <w:szCs w:val="28"/>
        </w:rPr>
      </w:pPr>
      <w:r w:rsidRPr="00305BA1">
        <w:rPr>
          <w:rFonts w:ascii="Arial" w:hAnsi="Arial" w:cs="Arial"/>
          <w:b/>
          <w:bCs/>
          <w:sz w:val="28"/>
          <w:szCs w:val="28"/>
        </w:rPr>
        <w:lastRenderedPageBreak/>
        <w:drawing>
          <wp:inline distT="0" distB="0" distL="0" distR="0" wp14:anchorId="41137579" wp14:editId="1EE9FC75">
            <wp:extent cx="5731510" cy="3484880"/>
            <wp:effectExtent l="0" t="0" r="0" b="0"/>
            <wp:docPr id="28930823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308239" name="Picture 1" descr="A screenshot of a computer&#10;&#10;Description automatically generated"/>
                    <pic:cNvPicPr/>
                  </pic:nvPicPr>
                  <pic:blipFill>
                    <a:blip r:embed="rId15"/>
                    <a:stretch>
                      <a:fillRect/>
                    </a:stretch>
                  </pic:blipFill>
                  <pic:spPr>
                    <a:xfrm>
                      <a:off x="0" y="0"/>
                      <a:ext cx="5731510" cy="3484880"/>
                    </a:xfrm>
                    <a:prstGeom prst="rect">
                      <a:avLst/>
                    </a:prstGeom>
                  </pic:spPr>
                </pic:pic>
              </a:graphicData>
            </a:graphic>
          </wp:inline>
        </w:drawing>
      </w:r>
    </w:p>
    <w:p w14:paraId="7C6A8611" w14:textId="2A9BDD51" w:rsidR="00305BA1" w:rsidRPr="00E902DB" w:rsidRDefault="00305BA1" w:rsidP="00680D3B">
      <w:pPr>
        <w:rPr>
          <w:rFonts w:ascii="Arial" w:hAnsi="Arial" w:cs="Arial"/>
          <w:b/>
          <w:bCs/>
          <w:sz w:val="28"/>
          <w:szCs w:val="28"/>
        </w:rPr>
      </w:pPr>
      <w:r w:rsidRPr="00305BA1">
        <w:rPr>
          <w:rFonts w:ascii="Arial" w:hAnsi="Arial" w:cs="Arial"/>
          <w:b/>
          <w:bCs/>
          <w:sz w:val="28"/>
          <w:szCs w:val="28"/>
        </w:rPr>
        <w:drawing>
          <wp:inline distT="0" distB="0" distL="0" distR="0" wp14:anchorId="3886248C" wp14:editId="0FBB5610">
            <wp:extent cx="5731510" cy="914400"/>
            <wp:effectExtent l="0" t="0" r="0" b="0"/>
            <wp:docPr id="713677957"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677957" name="Picture 1" descr="A screen shot of a computer&#10;&#10;Description automatically generated"/>
                    <pic:cNvPicPr/>
                  </pic:nvPicPr>
                  <pic:blipFill>
                    <a:blip r:embed="rId16"/>
                    <a:stretch>
                      <a:fillRect/>
                    </a:stretch>
                  </pic:blipFill>
                  <pic:spPr>
                    <a:xfrm>
                      <a:off x="0" y="0"/>
                      <a:ext cx="5731510" cy="914400"/>
                    </a:xfrm>
                    <a:prstGeom prst="rect">
                      <a:avLst/>
                    </a:prstGeom>
                  </pic:spPr>
                </pic:pic>
              </a:graphicData>
            </a:graphic>
          </wp:inline>
        </w:drawing>
      </w:r>
    </w:p>
    <w:p w14:paraId="547FE9FF" w14:textId="42559088" w:rsidR="00163AA8" w:rsidRPr="00015F79" w:rsidRDefault="00163AA8" w:rsidP="00680D3B">
      <w:pPr>
        <w:rPr>
          <w:rFonts w:ascii="Arial" w:hAnsi="Arial" w:cs="Arial"/>
        </w:rPr>
      </w:pPr>
    </w:p>
    <w:sectPr w:rsidR="00163AA8" w:rsidRPr="00015F79">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85470" w14:textId="77777777" w:rsidR="003D1DD9" w:rsidRDefault="003D1DD9" w:rsidP="002D6E2D">
      <w:pPr>
        <w:spacing w:after="0" w:line="240" w:lineRule="auto"/>
      </w:pPr>
      <w:r>
        <w:separator/>
      </w:r>
    </w:p>
  </w:endnote>
  <w:endnote w:type="continuationSeparator" w:id="0">
    <w:p w14:paraId="3AD4F17A" w14:textId="77777777" w:rsidR="003D1DD9" w:rsidRDefault="003D1DD9" w:rsidP="002D6E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51AA47" w14:textId="77777777" w:rsidR="002D6E2D" w:rsidRDefault="002D6E2D">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545BE27E" w14:textId="77777777" w:rsidR="002D6E2D" w:rsidRDefault="002D6E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50F372" w14:textId="77777777" w:rsidR="003D1DD9" w:rsidRDefault="003D1DD9" w:rsidP="002D6E2D">
      <w:pPr>
        <w:spacing w:after="0" w:line="240" w:lineRule="auto"/>
      </w:pPr>
      <w:r>
        <w:separator/>
      </w:r>
    </w:p>
  </w:footnote>
  <w:footnote w:type="continuationSeparator" w:id="0">
    <w:p w14:paraId="62D3EAE6" w14:textId="77777777" w:rsidR="003D1DD9" w:rsidRDefault="003D1DD9" w:rsidP="002D6E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351A3C" w14:textId="4A66C388" w:rsidR="002D6E2D" w:rsidRDefault="002D6E2D" w:rsidP="002D6E2D">
    <w:pPr>
      <w:pStyle w:val="Header"/>
      <w:tabs>
        <w:tab w:val="clear" w:pos="4513"/>
        <w:tab w:val="clear" w:pos="9026"/>
        <w:tab w:val="left" w:pos="8304"/>
      </w:tabs>
    </w:pPr>
    <w:r>
      <w:t>2103520                                                                                                                                                   ECAD5008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680D3B"/>
    <w:rsid w:val="000044CC"/>
    <w:rsid w:val="00015F79"/>
    <w:rsid w:val="00037454"/>
    <w:rsid w:val="00076479"/>
    <w:rsid w:val="00081FF0"/>
    <w:rsid w:val="000C2B1E"/>
    <w:rsid w:val="000C4FEE"/>
    <w:rsid w:val="000C66B5"/>
    <w:rsid w:val="000D7FEA"/>
    <w:rsid w:val="000F5F57"/>
    <w:rsid w:val="001221FF"/>
    <w:rsid w:val="00163AA8"/>
    <w:rsid w:val="00185404"/>
    <w:rsid w:val="00195B01"/>
    <w:rsid w:val="001D3079"/>
    <w:rsid w:val="001D53FC"/>
    <w:rsid w:val="00202D95"/>
    <w:rsid w:val="00221581"/>
    <w:rsid w:val="00245606"/>
    <w:rsid w:val="00266430"/>
    <w:rsid w:val="0027320C"/>
    <w:rsid w:val="00273710"/>
    <w:rsid w:val="00297229"/>
    <w:rsid w:val="002A7996"/>
    <w:rsid w:val="002D3AB6"/>
    <w:rsid w:val="002D4D4F"/>
    <w:rsid w:val="002D6E2D"/>
    <w:rsid w:val="002F0157"/>
    <w:rsid w:val="002F7B54"/>
    <w:rsid w:val="00305BA1"/>
    <w:rsid w:val="0030635D"/>
    <w:rsid w:val="003205DA"/>
    <w:rsid w:val="0035065C"/>
    <w:rsid w:val="00385696"/>
    <w:rsid w:val="003D1DD9"/>
    <w:rsid w:val="003F6E67"/>
    <w:rsid w:val="004835B2"/>
    <w:rsid w:val="00491D7D"/>
    <w:rsid w:val="004A1155"/>
    <w:rsid w:val="004B11DA"/>
    <w:rsid w:val="004F7794"/>
    <w:rsid w:val="00561867"/>
    <w:rsid w:val="0056501D"/>
    <w:rsid w:val="005706E5"/>
    <w:rsid w:val="005758A0"/>
    <w:rsid w:val="00583AD0"/>
    <w:rsid w:val="005D5F96"/>
    <w:rsid w:val="005E147D"/>
    <w:rsid w:val="00623AB8"/>
    <w:rsid w:val="00624762"/>
    <w:rsid w:val="00632217"/>
    <w:rsid w:val="006324A4"/>
    <w:rsid w:val="00654F6D"/>
    <w:rsid w:val="00680D3B"/>
    <w:rsid w:val="00695E3D"/>
    <w:rsid w:val="006D5069"/>
    <w:rsid w:val="00716BA9"/>
    <w:rsid w:val="007343EB"/>
    <w:rsid w:val="00734D73"/>
    <w:rsid w:val="00737977"/>
    <w:rsid w:val="0075580B"/>
    <w:rsid w:val="00780F11"/>
    <w:rsid w:val="007A3428"/>
    <w:rsid w:val="007B2591"/>
    <w:rsid w:val="007C139D"/>
    <w:rsid w:val="007D51E7"/>
    <w:rsid w:val="007D6ED2"/>
    <w:rsid w:val="00856433"/>
    <w:rsid w:val="008742CC"/>
    <w:rsid w:val="008904F7"/>
    <w:rsid w:val="008A14F9"/>
    <w:rsid w:val="008A6F1D"/>
    <w:rsid w:val="008E1F1F"/>
    <w:rsid w:val="008F7A21"/>
    <w:rsid w:val="00905962"/>
    <w:rsid w:val="00935112"/>
    <w:rsid w:val="009374A4"/>
    <w:rsid w:val="00964A18"/>
    <w:rsid w:val="0098507B"/>
    <w:rsid w:val="0099046F"/>
    <w:rsid w:val="00992D51"/>
    <w:rsid w:val="00995582"/>
    <w:rsid w:val="009A76CD"/>
    <w:rsid w:val="009A7D97"/>
    <w:rsid w:val="009C606F"/>
    <w:rsid w:val="009D499F"/>
    <w:rsid w:val="009E0904"/>
    <w:rsid w:val="00A27D74"/>
    <w:rsid w:val="00A41E78"/>
    <w:rsid w:val="00A51D1E"/>
    <w:rsid w:val="00A51FBD"/>
    <w:rsid w:val="00A74405"/>
    <w:rsid w:val="00A948CE"/>
    <w:rsid w:val="00AB23E8"/>
    <w:rsid w:val="00AE7D9D"/>
    <w:rsid w:val="00AF7E33"/>
    <w:rsid w:val="00B00327"/>
    <w:rsid w:val="00B00526"/>
    <w:rsid w:val="00B40B13"/>
    <w:rsid w:val="00B64CB5"/>
    <w:rsid w:val="00BF0465"/>
    <w:rsid w:val="00C01988"/>
    <w:rsid w:val="00C038F7"/>
    <w:rsid w:val="00C443DF"/>
    <w:rsid w:val="00C60231"/>
    <w:rsid w:val="00C77440"/>
    <w:rsid w:val="00C90210"/>
    <w:rsid w:val="00CA0486"/>
    <w:rsid w:val="00CA6A9A"/>
    <w:rsid w:val="00CB4D93"/>
    <w:rsid w:val="00D462B7"/>
    <w:rsid w:val="00D5603B"/>
    <w:rsid w:val="00D642EA"/>
    <w:rsid w:val="00D74CB7"/>
    <w:rsid w:val="00D830C3"/>
    <w:rsid w:val="00DC5C74"/>
    <w:rsid w:val="00DC5F1E"/>
    <w:rsid w:val="00DE063B"/>
    <w:rsid w:val="00E16900"/>
    <w:rsid w:val="00E40A1C"/>
    <w:rsid w:val="00E827DA"/>
    <w:rsid w:val="00E902DB"/>
    <w:rsid w:val="00E94168"/>
    <w:rsid w:val="00EB506C"/>
    <w:rsid w:val="00EB5256"/>
    <w:rsid w:val="00F01547"/>
    <w:rsid w:val="00FA0ECE"/>
    <w:rsid w:val="00FA3EEE"/>
    <w:rsid w:val="00FB2DD1"/>
    <w:rsid w:val="00FF6D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F6850"/>
  <w15:docId w15:val="{C2E86AC7-D871-4AC7-9F5D-0E17F5088E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624762"/>
  </w:style>
  <w:style w:type="paragraph" w:styleId="Header">
    <w:name w:val="header"/>
    <w:basedOn w:val="Normal"/>
    <w:link w:val="HeaderChar"/>
    <w:uiPriority w:val="99"/>
    <w:unhideWhenUsed/>
    <w:rsid w:val="002D6E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6E2D"/>
    <w:rPr>
      <w:lang w:val="cy-GB"/>
    </w:rPr>
  </w:style>
  <w:style w:type="paragraph" w:styleId="Footer">
    <w:name w:val="footer"/>
    <w:basedOn w:val="Normal"/>
    <w:link w:val="FooterChar"/>
    <w:uiPriority w:val="99"/>
    <w:unhideWhenUsed/>
    <w:rsid w:val="002D6E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6E2D"/>
    <w:rPr>
      <w:lang w:val="cy-GB"/>
    </w:rPr>
  </w:style>
  <w:style w:type="paragraph" w:styleId="NormalWeb">
    <w:name w:val="Normal (Web)"/>
    <w:basedOn w:val="Normal"/>
    <w:uiPriority w:val="99"/>
    <w:semiHidden/>
    <w:unhideWhenUsed/>
    <w:rsid w:val="00015F79"/>
    <w:pPr>
      <w:spacing w:before="100" w:beforeAutospacing="1" w:after="100" w:afterAutospacing="1" w:line="240" w:lineRule="auto"/>
    </w:pPr>
    <w:rPr>
      <w:rFonts w:ascii="Times New Roman" w:eastAsia="Times New Roman" w:hAnsi="Times New Roman" w:cs="Times New Roman"/>
      <w:kern w:val="0"/>
      <w:sz w:val="24"/>
      <w:szCs w:val="24"/>
      <w:lang w:val="en-GB" w:eastAsia="en-GB"/>
    </w:rPr>
  </w:style>
  <w:style w:type="character" w:styleId="Hyperlink">
    <w:name w:val="Hyperlink"/>
    <w:basedOn w:val="DefaultParagraphFont"/>
    <w:uiPriority w:val="99"/>
    <w:unhideWhenUsed/>
    <w:rsid w:val="00A948CE"/>
    <w:rPr>
      <w:color w:val="0563C1" w:themeColor="hyperlink"/>
      <w:u w:val="single"/>
    </w:rPr>
  </w:style>
  <w:style w:type="character" w:styleId="UnresolvedMention">
    <w:name w:val="Unresolved Mention"/>
    <w:basedOn w:val="DefaultParagraphFont"/>
    <w:uiPriority w:val="99"/>
    <w:semiHidden/>
    <w:unhideWhenUsed/>
    <w:rsid w:val="00A948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6861616">
      <w:bodyDiv w:val="1"/>
      <w:marLeft w:val="0"/>
      <w:marRight w:val="0"/>
      <w:marTop w:val="0"/>
      <w:marBottom w:val="0"/>
      <w:divBdr>
        <w:top w:val="none" w:sz="0" w:space="0" w:color="auto"/>
        <w:left w:val="none" w:sz="0" w:space="0" w:color="auto"/>
        <w:bottom w:val="none" w:sz="0" w:space="0" w:color="auto"/>
        <w:right w:val="none" w:sz="0" w:space="0" w:color="auto"/>
      </w:divBdr>
      <w:divsChild>
        <w:div w:id="1576743197">
          <w:marLeft w:val="0"/>
          <w:marRight w:val="0"/>
          <w:marTop w:val="0"/>
          <w:marBottom w:val="0"/>
          <w:divBdr>
            <w:top w:val="none" w:sz="0" w:space="0" w:color="auto"/>
            <w:left w:val="none" w:sz="0" w:space="0" w:color="auto"/>
            <w:bottom w:val="none" w:sz="0" w:space="0" w:color="auto"/>
            <w:right w:val="none" w:sz="0" w:space="0" w:color="auto"/>
          </w:divBdr>
        </w:div>
      </w:divsChild>
    </w:div>
    <w:div w:id="1621260797">
      <w:bodyDiv w:val="1"/>
      <w:marLeft w:val="0"/>
      <w:marRight w:val="0"/>
      <w:marTop w:val="0"/>
      <w:marBottom w:val="0"/>
      <w:divBdr>
        <w:top w:val="none" w:sz="0" w:space="0" w:color="auto"/>
        <w:left w:val="none" w:sz="0" w:space="0" w:color="auto"/>
        <w:bottom w:val="none" w:sz="0" w:space="0" w:color="auto"/>
        <w:right w:val="none" w:sz="0" w:space="0" w:color="auto"/>
      </w:divBdr>
      <w:divsChild>
        <w:div w:id="868953731">
          <w:marLeft w:val="0"/>
          <w:marRight w:val="0"/>
          <w:marTop w:val="0"/>
          <w:marBottom w:val="0"/>
          <w:divBdr>
            <w:top w:val="none" w:sz="0" w:space="0" w:color="auto"/>
            <w:left w:val="none" w:sz="0" w:space="0" w:color="auto"/>
            <w:bottom w:val="none" w:sz="0" w:space="0" w:color="auto"/>
            <w:right w:val="none" w:sz="0" w:space="0" w:color="auto"/>
          </w:divBdr>
          <w:divsChild>
            <w:div w:id="155658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2199066">
      <w:bodyDiv w:val="1"/>
      <w:marLeft w:val="0"/>
      <w:marRight w:val="0"/>
      <w:marTop w:val="0"/>
      <w:marBottom w:val="0"/>
      <w:divBdr>
        <w:top w:val="none" w:sz="0" w:space="0" w:color="auto"/>
        <w:left w:val="none" w:sz="0" w:space="0" w:color="auto"/>
        <w:bottom w:val="none" w:sz="0" w:space="0" w:color="auto"/>
        <w:right w:val="none" w:sz="0" w:space="0" w:color="auto"/>
      </w:divBdr>
      <w:divsChild>
        <w:div w:id="1321541397">
          <w:marLeft w:val="0"/>
          <w:marRight w:val="0"/>
          <w:marTop w:val="0"/>
          <w:marBottom w:val="0"/>
          <w:divBdr>
            <w:top w:val="none" w:sz="0" w:space="0" w:color="auto"/>
            <w:left w:val="none" w:sz="0" w:space="0" w:color="auto"/>
            <w:bottom w:val="none" w:sz="0" w:space="0" w:color="auto"/>
            <w:right w:val="none" w:sz="0" w:space="0" w:color="auto"/>
          </w:divBdr>
          <w:divsChild>
            <w:div w:id="290987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3192888">
      <w:bodyDiv w:val="1"/>
      <w:marLeft w:val="0"/>
      <w:marRight w:val="0"/>
      <w:marTop w:val="0"/>
      <w:marBottom w:val="0"/>
      <w:divBdr>
        <w:top w:val="none" w:sz="0" w:space="0" w:color="auto"/>
        <w:left w:val="none" w:sz="0" w:space="0" w:color="auto"/>
        <w:bottom w:val="none" w:sz="0" w:space="0" w:color="auto"/>
        <w:right w:val="none" w:sz="0" w:space="0" w:color="auto"/>
      </w:divBdr>
      <w:divsChild>
        <w:div w:id="813134445">
          <w:marLeft w:val="0"/>
          <w:marRight w:val="0"/>
          <w:marTop w:val="0"/>
          <w:marBottom w:val="0"/>
          <w:divBdr>
            <w:top w:val="none" w:sz="0" w:space="0" w:color="auto"/>
            <w:left w:val="none" w:sz="0" w:space="0" w:color="auto"/>
            <w:bottom w:val="none" w:sz="0" w:space="0" w:color="auto"/>
            <w:right w:val="none" w:sz="0" w:space="0" w:color="auto"/>
          </w:divBdr>
          <w:divsChild>
            <w:div w:id="1492402465">
              <w:marLeft w:val="0"/>
              <w:marRight w:val="0"/>
              <w:marTop w:val="0"/>
              <w:marBottom w:val="0"/>
              <w:divBdr>
                <w:top w:val="none" w:sz="0" w:space="0" w:color="auto"/>
                <w:left w:val="none" w:sz="0" w:space="0" w:color="auto"/>
                <w:bottom w:val="none" w:sz="0" w:space="0" w:color="auto"/>
                <w:right w:val="none" w:sz="0" w:space="0" w:color="auto"/>
              </w:divBdr>
            </w:div>
          </w:divsChild>
        </w:div>
        <w:div w:id="1675574399">
          <w:marLeft w:val="0"/>
          <w:marRight w:val="0"/>
          <w:marTop w:val="0"/>
          <w:marBottom w:val="0"/>
          <w:divBdr>
            <w:top w:val="none" w:sz="0" w:space="0" w:color="auto"/>
            <w:left w:val="none" w:sz="0" w:space="0" w:color="auto"/>
            <w:bottom w:val="none" w:sz="0" w:space="0" w:color="auto"/>
            <w:right w:val="none" w:sz="0" w:space="0" w:color="auto"/>
          </w:divBdr>
          <w:divsChild>
            <w:div w:id="1323268170">
              <w:marLeft w:val="0"/>
              <w:marRight w:val="0"/>
              <w:marTop w:val="0"/>
              <w:marBottom w:val="0"/>
              <w:divBdr>
                <w:top w:val="none" w:sz="0" w:space="0" w:color="auto"/>
                <w:left w:val="none" w:sz="0" w:space="0" w:color="auto"/>
                <w:bottom w:val="none" w:sz="0" w:space="0" w:color="auto"/>
                <w:right w:val="none" w:sz="0" w:space="0" w:color="auto"/>
              </w:divBdr>
              <w:divsChild>
                <w:div w:id="1784112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753897">
          <w:marLeft w:val="0"/>
          <w:marRight w:val="0"/>
          <w:marTop w:val="0"/>
          <w:marBottom w:val="0"/>
          <w:divBdr>
            <w:top w:val="none" w:sz="0" w:space="0" w:color="auto"/>
            <w:left w:val="none" w:sz="0" w:space="0" w:color="auto"/>
            <w:bottom w:val="none" w:sz="0" w:space="0" w:color="auto"/>
            <w:right w:val="none" w:sz="0" w:space="0" w:color="auto"/>
          </w:divBdr>
          <w:divsChild>
            <w:div w:id="1881473513">
              <w:marLeft w:val="0"/>
              <w:marRight w:val="0"/>
              <w:marTop w:val="60"/>
              <w:marBottom w:val="0"/>
              <w:divBdr>
                <w:top w:val="none" w:sz="0" w:space="0" w:color="auto"/>
                <w:left w:val="none" w:sz="0" w:space="0" w:color="auto"/>
                <w:bottom w:val="none" w:sz="0" w:space="0" w:color="auto"/>
                <w:right w:val="none" w:sz="0" w:space="0" w:color="auto"/>
              </w:divBdr>
            </w:div>
          </w:divsChild>
        </w:div>
        <w:div w:id="1355182079">
          <w:marLeft w:val="0"/>
          <w:marRight w:val="0"/>
          <w:marTop w:val="0"/>
          <w:marBottom w:val="0"/>
          <w:divBdr>
            <w:top w:val="none" w:sz="0" w:space="0" w:color="auto"/>
            <w:left w:val="none" w:sz="0" w:space="0" w:color="auto"/>
            <w:bottom w:val="none" w:sz="0" w:space="0" w:color="auto"/>
            <w:right w:val="none" w:sz="0" w:space="0" w:color="auto"/>
          </w:divBdr>
        </w:div>
        <w:div w:id="1342850116">
          <w:marLeft w:val="0"/>
          <w:marRight w:val="0"/>
          <w:marTop w:val="0"/>
          <w:marBottom w:val="0"/>
          <w:divBdr>
            <w:top w:val="none" w:sz="0" w:space="0" w:color="auto"/>
            <w:left w:val="none" w:sz="0" w:space="0" w:color="auto"/>
            <w:bottom w:val="none" w:sz="0" w:space="0" w:color="auto"/>
            <w:right w:val="none" w:sz="0" w:space="0" w:color="auto"/>
          </w:divBdr>
          <w:divsChild>
            <w:div w:id="274606548">
              <w:marLeft w:val="0"/>
              <w:marRight w:val="0"/>
              <w:marTop w:val="0"/>
              <w:marBottom w:val="0"/>
              <w:divBdr>
                <w:top w:val="none" w:sz="0" w:space="0" w:color="auto"/>
                <w:left w:val="none" w:sz="0" w:space="0" w:color="auto"/>
                <w:bottom w:val="none" w:sz="0" w:space="0" w:color="auto"/>
                <w:right w:val="none" w:sz="0" w:space="0" w:color="auto"/>
              </w:divBdr>
              <w:divsChild>
                <w:div w:id="2085561434">
                  <w:marLeft w:val="0"/>
                  <w:marRight w:val="0"/>
                  <w:marTop w:val="0"/>
                  <w:marBottom w:val="0"/>
                  <w:divBdr>
                    <w:top w:val="none" w:sz="0" w:space="0" w:color="auto"/>
                    <w:left w:val="none" w:sz="0" w:space="0" w:color="auto"/>
                    <w:bottom w:val="none" w:sz="0" w:space="0" w:color="auto"/>
                    <w:right w:val="none" w:sz="0" w:space="0" w:color="auto"/>
                  </w:divBdr>
                  <w:divsChild>
                    <w:div w:id="740980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www.edume.com" TargetMode="External"/><Relationship Id="rId12" Type="http://schemas.openxmlformats.org/officeDocument/2006/relationships/image" Target="media/image5.png"/><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A60703-4BCC-4C2E-AC73-11D74EBB914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8230</TotalTime>
  <Pages>18</Pages>
  <Words>5209</Words>
  <Characters>29696</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Osian Williams (2103520)</dc:creator>
  <cp:keywords/>
  <dc:description/>
  <cp:lastModifiedBy>Osian Williams (2103520)</cp:lastModifiedBy>
  <cp:revision>17</cp:revision>
  <dcterms:created xsi:type="dcterms:W3CDTF">2024-01-03T17:40:00Z</dcterms:created>
  <dcterms:modified xsi:type="dcterms:W3CDTF">2024-01-09T21:52:00Z</dcterms:modified>
</cp:coreProperties>
</file>