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9743159"/>
        <w:docPartObj>
          <w:docPartGallery w:val="Cover Pages"/>
          <w:docPartUnique/>
        </w:docPartObj>
      </w:sdtPr>
      <w:sdtEndPr>
        <w:rPr>
          <w:rFonts w:eastAsia="Times New Roman" w:cstheme="minorHAnsi"/>
          <w:kern w:val="0"/>
          <w:lang w:val="en-GB" w:eastAsia="en-GB"/>
          <w14:ligatures w14:val="none"/>
        </w:rPr>
      </w:sdtEndPr>
      <w:sdtContent>
        <w:p w14:paraId="39597432" w14:textId="159AA953" w:rsidR="00E636CC" w:rsidRDefault="00E636CC">
          <w:r>
            <w:rPr>
              <w:noProof/>
            </w:rPr>
            <mc:AlternateContent>
              <mc:Choice Requires="wpg">
                <w:drawing>
                  <wp:anchor distT="0" distB="0" distL="114300" distR="114300" simplePos="0" relativeHeight="251665408" behindDoc="0" locked="0" layoutInCell="1" allowOverlap="1" wp14:anchorId="37CB63A7" wp14:editId="10BACE1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6E4900" id="Group 51"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69803831" wp14:editId="76F89DB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B9E3E1" w14:textId="17F136DA" w:rsidR="00E636CC" w:rsidRDefault="00E636CC">
                                    <w:pPr>
                                      <w:pStyle w:val="NoSpacing"/>
                                      <w:jc w:val="right"/>
                                      <w:rPr>
                                        <w:color w:val="595959" w:themeColor="text1" w:themeTint="A6"/>
                                        <w:sz w:val="28"/>
                                        <w:szCs w:val="28"/>
                                      </w:rPr>
                                    </w:pPr>
                                    <w:r>
                                      <w:rPr>
                                        <w:color w:val="595959" w:themeColor="text1" w:themeTint="A6"/>
                                        <w:sz w:val="28"/>
                                        <w:szCs w:val="28"/>
                                      </w:rPr>
                                      <w:t>Gwenan Evans</w:t>
                                    </w:r>
                                  </w:p>
                                </w:sdtContent>
                              </w:sdt>
                              <w:p w14:paraId="5E67F47F" w14:textId="20C03352" w:rsidR="00E636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636CC">
                                      <w:rPr>
                                        <w:color w:val="595959" w:themeColor="text1" w:themeTint="A6"/>
                                        <w:sz w:val="18"/>
                                        <w:szCs w:val="18"/>
                                      </w:rPr>
                                      <w:t>2305107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803831" id="_x0000_t202" coordsize="21600,21600" o:spt="202" path="m,l,21600r21600,l21600,xe">
                    <v:stroke joinstyle="miter"/>
                    <v:path gradientshapeok="t" o:connecttype="rect"/>
                  </v:shapetype>
                  <v:shape id="Text Box 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B9E3E1" w14:textId="17F136DA" w:rsidR="00E636CC" w:rsidRDefault="00E636CC">
                              <w:pPr>
                                <w:pStyle w:val="NoSpacing"/>
                                <w:jc w:val="right"/>
                                <w:rPr>
                                  <w:color w:val="595959" w:themeColor="text1" w:themeTint="A6"/>
                                  <w:sz w:val="28"/>
                                  <w:szCs w:val="28"/>
                                </w:rPr>
                              </w:pPr>
                              <w:r>
                                <w:rPr>
                                  <w:color w:val="595959" w:themeColor="text1" w:themeTint="A6"/>
                                  <w:sz w:val="28"/>
                                  <w:szCs w:val="28"/>
                                </w:rPr>
                                <w:t>Gwenan Evans</w:t>
                              </w:r>
                            </w:p>
                          </w:sdtContent>
                        </w:sdt>
                        <w:p w14:paraId="5E67F47F" w14:textId="20C03352" w:rsidR="00E636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636CC">
                                <w:rPr>
                                  <w:color w:val="595959" w:themeColor="text1" w:themeTint="A6"/>
                                  <w:sz w:val="18"/>
                                  <w:szCs w:val="18"/>
                                </w:rPr>
                                <w:t>2305107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6AA5C1E2" wp14:editId="695E9A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28B19" w14:textId="34392219" w:rsidR="00E636CC" w:rsidRDefault="00000000" w:rsidP="00E636CC">
                                <w:pPr>
                                  <w:jc w:val="right"/>
                                  <w:rPr>
                                    <w:color w:val="4472C4" w:themeColor="accent1"/>
                                    <w:sz w:val="64"/>
                                    <w:szCs w:val="64"/>
                                  </w:rPr>
                                </w:pPr>
                                <w:sdt>
                                  <w:sdtPr>
                                    <w:rPr>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636CC" w:rsidRPr="00E636CC">
                                      <w:rPr>
                                        <w:sz w:val="28"/>
                                        <w:szCs w:val="28"/>
                                      </w:rPr>
                                      <w:t xml:space="preserve">Gwerthusiad beirniadol a nodi'r camau addysgu a dysgu nesaf sy'n </w:t>
                                    </w:r>
                                    <w:r w:rsidR="00E636CC" w:rsidRPr="00E636CC">
                                      <w:rPr>
                                        <w:sz w:val="28"/>
                                        <w:szCs w:val="28"/>
                                      </w:rPr>
                                      <w:br/>
                                      <w:t xml:space="preserve">canolbwyntio ar astudiaeth achos o ddysgwr unigol neu grŵp o ddysgwyr, yn seiliedig ar </w:t>
                                    </w:r>
                                    <w:r w:rsidR="00E636CC" w:rsidRPr="00E636CC">
                                      <w:rPr>
                                        <w:sz w:val="28"/>
                                        <w:szCs w:val="28"/>
                                      </w:rPr>
                                      <w:br/>
                                      <w:t>ddigwyddiad critigol a arsylwyd</w:t>
                                    </w:r>
                                    <w:r w:rsidR="00E636CC">
                                      <w:rPr>
                                        <w:sz w:val="28"/>
                                        <w:szCs w:val="28"/>
                                      </w:rPr>
                                      <w: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A5C1E2" id="Text Box 54" o:spid="_x0000_s1027"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7828B19" w14:textId="34392219" w:rsidR="00E636CC" w:rsidRDefault="00000000" w:rsidP="00E636CC">
                          <w:pPr>
                            <w:jc w:val="right"/>
                            <w:rPr>
                              <w:color w:val="4472C4" w:themeColor="accent1"/>
                              <w:sz w:val="64"/>
                              <w:szCs w:val="64"/>
                            </w:rPr>
                          </w:pPr>
                          <w:sdt>
                            <w:sdtPr>
                              <w:rPr>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636CC" w:rsidRPr="00E636CC">
                                <w:rPr>
                                  <w:sz w:val="28"/>
                                  <w:szCs w:val="28"/>
                                </w:rPr>
                                <w:t xml:space="preserve">Gwerthusiad beirniadol a nodi'r camau addysgu a dysgu nesaf sy'n </w:t>
                              </w:r>
                              <w:r w:rsidR="00E636CC" w:rsidRPr="00E636CC">
                                <w:rPr>
                                  <w:sz w:val="28"/>
                                  <w:szCs w:val="28"/>
                                </w:rPr>
                                <w:br/>
                                <w:t xml:space="preserve">canolbwyntio ar astudiaeth achos o ddysgwr unigol neu grŵp o ddysgwyr, yn seiliedig ar </w:t>
                              </w:r>
                              <w:r w:rsidR="00E636CC" w:rsidRPr="00E636CC">
                                <w:rPr>
                                  <w:sz w:val="28"/>
                                  <w:szCs w:val="28"/>
                                </w:rPr>
                                <w:br/>
                                <w:t>ddigwyddiad critigol a arsylwyd</w:t>
                              </w:r>
                              <w:r w:rsidR="00E636CC">
                                <w:rPr>
                                  <w:sz w:val="28"/>
                                  <w:szCs w:val="28"/>
                                </w:rPr>
                                <w:t>.</w:t>
                              </w:r>
                            </w:sdtContent>
                          </w:sdt>
                        </w:p>
                      </w:txbxContent>
                    </v:textbox>
                    <w10:wrap type="square" anchorx="page" anchory="page"/>
                  </v:shape>
                </w:pict>
              </mc:Fallback>
            </mc:AlternateContent>
          </w:r>
        </w:p>
        <w:p w14:paraId="53C39A48" w14:textId="00030BD2" w:rsidR="00E636CC" w:rsidRDefault="00E636CC">
          <w:pPr>
            <w:rPr>
              <w:rFonts w:eastAsia="Times New Roman" w:cstheme="minorHAnsi"/>
              <w:kern w:val="0"/>
              <w:lang w:val="en-GB" w:eastAsia="en-GB"/>
              <w14:ligatures w14:val="none"/>
            </w:rPr>
          </w:pPr>
          <w:r>
            <w:rPr>
              <w:rFonts w:eastAsia="Times New Roman" w:cstheme="minorHAnsi"/>
              <w:kern w:val="0"/>
              <w:lang w:val="en-GB" w:eastAsia="en-GB"/>
              <w14:ligatures w14:val="none"/>
            </w:rPr>
            <w:br w:type="page"/>
          </w:r>
        </w:p>
      </w:sdtContent>
    </w:sdt>
    <w:p w14:paraId="4DFC6029" w14:textId="0F15D61C" w:rsidR="00534E7B" w:rsidRPr="00D803E3" w:rsidRDefault="00E2595E" w:rsidP="00B742AE">
      <w:pPr>
        <w:pStyle w:val="ListParagraph"/>
        <w:numPr>
          <w:ilvl w:val="0"/>
          <w:numId w:val="1"/>
        </w:numPr>
        <w:rPr>
          <w:b/>
          <w:bCs/>
          <w:u w:val="single"/>
          <w:lang w:val="en-US"/>
        </w:rPr>
      </w:pPr>
      <w:proofErr w:type="spellStart"/>
      <w:r w:rsidRPr="00D803E3">
        <w:rPr>
          <w:b/>
          <w:bCs/>
          <w:u w:val="single"/>
          <w:lang w:val="en-US"/>
        </w:rPr>
        <w:lastRenderedPageBreak/>
        <w:t>Cyflwyniad</w:t>
      </w:r>
      <w:proofErr w:type="spellEnd"/>
      <w:r w:rsidRPr="00D803E3">
        <w:rPr>
          <w:b/>
          <w:bCs/>
          <w:u w:val="single"/>
          <w:lang w:val="en-US"/>
        </w:rPr>
        <w:t>:</w:t>
      </w:r>
    </w:p>
    <w:p w14:paraId="5B1CF389" w14:textId="3DC25AED" w:rsidR="00013DF6" w:rsidRDefault="009B5BF3">
      <w:pPr>
        <w:rPr>
          <w:lang w:val="en-US"/>
        </w:rPr>
      </w:pPr>
      <w:r w:rsidRPr="009B5BF3">
        <w:rPr>
          <w:lang w:val="en-US"/>
        </w:rPr>
        <w:t xml:space="preserve">Heb </w:t>
      </w:r>
      <w:proofErr w:type="spellStart"/>
      <w:r w:rsidRPr="009B5BF3">
        <w:rPr>
          <w:lang w:val="en-US"/>
        </w:rPr>
        <w:t>os</w:t>
      </w:r>
      <w:proofErr w:type="spellEnd"/>
      <w:r w:rsidRPr="009B5BF3">
        <w:rPr>
          <w:lang w:val="en-US"/>
        </w:rPr>
        <w:t xml:space="preserve">, </w:t>
      </w:r>
      <w:proofErr w:type="spellStart"/>
      <w:r w:rsidRPr="009B5BF3">
        <w:rPr>
          <w:lang w:val="en-US"/>
        </w:rPr>
        <w:t>mae’r</w:t>
      </w:r>
      <w:proofErr w:type="spellEnd"/>
      <w:r w:rsidRPr="009B5BF3">
        <w:rPr>
          <w:lang w:val="en-US"/>
        </w:rPr>
        <w:t xml:space="preserve"> </w:t>
      </w:r>
      <w:proofErr w:type="spellStart"/>
      <w:r w:rsidRPr="009B5BF3">
        <w:rPr>
          <w:lang w:val="en-US"/>
        </w:rPr>
        <w:t>sylw</w:t>
      </w:r>
      <w:proofErr w:type="spellEnd"/>
      <w:r w:rsidRPr="009B5BF3">
        <w:rPr>
          <w:lang w:val="en-US"/>
        </w:rPr>
        <w:t xml:space="preserve"> </w:t>
      </w:r>
      <w:proofErr w:type="spellStart"/>
      <w:r w:rsidRPr="009B5BF3">
        <w:rPr>
          <w:lang w:val="en-US"/>
        </w:rPr>
        <w:t>ar</w:t>
      </w:r>
      <w:proofErr w:type="spellEnd"/>
      <w:r w:rsidRPr="009B5BF3">
        <w:rPr>
          <w:lang w:val="en-US"/>
        </w:rPr>
        <w:t xml:space="preserve"> </w:t>
      </w:r>
      <w:proofErr w:type="spellStart"/>
      <w:r w:rsidRPr="009B5BF3">
        <w:rPr>
          <w:lang w:val="en-US"/>
        </w:rPr>
        <w:t>ddigwyddiadau</w:t>
      </w:r>
      <w:proofErr w:type="spellEnd"/>
      <w:r w:rsidRPr="009B5BF3">
        <w:rPr>
          <w:lang w:val="en-US"/>
        </w:rPr>
        <w:t xml:space="preserve"> </w:t>
      </w:r>
      <w:proofErr w:type="spellStart"/>
      <w:r w:rsidRPr="009B5BF3">
        <w:rPr>
          <w:lang w:val="en-US"/>
        </w:rPr>
        <w:t>critigol</w:t>
      </w:r>
      <w:proofErr w:type="spellEnd"/>
      <w:r w:rsidRPr="009B5BF3">
        <w:rPr>
          <w:lang w:val="en-US"/>
        </w:rPr>
        <w:t xml:space="preserve"> </w:t>
      </w:r>
      <w:proofErr w:type="spellStart"/>
      <w:r w:rsidRPr="009B5BF3">
        <w:rPr>
          <w:lang w:val="en-US"/>
        </w:rPr>
        <w:t>wedi</w:t>
      </w:r>
      <w:proofErr w:type="spellEnd"/>
      <w:r w:rsidRPr="009B5BF3">
        <w:rPr>
          <w:lang w:val="en-US"/>
        </w:rPr>
        <w:t xml:space="preserve"> </w:t>
      </w:r>
      <w:proofErr w:type="spellStart"/>
      <w:r w:rsidRPr="009B5BF3">
        <w:rPr>
          <w:lang w:val="en-US"/>
        </w:rPr>
        <w:t>cynyddu</w:t>
      </w:r>
      <w:proofErr w:type="spellEnd"/>
      <w:r w:rsidRPr="009B5BF3">
        <w:rPr>
          <w:lang w:val="en-US"/>
        </w:rPr>
        <w:t xml:space="preserve"> o </w:t>
      </w:r>
      <w:proofErr w:type="spellStart"/>
      <w:r w:rsidRPr="009B5BF3">
        <w:rPr>
          <w:lang w:val="en-US"/>
        </w:rPr>
        <w:t>fewn</w:t>
      </w:r>
      <w:proofErr w:type="spellEnd"/>
      <w:r w:rsidRPr="009B5BF3">
        <w:rPr>
          <w:lang w:val="en-US"/>
        </w:rPr>
        <w:t xml:space="preserve"> y </w:t>
      </w:r>
      <w:proofErr w:type="spellStart"/>
      <w:r w:rsidRPr="009B5BF3">
        <w:rPr>
          <w:lang w:val="en-US"/>
        </w:rPr>
        <w:t>blynyddoedd</w:t>
      </w:r>
      <w:proofErr w:type="spellEnd"/>
      <w:r w:rsidRPr="009B5BF3">
        <w:rPr>
          <w:lang w:val="en-US"/>
        </w:rPr>
        <w:t xml:space="preserve"> </w:t>
      </w:r>
      <w:proofErr w:type="spellStart"/>
      <w:r w:rsidRPr="009B5BF3">
        <w:rPr>
          <w:lang w:val="en-US"/>
        </w:rPr>
        <w:t>diwethaf</w:t>
      </w:r>
      <w:proofErr w:type="spellEnd"/>
      <w:r w:rsidRPr="009B5BF3">
        <w:rPr>
          <w:lang w:val="en-US"/>
        </w:rPr>
        <w:t xml:space="preserve"> </w:t>
      </w:r>
      <w:proofErr w:type="spellStart"/>
      <w:r w:rsidRPr="009B5BF3">
        <w:rPr>
          <w:lang w:val="en-US"/>
        </w:rPr>
        <w:t>wrth</w:t>
      </w:r>
      <w:proofErr w:type="spellEnd"/>
      <w:r w:rsidRPr="009B5BF3">
        <w:rPr>
          <w:lang w:val="en-US"/>
        </w:rPr>
        <w:t xml:space="preserve"> </w:t>
      </w:r>
      <w:proofErr w:type="spellStart"/>
      <w:r w:rsidRPr="009B5BF3">
        <w:rPr>
          <w:lang w:val="en-US"/>
        </w:rPr>
        <w:t>iddynt</w:t>
      </w:r>
      <w:proofErr w:type="spellEnd"/>
      <w:r w:rsidRPr="009B5BF3">
        <w:rPr>
          <w:lang w:val="en-US"/>
        </w:rPr>
        <w:t xml:space="preserve"> </w:t>
      </w:r>
      <w:proofErr w:type="spellStart"/>
      <w:r w:rsidRPr="009B5BF3">
        <w:rPr>
          <w:lang w:val="en-US"/>
        </w:rPr>
        <w:t>ddod</w:t>
      </w:r>
      <w:proofErr w:type="spellEnd"/>
      <w:r w:rsidRPr="009B5BF3">
        <w:rPr>
          <w:lang w:val="en-US"/>
        </w:rPr>
        <w:t xml:space="preserve"> </w:t>
      </w:r>
      <w:proofErr w:type="spellStart"/>
      <w:r w:rsidRPr="009B5BF3">
        <w:rPr>
          <w:lang w:val="en-US"/>
        </w:rPr>
        <w:t>yn</w:t>
      </w:r>
      <w:proofErr w:type="spellEnd"/>
      <w:r w:rsidRPr="009B5BF3">
        <w:rPr>
          <w:lang w:val="en-US"/>
        </w:rPr>
        <w:t xml:space="preserve"> </w:t>
      </w:r>
      <w:proofErr w:type="spellStart"/>
      <w:r w:rsidRPr="009B5BF3">
        <w:rPr>
          <w:lang w:val="en-US"/>
        </w:rPr>
        <w:t>fwy</w:t>
      </w:r>
      <w:proofErr w:type="spellEnd"/>
      <w:r w:rsidRPr="009B5BF3">
        <w:rPr>
          <w:lang w:val="en-US"/>
        </w:rPr>
        <w:t xml:space="preserve"> </w:t>
      </w:r>
      <w:proofErr w:type="spellStart"/>
      <w:r w:rsidRPr="009B5BF3">
        <w:rPr>
          <w:lang w:val="en-US"/>
        </w:rPr>
        <w:t>pwysig</w:t>
      </w:r>
      <w:proofErr w:type="spellEnd"/>
      <w:r w:rsidRPr="009B5BF3">
        <w:rPr>
          <w:lang w:val="en-US"/>
        </w:rPr>
        <w:t xml:space="preserve"> o </w:t>
      </w:r>
      <w:proofErr w:type="spellStart"/>
      <w:r w:rsidRPr="009B5BF3">
        <w:rPr>
          <w:lang w:val="en-US"/>
        </w:rPr>
        <w:t>fewn</w:t>
      </w:r>
      <w:proofErr w:type="spellEnd"/>
      <w:r w:rsidRPr="009B5BF3">
        <w:rPr>
          <w:lang w:val="en-US"/>
        </w:rPr>
        <w:t xml:space="preserve"> </w:t>
      </w:r>
      <w:proofErr w:type="spellStart"/>
      <w:r w:rsidRPr="009B5BF3">
        <w:rPr>
          <w:lang w:val="en-US"/>
        </w:rPr>
        <w:t>sefyllfa</w:t>
      </w:r>
      <w:proofErr w:type="spellEnd"/>
      <w:r w:rsidRPr="009B5BF3">
        <w:rPr>
          <w:lang w:val="en-US"/>
        </w:rPr>
        <w:t xml:space="preserve"> </w:t>
      </w:r>
      <w:proofErr w:type="spellStart"/>
      <w:r w:rsidRPr="009B5BF3">
        <w:rPr>
          <w:lang w:val="en-US"/>
        </w:rPr>
        <w:t>dosbarth</w:t>
      </w:r>
      <w:proofErr w:type="spellEnd"/>
      <w:r w:rsidRPr="009B5BF3">
        <w:rPr>
          <w:lang w:val="en-US"/>
        </w:rPr>
        <w:t xml:space="preserve">. </w:t>
      </w:r>
      <w:proofErr w:type="spellStart"/>
      <w:r w:rsidRPr="009B5BF3">
        <w:rPr>
          <w:lang w:val="en-US"/>
        </w:rPr>
        <w:t>Digwyddiad</w:t>
      </w:r>
      <w:proofErr w:type="spellEnd"/>
      <w:r w:rsidRPr="009B5BF3">
        <w:rPr>
          <w:lang w:val="en-US"/>
        </w:rPr>
        <w:t xml:space="preserve"> </w:t>
      </w:r>
      <w:proofErr w:type="spellStart"/>
      <w:r w:rsidRPr="009B5BF3">
        <w:rPr>
          <w:lang w:val="en-US"/>
        </w:rPr>
        <w:t>critigol</w:t>
      </w:r>
      <w:proofErr w:type="spellEnd"/>
      <w:r w:rsidRPr="009B5BF3">
        <w:rPr>
          <w:lang w:val="en-US"/>
        </w:rPr>
        <w:t xml:space="preserve"> </w:t>
      </w:r>
      <w:proofErr w:type="spellStart"/>
      <w:r w:rsidRPr="009B5BF3">
        <w:rPr>
          <w:lang w:val="en-US"/>
        </w:rPr>
        <w:t>yw</w:t>
      </w:r>
      <w:proofErr w:type="spellEnd"/>
      <w:r w:rsidRPr="009B5BF3">
        <w:rPr>
          <w:lang w:val="en-US"/>
        </w:rPr>
        <w:t xml:space="preserve"> </w:t>
      </w:r>
      <w:proofErr w:type="spellStart"/>
      <w:r w:rsidRPr="009B5BF3">
        <w:rPr>
          <w:lang w:val="en-US"/>
        </w:rPr>
        <w:t>digwyddiad</w:t>
      </w:r>
      <w:proofErr w:type="spellEnd"/>
      <w:r w:rsidRPr="009B5BF3">
        <w:rPr>
          <w:lang w:val="en-US"/>
        </w:rPr>
        <w:t xml:space="preserve"> </w:t>
      </w:r>
      <w:proofErr w:type="spellStart"/>
      <w:r w:rsidRPr="009B5BF3">
        <w:rPr>
          <w:lang w:val="en-US"/>
        </w:rPr>
        <w:t>sydd</w:t>
      </w:r>
      <w:proofErr w:type="spellEnd"/>
      <w:r w:rsidRPr="009B5BF3">
        <w:rPr>
          <w:lang w:val="en-US"/>
        </w:rPr>
        <w:t xml:space="preserve"> </w:t>
      </w:r>
      <w:proofErr w:type="spellStart"/>
      <w:r w:rsidRPr="009B5BF3">
        <w:rPr>
          <w:lang w:val="en-US"/>
        </w:rPr>
        <w:t>yn</w:t>
      </w:r>
      <w:proofErr w:type="spellEnd"/>
      <w:r w:rsidRPr="009B5BF3">
        <w:rPr>
          <w:lang w:val="en-US"/>
        </w:rPr>
        <w:t xml:space="preserve"> </w:t>
      </w:r>
      <w:proofErr w:type="spellStart"/>
      <w:r w:rsidRPr="009B5BF3">
        <w:rPr>
          <w:lang w:val="en-US"/>
        </w:rPr>
        <w:t>bwysig</w:t>
      </w:r>
      <w:proofErr w:type="spellEnd"/>
      <w:r w:rsidRPr="009B5BF3">
        <w:rPr>
          <w:lang w:val="en-US"/>
        </w:rPr>
        <w:t xml:space="preserve">, ac </w:t>
      </w:r>
      <w:proofErr w:type="spellStart"/>
      <w:r w:rsidRPr="009B5BF3">
        <w:rPr>
          <w:lang w:val="en-US"/>
        </w:rPr>
        <w:t>fel</w:t>
      </w:r>
      <w:proofErr w:type="spellEnd"/>
      <w:r w:rsidRPr="009B5BF3">
        <w:rPr>
          <w:lang w:val="en-US"/>
        </w:rPr>
        <w:t xml:space="preserve"> </w:t>
      </w:r>
      <w:proofErr w:type="spellStart"/>
      <w:r w:rsidRPr="009B5BF3">
        <w:rPr>
          <w:lang w:val="en-US"/>
        </w:rPr>
        <w:t>arfer</w:t>
      </w:r>
      <w:proofErr w:type="spellEnd"/>
      <w:r w:rsidRPr="009B5BF3">
        <w:rPr>
          <w:lang w:val="en-US"/>
        </w:rPr>
        <w:t xml:space="preserve"> </w:t>
      </w:r>
      <w:proofErr w:type="spellStart"/>
      <w:r w:rsidRPr="009B5BF3">
        <w:rPr>
          <w:lang w:val="en-US"/>
        </w:rPr>
        <w:t>yn</w:t>
      </w:r>
      <w:proofErr w:type="spellEnd"/>
      <w:r w:rsidRPr="009B5BF3">
        <w:rPr>
          <w:lang w:val="en-US"/>
        </w:rPr>
        <w:t xml:space="preserve"> </w:t>
      </w:r>
      <w:proofErr w:type="spellStart"/>
      <w:r w:rsidRPr="009B5BF3">
        <w:rPr>
          <w:lang w:val="en-US"/>
        </w:rPr>
        <w:t>annisgwyl</w:t>
      </w:r>
      <w:proofErr w:type="spellEnd"/>
      <w:r w:rsidRPr="009B5BF3">
        <w:rPr>
          <w:lang w:val="en-US"/>
        </w:rPr>
        <w:t xml:space="preserve"> o </w:t>
      </w:r>
      <w:proofErr w:type="spellStart"/>
      <w:r w:rsidRPr="009B5BF3">
        <w:rPr>
          <w:lang w:val="en-US"/>
        </w:rPr>
        <w:t>fewn</w:t>
      </w:r>
      <w:proofErr w:type="spellEnd"/>
      <w:r w:rsidRPr="009B5BF3">
        <w:rPr>
          <w:lang w:val="en-US"/>
        </w:rPr>
        <w:t xml:space="preserve"> </w:t>
      </w:r>
      <w:proofErr w:type="spellStart"/>
      <w:r w:rsidRPr="009B5BF3">
        <w:rPr>
          <w:lang w:val="en-US"/>
        </w:rPr>
        <w:t>sefyllfa</w:t>
      </w:r>
      <w:proofErr w:type="spellEnd"/>
      <w:r w:rsidRPr="009B5BF3">
        <w:rPr>
          <w:lang w:val="en-US"/>
        </w:rPr>
        <w:t xml:space="preserve"> </w:t>
      </w:r>
      <w:proofErr w:type="spellStart"/>
      <w:r w:rsidRPr="009B5BF3">
        <w:rPr>
          <w:lang w:val="en-US"/>
        </w:rPr>
        <w:t>benodol</w:t>
      </w:r>
      <w:proofErr w:type="spellEnd"/>
      <w:r w:rsidRPr="009B5BF3">
        <w:rPr>
          <w:lang w:val="en-US"/>
        </w:rPr>
        <w:t xml:space="preserve"> (Joshi, 2018). </w:t>
      </w:r>
      <w:r w:rsidR="000B09D9">
        <w:rPr>
          <w:lang w:val="en-US"/>
        </w:rPr>
        <w:t>Gall y</w:t>
      </w:r>
      <w:r w:rsidRPr="009B5BF3">
        <w:rPr>
          <w:lang w:val="en-US"/>
        </w:rPr>
        <w:t xml:space="preserve"> </w:t>
      </w:r>
      <w:proofErr w:type="spellStart"/>
      <w:r w:rsidRPr="009B5BF3">
        <w:rPr>
          <w:lang w:val="en-US"/>
        </w:rPr>
        <w:t>digwyddiad</w:t>
      </w:r>
      <w:proofErr w:type="spellEnd"/>
      <w:r w:rsidRPr="009B5BF3">
        <w:rPr>
          <w:lang w:val="en-US"/>
        </w:rPr>
        <w:t xml:space="preserve"> </w:t>
      </w:r>
      <w:proofErr w:type="spellStart"/>
      <w:r w:rsidR="000B09D9">
        <w:rPr>
          <w:lang w:val="en-US"/>
        </w:rPr>
        <w:t>fod</w:t>
      </w:r>
      <w:proofErr w:type="spellEnd"/>
      <w:r w:rsidR="000B09D9">
        <w:rPr>
          <w:lang w:val="en-US"/>
        </w:rPr>
        <w:t xml:space="preserve"> </w:t>
      </w:r>
      <w:proofErr w:type="spellStart"/>
      <w:r w:rsidR="000B09D9">
        <w:rPr>
          <w:lang w:val="en-US"/>
        </w:rPr>
        <w:t>yn</w:t>
      </w:r>
      <w:proofErr w:type="spellEnd"/>
      <w:r w:rsidR="000B09D9">
        <w:rPr>
          <w:lang w:val="en-US"/>
        </w:rPr>
        <w:t xml:space="preserve"> un </w:t>
      </w:r>
      <w:proofErr w:type="spellStart"/>
      <w:r w:rsidRPr="009B5BF3">
        <w:rPr>
          <w:lang w:val="en-US"/>
        </w:rPr>
        <w:t>hollol</w:t>
      </w:r>
      <w:proofErr w:type="spellEnd"/>
      <w:r w:rsidRPr="009B5BF3">
        <w:rPr>
          <w:lang w:val="en-US"/>
        </w:rPr>
        <w:t xml:space="preserve"> ‘normal’ tan </w:t>
      </w:r>
      <w:proofErr w:type="spellStart"/>
      <w:r w:rsidRPr="009B5BF3">
        <w:rPr>
          <w:lang w:val="en-US"/>
        </w:rPr>
        <w:t>ei</w:t>
      </w:r>
      <w:proofErr w:type="spellEnd"/>
      <w:r w:rsidRPr="009B5BF3">
        <w:rPr>
          <w:lang w:val="en-US"/>
        </w:rPr>
        <w:t xml:space="preserve"> bod </w:t>
      </w:r>
      <w:proofErr w:type="spellStart"/>
      <w:r w:rsidRPr="009B5BF3">
        <w:rPr>
          <w:lang w:val="en-US"/>
        </w:rPr>
        <w:t>yn</w:t>
      </w:r>
      <w:proofErr w:type="spellEnd"/>
      <w:r w:rsidRPr="009B5BF3">
        <w:rPr>
          <w:lang w:val="en-US"/>
        </w:rPr>
        <w:t xml:space="preserve"> </w:t>
      </w:r>
      <w:proofErr w:type="spellStart"/>
      <w:r w:rsidRPr="009B5BF3">
        <w:rPr>
          <w:lang w:val="en-US"/>
        </w:rPr>
        <w:t>cael</w:t>
      </w:r>
      <w:proofErr w:type="spellEnd"/>
      <w:r w:rsidRPr="009B5BF3">
        <w:rPr>
          <w:lang w:val="en-US"/>
        </w:rPr>
        <w:t xml:space="preserve"> </w:t>
      </w:r>
      <w:proofErr w:type="spellStart"/>
      <w:r w:rsidRPr="009B5BF3">
        <w:rPr>
          <w:lang w:val="en-US"/>
        </w:rPr>
        <w:t>ei</w:t>
      </w:r>
      <w:proofErr w:type="spellEnd"/>
      <w:r w:rsidRPr="009B5BF3">
        <w:rPr>
          <w:lang w:val="en-US"/>
        </w:rPr>
        <w:t xml:space="preserve"> </w:t>
      </w:r>
      <w:proofErr w:type="spellStart"/>
      <w:r w:rsidRPr="009B5BF3">
        <w:rPr>
          <w:lang w:val="en-US"/>
        </w:rPr>
        <w:t>ddadansoddi’n</w:t>
      </w:r>
      <w:proofErr w:type="spellEnd"/>
      <w:r w:rsidRPr="009B5BF3">
        <w:rPr>
          <w:lang w:val="en-US"/>
        </w:rPr>
        <w:t xml:space="preserve"> </w:t>
      </w:r>
      <w:proofErr w:type="spellStart"/>
      <w:r w:rsidRPr="009B5BF3">
        <w:rPr>
          <w:lang w:val="en-US"/>
        </w:rPr>
        <w:t>gritigol</w:t>
      </w:r>
      <w:proofErr w:type="spellEnd"/>
      <w:r w:rsidRPr="009B5BF3">
        <w:rPr>
          <w:lang w:val="en-US"/>
        </w:rPr>
        <w:t xml:space="preserve"> (Tripp, 2012; Joshi, 2018) dyna </w:t>
      </w:r>
      <w:proofErr w:type="spellStart"/>
      <w:r w:rsidRPr="009B5BF3">
        <w:rPr>
          <w:lang w:val="en-US"/>
        </w:rPr>
        <w:t>pryd</w:t>
      </w:r>
      <w:proofErr w:type="spellEnd"/>
      <w:r w:rsidRPr="009B5BF3">
        <w:rPr>
          <w:lang w:val="en-US"/>
        </w:rPr>
        <w:t xml:space="preserve"> </w:t>
      </w:r>
      <w:proofErr w:type="spellStart"/>
      <w:r w:rsidRPr="009B5BF3">
        <w:rPr>
          <w:lang w:val="en-US"/>
        </w:rPr>
        <w:t>mae’n</w:t>
      </w:r>
      <w:proofErr w:type="spellEnd"/>
      <w:r w:rsidRPr="009B5BF3">
        <w:rPr>
          <w:lang w:val="en-US"/>
        </w:rPr>
        <w:t xml:space="preserve"> </w:t>
      </w:r>
      <w:proofErr w:type="spellStart"/>
      <w:r w:rsidRPr="009B5BF3">
        <w:rPr>
          <w:lang w:val="en-US"/>
        </w:rPr>
        <w:t>newid</w:t>
      </w:r>
      <w:proofErr w:type="spellEnd"/>
      <w:r w:rsidRPr="009B5BF3">
        <w:rPr>
          <w:lang w:val="en-US"/>
        </w:rPr>
        <w:t xml:space="preserve"> </w:t>
      </w:r>
      <w:proofErr w:type="spellStart"/>
      <w:r w:rsidRPr="009B5BF3">
        <w:rPr>
          <w:lang w:val="en-US"/>
        </w:rPr>
        <w:t>i</w:t>
      </w:r>
      <w:proofErr w:type="spellEnd"/>
      <w:r w:rsidRPr="009B5BF3">
        <w:rPr>
          <w:lang w:val="en-US"/>
        </w:rPr>
        <w:t xml:space="preserve"> </w:t>
      </w:r>
      <w:proofErr w:type="spellStart"/>
      <w:r w:rsidRPr="009B5BF3">
        <w:rPr>
          <w:lang w:val="en-US"/>
        </w:rPr>
        <w:t>ddigwyddiad</w:t>
      </w:r>
      <w:proofErr w:type="spellEnd"/>
      <w:r w:rsidRPr="009B5BF3">
        <w:rPr>
          <w:lang w:val="en-US"/>
        </w:rPr>
        <w:t xml:space="preserve"> </w:t>
      </w:r>
      <w:proofErr w:type="spellStart"/>
      <w:r w:rsidRPr="009B5BF3">
        <w:rPr>
          <w:lang w:val="en-US"/>
        </w:rPr>
        <w:t>critigol</w:t>
      </w:r>
      <w:proofErr w:type="spellEnd"/>
      <w:r w:rsidRPr="009B5BF3">
        <w:rPr>
          <w:lang w:val="en-US"/>
        </w:rPr>
        <w:t xml:space="preserve">. </w:t>
      </w:r>
      <w:proofErr w:type="spellStart"/>
      <w:r w:rsidRPr="009B5BF3">
        <w:rPr>
          <w:lang w:val="en-US"/>
        </w:rPr>
        <w:t>Esbonia</w:t>
      </w:r>
      <w:proofErr w:type="spellEnd"/>
      <w:r w:rsidRPr="009B5BF3">
        <w:rPr>
          <w:lang w:val="en-US"/>
        </w:rPr>
        <w:t xml:space="preserve"> Tripp (2012) bod </w:t>
      </w:r>
      <w:proofErr w:type="spellStart"/>
      <w:r w:rsidRPr="009B5BF3">
        <w:rPr>
          <w:lang w:val="en-US"/>
        </w:rPr>
        <w:t>dau</w:t>
      </w:r>
      <w:proofErr w:type="spellEnd"/>
      <w:r w:rsidRPr="009B5BF3">
        <w:rPr>
          <w:lang w:val="en-US"/>
        </w:rPr>
        <w:t xml:space="preserve"> </w:t>
      </w:r>
      <w:proofErr w:type="spellStart"/>
      <w:r w:rsidRPr="009B5BF3">
        <w:rPr>
          <w:lang w:val="en-US"/>
        </w:rPr>
        <w:t>brif</w:t>
      </w:r>
      <w:proofErr w:type="spellEnd"/>
      <w:r w:rsidRPr="009B5BF3">
        <w:rPr>
          <w:lang w:val="en-US"/>
        </w:rPr>
        <w:t xml:space="preserve"> gam er </w:t>
      </w:r>
      <w:proofErr w:type="spellStart"/>
      <w:r w:rsidRPr="009B5BF3">
        <w:rPr>
          <w:lang w:val="en-US"/>
        </w:rPr>
        <w:t>mwyn</w:t>
      </w:r>
      <w:proofErr w:type="spellEnd"/>
      <w:r w:rsidRPr="009B5BF3">
        <w:rPr>
          <w:lang w:val="en-US"/>
        </w:rPr>
        <w:t xml:space="preserve"> </w:t>
      </w:r>
      <w:proofErr w:type="spellStart"/>
      <w:r w:rsidRPr="009B5BF3">
        <w:rPr>
          <w:lang w:val="en-US"/>
        </w:rPr>
        <w:t>creu</w:t>
      </w:r>
      <w:proofErr w:type="spellEnd"/>
      <w:r w:rsidRPr="009B5BF3">
        <w:rPr>
          <w:lang w:val="en-US"/>
        </w:rPr>
        <w:t xml:space="preserve"> </w:t>
      </w:r>
      <w:proofErr w:type="spellStart"/>
      <w:r w:rsidRPr="009B5BF3">
        <w:rPr>
          <w:lang w:val="en-US"/>
        </w:rPr>
        <w:t>digwyddiad</w:t>
      </w:r>
      <w:proofErr w:type="spellEnd"/>
      <w:r w:rsidRPr="009B5BF3">
        <w:rPr>
          <w:lang w:val="en-US"/>
        </w:rPr>
        <w:t xml:space="preserve"> </w:t>
      </w:r>
      <w:proofErr w:type="spellStart"/>
      <w:r w:rsidRPr="009B5BF3">
        <w:rPr>
          <w:lang w:val="en-US"/>
        </w:rPr>
        <w:t>critigol</w:t>
      </w:r>
      <w:proofErr w:type="spellEnd"/>
      <w:r w:rsidRPr="009B5BF3">
        <w:rPr>
          <w:lang w:val="en-US"/>
        </w:rPr>
        <w:t xml:space="preserve">. Y cam </w:t>
      </w:r>
      <w:proofErr w:type="spellStart"/>
      <w:r w:rsidRPr="009B5BF3">
        <w:rPr>
          <w:lang w:val="en-US"/>
        </w:rPr>
        <w:t>gyntaf</w:t>
      </w:r>
      <w:proofErr w:type="spellEnd"/>
      <w:r w:rsidRPr="009B5BF3">
        <w:rPr>
          <w:lang w:val="en-US"/>
        </w:rPr>
        <w:t xml:space="preserve"> </w:t>
      </w:r>
      <w:proofErr w:type="spellStart"/>
      <w:r w:rsidRPr="009B5BF3">
        <w:rPr>
          <w:lang w:val="en-US"/>
        </w:rPr>
        <w:t>yw</w:t>
      </w:r>
      <w:proofErr w:type="spellEnd"/>
      <w:r w:rsidRPr="009B5BF3">
        <w:rPr>
          <w:lang w:val="en-US"/>
        </w:rPr>
        <w:t xml:space="preserve"> </w:t>
      </w:r>
      <w:proofErr w:type="spellStart"/>
      <w:r w:rsidRPr="009B5BF3">
        <w:rPr>
          <w:lang w:val="en-US"/>
        </w:rPr>
        <w:t>gweld</w:t>
      </w:r>
      <w:proofErr w:type="spellEnd"/>
      <w:r w:rsidRPr="009B5BF3">
        <w:rPr>
          <w:lang w:val="en-US"/>
        </w:rPr>
        <w:t xml:space="preserve"> y </w:t>
      </w:r>
      <w:proofErr w:type="spellStart"/>
      <w:r w:rsidRPr="009B5BF3">
        <w:rPr>
          <w:lang w:val="en-US"/>
        </w:rPr>
        <w:t>digwyddiad</w:t>
      </w:r>
      <w:proofErr w:type="spellEnd"/>
      <w:r w:rsidRPr="009B5BF3">
        <w:rPr>
          <w:lang w:val="en-US"/>
        </w:rPr>
        <w:t xml:space="preserve">, </w:t>
      </w:r>
      <w:proofErr w:type="spellStart"/>
      <w:r w:rsidRPr="009B5BF3">
        <w:rPr>
          <w:lang w:val="en-US"/>
        </w:rPr>
        <w:t>gan</w:t>
      </w:r>
      <w:proofErr w:type="spellEnd"/>
      <w:r w:rsidRPr="009B5BF3">
        <w:rPr>
          <w:lang w:val="en-US"/>
        </w:rPr>
        <w:t xml:space="preserve"> </w:t>
      </w:r>
      <w:proofErr w:type="spellStart"/>
      <w:r w:rsidRPr="009B5BF3">
        <w:rPr>
          <w:lang w:val="en-US"/>
        </w:rPr>
        <w:t>ysgrifennu</w:t>
      </w:r>
      <w:proofErr w:type="spellEnd"/>
      <w:r w:rsidRPr="009B5BF3">
        <w:rPr>
          <w:lang w:val="en-US"/>
        </w:rPr>
        <w:t xml:space="preserve"> </w:t>
      </w:r>
      <w:proofErr w:type="spellStart"/>
      <w:r w:rsidRPr="009B5BF3">
        <w:rPr>
          <w:lang w:val="en-US"/>
        </w:rPr>
        <w:t>nodiadau</w:t>
      </w:r>
      <w:proofErr w:type="spellEnd"/>
      <w:r w:rsidRPr="009B5BF3">
        <w:rPr>
          <w:lang w:val="en-US"/>
        </w:rPr>
        <w:t xml:space="preserve"> </w:t>
      </w:r>
      <w:proofErr w:type="spellStart"/>
      <w:r w:rsidRPr="009B5BF3">
        <w:rPr>
          <w:lang w:val="en-US"/>
        </w:rPr>
        <w:t>ar</w:t>
      </w:r>
      <w:proofErr w:type="spellEnd"/>
      <w:r w:rsidRPr="009B5BF3">
        <w:rPr>
          <w:lang w:val="en-US"/>
        </w:rPr>
        <w:t xml:space="preserve"> </w:t>
      </w:r>
      <w:proofErr w:type="spellStart"/>
      <w:r w:rsidRPr="009B5BF3">
        <w:rPr>
          <w:lang w:val="en-US"/>
        </w:rPr>
        <w:t>beth</w:t>
      </w:r>
      <w:proofErr w:type="spellEnd"/>
      <w:r w:rsidRPr="009B5BF3">
        <w:rPr>
          <w:lang w:val="en-US"/>
        </w:rPr>
        <w:t xml:space="preserve"> </w:t>
      </w:r>
      <w:proofErr w:type="spellStart"/>
      <w:r w:rsidRPr="009B5BF3">
        <w:rPr>
          <w:lang w:val="en-US"/>
        </w:rPr>
        <w:t>achosodd</w:t>
      </w:r>
      <w:proofErr w:type="spellEnd"/>
      <w:r w:rsidRPr="009B5BF3">
        <w:rPr>
          <w:lang w:val="en-US"/>
        </w:rPr>
        <w:t xml:space="preserve"> y </w:t>
      </w:r>
      <w:proofErr w:type="spellStart"/>
      <w:r w:rsidRPr="009B5BF3">
        <w:rPr>
          <w:lang w:val="en-US"/>
        </w:rPr>
        <w:t>digwyddiad</w:t>
      </w:r>
      <w:proofErr w:type="spellEnd"/>
      <w:r w:rsidRPr="009B5BF3">
        <w:rPr>
          <w:lang w:val="en-US"/>
        </w:rPr>
        <w:t xml:space="preserve">, </w:t>
      </w:r>
      <w:proofErr w:type="spellStart"/>
      <w:r w:rsidRPr="009B5BF3">
        <w:rPr>
          <w:lang w:val="en-US"/>
        </w:rPr>
        <w:t>beth</w:t>
      </w:r>
      <w:proofErr w:type="spellEnd"/>
      <w:r w:rsidRPr="009B5BF3">
        <w:rPr>
          <w:lang w:val="en-US"/>
        </w:rPr>
        <w:t xml:space="preserve"> </w:t>
      </w:r>
      <w:proofErr w:type="spellStart"/>
      <w:r w:rsidRPr="009B5BF3">
        <w:rPr>
          <w:lang w:val="en-US"/>
        </w:rPr>
        <w:t>ddigwyddodd</w:t>
      </w:r>
      <w:proofErr w:type="spellEnd"/>
      <w:r w:rsidRPr="009B5BF3">
        <w:rPr>
          <w:lang w:val="en-US"/>
        </w:rPr>
        <w:t xml:space="preserve"> ac </w:t>
      </w:r>
      <w:proofErr w:type="spellStart"/>
      <w:r w:rsidRPr="009B5BF3">
        <w:rPr>
          <w:lang w:val="en-US"/>
        </w:rPr>
        <w:t>ati</w:t>
      </w:r>
      <w:proofErr w:type="spellEnd"/>
      <w:r w:rsidRPr="009B5BF3">
        <w:rPr>
          <w:lang w:val="en-US"/>
        </w:rPr>
        <w:t xml:space="preserve">. </w:t>
      </w:r>
      <w:proofErr w:type="spellStart"/>
      <w:r w:rsidRPr="009B5BF3">
        <w:rPr>
          <w:lang w:val="en-US"/>
        </w:rPr>
        <w:t>Yr</w:t>
      </w:r>
      <w:proofErr w:type="spellEnd"/>
      <w:r w:rsidRPr="009B5BF3">
        <w:rPr>
          <w:lang w:val="en-US"/>
        </w:rPr>
        <w:t xml:space="preserve"> ail gam </w:t>
      </w:r>
      <w:proofErr w:type="spellStart"/>
      <w:r w:rsidRPr="009B5BF3">
        <w:rPr>
          <w:lang w:val="en-US"/>
        </w:rPr>
        <w:t>yw</w:t>
      </w:r>
      <w:proofErr w:type="spellEnd"/>
      <w:r w:rsidRPr="009B5BF3">
        <w:rPr>
          <w:lang w:val="en-US"/>
        </w:rPr>
        <w:t xml:space="preserve"> </w:t>
      </w:r>
      <w:proofErr w:type="spellStart"/>
      <w:r w:rsidRPr="009B5BF3">
        <w:rPr>
          <w:lang w:val="en-US"/>
        </w:rPr>
        <w:t>darganfod</w:t>
      </w:r>
      <w:proofErr w:type="spellEnd"/>
      <w:r w:rsidRPr="009B5BF3">
        <w:rPr>
          <w:lang w:val="en-US"/>
        </w:rPr>
        <w:t xml:space="preserve"> </w:t>
      </w:r>
      <w:proofErr w:type="spellStart"/>
      <w:r w:rsidRPr="009B5BF3">
        <w:rPr>
          <w:lang w:val="en-US"/>
        </w:rPr>
        <w:t>pwysigrwydd</w:t>
      </w:r>
      <w:proofErr w:type="spellEnd"/>
      <w:r w:rsidRPr="009B5BF3">
        <w:rPr>
          <w:lang w:val="en-US"/>
        </w:rPr>
        <w:t xml:space="preserve"> y </w:t>
      </w:r>
      <w:proofErr w:type="spellStart"/>
      <w:r w:rsidRPr="009B5BF3">
        <w:rPr>
          <w:lang w:val="en-US"/>
        </w:rPr>
        <w:t>digwyddiad</w:t>
      </w:r>
      <w:proofErr w:type="spellEnd"/>
      <w:r w:rsidRPr="009B5BF3">
        <w:rPr>
          <w:lang w:val="en-US"/>
        </w:rPr>
        <w:t xml:space="preserve"> </w:t>
      </w:r>
      <w:proofErr w:type="spellStart"/>
      <w:r w:rsidRPr="009B5BF3">
        <w:rPr>
          <w:lang w:val="en-US"/>
        </w:rPr>
        <w:t>a’i</w:t>
      </w:r>
      <w:proofErr w:type="spellEnd"/>
      <w:r w:rsidRPr="009B5BF3">
        <w:rPr>
          <w:lang w:val="en-US"/>
        </w:rPr>
        <w:t xml:space="preserve"> </w:t>
      </w:r>
      <w:proofErr w:type="spellStart"/>
      <w:r w:rsidRPr="009B5BF3">
        <w:rPr>
          <w:lang w:val="en-US"/>
        </w:rPr>
        <w:t>heffaith</w:t>
      </w:r>
      <w:proofErr w:type="spellEnd"/>
      <w:r w:rsidRPr="009B5BF3">
        <w:rPr>
          <w:lang w:val="en-US"/>
        </w:rPr>
        <w:t xml:space="preserve"> </w:t>
      </w:r>
      <w:proofErr w:type="spellStart"/>
      <w:r w:rsidRPr="009B5BF3">
        <w:rPr>
          <w:lang w:val="en-US"/>
        </w:rPr>
        <w:t>ar</w:t>
      </w:r>
      <w:proofErr w:type="spellEnd"/>
      <w:r w:rsidRPr="009B5BF3">
        <w:rPr>
          <w:lang w:val="en-US"/>
        </w:rPr>
        <w:t xml:space="preserve"> </w:t>
      </w:r>
      <w:proofErr w:type="spellStart"/>
      <w:r w:rsidRPr="009B5BF3">
        <w:rPr>
          <w:lang w:val="en-US"/>
        </w:rPr>
        <w:t>yr</w:t>
      </w:r>
      <w:proofErr w:type="spellEnd"/>
      <w:r w:rsidRPr="009B5BF3">
        <w:rPr>
          <w:lang w:val="en-US"/>
        </w:rPr>
        <w:t xml:space="preserve"> </w:t>
      </w:r>
      <w:proofErr w:type="spellStart"/>
      <w:r w:rsidRPr="009B5BF3">
        <w:rPr>
          <w:lang w:val="en-US"/>
        </w:rPr>
        <w:t>unigolyn</w:t>
      </w:r>
      <w:proofErr w:type="spellEnd"/>
      <w:r w:rsidRPr="009B5BF3">
        <w:rPr>
          <w:lang w:val="en-US"/>
        </w:rPr>
        <w:t xml:space="preserve">/ion </w:t>
      </w:r>
      <w:r w:rsidR="006F7EB3">
        <w:rPr>
          <w:lang w:val="en-US"/>
        </w:rPr>
        <w:t>(</w:t>
      </w:r>
      <w:proofErr w:type="spellStart"/>
      <w:r w:rsidR="006F7EB3">
        <w:rPr>
          <w:lang w:val="en-US"/>
        </w:rPr>
        <w:t>Ffig</w:t>
      </w:r>
      <w:r w:rsidR="006356A4">
        <w:rPr>
          <w:lang w:val="en-US"/>
        </w:rPr>
        <w:t>u</w:t>
      </w:r>
      <w:r w:rsidR="006F7EB3">
        <w:rPr>
          <w:lang w:val="en-US"/>
        </w:rPr>
        <w:t>r</w:t>
      </w:r>
      <w:proofErr w:type="spellEnd"/>
      <w:r w:rsidR="006F7EB3">
        <w:rPr>
          <w:lang w:val="en-US"/>
        </w:rPr>
        <w:t xml:space="preserve"> 1). </w:t>
      </w:r>
    </w:p>
    <w:p w14:paraId="066D2EC3" w14:textId="77777777" w:rsidR="00FC717B" w:rsidRDefault="00FC717B">
      <w:pPr>
        <w:rPr>
          <w:lang w:val="en-US"/>
        </w:rPr>
      </w:pPr>
    </w:p>
    <w:p w14:paraId="2BDF8587" w14:textId="77777777" w:rsidR="00FC717B" w:rsidRDefault="00FC717B">
      <w:pPr>
        <w:rPr>
          <w:lang w:val="en-US"/>
        </w:rPr>
      </w:pPr>
    </w:p>
    <w:p w14:paraId="1214DE31" w14:textId="77777777" w:rsidR="00FC717B" w:rsidRDefault="00FC717B">
      <w:pPr>
        <w:rPr>
          <w:lang w:val="en-US"/>
        </w:rPr>
      </w:pPr>
    </w:p>
    <w:p w14:paraId="265E0D12" w14:textId="77777777" w:rsidR="00FC717B" w:rsidRDefault="00FC717B">
      <w:pPr>
        <w:rPr>
          <w:lang w:val="en-US"/>
        </w:rPr>
      </w:pPr>
    </w:p>
    <w:p w14:paraId="7FCF795B" w14:textId="77777777" w:rsidR="00FC717B" w:rsidRDefault="00FC717B">
      <w:pPr>
        <w:rPr>
          <w:lang w:val="en-US"/>
        </w:rPr>
      </w:pPr>
    </w:p>
    <w:p w14:paraId="361CD506" w14:textId="77777777" w:rsidR="00FC717B" w:rsidRDefault="00FC717B">
      <w:pPr>
        <w:rPr>
          <w:lang w:val="en-US"/>
        </w:rPr>
      </w:pPr>
    </w:p>
    <w:p w14:paraId="269C5A97" w14:textId="77777777" w:rsidR="00FC717B" w:rsidRDefault="00FC717B">
      <w:pPr>
        <w:rPr>
          <w:lang w:val="en-US"/>
        </w:rPr>
      </w:pPr>
    </w:p>
    <w:p w14:paraId="1E2AF38F" w14:textId="77777777" w:rsidR="00FC717B" w:rsidRDefault="00FC717B">
      <w:pPr>
        <w:rPr>
          <w:lang w:val="en-US"/>
        </w:rPr>
      </w:pPr>
    </w:p>
    <w:p w14:paraId="392A138A" w14:textId="77777777" w:rsidR="00FC717B" w:rsidRDefault="00FC717B">
      <w:pPr>
        <w:rPr>
          <w:lang w:val="en-US"/>
        </w:rPr>
      </w:pPr>
    </w:p>
    <w:p w14:paraId="04E20325" w14:textId="25AA7840" w:rsidR="00FC717B" w:rsidRDefault="00FC717B" w:rsidP="00FC717B">
      <w:r>
        <w:t xml:space="preserve">Ffigur 1: </w:t>
      </w:r>
      <w:r w:rsidR="009B5BF3">
        <w:t>Diagram Tripp (2012) sydd yn esbonio sut mae mynd o ddigwyddiad i ddigwyddiad critigol gan ddefnyddio esiamplau.</w:t>
      </w:r>
    </w:p>
    <w:p w14:paraId="456D3746" w14:textId="589D485A" w:rsidR="00E2595E" w:rsidRDefault="00FC717B">
      <w:r w:rsidRPr="00D40B75">
        <w:rPr>
          <w:noProof/>
        </w:rPr>
        <w:drawing>
          <wp:anchor distT="0" distB="0" distL="114300" distR="114300" simplePos="0" relativeHeight="251659264" behindDoc="0" locked="0" layoutInCell="1" allowOverlap="1" wp14:anchorId="20DAF700" wp14:editId="3BE97007">
            <wp:simplePos x="0" y="0"/>
            <wp:positionH relativeFrom="margin">
              <wp:posOffset>1364269</wp:posOffset>
            </wp:positionH>
            <wp:positionV relativeFrom="margin">
              <wp:posOffset>1862455</wp:posOffset>
            </wp:positionV>
            <wp:extent cx="2929255" cy="2409825"/>
            <wp:effectExtent l="0" t="0" r="4445" b="9525"/>
            <wp:wrapSquare wrapText="bothSides"/>
            <wp:docPr id="968919032" name="Picture 1" descr="A diagram of a student'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19032" name="Picture 1" descr="A diagram of a student's process&#10;&#10;Description automatically generated"/>
                    <pic:cNvPicPr/>
                  </pic:nvPicPr>
                  <pic:blipFill rotWithShape="1">
                    <a:blip r:embed="rId9" cstate="print">
                      <a:extLst>
                        <a:ext uri="{28A0092B-C50C-407E-A947-70E740481C1C}">
                          <a14:useLocalDpi xmlns:a14="http://schemas.microsoft.com/office/drawing/2010/main" val="0"/>
                        </a:ext>
                      </a:extLst>
                    </a:blip>
                    <a:srcRect t="-538" b="7029"/>
                    <a:stretch/>
                  </pic:blipFill>
                  <pic:spPr bwMode="auto">
                    <a:xfrm>
                      <a:off x="0" y="0"/>
                      <a:ext cx="2929255" cy="2409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5BF3" w:rsidRPr="009B5BF3">
        <w:rPr>
          <w:noProof/>
        </w:rPr>
        <w:t xml:space="preserve">Mae digwyddiadau critigol wedi dod y fwy pwysig o fewn sefyllfa dosbarth </w:t>
      </w:r>
      <w:r w:rsidR="009F3B91">
        <w:rPr>
          <w:noProof/>
        </w:rPr>
        <w:t>oherwydd</w:t>
      </w:r>
      <w:r w:rsidR="009B5BF3" w:rsidRPr="009B5BF3">
        <w:rPr>
          <w:noProof/>
        </w:rPr>
        <w:t xml:space="preserve"> ei fod yn rhoi’r cyfle i athrawon i adfyfyrio a mireinio’u dysgu er mwyn addysgu yn y ffordd fwyaf effeithiol (Joshi, 2018). Gall y digwyddiadau bod yn gadarnhaol neu negyddol. Pwysleisia Joshi (2018) gall dadansoddi digwyddiad critigol helpu athrawon i wella’u haddysgu mewn nifer o ffyrdd gwahanol; athrawon sy’n fwy ymwybodol o beth sydd yn digwydd o fewn eu dosbarth,  sy’n meddwl yn gritigol am eu dulliau addysgu, yn creu cyfleoedd ar gyfer ymchwil newydd, a chreu cymuned o athrawon myfyriol</w:t>
      </w:r>
      <w:r w:rsidR="001D0102">
        <w:t xml:space="preserve">. </w:t>
      </w:r>
    </w:p>
    <w:p w14:paraId="4F74CD02" w14:textId="4628F5BB" w:rsidR="001D0102" w:rsidRPr="001D0102" w:rsidRDefault="001D0102">
      <w:pPr>
        <w:rPr>
          <w:b/>
          <w:bCs/>
          <w:i/>
          <w:iCs/>
        </w:rPr>
      </w:pPr>
      <w:r w:rsidRPr="001D0102">
        <w:rPr>
          <w:b/>
          <w:bCs/>
          <w:i/>
          <w:iCs/>
        </w:rPr>
        <w:t>R</w:t>
      </w:r>
      <w:r w:rsidR="009B5BF3">
        <w:rPr>
          <w:rFonts w:cstheme="minorHAnsi"/>
          <w:b/>
          <w:bCs/>
          <w:i/>
          <w:iCs/>
        </w:rPr>
        <w:t>ô</w:t>
      </w:r>
      <w:r w:rsidRPr="001D0102">
        <w:rPr>
          <w:b/>
          <w:bCs/>
          <w:i/>
          <w:iCs/>
        </w:rPr>
        <w:t>l adfyfyrio’n gritigol:</w:t>
      </w:r>
    </w:p>
    <w:p w14:paraId="55468644" w14:textId="3BAD8806" w:rsidR="00322A1B" w:rsidRDefault="009B5BF3">
      <w:proofErr w:type="spellStart"/>
      <w:r w:rsidRPr="009B5BF3">
        <w:rPr>
          <w:lang w:val="en-GB"/>
        </w:rPr>
        <w:t>Heb</w:t>
      </w:r>
      <w:proofErr w:type="spellEnd"/>
      <w:r w:rsidRPr="009B5BF3">
        <w:rPr>
          <w:lang w:val="en-GB"/>
        </w:rPr>
        <w:t xml:space="preserve"> </w:t>
      </w:r>
      <w:proofErr w:type="spellStart"/>
      <w:r w:rsidRPr="009B5BF3">
        <w:rPr>
          <w:lang w:val="en-GB"/>
        </w:rPr>
        <w:t>os</w:t>
      </w:r>
      <w:proofErr w:type="spellEnd"/>
      <w:r w:rsidRPr="009B5BF3">
        <w:rPr>
          <w:lang w:val="en-GB"/>
        </w:rPr>
        <w:t xml:space="preserve">, </w:t>
      </w:r>
      <w:proofErr w:type="spellStart"/>
      <w:r w:rsidRPr="009B5BF3">
        <w:rPr>
          <w:lang w:val="en-GB"/>
        </w:rPr>
        <w:t>mae</w:t>
      </w:r>
      <w:proofErr w:type="spellEnd"/>
      <w:r w:rsidRPr="009B5BF3">
        <w:rPr>
          <w:lang w:val="en-GB"/>
        </w:rPr>
        <w:t xml:space="preserve"> </w:t>
      </w:r>
      <w:proofErr w:type="spellStart"/>
      <w:r w:rsidRPr="009B5BF3">
        <w:rPr>
          <w:lang w:val="en-GB"/>
        </w:rPr>
        <w:t>adfyfyrio</w:t>
      </w:r>
      <w:proofErr w:type="spellEnd"/>
      <w:r w:rsidRPr="009B5BF3">
        <w:rPr>
          <w:lang w:val="en-GB"/>
        </w:rPr>
        <w:t xml:space="preserve"> </w:t>
      </w:r>
      <w:proofErr w:type="spellStart"/>
      <w:r w:rsidRPr="009B5BF3">
        <w:rPr>
          <w:lang w:val="en-GB"/>
        </w:rPr>
        <w:t>yn</w:t>
      </w:r>
      <w:proofErr w:type="spellEnd"/>
      <w:r w:rsidRPr="009B5BF3">
        <w:rPr>
          <w:lang w:val="en-GB"/>
        </w:rPr>
        <w:t xml:space="preserve"> </w:t>
      </w:r>
      <w:proofErr w:type="spellStart"/>
      <w:r w:rsidRPr="009B5BF3">
        <w:rPr>
          <w:lang w:val="en-GB"/>
        </w:rPr>
        <w:t>rhywbeth</w:t>
      </w:r>
      <w:proofErr w:type="spellEnd"/>
      <w:r w:rsidRPr="009B5BF3">
        <w:rPr>
          <w:lang w:val="en-GB"/>
        </w:rPr>
        <w:t xml:space="preserve"> </w:t>
      </w:r>
      <w:proofErr w:type="spellStart"/>
      <w:r w:rsidRPr="009B5BF3">
        <w:rPr>
          <w:lang w:val="en-GB"/>
        </w:rPr>
        <w:t>sydd</w:t>
      </w:r>
      <w:proofErr w:type="spellEnd"/>
      <w:r w:rsidRPr="009B5BF3">
        <w:rPr>
          <w:lang w:val="en-GB"/>
        </w:rPr>
        <w:t xml:space="preserve"> </w:t>
      </w:r>
      <w:proofErr w:type="spellStart"/>
      <w:r w:rsidRPr="009B5BF3">
        <w:rPr>
          <w:lang w:val="en-GB"/>
        </w:rPr>
        <w:t>wedi</w:t>
      </w:r>
      <w:proofErr w:type="spellEnd"/>
      <w:r w:rsidRPr="009B5BF3">
        <w:rPr>
          <w:lang w:val="en-GB"/>
        </w:rPr>
        <w:t xml:space="preserve"> bod </w:t>
      </w:r>
      <w:proofErr w:type="spellStart"/>
      <w:r w:rsidRPr="009B5BF3">
        <w:rPr>
          <w:lang w:val="en-GB"/>
        </w:rPr>
        <w:t>yn</w:t>
      </w:r>
      <w:proofErr w:type="spellEnd"/>
      <w:r w:rsidRPr="009B5BF3">
        <w:rPr>
          <w:lang w:val="en-GB"/>
        </w:rPr>
        <w:t xml:space="preserve"> </w:t>
      </w:r>
      <w:proofErr w:type="spellStart"/>
      <w:r w:rsidRPr="009B5BF3">
        <w:rPr>
          <w:lang w:val="en-GB"/>
        </w:rPr>
        <w:t>digwydd</w:t>
      </w:r>
      <w:proofErr w:type="spellEnd"/>
      <w:r w:rsidRPr="009B5BF3">
        <w:rPr>
          <w:lang w:val="en-GB"/>
        </w:rPr>
        <w:t xml:space="preserve"> am </w:t>
      </w:r>
      <w:proofErr w:type="spellStart"/>
      <w:r w:rsidRPr="009B5BF3">
        <w:rPr>
          <w:lang w:val="en-GB"/>
        </w:rPr>
        <w:t>flynyddoedd</w:t>
      </w:r>
      <w:proofErr w:type="spellEnd"/>
      <w:r w:rsidRPr="009B5BF3">
        <w:rPr>
          <w:lang w:val="en-GB"/>
        </w:rPr>
        <w:t xml:space="preserve"> o </w:t>
      </w:r>
      <w:proofErr w:type="spellStart"/>
      <w:r w:rsidRPr="009B5BF3">
        <w:rPr>
          <w:lang w:val="en-GB"/>
        </w:rPr>
        <w:t>fewn</w:t>
      </w:r>
      <w:proofErr w:type="spellEnd"/>
      <w:r w:rsidRPr="009B5BF3">
        <w:rPr>
          <w:lang w:val="en-GB"/>
        </w:rPr>
        <w:t xml:space="preserve"> y </w:t>
      </w:r>
      <w:proofErr w:type="spellStart"/>
      <w:r w:rsidRPr="009B5BF3">
        <w:rPr>
          <w:lang w:val="en-GB"/>
        </w:rPr>
        <w:t>proffesiwn</w:t>
      </w:r>
      <w:proofErr w:type="spellEnd"/>
      <w:r w:rsidRPr="009B5BF3">
        <w:rPr>
          <w:lang w:val="en-GB"/>
        </w:rPr>
        <w:t xml:space="preserve"> </w:t>
      </w:r>
      <w:proofErr w:type="spellStart"/>
      <w:r w:rsidRPr="009B5BF3">
        <w:rPr>
          <w:lang w:val="en-GB"/>
        </w:rPr>
        <w:t>addysgu</w:t>
      </w:r>
      <w:proofErr w:type="spellEnd"/>
      <w:r w:rsidRPr="009B5BF3">
        <w:rPr>
          <w:lang w:val="en-GB"/>
        </w:rPr>
        <w:t xml:space="preserve">, </w:t>
      </w:r>
      <w:proofErr w:type="spellStart"/>
      <w:r w:rsidRPr="009B5BF3">
        <w:rPr>
          <w:lang w:val="en-GB"/>
        </w:rPr>
        <w:t>ond</w:t>
      </w:r>
      <w:proofErr w:type="spellEnd"/>
      <w:r w:rsidRPr="009B5BF3">
        <w:rPr>
          <w:lang w:val="en-GB"/>
        </w:rPr>
        <w:t xml:space="preserve"> </w:t>
      </w:r>
      <w:proofErr w:type="spellStart"/>
      <w:r w:rsidRPr="009B5BF3">
        <w:rPr>
          <w:lang w:val="en-GB"/>
        </w:rPr>
        <w:t>nid</w:t>
      </w:r>
      <w:proofErr w:type="spellEnd"/>
      <w:r w:rsidRPr="009B5BF3">
        <w:rPr>
          <w:lang w:val="en-GB"/>
        </w:rPr>
        <w:t xml:space="preserve"> </w:t>
      </w:r>
      <w:proofErr w:type="spellStart"/>
      <w:r w:rsidR="009F3B91">
        <w:rPr>
          <w:lang w:val="en-GB"/>
        </w:rPr>
        <w:t>i</w:t>
      </w:r>
      <w:r w:rsidRPr="009B5BF3">
        <w:rPr>
          <w:lang w:val="en-GB"/>
        </w:rPr>
        <w:t>’r</w:t>
      </w:r>
      <w:proofErr w:type="spellEnd"/>
      <w:r w:rsidRPr="009B5BF3">
        <w:rPr>
          <w:lang w:val="en-GB"/>
        </w:rPr>
        <w:t xml:space="preserve"> un </w:t>
      </w:r>
      <w:proofErr w:type="spellStart"/>
      <w:r w:rsidRPr="009B5BF3">
        <w:rPr>
          <w:lang w:val="en-GB"/>
        </w:rPr>
        <w:t>lefel</w:t>
      </w:r>
      <w:proofErr w:type="spellEnd"/>
      <w:r w:rsidRPr="009B5BF3">
        <w:rPr>
          <w:lang w:val="en-GB"/>
        </w:rPr>
        <w:t xml:space="preserve"> ag y </w:t>
      </w:r>
      <w:proofErr w:type="spellStart"/>
      <w:r w:rsidRPr="009B5BF3">
        <w:rPr>
          <w:lang w:val="en-GB"/>
        </w:rPr>
        <w:t>mae</w:t>
      </w:r>
      <w:proofErr w:type="spellEnd"/>
      <w:r w:rsidRPr="009B5BF3">
        <w:rPr>
          <w:lang w:val="en-GB"/>
        </w:rPr>
        <w:t xml:space="preserve"> </w:t>
      </w:r>
      <w:proofErr w:type="spellStart"/>
      <w:r w:rsidRPr="009B5BF3">
        <w:rPr>
          <w:lang w:val="en-GB"/>
        </w:rPr>
        <w:t>heddiw</w:t>
      </w:r>
      <w:proofErr w:type="spellEnd"/>
      <w:r w:rsidRPr="009B5BF3">
        <w:rPr>
          <w:lang w:val="en-GB"/>
        </w:rPr>
        <w:t xml:space="preserve">. </w:t>
      </w:r>
      <w:proofErr w:type="spellStart"/>
      <w:r w:rsidRPr="009B5BF3">
        <w:rPr>
          <w:lang w:val="en-GB"/>
        </w:rPr>
        <w:t>Gwelwyd</w:t>
      </w:r>
      <w:proofErr w:type="spellEnd"/>
      <w:r w:rsidRPr="009B5BF3">
        <w:rPr>
          <w:lang w:val="en-GB"/>
        </w:rPr>
        <w:t xml:space="preserve"> </w:t>
      </w:r>
      <w:proofErr w:type="spellStart"/>
      <w:r w:rsidRPr="009B5BF3">
        <w:rPr>
          <w:lang w:val="en-GB"/>
        </w:rPr>
        <w:t>adfyfyrio</w:t>
      </w:r>
      <w:proofErr w:type="spellEnd"/>
      <w:r w:rsidRPr="009B5BF3">
        <w:rPr>
          <w:lang w:val="en-GB"/>
        </w:rPr>
        <w:t xml:space="preserve"> </w:t>
      </w:r>
      <w:proofErr w:type="spellStart"/>
      <w:r w:rsidRPr="009B5BF3">
        <w:rPr>
          <w:lang w:val="en-GB"/>
        </w:rPr>
        <w:t>naturiol</w:t>
      </w:r>
      <w:proofErr w:type="spellEnd"/>
      <w:r w:rsidRPr="009B5BF3">
        <w:rPr>
          <w:lang w:val="en-GB"/>
        </w:rPr>
        <w:t xml:space="preserve"> </w:t>
      </w:r>
      <w:proofErr w:type="spellStart"/>
      <w:r w:rsidRPr="009B5BF3">
        <w:rPr>
          <w:lang w:val="en-GB"/>
        </w:rPr>
        <w:t>mewn</w:t>
      </w:r>
      <w:proofErr w:type="spellEnd"/>
      <w:r w:rsidRPr="009B5BF3">
        <w:rPr>
          <w:lang w:val="en-GB"/>
        </w:rPr>
        <w:t xml:space="preserve"> </w:t>
      </w:r>
      <w:proofErr w:type="spellStart"/>
      <w:r w:rsidRPr="009B5BF3">
        <w:rPr>
          <w:lang w:val="en-GB"/>
        </w:rPr>
        <w:t>ysgolion</w:t>
      </w:r>
      <w:proofErr w:type="spellEnd"/>
      <w:r w:rsidRPr="009B5BF3">
        <w:rPr>
          <w:lang w:val="en-GB"/>
        </w:rPr>
        <w:t xml:space="preserve"> </w:t>
      </w:r>
      <w:proofErr w:type="spellStart"/>
      <w:r w:rsidRPr="009B5BF3">
        <w:rPr>
          <w:lang w:val="en-GB"/>
        </w:rPr>
        <w:t>yn</w:t>
      </w:r>
      <w:proofErr w:type="spellEnd"/>
      <w:r w:rsidRPr="009B5BF3">
        <w:rPr>
          <w:lang w:val="en-GB"/>
        </w:rPr>
        <w:t xml:space="preserve"> </w:t>
      </w:r>
      <w:proofErr w:type="spellStart"/>
      <w:r w:rsidRPr="009B5BF3">
        <w:rPr>
          <w:lang w:val="en-GB"/>
        </w:rPr>
        <w:t>hanesyddol</w:t>
      </w:r>
      <w:proofErr w:type="spellEnd"/>
      <w:r w:rsidRPr="009B5BF3">
        <w:rPr>
          <w:lang w:val="en-GB"/>
        </w:rPr>
        <w:t xml:space="preserve">, </w:t>
      </w:r>
      <w:proofErr w:type="spellStart"/>
      <w:r w:rsidRPr="009B5BF3">
        <w:rPr>
          <w:lang w:val="en-GB"/>
        </w:rPr>
        <w:t>yn</w:t>
      </w:r>
      <w:proofErr w:type="spellEnd"/>
      <w:r w:rsidRPr="009B5BF3">
        <w:rPr>
          <w:lang w:val="en-GB"/>
        </w:rPr>
        <w:t xml:space="preserve"> </w:t>
      </w:r>
      <w:proofErr w:type="spellStart"/>
      <w:r w:rsidRPr="009B5BF3">
        <w:rPr>
          <w:lang w:val="en-GB"/>
        </w:rPr>
        <w:t>ystod</w:t>
      </w:r>
      <w:proofErr w:type="spellEnd"/>
      <w:r w:rsidRPr="009B5BF3">
        <w:rPr>
          <w:lang w:val="en-GB"/>
        </w:rPr>
        <w:t xml:space="preserve"> </w:t>
      </w:r>
      <w:proofErr w:type="spellStart"/>
      <w:r w:rsidRPr="009B5BF3">
        <w:rPr>
          <w:lang w:val="en-GB"/>
        </w:rPr>
        <w:t>egwyl</w:t>
      </w:r>
      <w:proofErr w:type="spellEnd"/>
      <w:r w:rsidRPr="009B5BF3">
        <w:rPr>
          <w:lang w:val="en-GB"/>
        </w:rPr>
        <w:t xml:space="preserve"> neu </w:t>
      </w:r>
      <w:proofErr w:type="spellStart"/>
      <w:r w:rsidRPr="009B5BF3">
        <w:rPr>
          <w:lang w:val="en-GB"/>
        </w:rPr>
        <w:t>amseroedd</w:t>
      </w:r>
      <w:proofErr w:type="spellEnd"/>
      <w:r w:rsidRPr="009B5BF3">
        <w:rPr>
          <w:lang w:val="en-GB"/>
        </w:rPr>
        <w:t xml:space="preserve"> </w:t>
      </w:r>
      <w:proofErr w:type="spellStart"/>
      <w:r w:rsidRPr="009B5BF3">
        <w:rPr>
          <w:lang w:val="en-GB"/>
        </w:rPr>
        <w:t>cinio</w:t>
      </w:r>
      <w:proofErr w:type="spellEnd"/>
      <w:r w:rsidR="00CB060E">
        <w:rPr>
          <w:lang w:val="en-GB"/>
        </w:rPr>
        <w:t>,</w:t>
      </w:r>
      <w:r w:rsidR="009F3B91">
        <w:rPr>
          <w:lang w:val="en-GB"/>
        </w:rPr>
        <w:t xml:space="preserve"> </w:t>
      </w:r>
      <w:proofErr w:type="spellStart"/>
      <w:r w:rsidRPr="009B5BF3">
        <w:rPr>
          <w:lang w:val="en-GB"/>
        </w:rPr>
        <w:t>pryd</w:t>
      </w:r>
      <w:proofErr w:type="spellEnd"/>
      <w:r w:rsidRPr="009B5BF3">
        <w:rPr>
          <w:lang w:val="en-GB"/>
        </w:rPr>
        <w:t xml:space="preserve"> </w:t>
      </w:r>
      <w:proofErr w:type="spellStart"/>
      <w:r w:rsidRPr="009B5BF3">
        <w:rPr>
          <w:lang w:val="en-GB"/>
        </w:rPr>
        <w:t>mae</w:t>
      </w:r>
      <w:proofErr w:type="spellEnd"/>
      <w:r w:rsidRPr="009B5BF3">
        <w:rPr>
          <w:lang w:val="en-GB"/>
        </w:rPr>
        <w:t xml:space="preserve"> </w:t>
      </w:r>
      <w:proofErr w:type="spellStart"/>
      <w:r w:rsidRPr="009B5BF3">
        <w:rPr>
          <w:lang w:val="en-GB"/>
        </w:rPr>
        <w:t>athrawon</w:t>
      </w:r>
      <w:proofErr w:type="spellEnd"/>
      <w:r w:rsidRPr="009B5BF3">
        <w:rPr>
          <w:lang w:val="en-GB"/>
        </w:rPr>
        <w:t xml:space="preserve"> </w:t>
      </w:r>
      <w:proofErr w:type="spellStart"/>
      <w:r w:rsidRPr="009B5BF3">
        <w:rPr>
          <w:lang w:val="en-GB"/>
        </w:rPr>
        <w:t>yn</w:t>
      </w:r>
      <w:proofErr w:type="spellEnd"/>
      <w:r w:rsidRPr="009B5BF3">
        <w:rPr>
          <w:lang w:val="en-GB"/>
        </w:rPr>
        <w:t xml:space="preserve"> </w:t>
      </w:r>
      <w:proofErr w:type="spellStart"/>
      <w:r w:rsidRPr="009B5BF3">
        <w:rPr>
          <w:lang w:val="en-GB"/>
        </w:rPr>
        <w:t>trafod</w:t>
      </w:r>
      <w:proofErr w:type="spellEnd"/>
      <w:r w:rsidRPr="009B5BF3">
        <w:rPr>
          <w:lang w:val="en-GB"/>
        </w:rPr>
        <w:t xml:space="preserve"> </w:t>
      </w:r>
      <w:proofErr w:type="spellStart"/>
      <w:r w:rsidRPr="009B5BF3">
        <w:rPr>
          <w:lang w:val="en-GB"/>
        </w:rPr>
        <w:t>digwyddiadau</w:t>
      </w:r>
      <w:proofErr w:type="spellEnd"/>
      <w:r w:rsidRPr="009B5BF3">
        <w:rPr>
          <w:lang w:val="en-GB"/>
        </w:rPr>
        <w:t xml:space="preserve"> </w:t>
      </w:r>
      <w:proofErr w:type="spellStart"/>
      <w:r w:rsidR="00CB060E">
        <w:rPr>
          <w:lang w:val="en-GB"/>
        </w:rPr>
        <w:t>penodol</w:t>
      </w:r>
      <w:proofErr w:type="spellEnd"/>
      <w:r w:rsidR="00CB060E">
        <w:rPr>
          <w:lang w:val="en-GB"/>
        </w:rPr>
        <w:t xml:space="preserve"> </w:t>
      </w:r>
      <w:proofErr w:type="spellStart"/>
      <w:r w:rsidRPr="009B5BF3">
        <w:rPr>
          <w:lang w:val="en-GB"/>
        </w:rPr>
        <w:t>yn</w:t>
      </w:r>
      <w:proofErr w:type="spellEnd"/>
      <w:r w:rsidRPr="009B5BF3">
        <w:rPr>
          <w:lang w:val="en-GB"/>
        </w:rPr>
        <w:t xml:space="preserve"> </w:t>
      </w:r>
      <w:proofErr w:type="spellStart"/>
      <w:r w:rsidRPr="009B5BF3">
        <w:rPr>
          <w:lang w:val="en-GB"/>
        </w:rPr>
        <w:t>ystod</w:t>
      </w:r>
      <w:proofErr w:type="spellEnd"/>
      <w:r w:rsidRPr="009B5BF3">
        <w:rPr>
          <w:lang w:val="en-GB"/>
        </w:rPr>
        <w:t xml:space="preserve"> </w:t>
      </w:r>
      <w:proofErr w:type="spellStart"/>
      <w:r w:rsidRPr="009B5BF3">
        <w:rPr>
          <w:lang w:val="en-GB"/>
        </w:rPr>
        <w:t>eu</w:t>
      </w:r>
      <w:proofErr w:type="spellEnd"/>
      <w:r w:rsidRPr="009B5BF3">
        <w:rPr>
          <w:lang w:val="en-GB"/>
        </w:rPr>
        <w:t xml:space="preserve"> </w:t>
      </w:r>
      <w:proofErr w:type="spellStart"/>
      <w:r w:rsidRPr="009B5BF3">
        <w:rPr>
          <w:lang w:val="en-GB"/>
        </w:rPr>
        <w:t>gwersi</w:t>
      </w:r>
      <w:proofErr w:type="spellEnd"/>
      <w:r w:rsidRPr="009B5BF3">
        <w:rPr>
          <w:lang w:val="en-GB"/>
        </w:rPr>
        <w:t xml:space="preserve"> (Brookfield, 2017). Er </w:t>
      </w:r>
      <w:proofErr w:type="spellStart"/>
      <w:r w:rsidRPr="009B5BF3">
        <w:rPr>
          <w:lang w:val="en-GB"/>
        </w:rPr>
        <w:t>hyn</w:t>
      </w:r>
      <w:proofErr w:type="spellEnd"/>
      <w:r w:rsidRPr="009B5BF3">
        <w:rPr>
          <w:lang w:val="en-GB"/>
        </w:rPr>
        <w:t xml:space="preserve">, </w:t>
      </w:r>
      <w:proofErr w:type="spellStart"/>
      <w:r w:rsidRPr="009B5BF3">
        <w:rPr>
          <w:lang w:val="en-GB"/>
        </w:rPr>
        <w:t>mae</w:t>
      </w:r>
      <w:proofErr w:type="spellEnd"/>
      <w:r w:rsidRPr="009B5BF3">
        <w:rPr>
          <w:lang w:val="en-GB"/>
        </w:rPr>
        <w:t xml:space="preserve"> </w:t>
      </w:r>
      <w:proofErr w:type="spellStart"/>
      <w:r w:rsidRPr="009B5BF3">
        <w:rPr>
          <w:lang w:val="en-GB"/>
        </w:rPr>
        <w:t>mwy</w:t>
      </w:r>
      <w:proofErr w:type="spellEnd"/>
      <w:r w:rsidRPr="009B5BF3">
        <w:rPr>
          <w:lang w:val="en-GB"/>
        </w:rPr>
        <w:t xml:space="preserve"> o </w:t>
      </w:r>
      <w:proofErr w:type="spellStart"/>
      <w:r w:rsidRPr="009B5BF3">
        <w:rPr>
          <w:lang w:val="en-GB"/>
        </w:rPr>
        <w:t>bwyslais</w:t>
      </w:r>
      <w:proofErr w:type="spellEnd"/>
      <w:r w:rsidRPr="009B5BF3">
        <w:rPr>
          <w:lang w:val="en-GB"/>
        </w:rPr>
        <w:t xml:space="preserve"> </w:t>
      </w:r>
      <w:proofErr w:type="spellStart"/>
      <w:r w:rsidRPr="009B5BF3">
        <w:rPr>
          <w:lang w:val="en-GB"/>
        </w:rPr>
        <w:t>yn</w:t>
      </w:r>
      <w:proofErr w:type="spellEnd"/>
      <w:r w:rsidRPr="009B5BF3">
        <w:rPr>
          <w:lang w:val="en-GB"/>
        </w:rPr>
        <w:t xml:space="preserve"> y </w:t>
      </w:r>
      <w:proofErr w:type="spellStart"/>
      <w:r w:rsidRPr="009B5BF3">
        <w:rPr>
          <w:lang w:val="en-GB"/>
        </w:rPr>
        <w:t>llenyddiaeth</w:t>
      </w:r>
      <w:proofErr w:type="spellEnd"/>
      <w:r w:rsidRPr="009B5BF3">
        <w:rPr>
          <w:lang w:val="en-GB"/>
        </w:rPr>
        <w:t xml:space="preserve"> </w:t>
      </w:r>
      <w:proofErr w:type="spellStart"/>
      <w:r w:rsidRPr="009B5BF3">
        <w:rPr>
          <w:lang w:val="en-GB"/>
        </w:rPr>
        <w:t>heddiw</w:t>
      </w:r>
      <w:proofErr w:type="spellEnd"/>
      <w:r w:rsidRPr="009B5BF3">
        <w:rPr>
          <w:lang w:val="en-GB"/>
        </w:rPr>
        <w:t xml:space="preserve"> </w:t>
      </w:r>
      <w:proofErr w:type="spellStart"/>
      <w:r w:rsidRPr="009B5BF3">
        <w:rPr>
          <w:lang w:val="en-GB"/>
        </w:rPr>
        <w:t>ar</w:t>
      </w:r>
      <w:proofErr w:type="spellEnd"/>
      <w:r w:rsidRPr="009B5BF3">
        <w:rPr>
          <w:lang w:val="en-GB"/>
        </w:rPr>
        <w:t xml:space="preserve"> </w:t>
      </w:r>
      <w:proofErr w:type="spellStart"/>
      <w:r w:rsidRPr="009B5BF3">
        <w:rPr>
          <w:lang w:val="en-GB"/>
        </w:rPr>
        <w:t>adfyfyrio’n</w:t>
      </w:r>
      <w:proofErr w:type="spellEnd"/>
      <w:r w:rsidRPr="009B5BF3">
        <w:rPr>
          <w:lang w:val="en-GB"/>
        </w:rPr>
        <w:t xml:space="preserve"> </w:t>
      </w:r>
      <w:proofErr w:type="spellStart"/>
      <w:r w:rsidRPr="009B5BF3">
        <w:rPr>
          <w:lang w:val="en-GB"/>
        </w:rPr>
        <w:t>gritigol</w:t>
      </w:r>
      <w:proofErr w:type="spellEnd"/>
      <w:r w:rsidRPr="009B5BF3">
        <w:rPr>
          <w:lang w:val="en-GB"/>
        </w:rPr>
        <w:t xml:space="preserve"> </w:t>
      </w:r>
      <w:proofErr w:type="spellStart"/>
      <w:r w:rsidRPr="009B5BF3">
        <w:rPr>
          <w:lang w:val="en-GB"/>
        </w:rPr>
        <w:t>fel</w:t>
      </w:r>
      <w:proofErr w:type="spellEnd"/>
      <w:r w:rsidRPr="009B5BF3">
        <w:rPr>
          <w:lang w:val="en-GB"/>
        </w:rPr>
        <w:t xml:space="preserve"> </w:t>
      </w:r>
      <w:proofErr w:type="spellStart"/>
      <w:r w:rsidRPr="009B5BF3">
        <w:rPr>
          <w:lang w:val="en-GB"/>
        </w:rPr>
        <w:t>unigolyn</w:t>
      </w:r>
      <w:proofErr w:type="spellEnd"/>
      <w:r w:rsidRPr="009B5BF3">
        <w:rPr>
          <w:lang w:val="en-GB"/>
        </w:rPr>
        <w:t xml:space="preserve">, </w:t>
      </w:r>
      <w:proofErr w:type="spellStart"/>
      <w:r w:rsidRPr="009B5BF3">
        <w:rPr>
          <w:lang w:val="en-GB"/>
        </w:rPr>
        <w:t>yn</w:t>
      </w:r>
      <w:proofErr w:type="spellEnd"/>
      <w:r w:rsidRPr="009B5BF3">
        <w:rPr>
          <w:lang w:val="en-GB"/>
        </w:rPr>
        <w:t xml:space="preserve"> </w:t>
      </w:r>
      <w:proofErr w:type="spellStart"/>
      <w:r w:rsidRPr="009B5BF3">
        <w:rPr>
          <w:lang w:val="en-GB"/>
        </w:rPr>
        <w:t>lle</w:t>
      </w:r>
      <w:proofErr w:type="spellEnd"/>
      <w:r w:rsidRPr="009B5BF3">
        <w:rPr>
          <w:lang w:val="en-GB"/>
        </w:rPr>
        <w:t xml:space="preserve"> </w:t>
      </w:r>
      <w:proofErr w:type="spellStart"/>
      <w:r w:rsidRPr="009B5BF3">
        <w:rPr>
          <w:lang w:val="en-GB"/>
        </w:rPr>
        <w:t>adfyfyrio</w:t>
      </w:r>
      <w:proofErr w:type="spellEnd"/>
      <w:r w:rsidR="00CB060E">
        <w:rPr>
          <w:lang w:val="en-GB"/>
        </w:rPr>
        <w:t xml:space="preserve"> </w:t>
      </w:r>
      <w:proofErr w:type="spellStart"/>
      <w:r w:rsidRPr="009B5BF3">
        <w:rPr>
          <w:lang w:val="en-GB"/>
        </w:rPr>
        <w:t>dros</w:t>
      </w:r>
      <w:proofErr w:type="spellEnd"/>
      <w:r w:rsidRPr="009B5BF3">
        <w:rPr>
          <w:lang w:val="en-GB"/>
        </w:rPr>
        <w:t xml:space="preserve"> </w:t>
      </w:r>
      <w:proofErr w:type="spellStart"/>
      <w:r w:rsidRPr="009B5BF3">
        <w:rPr>
          <w:lang w:val="en-GB"/>
        </w:rPr>
        <w:t>sgwrsio</w:t>
      </w:r>
      <w:proofErr w:type="spellEnd"/>
      <w:r w:rsidRPr="009B5BF3">
        <w:rPr>
          <w:lang w:val="en-GB"/>
        </w:rPr>
        <w:t xml:space="preserve"> </w:t>
      </w:r>
      <w:proofErr w:type="spellStart"/>
      <w:r w:rsidRPr="009B5BF3">
        <w:rPr>
          <w:lang w:val="en-GB"/>
        </w:rPr>
        <w:t>gydag</w:t>
      </w:r>
      <w:proofErr w:type="spellEnd"/>
      <w:r w:rsidRPr="009B5BF3">
        <w:rPr>
          <w:lang w:val="en-GB"/>
        </w:rPr>
        <w:t xml:space="preserve"> </w:t>
      </w:r>
      <w:proofErr w:type="spellStart"/>
      <w:r w:rsidRPr="009B5BF3">
        <w:rPr>
          <w:lang w:val="en-GB"/>
        </w:rPr>
        <w:t>athrawon</w:t>
      </w:r>
      <w:proofErr w:type="spellEnd"/>
      <w:r w:rsidRPr="009B5BF3">
        <w:rPr>
          <w:lang w:val="en-GB"/>
        </w:rPr>
        <w:t xml:space="preserve"> </w:t>
      </w:r>
      <w:proofErr w:type="spellStart"/>
      <w:r w:rsidRPr="009B5BF3">
        <w:rPr>
          <w:lang w:val="en-GB"/>
        </w:rPr>
        <w:t>eraill</w:t>
      </w:r>
      <w:proofErr w:type="spellEnd"/>
      <w:r w:rsidR="00CB060E">
        <w:rPr>
          <w:lang w:val="en-GB"/>
        </w:rPr>
        <w:t xml:space="preserve"> </w:t>
      </w:r>
      <w:proofErr w:type="spellStart"/>
      <w:r w:rsidR="00CB060E">
        <w:rPr>
          <w:lang w:val="en-GB"/>
        </w:rPr>
        <w:t>yn</w:t>
      </w:r>
      <w:proofErr w:type="spellEnd"/>
      <w:r w:rsidR="00CB060E">
        <w:rPr>
          <w:lang w:val="en-GB"/>
        </w:rPr>
        <w:t xml:space="preserve"> </w:t>
      </w:r>
      <w:proofErr w:type="spellStart"/>
      <w:r w:rsidR="00CB060E">
        <w:rPr>
          <w:lang w:val="en-GB"/>
        </w:rPr>
        <w:t>yr</w:t>
      </w:r>
      <w:proofErr w:type="spellEnd"/>
      <w:r w:rsidR="00CB060E">
        <w:rPr>
          <w:lang w:val="en-GB"/>
        </w:rPr>
        <w:t xml:space="preserve"> </w:t>
      </w:r>
      <w:proofErr w:type="spellStart"/>
      <w:r w:rsidR="00CB060E">
        <w:rPr>
          <w:lang w:val="en-GB"/>
        </w:rPr>
        <w:t>ystafell</w:t>
      </w:r>
      <w:proofErr w:type="spellEnd"/>
      <w:r w:rsidR="00CB060E">
        <w:rPr>
          <w:lang w:val="en-GB"/>
        </w:rPr>
        <w:t xml:space="preserve"> </w:t>
      </w:r>
      <w:proofErr w:type="spellStart"/>
      <w:r w:rsidR="00CB060E">
        <w:rPr>
          <w:lang w:val="en-GB"/>
        </w:rPr>
        <w:t>athrawon</w:t>
      </w:r>
      <w:proofErr w:type="spellEnd"/>
      <w:r w:rsidRPr="009B5BF3">
        <w:rPr>
          <w:lang w:val="en-GB"/>
        </w:rPr>
        <w:t xml:space="preserve">. I </w:t>
      </w:r>
      <w:proofErr w:type="spellStart"/>
      <w:r w:rsidRPr="009B5BF3">
        <w:rPr>
          <w:lang w:val="en-GB"/>
        </w:rPr>
        <w:t>gefnogi</w:t>
      </w:r>
      <w:proofErr w:type="spellEnd"/>
      <w:r w:rsidRPr="009B5BF3">
        <w:rPr>
          <w:lang w:val="en-GB"/>
        </w:rPr>
        <w:t xml:space="preserve"> </w:t>
      </w:r>
      <w:proofErr w:type="spellStart"/>
      <w:r w:rsidRPr="009B5BF3">
        <w:rPr>
          <w:lang w:val="en-GB"/>
        </w:rPr>
        <w:t>hyn</w:t>
      </w:r>
      <w:proofErr w:type="spellEnd"/>
      <w:r w:rsidRPr="009B5BF3">
        <w:rPr>
          <w:lang w:val="en-GB"/>
        </w:rPr>
        <w:t xml:space="preserve">, </w:t>
      </w:r>
      <w:proofErr w:type="spellStart"/>
      <w:r w:rsidRPr="009B5BF3">
        <w:rPr>
          <w:lang w:val="en-GB"/>
        </w:rPr>
        <w:t>gwelwyd</w:t>
      </w:r>
      <w:proofErr w:type="spellEnd"/>
      <w:r w:rsidRPr="009B5BF3">
        <w:rPr>
          <w:lang w:val="en-GB"/>
        </w:rPr>
        <w:t xml:space="preserve"> </w:t>
      </w:r>
      <w:proofErr w:type="spellStart"/>
      <w:r w:rsidRPr="009B5BF3">
        <w:rPr>
          <w:lang w:val="en-GB"/>
        </w:rPr>
        <w:t>fod</w:t>
      </w:r>
      <w:proofErr w:type="spellEnd"/>
      <w:r w:rsidRPr="009B5BF3">
        <w:rPr>
          <w:lang w:val="en-GB"/>
        </w:rPr>
        <w:t xml:space="preserve"> </w:t>
      </w:r>
      <w:proofErr w:type="spellStart"/>
      <w:r w:rsidRPr="009B5BF3">
        <w:rPr>
          <w:lang w:val="en-GB"/>
        </w:rPr>
        <w:t>adfyfyrio’n</w:t>
      </w:r>
      <w:proofErr w:type="spellEnd"/>
      <w:r w:rsidRPr="009B5BF3">
        <w:rPr>
          <w:lang w:val="en-GB"/>
        </w:rPr>
        <w:t xml:space="preserve"> </w:t>
      </w:r>
      <w:proofErr w:type="spellStart"/>
      <w:r w:rsidRPr="009B5BF3">
        <w:rPr>
          <w:lang w:val="en-GB"/>
        </w:rPr>
        <w:t>gritigol</w:t>
      </w:r>
      <w:proofErr w:type="spellEnd"/>
      <w:r w:rsidRPr="009B5BF3">
        <w:rPr>
          <w:lang w:val="en-GB"/>
        </w:rPr>
        <w:t xml:space="preserve"> </w:t>
      </w:r>
      <w:proofErr w:type="spellStart"/>
      <w:r w:rsidRPr="009B5BF3">
        <w:rPr>
          <w:lang w:val="en-GB"/>
        </w:rPr>
        <w:t>yn</w:t>
      </w:r>
      <w:proofErr w:type="spellEnd"/>
      <w:r w:rsidRPr="009B5BF3">
        <w:rPr>
          <w:lang w:val="en-GB"/>
        </w:rPr>
        <w:t xml:space="preserve"> </w:t>
      </w:r>
      <w:proofErr w:type="spellStart"/>
      <w:r w:rsidRPr="009B5BF3">
        <w:rPr>
          <w:lang w:val="en-GB"/>
        </w:rPr>
        <w:t>cael</w:t>
      </w:r>
      <w:proofErr w:type="spellEnd"/>
      <w:r w:rsidRPr="009B5BF3">
        <w:rPr>
          <w:lang w:val="en-GB"/>
        </w:rPr>
        <w:t xml:space="preserve"> </w:t>
      </w:r>
      <w:proofErr w:type="spellStart"/>
      <w:r w:rsidRPr="009B5BF3">
        <w:rPr>
          <w:lang w:val="en-GB"/>
        </w:rPr>
        <w:t>ei</w:t>
      </w:r>
      <w:proofErr w:type="spellEnd"/>
      <w:r w:rsidRPr="009B5BF3">
        <w:rPr>
          <w:lang w:val="en-GB"/>
        </w:rPr>
        <w:t xml:space="preserve"> </w:t>
      </w:r>
      <w:proofErr w:type="spellStart"/>
      <w:r w:rsidRPr="009B5BF3">
        <w:rPr>
          <w:lang w:val="en-GB"/>
        </w:rPr>
        <w:t>bwysleisio’n</w:t>
      </w:r>
      <w:proofErr w:type="spellEnd"/>
      <w:r w:rsidRPr="009B5BF3">
        <w:rPr>
          <w:lang w:val="en-GB"/>
        </w:rPr>
        <w:t xml:space="preserve"> </w:t>
      </w:r>
      <w:proofErr w:type="spellStart"/>
      <w:r w:rsidRPr="009B5BF3">
        <w:rPr>
          <w:lang w:val="en-GB"/>
        </w:rPr>
        <w:t>fawr</w:t>
      </w:r>
      <w:proofErr w:type="spellEnd"/>
      <w:r w:rsidRPr="009B5BF3">
        <w:rPr>
          <w:lang w:val="en-GB"/>
        </w:rPr>
        <w:t xml:space="preserve"> </w:t>
      </w:r>
      <w:proofErr w:type="spellStart"/>
      <w:r w:rsidRPr="009B5BF3">
        <w:rPr>
          <w:lang w:val="en-GB"/>
        </w:rPr>
        <w:t>yng</w:t>
      </w:r>
      <w:proofErr w:type="spellEnd"/>
      <w:r w:rsidRPr="009B5BF3">
        <w:rPr>
          <w:lang w:val="en-GB"/>
        </w:rPr>
        <w:t xml:space="preserve"> </w:t>
      </w:r>
      <w:proofErr w:type="spellStart"/>
      <w:r w:rsidRPr="009B5BF3">
        <w:rPr>
          <w:lang w:val="en-GB"/>
        </w:rPr>
        <w:t>Nghyrsiau</w:t>
      </w:r>
      <w:proofErr w:type="spellEnd"/>
      <w:r w:rsidRPr="009B5BF3">
        <w:rPr>
          <w:lang w:val="en-GB"/>
        </w:rPr>
        <w:t xml:space="preserve"> TAR </w:t>
      </w:r>
      <w:proofErr w:type="spellStart"/>
      <w:r w:rsidRPr="009B5BF3">
        <w:rPr>
          <w:lang w:val="en-GB"/>
        </w:rPr>
        <w:t>heddiw</w:t>
      </w:r>
      <w:proofErr w:type="spellEnd"/>
      <w:r w:rsidR="00777BF1">
        <w:t xml:space="preserve"> </w:t>
      </w:r>
      <w:r w:rsidR="00322A1B">
        <w:t>(</w:t>
      </w:r>
      <w:bookmarkStart w:id="0" w:name="_Hlk150088882"/>
      <w:r w:rsidR="00322A1B">
        <w:t>Mulryan-Kyne, 2020</w:t>
      </w:r>
      <w:bookmarkEnd w:id="0"/>
      <w:r w:rsidR="00322A1B">
        <w:t>).</w:t>
      </w:r>
    </w:p>
    <w:p w14:paraId="64BA96EA" w14:textId="49F4E7DB" w:rsidR="00E9258C" w:rsidRDefault="009B5BF3">
      <w:r w:rsidRPr="009B5BF3">
        <w:t>Mae adfyfyrio gritigol wedi’i seilio ar ymchwil John Dewey o bron ganrif yn ôl (</w:t>
      </w:r>
      <w:bookmarkStart w:id="1" w:name="_Hlk150088891"/>
      <w:r w:rsidRPr="009B5BF3">
        <w:t>Hébert, 2015</w:t>
      </w:r>
      <w:bookmarkEnd w:id="1"/>
      <w:r w:rsidRPr="009B5BF3">
        <w:t xml:space="preserve">). Esbonia Mulryan-Kyne (2020) bod Dewey yn gweld adfyfyrio fel proses wybyddol sy’n defnyddio credoau a gwybodaeth yr unigolyn er mwyn datrys problemau. I ategu, meddylfryd Dewey oedd bod adfyfyrio’n digwydd trwy broses ble mae amheuaeth a phendroni yn chwarae rhan cyn i’r broblem cael ei ddatrys (Mulryan-Kyne, 2020). Mae hyn yn sicrhau bod dadansoddiad dwfn yn digwydd o’r </w:t>
      </w:r>
      <w:r w:rsidRPr="009B5BF3">
        <w:lastRenderedPageBreak/>
        <w:t xml:space="preserve">digwyddiad oherwydd dydy adfyfyrio ddim gallu digwydd yn llwyddiannus gan feddwl yn fras amdano </w:t>
      </w:r>
      <w:r w:rsidR="0085701D">
        <w:t>(</w:t>
      </w:r>
      <w:bookmarkStart w:id="2" w:name="_Hlk150088900"/>
      <w:r w:rsidR="0085701D">
        <w:t>Rodgers, 2002</w:t>
      </w:r>
      <w:bookmarkEnd w:id="2"/>
      <w:r w:rsidR="0085701D">
        <w:t xml:space="preserve">). </w:t>
      </w:r>
      <w:r w:rsidRPr="009B5BF3">
        <w:t>Ers Dewey, gwelwyd fod nifer o athronyddion ac awduron wedi datblygu’i esboniad o fyfyrio mewn nifer o ffyrdd gwahanol. Enghraifft o hyn yw ddiffiniad Tripp (2012), dywed taw myfyrio yw’r broses ble mae athrawon yn meddwl am effaith eu gweithredoedd addysgeg, gyda’r bwriad o wella. I ategu, dengys y llenyddiaeth bod nifer o ffyrdd gwahanol i adfyfyrio’n gritigol. Mae nifer o fodelau amrywiaeth i gyrraedd adfyfyrio’n llwyddiannus ac maent i gyd wedi selio ar waith Dewey</w:t>
      </w:r>
      <w:r w:rsidR="007F288B">
        <w:t xml:space="preserve">. </w:t>
      </w:r>
    </w:p>
    <w:p w14:paraId="4816A2EE" w14:textId="5F7552E0" w:rsidR="00C95F81" w:rsidRDefault="006D33A7">
      <w:r w:rsidRPr="006D33A7">
        <w:t xml:space="preserve">Un enghraifft yw model 4 lens Brookfield. Mae model Brookfield yn cynnig 4 lens gall athrawon defnyddio mewn proses o adfyfyrio’n gritigol; ein hunangofiannau fel dysgwyr, trwy lygaid y dysgwyr, llenyddiaeth ddamcaniaethol, a phrofiadau ein cydweithwyr. Dywed Brookfield, os ydy athrawon yn edrych ar eu gweithredoedd trwy’r 4 lens yma, bydden nhw’n adfyfyrio’n gritigol trwy weld pa dybiaethau sy’n gweithio neu ddim (Brookfield, 2017; </w:t>
      </w:r>
      <w:bookmarkStart w:id="3" w:name="_Hlk150088913"/>
      <w:r w:rsidRPr="006D33A7">
        <w:t>Toka &amp; Gioti, 2023</w:t>
      </w:r>
      <w:bookmarkEnd w:id="3"/>
      <w:r w:rsidRPr="006D33A7">
        <w:t xml:space="preserve">; </w:t>
      </w:r>
      <w:bookmarkStart w:id="4" w:name="_Hlk150088919"/>
      <w:r w:rsidRPr="006D33A7">
        <w:t>Brookfield, 2009</w:t>
      </w:r>
      <w:bookmarkEnd w:id="4"/>
      <w:r w:rsidRPr="006D33A7">
        <w:t xml:space="preserve">; Brookfield, 2015). Gan edrych trwy hunangofiadau, gall athrawon defnyddio’u profiadau blaenorol er mwyn trosglwyddo beth naeth gweithio’n llwyddiannus i’w </w:t>
      </w:r>
      <w:r w:rsidR="00FC512C">
        <w:t>ad</w:t>
      </w:r>
      <w:r w:rsidRPr="006D33A7">
        <w:t>dysgu nhw (Brookfield, 2017; Brookfield, 2015). Mae edrych trwy lygaid y dysgwyr yn galluogi athrawon i weld effeithiau eu gweithredoedd a geiriau ar y disgyblion (Brookfield, 2017). Mae llenyddiaeth yn ddefnyddiol gan fod e’n rhoi gwybodaeth newydd iddynt. Yn olaf, mae gwahodd cydweithwyr i wylio’ch dysgu a gwrando ar e</w:t>
      </w:r>
      <w:r w:rsidR="00FC512C">
        <w:t>u</w:t>
      </w:r>
      <w:r w:rsidRPr="006D33A7">
        <w:t xml:space="preserve"> adborth yn gallu rhoi persbectif gwahanol </w:t>
      </w:r>
      <w:r w:rsidR="002F7F28">
        <w:t>(Brookfield, 2017</w:t>
      </w:r>
      <w:r w:rsidR="006E5B63">
        <w:t>; Brookfield, 2015</w:t>
      </w:r>
      <w:r w:rsidR="002F7F28">
        <w:t xml:space="preserve">). </w:t>
      </w:r>
      <w:r w:rsidRPr="006D33A7">
        <w:t>Mae hwn yn fodel llwyddiannus oherwydd mae’n cymryd daliadau nifer o bobl mewn i ystyriaeth</w:t>
      </w:r>
      <w:r w:rsidR="00057652">
        <w:t xml:space="preserve">. </w:t>
      </w:r>
    </w:p>
    <w:p w14:paraId="6D306F77" w14:textId="02CA3085" w:rsidR="002566E8" w:rsidRDefault="006D33A7" w:rsidP="002566E8">
      <w:r w:rsidRPr="006D33A7">
        <w:t>Enghraifft arall o fodel adfyfyrio yw model Kolb. Yn syml, model Kolb yw cylch dysgu (Ffigur 2) sy’n pwysleisio arsylwi fel modd o ddadansoddi ac felly, dod i gasgliadau wedi’u selio ar brofiad (</w:t>
      </w:r>
      <w:bookmarkStart w:id="5" w:name="_Hlk150088939"/>
      <w:r w:rsidRPr="006D33A7">
        <w:t>Muscat &amp; Mollicone, 2012</w:t>
      </w:r>
      <w:bookmarkEnd w:id="5"/>
      <w:r w:rsidRPr="006D33A7">
        <w:t>). Mae 4 cam i’r cylch dysgu; profiad diriaethol sef profiad ble mae teimladau a meddyliau yn cael eu creu, arsylwad adfyfyriol ble mae’r unigolyn yn adfyfyrio ar y teimladau a’r meddyliau, cysyniad haniaethol ble mae’r unigolyn yn dysgu o’r teimladau a’r meddyliau, ac arbrofi gweithredol ble mae’r unigolyn yn defnyddio beth maent wedi dysgu yn y gwersi (</w:t>
      </w:r>
      <w:bookmarkStart w:id="6" w:name="_Hlk150088947"/>
      <w:r w:rsidRPr="006D33A7">
        <w:t>Vince, 1998</w:t>
      </w:r>
      <w:bookmarkEnd w:id="6"/>
      <w:r w:rsidRPr="006D33A7">
        <w:t>). Mae pwyslais y cylch ar brofiad unigol yr unigolyn (Vince, 1998)</w:t>
      </w:r>
      <w:r w:rsidR="00FC512C">
        <w:t>,</w:t>
      </w:r>
      <w:r w:rsidRPr="006D33A7">
        <w:t xml:space="preserve"> a gall hyn bod yn elfen negyddol i fodel Kolb oherwydd mae gan bawb profiadau gwahano</w:t>
      </w:r>
      <w:r w:rsidR="00FC512C">
        <w:t>l,</w:t>
      </w:r>
      <w:r w:rsidRPr="006D33A7">
        <w:t xml:space="preserve"> ac felly bydd lwyddiant yr adfyfyrio o’r model hwn yn newid o berson i berson. Yn ychwanegol, bydd rhai digwyddiadau nad sy</w:t>
      </w:r>
      <w:r w:rsidR="00FC512C">
        <w:t>’</w:t>
      </w:r>
      <w:r w:rsidRPr="006D33A7">
        <w:t xml:space="preserve">n well dysgu trwy brofiad e.e. salwch </w:t>
      </w:r>
      <w:r w:rsidR="00157AB7">
        <w:t>(Vince, 1998).</w:t>
      </w:r>
    </w:p>
    <w:p w14:paraId="41076298" w14:textId="26A5B212" w:rsidR="00FD683C" w:rsidRDefault="00157AB7">
      <w:r w:rsidRPr="00407981">
        <w:rPr>
          <w:noProof/>
        </w:rPr>
        <w:drawing>
          <wp:anchor distT="0" distB="0" distL="114300" distR="114300" simplePos="0" relativeHeight="251660288" behindDoc="0" locked="0" layoutInCell="1" allowOverlap="1" wp14:anchorId="495FE3DE" wp14:editId="29386908">
            <wp:simplePos x="0" y="0"/>
            <wp:positionH relativeFrom="margin">
              <wp:posOffset>1405890</wp:posOffset>
            </wp:positionH>
            <wp:positionV relativeFrom="margin">
              <wp:posOffset>5872693</wp:posOffset>
            </wp:positionV>
            <wp:extent cx="2919095" cy="2437765"/>
            <wp:effectExtent l="0" t="0" r="0" b="635"/>
            <wp:wrapSquare wrapText="bothSides"/>
            <wp:docPr id="382896606" name="Picture 1" descr="A diagram of a group of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96606" name="Picture 1" descr="A diagram of a group of yellow squar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19095" cy="2437765"/>
                    </a:xfrm>
                    <a:prstGeom prst="rect">
                      <a:avLst/>
                    </a:prstGeom>
                  </pic:spPr>
                </pic:pic>
              </a:graphicData>
            </a:graphic>
            <wp14:sizeRelH relativeFrom="page">
              <wp14:pctWidth>0</wp14:pctWidth>
            </wp14:sizeRelH>
            <wp14:sizeRelV relativeFrom="page">
              <wp14:pctHeight>0</wp14:pctHeight>
            </wp14:sizeRelV>
          </wp:anchor>
        </w:drawing>
      </w:r>
    </w:p>
    <w:p w14:paraId="422CCB71" w14:textId="6C874D92" w:rsidR="006F7EB3" w:rsidRDefault="006F7EB3"/>
    <w:p w14:paraId="5A0EE647" w14:textId="7D14F52F" w:rsidR="006F7EB3" w:rsidRDefault="006F7EB3"/>
    <w:p w14:paraId="41EC72CC" w14:textId="77777777" w:rsidR="006F7EB3" w:rsidRDefault="006F7EB3"/>
    <w:p w14:paraId="49ABFF59" w14:textId="77777777" w:rsidR="006F7EB3" w:rsidRDefault="006F7EB3"/>
    <w:p w14:paraId="6E40EB68" w14:textId="77777777" w:rsidR="006F7EB3" w:rsidRDefault="006F7EB3"/>
    <w:p w14:paraId="23B2CD0F" w14:textId="77777777" w:rsidR="00407981" w:rsidRDefault="00407981"/>
    <w:p w14:paraId="3E1540E8" w14:textId="77777777" w:rsidR="00407981" w:rsidRDefault="00407981"/>
    <w:p w14:paraId="3C92F37E" w14:textId="77777777" w:rsidR="00407981" w:rsidRDefault="00407981"/>
    <w:p w14:paraId="060CA903" w14:textId="77777777" w:rsidR="00407981" w:rsidRDefault="00407981"/>
    <w:p w14:paraId="71459689" w14:textId="7E8B55A0" w:rsidR="00407981" w:rsidRDefault="00E13BA1">
      <w:r>
        <w:t xml:space="preserve">Ffigur 2: Cylch myfyrio Kolb. </w:t>
      </w:r>
    </w:p>
    <w:p w14:paraId="5D370DD8" w14:textId="37B98248" w:rsidR="00967737" w:rsidRDefault="006D33A7" w:rsidP="00967737">
      <w:r w:rsidRPr="006D33A7">
        <w:lastRenderedPageBreak/>
        <w:t xml:space="preserve">Trydedd enghraifft yw model Gibbs </w:t>
      </w:r>
      <w:r w:rsidR="00894851">
        <w:t xml:space="preserve">ble mae </w:t>
      </w:r>
      <w:r w:rsidRPr="006D33A7">
        <w:t>6 cam i’</w:t>
      </w:r>
      <w:r w:rsidR="00894851">
        <w:t>w</w:t>
      </w:r>
      <w:r w:rsidRPr="006D33A7">
        <w:t xml:space="preserve"> cylch adfyfyriol. Yn y model yma, mae theori ac ymarfer wedi’u cysylltu mewn cylch parhaol (Mulryan-Kyne, 2020). Mae’r model yn ymwneud â theimladau, meddyliau ac argymhellion ar gyfer gweithredoedd y dyfodol (</w:t>
      </w:r>
      <w:bookmarkStart w:id="7" w:name="_Hlk150088961"/>
      <w:r w:rsidRPr="006D33A7">
        <w:t>Markkanen et al., 2020</w:t>
      </w:r>
      <w:bookmarkEnd w:id="7"/>
      <w:r w:rsidRPr="006D33A7">
        <w:t>). Y chwe cham yw 1. Esbonio beth ddigwyddodd 2. Disgrifio teimladau ac ymatebion emosiynol i’r digwyddiad 3. Ystyried beth oedd y pethau negyddol a chadarnhaol am yr ymateb 4. Sut ydy’r unigolyn yn gwneud synnwyr o’r sefyllfa 5. Pa fath o gasgliadau gall ddod o’r digwyddiad 6. Yn seiliedig ar yr adfyfyrio, beth fydd yn digwydd yn wahanol tro nesaf. Er bod y model yma wedi cael ei ddefnyddio’n gyson wrth adfyfyrio, mae’n ddull sylfaenol sy dim ond yn ffocysu ar deimladau’r unigolyn yn hytrach na ffynonellau ehangach</w:t>
      </w:r>
      <w:r w:rsidR="00D72085">
        <w:t xml:space="preserve">. </w:t>
      </w:r>
    </w:p>
    <w:p w14:paraId="50201512" w14:textId="6E7B65B5" w:rsidR="00024A73" w:rsidRDefault="006D33A7" w:rsidP="00024A73">
      <w:r w:rsidRPr="006D33A7">
        <w:t>Y model pwysig olaf yw model Schön. Mae Schön yn ystyried adfyfyrio tra bod gweithredoedd yn cael eu gwneud, ac ar ôl. Pwysleisia Schön bod perthynas rhwng gwelliannau wrth ymarfer ac wrth adfyfyrio’n ôl (</w:t>
      </w:r>
      <w:bookmarkStart w:id="8" w:name="_Hlk150088973"/>
      <w:r w:rsidRPr="006D33A7">
        <w:t>Badia, 2017</w:t>
      </w:r>
      <w:bookmarkEnd w:id="8"/>
      <w:r w:rsidRPr="006D33A7">
        <w:t>). Dywed Schön os gall un adfyfyrio wrth wneud y weithred, bydden nhw wedi cyrraedd lefel o gymhwysedd sydd yn galluogi nhw i feddwl ac i fireinio’u gweithredoedd os oes angen</w:t>
      </w:r>
      <w:r w:rsidR="00D30366">
        <w:t xml:space="preserve"> </w:t>
      </w:r>
      <w:r w:rsidR="00024A73">
        <w:t>(Mulryan-Kyne, 2020)</w:t>
      </w:r>
      <w:r w:rsidR="00D30366">
        <w:t xml:space="preserve">. </w:t>
      </w:r>
      <w:r w:rsidR="00894851">
        <w:t xml:space="preserve">Un elfen negyddol i’r model yma yw bod dim amser i adfyfyrio wrth addysgu oherwydd mae gymaint o bethau yn digwydd o fewn gwers. </w:t>
      </w:r>
    </w:p>
    <w:p w14:paraId="5B7A17C4" w14:textId="38CF38E2" w:rsidR="007E2719" w:rsidRPr="007E2719" w:rsidRDefault="00EA4FFD" w:rsidP="00024A73">
      <w:pPr>
        <w:rPr>
          <w:b/>
          <w:bCs/>
          <w:i/>
          <w:iCs/>
        </w:rPr>
      </w:pPr>
      <w:r>
        <w:rPr>
          <w:b/>
          <w:bCs/>
          <w:i/>
          <w:iCs/>
        </w:rPr>
        <w:t>Cefndir y digwyddiad</w:t>
      </w:r>
    </w:p>
    <w:p w14:paraId="41CC351C" w14:textId="7350EA11" w:rsidR="007E2719" w:rsidRDefault="006D33A7" w:rsidP="00024A73">
      <w:r w:rsidRPr="006D33A7">
        <w:t>Er mwyn dilyn canllawiau BERA (2018), mi fydd y disgyblion a’r ysgol ag arsylwyd yn aros yn anhysbys yn y traethawd yma. Arsylwyd fideo o wers Mathemateg mewn ystafell trochi. Digwyddodd y wers mewn Ysgol Gyfrwng y Gymraeg Mawr. Roedd 1 athrawes yn y dosbarth ac roedd y dosbarth wedi’u cymysgu tua 50% bechgyn a merched</w:t>
      </w:r>
      <w:r w:rsidR="00CC63FF">
        <w:t xml:space="preserve"> gallu cymysg</w:t>
      </w:r>
      <w:r w:rsidRPr="006D33A7">
        <w:t>. Gan fod yr arsylwi wedi digwydd dros fideo, nid oedd e’n bosib gwybod os oedd unrhyw ddysgwyr gydag ADY</w:t>
      </w:r>
      <w:r w:rsidR="00856C78">
        <w:t xml:space="preserve">. </w:t>
      </w:r>
    </w:p>
    <w:p w14:paraId="3B7E6AD3" w14:textId="70CDA26A" w:rsidR="00D95D69" w:rsidRDefault="006D33A7" w:rsidP="00024A73">
      <w:r w:rsidRPr="006D33A7">
        <w:t xml:space="preserve">Heb os, mae gwahaniaethu yn glir i weld gyda’r tasgau ‘efydd, arian, ac aur’ ar y bwrdd gwyn. Mae 3 opsiwn gan y disgyblion o ba gwestiynau hoffan nhw ei hateb; efydd, arian, ac aur. Dywed yr athrawes dewis y disgyblion yw hi i benderfynu pa dasg i’w wneud ond, os ydynt eisiau ceisio am y dasg aur, mae rhaid gwneud y 3 cwestiwn </w:t>
      </w:r>
      <w:r w:rsidR="00CC63FF">
        <w:t xml:space="preserve">olaf </w:t>
      </w:r>
      <w:r w:rsidRPr="006D33A7">
        <w:t>arian yn gyntaf. Rhoddodd yr athrawes lefelau gwahanol o gymorth i</w:t>
      </w:r>
      <w:r w:rsidR="009373FB">
        <w:t>’r d</w:t>
      </w:r>
      <w:r w:rsidRPr="006D33A7">
        <w:t>disgyblion o fewn y dosbarth</w:t>
      </w:r>
      <w:r w:rsidR="00EA4FFD">
        <w:t xml:space="preserve">. </w:t>
      </w:r>
    </w:p>
    <w:p w14:paraId="34643C4C" w14:textId="2DC27001" w:rsidR="00B742AE" w:rsidRPr="00825F9C" w:rsidRDefault="00B742AE" w:rsidP="00024A73">
      <w:pPr>
        <w:rPr>
          <w:b/>
          <w:bCs/>
          <w:i/>
          <w:iCs/>
        </w:rPr>
      </w:pPr>
      <w:r w:rsidRPr="00825F9C">
        <w:rPr>
          <w:b/>
          <w:bCs/>
          <w:i/>
          <w:iCs/>
        </w:rPr>
        <w:t xml:space="preserve">2. </w:t>
      </w:r>
      <w:r w:rsidRPr="00825F9C">
        <w:rPr>
          <w:b/>
          <w:bCs/>
          <w:u w:val="single"/>
        </w:rPr>
        <w:t>Adolygiad llenyddiaeth</w:t>
      </w:r>
    </w:p>
    <w:p w14:paraId="5E3CB000" w14:textId="1A9E79EC" w:rsidR="004A6F3F" w:rsidRDefault="006D33A7" w:rsidP="00E717EB">
      <w:r w:rsidRPr="006D33A7">
        <w:t>Yn sicr, mae’r digwyddiad critigol a chyflwynwyd uchod yn rhoi nifer o gyfleoedd ar gyfer ymchwil, er mwyn ddarganfod y dull gorau o wahaniaethu ar gyfer sefyllfa dosbarth. Does dim dadlau rhwng awduron fod gwahaniaethu yn anodd disgrifio ond, cytunwyd nifer taw gwahaniaethu, yn y bôn, yw addasiad addysgu er mwyn cyrraedd anghenion disgyblion fel eu bod nhw’n cyrraedd e</w:t>
      </w:r>
      <w:r w:rsidR="009373FB">
        <w:t>i</w:t>
      </w:r>
      <w:r w:rsidRPr="006D33A7">
        <w:t xml:space="preserve"> potensial llawn (</w:t>
      </w:r>
      <w:bookmarkStart w:id="9" w:name="_Hlk150088996"/>
      <w:r w:rsidRPr="006D33A7">
        <w:t>Kupers et al., 2023; Munro, 2012; Taylor, 2017; McNamara and Moreton, 1997</w:t>
      </w:r>
      <w:bookmarkEnd w:id="9"/>
      <w:r w:rsidRPr="006D33A7">
        <w:t xml:space="preserve">). Er hyn, disgrifia Tomlinson (2008) gwahaniaethu mewn ffordd ehangach gan ddweud taw dull sydd yn addasu’r cwricwlwm, gweithgareddau, dulliau addysgu, adnoddau, a chanlyniadau er mwyn ateb anghenion amrywiaethol y disgyblion. Cytunwyd </w:t>
      </w:r>
      <w:bookmarkStart w:id="10" w:name="_Hlk150089021"/>
      <w:r w:rsidRPr="006D33A7">
        <w:t>Altintas and Ozdemir (2015</w:t>
      </w:r>
      <w:bookmarkEnd w:id="10"/>
      <w:r w:rsidRPr="006D33A7">
        <w:t xml:space="preserve">) gyda hyn gan ategu </w:t>
      </w:r>
      <w:r w:rsidR="000D49A9">
        <w:t>taw</w:t>
      </w:r>
      <w:r w:rsidRPr="006D33A7">
        <w:t xml:space="preserve"> gwahaniaethu yw ymdrech yr athro i fireinio’i addysgu i ateb anghenion disgyblion gwahanol. I’r gwrthwyneb, dywed </w:t>
      </w:r>
      <w:bookmarkStart w:id="11" w:name="_Hlk150089031"/>
      <w:r w:rsidRPr="006D33A7">
        <w:t xml:space="preserve">Terwel, J (2005) </w:t>
      </w:r>
      <w:bookmarkEnd w:id="11"/>
      <w:r w:rsidRPr="006D33A7">
        <w:t xml:space="preserve">bod gwahaniaethu yw grwpio neu dracio unigolion yn ôl gallu. Gwelir fod disgrifiadau amrywiaethol o wahaniaethu, ond, mae pob awdur yn pwysleisio pwysigrwydd gwahaniaethu o fewn y dosbarth </w:t>
      </w:r>
      <w:r w:rsidR="000D49A9">
        <w:t>fel bod y</w:t>
      </w:r>
      <w:r w:rsidRPr="006D33A7">
        <w:t xml:space="preserve"> disgyblion </w:t>
      </w:r>
      <w:r w:rsidR="000D49A9">
        <w:t xml:space="preserve">yn </w:t>
      </w:r>
      <w:r w:rsidRPr="006D33A7">
        <w:t xml:space="preserve">cyrraedd </w:t>
      </w:r>
      <w:r w:rsidR="000D49A9">
        <w:t xml:space="preserve">eu </w:t>
      </w:r>
      <w:r w:rsidRPr="006D33A7">
        <w:t>potensial llawn</w:t>
      </w:r>
      <w:r w:rsidR="007174E1">
        <w:t xml:space="preserve">. </w:t>
      </w:r>
    </w:p>
    <w:p w14:paraId="56B472E5" w14:textId="6F11CACD" w:rsidR="00E717EB" w:rsidRDefault="006D33A7" w:rsidP="00E717EB">
      <w:r w:rsidRPr="006D33A7">
        <w:t>Mae’n angenrheidiol fod gwahaniaethu yn cael ei pharatoi’n gywir o flaen llaw (Kupers et al., 2023). Gall athro paratoi gwahaniaethu effeithiol gan adfyfyrio ar wersi blaenorol (</w:t>
      </w:r>
      <w:bookmarkStart w:id="12" w:name="_Hlk150089041"/>
      <w:r w:rsidRPr="006D33A7">
        <w:t>Keuning &amp; Geel, 2021</w:t>
      </w:r>
      <w:bookmarkEnd w:id="12"/>
      <w:r w:rsidRPr="006D33A7">
        <w:t>), a gan ddod i nabod y disgyblion (</w:t>
      </w:r>
      <w:bookmarkStart w:id="13" w:name="_Hlk150089048"/>
      <w:r w:rsidRPr="006D33A7">
        <w:t>Westwood 2001</w:t>
      </w:r>
      <w:bookmarkEnd w:id="13"/>
      <w:r w:rsidRPr="006D33A7">
        <w:t>). Yn ychwanegol, mae’n bwysig meddwl am elfennau penodol wrth gynllunio megis elfennau pedagogaidd, emosiynol, gwybyddol, a chymdeithasol (</w:t>
      </w:r>
      <w:bookmarkStart w:id="14" w:name="_Hlk150089055"/>
      <w:r w:rsidRPr="006D33A7">
        <w:t>Evans and Waring, 2011</w:t>
      </w:r>
      <w:bookmarkEnd w:id="14"/>
      <w:r w:rsidRPr="006D33A7">
        <w:t xml:space="preserve">). Gall gwahaniaethu cael eu cysylltu’n ôl i theori ymyriad Vygotsky (1978), sy’n </w:t>
      </w:r>
      <w:r w:rsidRPr="006D33A7">
        <w:lastRenderedPageBreak/>
        <w:t>trafod pwysigrwydd gweld dysgwyr fel unigolion ac i gefnogi’u hanghenion academaidd fel unigolion yn hytrach na ffocysu ar y cwricwlwm yn unig (</w:t>
      </w:r>
      <w:bookmarkStart w:id="15" w:name="_Hlk150089072"/>
      <w:r w:rsidRPr="006D33A7">
        <w:t>Daniels and Hedegaard, 2011</w:t>
      </w:r>
      <w:bookmarkEnd w:id="15"/>
      <w:r w:rsidRPr="006D33A7">
        <w:t>). Yn sicr, mae hyn yn clymu mewn gyda Chwricwlwm Newydd Cymru</w:t>
      </w:r>
      <w:r w:rsidR="0052202C">
        <w:t>,</w:t>
      </w:r>
      <w:r w:rsidRPr="006D33A7">
        <w:t xml:space="preserve"> wrth i ffocws y Cwricwlwm Newydd fod ar y dysgwyr fel unigolion</w:t>
      </w:r>
      <w:r w:rsidR="00236C34">
        <w:t xml:space="preserve"> (Llywodraeth Cymru, 2020)</w:t>
      </w:r>
      <w:r w:rsidR="00541207">
        <w:t xml:space="preserve">. </w:t>
      </w:r>
    </w:p>
    <w:p w14:paraId="33045909" w14:textId="161F3BEF" w:rsidR="00A141E9" w:rsidRPr="008B3CC8" w:rsidRDefault="006D33A7" w:rsidP="00E717EB">
      <w:pPr>
        <w:rPr>
          <w:rFonts w:cstheme="minorHAnsi"/>
          <w:sz w:val="24"/>
          <w:szCs w:val="24"/>
        </w:rPr>
      </w:pPr>
      <w:r w:rsidRPr="006D33A7">
        <w:t xml:space="preserve">Nid oes cynllun clir ar sut i wahaniaethu yn y llenyddiaeth, ond mae nifer o academyddion wedi asesu dulliau gwahanol o wahaniaethu. Dywed Kupers et al., (2023) fod gwahaniaethu yn sgil anodd i gael yn gywir gan fod bach iawn o </w:t>
      </w:r>
      <w:r w:rsidR="0052202C">
        <w:t>h</w:t>
      </w:r>
      <w:r w:rsidRPr="006D33A7">
        <w:t>arweiniad ar sut i wahaniaethu (Taylor, 2017)</w:t>
      </w:r>
      <w:r w:rsidR="0052202C">
        <w:t>. F</w:t>
      </w:r>
      <w:r w:rsidRPr="006D33A7">
        <w:t>elly</w:t>
      </w:r>
      <w:r w:rsidR="0052202C">
        <w:t>,</w:t>
      </w:r>
      <w:r w:rsidRPr="006D33A7">
        <w:t xml:space="preserve"> mae athrawon yn gweld e’n anodd ei weithredu yn y dosbarth (</w:t>
      </w:r>
      <w:bookmarkStart w:id="16" w:name="_Hlk150089093"/>
      <w:r w:rsidRPr="006D33A7">
        <w:t>Smale-Jacobse et al., 2019</w:t>
      </w:r>
      <w:bookmarkEnd w:id="16"/>
      <w:r w:rsidRPr="006D33A7">
        <w:t>). I ategu, gall nifer o athrawon camddeall gwahaniaethu, yn enwedig athrawon newydd (</w:t>
      </w:r>
      <w:bookmarkStart w:id="17" w:name="_Hlk150089098"/>
      <w:r w:rsidRPr="006D33A7">
        <w:t>Hertberg-Davis, 2009</w:t>
      </w:r>
      <w:bookmarkEnd w:id="17"/>
      <w:r w:rsidRPr="006D33A7">
        <w:t xml:space="preserve">). Enghraifft o hyn yw bod nifer o athrawon yn gweld gwahaniaethu fel tasg </w:t>
      </w:r>
      <w:r w:rsidR="005625AE">
        <w:t>estynedig</w:t>
      </w:r>
      <w:r w:rsidRPr="006D33A7">
        <w:t xml:space="preserve"> yn hytrach nag anghenion amrywiaethol unigolion (Evans and Waring, 2011). Yn debyg, mae nifer o athrawon yn anghofio am ffactorau cefndirol gall effeithio dysgu disgyblion, megis ffactorau dosbarth cymdeithasol, economaidd-cymdeithasol, diwydiant a.y.y.b (Taylor, 2017). Dylai’r athro defnyddio ymarferion, profiad, a gwybodaeth e</w:t>
      </w:r>
      <w:r w:rsidR="005625AE">
        <w:t>i</w:t>
      </w:r>
      <w:r w:rsidRPr="006D33A7">
        <w:t xml:space="preserve"> hun, er mwyn gwahaniaethu’n effeithiol ar gyfer </w:t>
      </w:r>
      <w:r w:rsidR="005625AE">
        <w:t>y</w:t>
      </w:r>
      <w:r w:rsidRPr="006D33A7">
        <w:t xml:space="preserve"> disgyblion (Keuning &amp; Geel, 2021). Gall gwahaniaethu helpu gyda chymhelliant a chynnydd y disgyblion </w:t>
      </w:r>
      <w:r w:rsidR="00107D07">
        <w:t>(</w:t>
      </w:r>
      <w:r w:rsidR="00107D07" w:rsidRPr="00107D07">
        <w:t>Munro, 2012</w:t>
      </w:r>
      <w:r w:rsidR="006239CF">
        <w:t xml:space="preserve">; </w:t>
      </w:r>
      <w:bookmarkStart w:id="18" w:name="_Hlk150089123"/>
      <w:r w:rsidR="00107D07" w:rsidRPr="00107D07">
        <w:t>Konstantinou-Katzi, 2013</w:t>
      </w:r>
      <w:bookmarkEnd w:id="18"/>
      <w:r w:rsidR="00107D07" w:rsidRPr="00107D07">
        <w:t>)</w:t>
      </w:r>
      <w:r w:rsidR="002C3E56">
        <w:t xml:space="preserve">. </w:t>
      </w:r>
    </w:p>
    <w:p w14:paraId="7A813DBA" w14:textId="5E7153DB" w:rsidR="00473577" w:rsidRDefault="006D33A7" w:rsidP="00473577">
      <w:r w:rsidRPr="006D33A7">
        <w:t xml:space="preserve">Un dull gwahaniaethu sydd yn boblogaidd ymysg athrawon yw gwahaniaethu o ran canlyniad. Esbonia </w:t>
      </w:r>
      <w:bookmarkStart w:id="19" w:name="_Hlk150089132"/>
      <w:r w:rsidRPr="006D33A7">
        <w:t>Piggott (2002)</w:t>
      </w:r>
      <w:bookmarkEnd w:id="19"/>
      <w:r w:rsidRPr="006D33A7">
        <w:t xml:space="preserve"> bod y math yma o wahaniaethu yw rhoi’r un dasg i’r dosbarth cyfan, ond yn derbyn canlyniadau gwahanol gan unigolion gwahanol. Pwysleisia Taylor (2017) fod athrawon yn gyffredinol, yn tueddu o greu tasgau sydd wedi anelu at ddysgwyr sydd yn y canol o ran gallu. Mae’r un dasg yn cael eu dosbarthu i bawb, ond oherwydd mae’r gwaith wedi anelu at lefel penodol, mi fydd rhai sy’n fwy galluog yn gorffen y dasg yn gyflymach na’r rhai llai galluog. Un elfen negyddol i’r math yma o wahaniaethu yw os mae’r tasgau wedi anelu at y lefel canol, efallai bydd disgyblion gydag allu uwch yn ymarfer sgiliau maent wedi datblygu yn barod ac yn yr un modd, bydd disgyblion sy’n llai galluog yn ceisio cyflawni gwaith sy’n rhy anodd iddynt (Smale-Jacobse et al., 2019). Mae’r math yma o wahaniaethu yn rhoi llai o waith paratoi i’r athrawon, ond nid yw’n cyrraedd pwrpas cywir gwahaniaethu, sef i sicrhau fod pob disgybl yn cyrraedd e</w:t>
      </w:r>
      <w:r w:rsidR="00ED225A">
        <w:t>i</w:t>
      </w:r>
      <w:r w:rsidRPr="006D33A7">
        <w:t xml:space="preserve"> potensial llawn </w:t>
      </w:r>
      <w:r w:rsidR="00DD73B4">
        <w:t xml:space="preserve">(Munro, 2012). </w:t>
      </w:r>
    </w:p>
    <w:p w14:paraId="4107F868" w14:textId="71705BD2" w:rsidR="00AA1094" w:rsidRDefault="006D33A7" w:rsidP="00AA1094">
      <w:r w:rsidRPr="006D33A7">
        <w:t>Dull arall o wahaniaethu sydd i weld mewn ysgolion yw gwahaniaethu o ran cymorth, boed hynny’n cymorth athro, cymorth adnoddau, scaffaldi a.y.y.b. Dyma ble mae unigolion neu grwpiau gwahanol yn derbyn cymorth athro neu adnoddau gwahanol er mwyn cwblhau tasgau (</w:t>
      </w:r>
      <w:bookmarkStart w:id="20" w:name="_Hlk150089154"/>
      <w:r w:rsidRPr="006D33A7">
        <w:t>Bartlett, 2016</w:t>
      </w:r>
      <w:bookmarkEnd w:id="20"/>
      <w:r w:rsidRPr="006D33A7">
        <w:t>). Mae canlyniad pob unigolyn yr un, ond mae scaffaldi gwahanol i unigolion er mwyn cyrraedd y canlyniad yma. Pwysleisia Westwood (2001) effeithiolrwydd y dull yma gan ddweud bydd disgyblion gallu uwch yn gweithio’n fwy annibynnol i gyflawni tasgau, tra bod yr unigolion gallu is yn cael ychydig bach mwy o gymorth wrth gyflawni’r un dasg. Atega Taylor (2017) fod scaffaldi’n elfen bwysig iawn i wahaniaethu o fewn ystafell dosbarth</w:t>
      </w:r>
      <w:r w:rsidR="00960AD9">
        <w:t>.</w:t>
      </w:r>
      <w:r w:rsidR="00BE4C0C">
        <w:t xml:space="preserve"> </w:t>
      </w:r>
      <w:r w:rsidR="00960AD9">
        <w:t xml:space="preserve"> </w:t>
      </w:r>
    </w:p>
    <w:p w14:paraId="010CEFEF" w14:textId="111AD21B" w:rsidR="00AD54B1" w:rsidRDefault="006D33A7" w:rsidP="00AD54B1">
      <w:r w:rsidRPr="006D33A7">
        <w:t xml:space="preserve">Er hyn, y dull mwyaf effeithiol o wahaniaethu, yn ôl y llenyddiaeth, yw gwahaniaethu gan dasg (Kupers et al., 2023). Mae pob dysgwr yn wahanol. Maent yn cael galluoedd gwahanol, dulliau dysgu gwahanol a bywydau gwahanol </w:t>
      </w:r>
      <w:r w:rsidR="006105C1">
        <w:t>t</w:t>
      </w:r>
      <w:r w:rsidRPr="006D33A7">
        <w:t xml:space="preserve">u allan i’r ysgol (Bartlett, 2016). Mae hyn i gyd yn effeithio ar sut maent yn dysgu o fewn y dosbarth, ac mae gwahaniaethu llwyddiannus yn cymryd hwn mewn i ystyriaeth (Bartlett, 2016). Enghraifft o </w:t>
      </w:r>
      <w:r w:rsidR="006105C1">
        <w:t>wahaniaethu gan dasg</w:t>
      </w:r>
      <w:r w:rsidRPr="006D33A7">
        <w:t xml:space="preserve"> yw bod pob disgybl yn anelu i gyrraedd yr un nod</w:t>
      </w:r>
      <w:r w:rsidR="006A70B1">
        <w:t>,</w:t>
      </w:r>
      <w:r w:rsidRPr="006D33A7">
        <w:t xml:space="preserve"> ond bydd rhai yn creu poster, rhai yn recordio cyfweliad radio, rhai yn ysgrifennu adroddiad a.y.y.b (Bartlett, 2016). Dywed Piggott (2002) gall y dull yma o wahaniaethu helpu i leihau’r sylw ar ddisgyblion gydag allu uwch neu is oherwydd bydd pawb yn gwneud tasgau gwahanol sydd yn osgoi unigolion</w:t>
      </w:r>
      <w:r w:rsidR="00476B55">
        <w:t xml:space="preserve"> ‘sefyll allan’.</w:t>
      </w:r>
      <w:r w:rsidR="005F661A">
        <w:t xml:space="preserve"> </w:t>
      </w:r>
    </w:p>
    <w:p w14:paraId="66FB7149" w14:textId="357CFCFD" w:rsidR="00F00ED9" w:rsidRPr="00B657DC" w:rsidRDefault="006D33A7" w:rsidP="00AD54B1">
      <w:pPr>
        <w:rPr>
          <w:lang w:val="en-GB"/>
        </w:rPr>
      </w:pPr>
      <w:r w:rsidRPr="006D33A7">
        <w:lastRenderedPageBreak/>
        <w:t>Y math o wahaniaethu gwelwn o’r fideo yw gwahaniaethu gan dasg ac o ran cymorth. Dywed Smale-Jacobse et al., (2019) taw'r dull gwahaniaethu orau yw cyfeirio at anghenion dysgu unigolion gwahanol o fewn dosbarth heterogenaidd, trwy addasu tasgau a chymorth. Mae’r tasgau efydd, arian, ac aur yn y fideo yn enghraifft o wahaniaethu gan dasg ac roedd y cymorth oedd angen gan unigolion wedi amrywio. Roedd lefelau gwahanol o scaffaldi yn digwydd o fewn y dosbarth. Wrth grynhoi’r llenyddiaeth, dyma’r math orau o wahaniaethu i ddefnyddio o fewn y dosbarth</w:t>
      </w:r>
      <w:r w:rsidR="00556049">
        <w:t xml:space="preserve">. </w:t>
      </w:r>
    </w:p>
    <w:p w14:paraId="0F2BBCC2" w14:textId="22471322" w:rsidR="00473577" w:rsidRPr="00825F9C" w:rsidRDefault="001E2B93" w:rsidP="00825F9C">
      <w:pPr>
        <w:pStyle w:val="ListParagraph"/>
        <w:numPr>
          <w:ilvl w:val="0"/>
          <w:numId w:val="3"/>
        </w:numPr>
        <w:rPr>
          <w:b/>
          <w:bCs/>
          <w:color w:val="000000" w:themeColor="text1"/>
          <w:u w:val="single"/>
        </w:rPr>
      </w:pPr>
      <w:r w:rsidRPr="00825F9C">
        <w:rPr>
          <w:b/>
          <w:bCs/>
          <w:color w:val="000000" w:themeColor="text1"/>
          <w:u w:val="single"/>
        </w:rPr>
        <w:t>Astudiaeth Achos</w:t>
      </w:r>
      <w:r w:rsidR="00C73434" w:rsidRPr="00825F9C">
        <w:rPr>
          <w:b/>
          <w:bCs/>
          <w:color w:val="000000" w:themeColor="text1"/>
          <w:u w:val="single"/>
        </w:rPr>
        <w:t>:</w:t>
      </w:r>
    </w:p>
    <w:p w14:paraId="4E825538" w14:textId="4236F628" w:rsidR="00B40C61" w:rsidRDefault="009155AA" w:rsidP="008E45BF">
      <w:pPr>
        <w:rPr>
          <w:color w:val="000000" w:themeColor="text1"/>
        </w:rPr>
      </w:pPr>
      <w:r w:rsidRPr="009155AA">
        <w:rPr>
          <w:color w:val="000000" w:themeColor="text1"/>
        </w:rPr>
        <w:t>Gwers Mathemateg bl.8 a chafodd ei arsylwi. Wrth ymweld â’r ysgol yn ystod d</w:t>
      </w:r>
      <w:r w:rsidR="00D000D9">
        <w:rPr>
          <w:color w:val="000000" w:themeColor="text1"/>
        </w:rPr>
        <w:t>iwrnod</w:t>
      </w:r>
      <w:r w:rsidRPr="009155AA">
        <w:rPr>
          <w:color w:val="000000" w:themeColor="text1"/>
        </w:rPr>
        <w:t xml:space="preserve"> rhwydwaith, mae’n glir i weld taw dull dysgu'r ysgol yma yw cael tasgau ‘efydd’, ‘arian’, ac ‘aur’ i bob gwers, ac mae’r lliwiau’n atgyfnerthu pa mor heiriol yw’r dasg e.e. efydd yw’r lleiaf heriol ac aur yw’r mwyaf. Dyma enghraifft o wahaniaethu gan dasg wrth i bob disgybl datblygu i gyrraedd y</w:t>
      </w:r>
      <w:r w:rsidR="00D000D9">
        <w:rPr>
          <w:color w:val="000000" w:themeColor="text1"/>
        </w:rPr>
        <w:t>r un</w:t>
      </w:r>
      <w:r w:rsidRPr="009155AA">
        <w:rPr>
          <w:color w:val="000000" w:themeColor="text1"/>
        </w:rPr>
        <w:t xml:space="preserve"> nod, ond trwy dasgau gwahanol (Piggott, 2002). Mae nodweddion cadarnhaol a negyddol i’r dull yma oherwydd mae’n osgoi rhoi unigolion mewn bocs</w:t>
      </w:r>
      <w:r w:rsidR="00D000D9">
        <w:rPr>
          <w:color w:val="000000" w:themeColor="text1"/>
        </w:rPr>
        <w:t>,</w:t>
      </w:r>
      <w:r w:rsidRPr="009155AA">
        <w:rPr>
          <w:color w:val="000000" w:themeColor="text1"/>
        </w:rPr>
        <w:t xml:space="preserve"> neu wneud i rywun sefyll allan fel MATH neu ADY, wrth iddynt allu dewis pa weithgaredd hoffan nhw gyflawni. Er hyn, gall unigolion dewis i wneud tasg sy’n rhy hawdd iddynt ac felly ddim yn gwthio’i hunain</w:t>
      </w:r>
      <w:r w:rsidR="00B40C61">
        <w:rPr>
          <w:color w:val="000000" w:themeColor="text1"/>
        </w:rPr>
        <w:t xml:space="preserve">. </w:t>
      </w:r>
    </w:p>
    <w:p w14:paraId="4FE25FDB" w14:textId="4F136608" w:rsidR="008E45BF" w:rsidRPr="00EF247D" w:rsidRDefault="009155AA" w:rsidP="008E45BF">
      <w:pPr>
        <w:rPr>
          <w:color w:val="000000" w:themeColor="text1"/>
        </w:rPr>
      </w:pPr>
      <w:r w:rsidRPr="009155AA">
        <w:rPr>
          <w:color w:val="000000" w:themeColor="text1"/>
        </w:rPr>
        <w:t>Y digwyddiad gyntaf o wahaniaethu sy i weld yn y wers yma yw cwestiynau enghreifftiol ar y bwrdd gwyn mawr. I ddechrau, dangosodd yr athrawes sut i wneud cwestiynau lefel efydd o flaen y dosbarth i gyd. Mae defnyddio’r bwrdd gwyn rhyngweithiol i weithio fel dosbarth, ar y cyd, yn ddull da oherwydd mae’n cynyddu sylw’r disgyblion, gwella ymddygiad, ac yn gwneud i’r disgyblion eisiau dysgu oherwydd mae’n rhyngweithiol a hwyl (</w:t>
      </w:r>
      <w:bookmarkStart w:id="21" w:name="_Hlk150089194"/>
      <w:r w:rsidRPr="009155AA">
        <w:rPr>
          <w:color w:val="000000" w:themeColor="text1"/>
        </w:rPr>
        <w:t>Manny-Ikan &amp; Dagan, 2011</w:t>
      </w:r>
      <w:bookmarkEnd w:id="21"/>
      <w:r w:rsidRPr="009155AA">
        <w:rPr>
          <w:color w:val="000000" w:themeColor="text1"/>
        </w:rPr>
        <w:t>). Gwelwyd hyn yn y wers yma wrth i’r disgyblion talu sylw i’r athrawes</w:t>
      </w:r>
      <w:r w:rsidR="00D000D9">
        <w:rPr>
          <w:color w:val="000000" w:themeColor="text1"/>
        </w:rPr>
        <w:t>,</w:t>
      </w:r>
      <w:r w:rsidRPr="009155AA">
        <w:rPr>
          <w:color w:val="000000" w:themeColor="text1"/>
        </w:rPr>
        <w:t xml:space="preserve"> ac yn ateb ei chwestiynau. Wrth esbonio sut i gyflawni tasg efydd, mi oedd yr athrawes wedi scaffaldi gan ofyn cwestiynau wrth y disgyblion. Mae gwthio disgyblion trwy gwestiynu yn ddull cynhwysol </w:t>
      </w:r>
      <w:bookmarkStart w:id="22" w:name="_Hlk150089201"/>
      <w:r w:rsidRPr="009155AA">
        <w:rPr>
          <w:color w:val="000000" w:themeColor="text1"/>
        </w:rPr>
        <w:t xml:space="preserve">dda o ran asesiad ffurfiannol </w:t>
      </w:r>
      <w:r w:rsidR="008E45BF">
        <w:rPr>
          <w:color w:val="000000" w:themeColor="text1"/>
        </w:rPr>
        <w:t>(Williams D</w:t>
      </w:r>
      <w:r w:rsidR="00D000D9">
        <w:rPr>
          <w:color w:val="000000" w:themeColor="text1"/>
        </w:rPr>
        <w:t>,</w:t>
      </w:r>
      <w:r w:rsidR="008E45BF">
        <w:rPr>
          <w:color w:val="000000" w:themeColor="text1"/>
        </w:rPr>
        <w:t xml:space="preserve"> 2018</w:t>
      </w:r>
      <w:bookmarkEnd w:id="22"/>
      <w:r w:rsidR="008E45BF">
        <w:rPr>
          <w:color w:val="000000" w:themeColor="text1"/>
        </w:rPr>
        <w:t>).</w:t>
      </w:r>
      <w:r w:rsidR="00FB653D">
        <w:rPr>
          <w:color w:val="000000" w:themeColor="text1"/>
        </w:rPr>
        <w:t xml:space="preserve"> </w:t>
      </w:r>
      <w:r w:rsidRPr="009155AA">
        <w:rPr>
          <w:color w:val="000000" w:themeColor="text1"/>
        </w:rPr>
        <w:t>Heb os, mae hyn yn rhoi mwy o hyder i’r disgyblion i gwblhau’r dasg sy’n dilyn, ac yn rhoi gwybod wrth yr athrawes os yw’r disgyblion yn deall. Roedd hyn yn ddull llwyddiannus gyda’r dosbarth yma oherwydd roedd y disgyblion yn cyfrannu ac yn gweithio ar y cyd i gwblhau’r cwestiynau enghreifftiol. Gwelwyd y disgyblion yn dod yn fwy hyderus wrth weithio trwy’r cwestiynau enghreifftiol</w:t>
      </w:r>
      <w:r w:rsidR="00EC4A5A">
        <w:rPr>
          <w:color w:val="000000" w:themeColor="text1"/>
        </w:rPr>
        <w:t xml:space="preserve">. </w:t>
      </w:r>
    </w:p>
    <w:p w14:paraId="3FF5D9B6" w14:textId="0669F083" w:rsidR="008E45BF" w:rsidRPr="0001497B" w:rsidRDefault="009155AA" w:rsidP="00C73434">
      <w:r w:rsidRPr="009155AA">
        <w:rPr>
          <w:color w:val="000000" w:themeColor="text1"/>
        </w:rPr>
        <w:t>Wedi hynny, symudodd yr athrawes ymlaen i’r brif dasg. Rhoddodd yr un Meini Prawf Llwyddiant i bawb, ond dewis y disgyblion oedd hi i benderfynu pa liw tasg hoffwn wneud er mwyn cyrraedd y MPL. O ganlyniad i’r cwestiynau enghreifftiol, roedd pob disgybl yn teimlo’n hyderus eu bod nhw’n gallu ateb y cwestiynau efydd. Yn sicr, mae rhoi MPL yn dangos yn glir beth yw bwriad y wers (</w:t>
      </w:r>
      <w:bookmarkStart w:id="23" w:name="_Hlk150089225"/>
      <w:r w:rsidRPr="009155AA">
        <w:rPr>
          <w:color w:val="000000" w:themeColor="text1"/>
        </w:rPr>
        <w:t xml:space="preserve">Kulick, 2012). </w:t>
      </w:r>
      <w:bookmarkEnd w:id="23"/>
      <w:r w:rsidRPr="009155AA">
        <w:rPr>
          <w:color w:val="000000" w:themeColor="text1"/>
        </w:rPr>
        <w:t>Ond, mae’r tasgau efydd, arian, ac aur yn rhoi mynediad gwahanol i ddisgyblion gwahanol (Kulick, 2012) er mwyn cyrraedd y MPL. Mae rhoi’r dewis i’r disgyblion o ba dasg hoffan gyflawni yn ffordd arall i roi hyder iddynt gwblhau’r dasg</w:t>
      </w:r>
      <w:r w:rsidR="00CC1340">
        <w:t xml:space="preserve">. </w:t>
      </w:r>
      <w:r w:rsidRPr="009155AA">
        <w:t>Dengys y llenyddiaeth bod tasgau gwahaniaethu sydd wedi cael ei ddewis gan berson arall, yn aneffeithiol (</w:t>
      </w:r>
      <w:bookmarkStart w:id="24" w:name="_Hlk150089235"/>
      <w:r w:rsidRPr="009155AA">
        <w:t>Campos et al., 2007</w:t>
      </w:r>
      <w:bookmarkEnd w:id="24"/>
      <w:r w:rsidRPr="009155AA">
        <w:t>) oherwydd gall arwain at swilder a chywilydd os mae’r disgybl yn derbyn tasg gallu isel neu’n sefyll allan fel disgybl MAT</w:t>
      </w:r>
      <w:r w:rsidR="00D000D9">
        <w:t>h</w:t>
      </w:r>
      <w:r w:rsidRPr="009155AA">
        <w:t xml:space="preserve"> (</w:t>
      </w:r>
      <w:bookmarkStart w:id="25" w:name="_Hlk150089247"/>
      <w:r w:rsidRPr="009155AA">
        <w:t xml:space="preserve">Yau-Fai Ho et al., 2004). Yn ychwanegol, mae tasgau sy’n galluogi’r </w:t>
      </w:r>
      <w:bookmarkEnd w:id="25"/>
      <w:r w:rsidRPr="009155AA">
        <w:t>disgybl i gymryd cyfrifoldeb dros ddysgu’i hunain yn ffordd effeithiol i ddod dros swilder (</w:t>
      </w:r>
      <w:bookmarkStart w:id="26" w:name="_Hlk150089254"/>
      <w:r w:rsidRPr="009155AA">
        <w:t>Mjelve et al., 2019</w:t>
      </w:r>
      <w:bookmarkEnd w:id="26"/>
      <w:r w:rsidRPr="009155AA">
        <w:t>). Felly, mae’r ffaith bod yr athrawes yn rhoi’r dewis i’r disgyblion yn ffordd dda i wahaniaethu gan achosi’r lleiaf o swilder a chywilydd</w:t>
      </w:r>
      <w:r w:rsidR="00B83692">
        <w:t>.</w:t>
      </w:r>
      <w:r w:rsidR="00417674">
        <w:t xml:space="preserve"> </w:t>
      </w:r>
    </w:p>
    <w:p w14:paraId="2B6BC759" w14:textId="293C8B36" w:rsidR="00C73434" w:rsidRPr="00EB3A77" w:rsidRDefault="009155AA" w:rsidP="00473577">
      <w:pPr>
        <w:rPr>
          <w:color w:val="000000" w:themeColor="text1"/>
        </w:rPr>
      </w:pPr>
      <w:r w:rsidRPr="009155AA">
        <w:rPr>
          <w:color w:val="000000" w:themeColor="text1"/>
        </w:rPr>
        <w:t xml:space="preserve">Un digwyddiad pwysig i nodi; dywedodd disgybl pa mor hawdd oedd y cwestiynau efydd a gall hyn wedi effeithio ar ddewis rhai o’r disgyblion i wneud y dasg efydd. Mae geirfa cythrudd fel hwn yn gyffredin o fewn amgylchedd dosbarth (Campos et al., 2007) ac o fewn gymdeithas ysgol, nid yw disgyblion eisiau gwneud unrhyw beth sy’n wahanol i’w cyfoedion oherwydd dydyn nhw ddim eisiau </w:t>
      </w:r>
      <w:r w:rsidRPr="009155AA">
        <w:rPr>
          <w:color w:val="000000" w:themeColor="text1"/>
        </w:rPr>
        <w:lastRenderedPageBreak/>
        <w:t>sefyll allan (</w:t>
      </w:r>
      <w:bookmarkStart w:id="27" w:name="_Hlk150089262"/>
      <w:r w:rsidRPr="009155AA">
        <w:rPr>
          <w:color w:val="000000" w:themeColor="text1"/>
        </w:rPr>
        <w:t>Hamarus &amp; Kaikkonen, 2008</w:t>
      </w:r>
      <w:bookmarkEnd w:id="27"/>
      <w:r w:rsidRPr="009155AA">
        <w:rPr>
          <w:color w:val="000000" w:themeColor="text1"/>
        </w:rPr>
        <w:t>). Er mwyn dod dros hyn, dywedodd yr athrawes, nid yw bawb yn gweld y tasgau'r un mor hawdd</w:t>
      </w:r>
      <w:r w:rsidR="00D000D9">
        <w:rPr>
          <w:color w:val="000000" w:themeColor="text1"/>
        </w:rPr>
        <w:t>,</w:t>
      </w:r>
      <w:r w:rsidRPr="009155AA">
        <w:rPr>
          <w:color w:val="000000" w:themeColor="text1"/>
        </w:rPr>
        <w:t xml:space="preserve"> ac yna tawelodd y disgybl. Yn dilyn hyn, wrth i’r disgybl cyflawni’r dasg arian, roedd rhaid iddo gael cymorth o’r athrawes. Mae hyn felly yn profi beth ddywedodd yr athrawes</w:t>
      </w:r>
      <w:r w:rsidR="00820EE8">
        <w:rPr>
          <w:color w:val="000000" w:themeColor="text1"/>
        </w:rPr>
        <w:t xml:space="preserve">. </w:t>
      </w:r>
    </w:p>
    <w:p w14:paraId="2573B8BD" w14:textId="2F258735" w:rsidR="002C21AC" w:rsidRPr="00825F9C" w:rsidRDefault="00E119FD" w:rsidP="00825F9C">
      <w:pPr>
        <w:pStyle w:val="ListParagraph"/>
        <w:numPr>
          <w:ilvl w:val="0"/>
          <w:numId w:val="3"/>
        </w:numPr>
        <w:rPr>
          <w:b/>
          <w:bCs/>
          <w:u w:val="single"/>
        </w:rPr>
      </w:pPr>
      <w:proofErr w:type="spellStart"/>
      <w:r>
        <w:rPr>
          <w:b/>
          <w:bCs/>
          <w:u w:val="single"/>
          <w:lang w:val="en-US"/>
        </w:rPr>
        <w:t>Adfyfyrio</w:t>
      </w:r>
      <w:proofErr w:type="spellEnd"/>
      <w:r>
        <w:rPr>
          <w:b/>
          <w:bCs/>
          <w:u w:val="single"/>
          <w:lang w:val="en-US"/>
        </w:rPr>
        <w:t xml:space="preserve"> </w:t>
      </w:r>
      <w:proofErr w:type="spellStart"/>
      <w:r>
        <w:rPr>
          <w:b/>
          <w:bCs/>
          <w:u w:val="single"/>
          <w:lang w:val="en-US"/>
        </w:rPr>
        <w:t>a’r</w:t>
      </w:r>
      <w:proofErr w:type="spellEnd"/>
      <w:r>
        <w:rPr>
          <w:b/>
          <w:bCs/>
          <w:u w:val="single"/>
          <w:lang w:val="en-US"/>
        </w:rPr>
        <w:t xml:space="preserve"> </w:t>
      </w:r>
      <w:proofErr w:type="spellStart"/>
      <w:r>
        <w:rPr>
          <w:b/>
          <w:bCs/>
          <w:u w:val="single"/>
          <w:lang w:val="en-US"/>
        </w:rPr>
        <w:t>camau</w:t>
      </w:r>
      <w:proofErr w:type="spellEnd"/>
      <w:r>
        <w:rPr>
          <w:b/>
          <w:bCs/>
          <w:u w:val="single"/>
          <w:lang w:val="en-US"/>
        </w:rPr>
        <w:t xml:space="preserve"> </w:t>
      </w:r>
      <w:proofErr w:type="spellStart"/>
      <w:r>
        <w:rPr>
          <w:b/>
          <w:bCs/>
          <w:u w:val="single"/>
          <w:lang w:val="en-US"/>
        </w:rPr>
        <w:t>nesaf</w:t>
      </w:r>
      <w:proofErr w:type="spellEnd"/>
      <w:r w:rsidR="002E4323" w:rsidRPr="00825F9C">
        <w:rPr>
          <w:b/>
          <w:bCs/>
          <w:u w:val="single"/>
          <w:lang w:val="en-US"/>
        </w:rPr>
        <w:t>:</w:t>
      </w:r>
    </w:p>
    <w:p w14:paraId="4E4F7FAA" w14:textId="23C32463" w:rsidR="00AA4F8E" w:rsidRDefault="009155AA">
      <w:r w:rsidRPr="009155AA">
        <w:t>Er mwyn adfyfyrio ar y digwyddiad critigol ffocysa’r aseiniad yma ar, defnyddir model myfyriol pedair lens Brookfield. Dengys yr adolygiad llenyddiaeth pa mor bwysig mae gwahaniaethu o fewn sefyllfa dosbarth heddiw. Yn sicr, mae’r athrawes yn defnyddio dulliau gwahaniaethu llwyddiannus yn y wers yma</w:t>
      </w:r>
      <w:r w:rsidR="00D000D9">
        <w:t>,</w:t>
      </w:r>
      <w:r w:rsidRPr="009155AA">
        <w:t xml:space="preserve"> a gwelwyd e</w:t>
      </w:r>
      <w:r w:rsidR="00D000D9">
        <w:t>i</w:t>
      </w:r>
      <w:r w:rsidRPr="009155AA">
        <w:t xml:space="preserve"> bod nhw’n llwyddiannus oherwydd mae pob disgybl yn gallu cyflawni’r gwaith. Does dim dadlau fod gwahaniaethu yn rhoi hyder i’r disgyblion wrth iddynt allu cymryd cyfrifoldeb dros ddysgu’i hunain </w:t>
      </w:r>
      <w:r w:rsidR="00D000D9">
        <w:t>gan</w:t>
      </w:r>
      <w:r w:rsidRPr="009155AA">
        <w:t xml:space="preserve"> ddewis pa dasg sy’n orau iddyn nhw; efydd, arian, neu aur. Mae’n glir i weld fod y disgyblion yn frwdfrydig ac eisiau llwyddo, oherwydd maent yn cymryd rhan yn y wers ac yn gofyn ac ateb cwestiynau. Mae’r awyrgylch yn un cadarnhaol ac mae pob disgybl yn rhoi ymdrech i mewn i gwblhau’r dasg</w:t>
      </w:r>
      <w:r w:rsidR="00962EA2">
        <w:t xml:space="preserve">. </w:t>
      </w:r>
    </w:p>
    <w:p w14:paraId="56CA4AF0" w14:textId="1F835427" w:rsidR="004B0F94" w:rsidRDefault="009155AA">
      <w:r w:rsidRPr="009155AA">
        <w:t>Wrth edrych ar y digwyddiad trwy 4 lens Brookfield, mae persbectif y dysgwyr yn un bwysig yn y wers yma. Gan fod y wers wedi cael ei ddangos ar ffurf fideo mewn ystafell trochi, nid oedd cyfle i allu siarad gyda’r disgyblion i gael eu barn. Er hyn, roedd e’n glir i weld pa fath o brofiad cafon nhw o’r digwyddiad. Nid oedd unrhyw broblemau ymddygiad yn y wers oherwydd roedd pob disgybl wedi cymryd rhan yn y wers, ac roedden nhw wastad yn gwneud rhywbeth, boed hynny’n dysgu ar y cyd neu’n cyflawni tasgau unigol. Mae nifer o broblemau ymddygiad yn dod o ddiflastod neu oherwydd nid yw’r disgyblion yn gallu cyflawni’r gwaith (</w:t>
      </w:r>
      <w:bookmarkStart w:id="28" w:name="_Hlk150089271"/>
      <w:r w:rsidRPr="009155AA">
        <w:t>Nett et al., 2010</w:t>
      </w:r>
      <w:bookmarkEnd w:id="28"/>
      <w:r w:rsidRPr="009155AA">
        <w:t>). Dyma ble mae gwahaniaethu o ran tasg yn dda oherwydd roedd cyfle i bob disgybl cael ei herio, beth bynnag y gallu. Roedd tasgau ar gyfer disgyblion gallu uwch ac is y dosbarth. Felly, doedd dim cyfle i’r disgyblion diflasu</w:t>
      </w:r>
      <w:r w:rsidR="00F81864">
        <w:t xml:space="preserve">. </w:t>
      </w:r>
    </w:p>
    <w:p w14:paraId="2B252687" w14:textId="33F4DE2F" w:rsidR="007511CE" w:rsidRDefault="009155AA">
      <w:r w:rsidRPr="009155AA">
        <w:t>Yn ychwanegol, roedd rhoi’r dewis i’r disgybl o ba dasg hoffan nhw gyflawni yn osgoi teimlo cywilydd os naethon nhw gweld y gwaith yn anodd. Wrth i’r unigolion dewis y lliw tasg, nid oes angen i weddill y dosbarth gwybod ac felly’n osgoi gwneud i unrhyw un sefyll allan fel MAT</w:t>
      </w:r>
      <w:r w:rsidR="00D000D9">
        <w:t>h</w:t>
      </w:r>
      <w:r w:rsidRPr="009155AA">
        <w:t xml:space="preserve"> neu allu is. Wrth edrych trwy lygaid y dysgwyr, mae hyn yn creu awyrgylch diogel ac yn gwneud iddynt eisiau dysgu oherwydd maent yn teimlo’n gyfforddus yn y dosbarth. Mae’r math yma o wahaniaethu yn gynhwysol ac yn gadael i bawb cyflawni’r dasg sy’n orau iddyn nhw, heb wneud iddynt deimlo’n swil gan sefyll allan. Mae hyn yn adeiladu’u hyder ac yn creu amgylchedd hapus a chyfforddus o fewn y dosbarth. Yn sicr, byddaf yn defnyddio’r dull yma yn fy ngwersi. Credaf fod e’n bwysig iawn i greu amgylchedd cynhwysol a diogel ar gyfer y dysgwyr. Dyma ddull sydd yn sicrhau fod y dysgwyr yn teimlo’n gyfforddus o fewn y dosbarth ac felly yn fwy parod i wneud gwaith a chael e</w:t>
      </w:r>
      <w:r w:rsidR="00D000D9">
        <w:t>i</w:t>
      </w:r>
      <w:r w:rsidRPr="009155AA">
        <w:t xml:space="preserve"> herio</w:t>
      </w:r>
      <w:r w:rsidR="007846BC">
        <w:t xml:space="preserve">. </w:t>
      </w:r>
    </w:p>
    <w:p w14:paraId="34543A8D" w14:textId="33B22B9D" w:rsidR="003D2F9E" w:rsidRDefault="009155AA">
      <w:pPr>
        <w:rPr>
          <w:rFonts w:cstheme="minorHAnsi"/>
        </w:rPr>
      </w:pPr>
      <w:r w:rsidRPr="009155AA">
        <w:t>Wrth edrych ar y digwyddiad gan gofio’n ôl i ban yr oeddwn i’n ddysgwr, nid oedd gwahaniaethu fel hyn yn digwydd yn aml. Roedd gwahaniaethu’n digwydd trwy dasgau estynedig. Yn sicr, roedd nifer o ddisgyblion, gan gynnwys fy hun, yn teimlo’n swil  i ofyn am dasg estynedig. Ond ar yr un pryd, roeddwn i’n teimlo cywilydd os nad oeddwn i wedi cyrraedd y dasg estynedig. Os oeddwn i wedi cael tasg efydd, arian, ac aur yn yr ysgol, byddwn i wedi’i hoffi’n fawr iawn oherwydd nid yw’n rhoi’r cyfle i unrhyw un sefyll allan neu deimlo swilder/cywilydd. Yn ychwanegol, byddwn i wedi herio fy hun trwy’r flwyddyn i ddatblygu o’r dasg efydd i gyrraedd y dasg arian</w:t>
      </w:r>
      <w:r w:rsidR="00C14FDA">
        <w:t>/aur</w:t>
      </w:r>
      <w:r w:rsidRPr="009155AA">
        <w:t xml:space="preserve"> o fewn y pwnc penodol yna. Mae’r dull yma o wahaniaethu’n rhoi’r cyfle i chi i herio’ch hun trwy’r flwyddyn. Yn sicr, mae’n rhoi’r cyfle i chi i gymryd cyfrifoldeb dros ddysgu eich hun</w:t>
      </w:r>
      <w:r w:rsidR="003D2F9E">
        <w:rPr>
          <w:rFonts w:cstheme="minorHAnsi"/>
        </w:rPr>
        <w:t xml:space="preserve">. </w:t>
      </w:r>
    </w:p>
    <w:p w14:paraId="79B0ED69" w14:textId="659702DD" w:rsidR="002E1A48" w:rsidRDefault="009155AA">
      <w:pPr>
        <w:rPr>
          <w:rFonts w:cstheme="minorHAnsi"/>
        </w:rPr>
      </w:pPr>
      <w:r w:rsidRPr="009155AA">
        <w:rPr>
          <w:rFonts w:cstheme="minorHAnsi"/>
        </w:rPr>
        <w:t xml:space="preserve">Mae defnyddio profiad chi eich hun o’r gorffennol, yn ffordd dda i greu amgylchedd cadarnhaol o fewn y dosbarth. Gallwch chi gofio’n ôl i sut oeddech chi’n teimlo yn gwneud tasgau penodol. Mae </w:t>
      </w:r>
      <w:r w:rsidRPr="009155AA">
        <w:rPr>
          <w:rFonts w:cstheme="minorHAnsi"/>
        </w:rPr>
        <w:lastRenderedPageBreak/>
        <w:t>pob athro/awes wedi cael y profiad o fod yn ddisgybl ac yn gwybod beth sy’n gwneud i’r disgybl teimlo’n hapus a chyfforddus o fewn dosbarth. Mae edrych trwy’r lens yma’n atgoffa athro o ba strategaethau sy’n gweithio gyda disgyblion a beth i osgoi. Ni ddylai’r athro gofyn i’r disgyblion gwneud rhywbeth doedden nhw ddim yn hapus i wneud pan oedden nhw’n ddisgybl. Does dim amheuaeth, fe fyddwn i’n cynllunio gwersi gan edrych trwy lens hunan cofiadwy. Mae’n bwysig bod pob athro yn gallu uniaethu gyda’r disgyblion er mwyn deall pa fath o dasgau fydd yn llwyddiannus neu beidio</w:t>
      </w:r>
      <w:r w:rsidR="003D2F9E">
        <w:rPr>
          <w:rFonts w:cstheme="minorHAnsi"/>
        </w:rPr>
        <w:t xml:space="preserve">. </w:t>
      </w:r>
    </w:p>
    <w:p w14:paraId="220A193E" w14:textId="337324ED" w:rsidR="007E1375" w:rsidRDefault="00000564" w:rsidP="0023740B">
      <w:r w:rsidRPr="00000564">
        <w:t>Er mwyn ateb lens llenyddiaeth ddamcaniaethol Brookfield; mae’r aseiniad yma wedi cryfhau fy ngwybodaeth am wahaniaethu, wrth ddarllen llawer o lenyddiaeth amrywiaethol. Dengys y llenyddiaeth gall gwahaniaethu fod yn ddull cymhleth i ddeall oherwydd bod gymaint o ddiffiniadau a dulliau gwahanol (Taylor, 2017). Mae gwahaniaethu wedi bod yn dopig pwysig iawn o fewn academia am flynyddoedd maeth, ac mae’r mathau gwahanol o wahaniaethu wedi datblygu dros yr amser yma e.e. gwahaniaethu gan dasg, cymorth, gwaith estynedig, amser, a mwy (Piggott, 2002). Er mwyn cefnogi’r llenyddiaeth, dengys dull yr athrawes effaith gwahaniaethu ar y disgyblion, a sut i’w cyflawni mewn ffordd effeithiol</w:t>
      </w:r>
      <w:r w:rsidR="00C53B46">
        <w:t>.</w:t>
      </w:r>
      <w:r w:rsidR="007E1375">
        <w:t xml:space="preserve"> </w:t>
      </w:r>
    </w:p>
    <w:p w14:paraId="3019D8E6" w14:textId="008F1BCB" w:rsidR="0023740B" w:rsidRDefault="00000564" w:rsidP="0023740B">
      <w:r w:rsidRPr="00000564">
        <w:t xml:space="preserve">O ganlyniad i ddarllen am fathau gwahanol o wahaniaethu, ac arsylwi gwers Mathemateg bl.8, penderfynais fy mod i eisiau mabwysiadu gwahaniaethu gan dasg o fewn fy ngwersi yn y dyfodol. Roedd y tasgau efydd, arian, ac aur yn ffordd dda i’r disgyblion cyrraedd y MPL, ond mewn ffordd oedd yn herio pob disgybl o fewn y dosbarth. Rhoddodd y math yma o wahaniaethu'r cyfle i bob dysgwr i gyrraedd ei potensial llawn, ond mewn ffordd ble nad oedd unrhyw un yn sefyll allan (Bartlett, 2016). Dywed nifer o academwyr fod gwahaniaethu gan dasg yn ddull effeithiol iawn o fewn y dosbarth (Konstantinou-Katzi, 2013; </w:t>
      </w:r>
      <w:bookmarkStart w:id="29" w:name="_Hlk150089289"/>
      <w:r w:rsidRPr="00000564">
        <w:t>Dixon et al., 2014</w:t>
      </w:r>
      <w:bookmarkEnd w:id="29"/>
      <w:r w:rsidRPr="00000564">
        <w:t>; Bartlett, 2016; Piggott 2002). Mae gwahaniaethu trwy roi tasgau gwahanol a chymorth amrywiol (</w:t>
      </w:r>
      <w:bookmarkStart w:id="30" w:name="_Hlk150089296"/>
      <w:r w:rsidRPr="00000564">
        <w:t>Geelan et al., 2015</w:t>
      </w:r>
      <w:bookmarkEnd w:id="30"/>
      <w:r w:rsidRPr="00000564">
        <w:t xml:space="preserve">), yn galluogi’r disgyblion i gyrraedd y MPL mewn ffordd sy’n gwthio pob disgybl i’w potensial llawn </w:t>
      </w:r>
      <w:r w:rsidR="0023740B">
        <w:t>(</w:t>
      </w:r>
      <w:bookmarkStart w:id="31" w:name="_Hlk149209655"/>
      <w:r w:rsidR="0023740B">
        <w:t>Taylor, 2017</w:t>
      </w:r>
      <w:bookmarkEnd w:id="31"/>
      <w:r w:rsidR="0023740B">
        <w:t xml:space="preserve">). </w:t>
      </w:r>
    </w:p>
    <w:p w14:paraId="562AD1CE" w14:textId="36F1A196" w:rsidR="00407981" w:rsidRPr="004F0E0E" w:rsidRDefault="00D926E0" w:rsidP="004F0E0E">
      <w:pPr>
        <w:pStyle w:val="ListParagraph"/>
        <w:numPr>
          <w:ilvl w:val="0"/>
          <w:numId w:val="3"/>
        </w:numPr>
        <w:rPr>
          <w:b/>
          <w:bCs/>
          <w:u w:val="single"/>
        </w:rPr>
      </w:pPr>
      <w:r>
        <w:rPr>
          <w:b/>
          <w:bCs/>
          <w:u w:val="single"/>
        </w:rPr>
        <w:t>Casgliad</w:t>
      </w:r>
      <w:r w:rsidR="00591DB1">
        <w:rPr>
          <w:b/>
          <w:bCs/>
          <w:u w:val="single"/>
        </w:rPr>
        <w:t>au</w:t>
      </w:r>
      <w:r w:rsidR="00630E06">
        <w:rPr>
          <w:b/>
          <w:bCs/>
          <w:u w:val="single"/>
        </w:rPr>
        <w:t xml:space="preserve"> ac argymhellion</w:t>
      </w:r>
      <w:r w:rsidR="00066EAB" w:rsidRPr="00696EF8">
        <w:rPr>
          <w:b/>
          <w:bCs/>
          <w:u w:val="single"/>
        </w:rPr>
        <w:t>:</w:t>
      </w:r>
    </w:p>
    <w:p w14:paraId="42C8BEA1" w14:textId="77777777" w:rsidR="00000564" w:rsidRDefault="00000564" w:rsidP="004F0E0E">
      <w:r w:rsidRPr="00000564">
        <w:t>Does dim amheuaeth bod y dull gwahaniaethu gan dasg yn un effeithiol wrth i nid yn unig y llenyddiaeth profi hon, ond profwyd y wers Mathemateg hon hefyd. Wrth feddwl am y camau nesaf, pan rydw i’n addysgu, mae rhaid sicrhau fod dulliau gwahaniaethu effeithiol yn cael ei gynnwys ym mhob gwers. O fewn y MDPh Dyniaethau, mae’n gyffredin i gael dosbarthiadau nad sydd wedi setio. Felly, mae gwahaniaethu’n hyd yn oed yn fwy pwysig yn y pwnc yma. Mae’r tasgau efydd, arian, ac aur yn ddull da i ddefnyddio tan fy mod yn dod i nabod y disgyblion a’r fath o dasgau sy’n gweithio. Yn sicr, byddaf yn datblygu fy nulliau wrth i mi gael mwy o brofiad gyda’r disgyblion. Hefyd, byddaf yn parhau i ddarllen llenyddiaeth i gryfhau fy ngwybodaeth. Byddaf yn parhau i ddefnyddio model myfyriol Brookfield er mwyn adfyfyrio ar fy ngwersi a datblygu fy addysgu.</w:t>
      </w:r>
    </w:p>
    <w:p w14:paraId="0A53B561" w14:textId="32B8F2AA" w:rsidR="00A96CDA" w:rsidRPr="00337A34" w:rsidRDefault="00000564" w:rsidP="004F0E0E">
      <w:pPr>
        <w:rPr>
          <w:lang w:val="en-GB"/>
        </w:rPr>
      </w:pPr>
      <w:r w:rsidRPr="00000564">
        <w:t xml:space="preserve">Does dim dadlau fod gwahaniaethu’n rhoi’r disgybl yn y canol (Taylor, 2017) sydd yn cyd-fynd gyda 4 </w:t>
      </w:r>
      <w:r w:rsidR="00473DB0">
        <w:t>D</w:t>
      </w:r>
      <w:r w:rsidRPr="00000564">
        <w:t xml:space="preserve">iben Donaldson (Llywodraeth Cymru, 2020). Mae’r dull gwahaniaethu gan dasg yn galluogi’r dysgwyr i ddysgu gan gael cyfleoedd optimaidd iddyn nhw fel unigolion </w:t>
      </w:r>
      <w:bookmarkStart w:id="32" w:name="_Hlk150089305"/>
      <w:r w:rsidRPr="00000564">
        <w:t>(</w:t>
      </w:r>
      <w:r w:rsidR="007A0976">
        <w:t>Taylor, 2017</w:t>
      </w:r>
      <w:r w:rsidRPr="00000564">
        <w:t xml:space="preserve">). </w:t>
      </w:r>
      <w:bookmarkEnd w:id="32"/>
      <w:r w:rsidRPr="00000564">
        <w:t>Yn sicr, dyma</w:t>
      </w:r>
      <w:r w:rsidR="005048DA">
        <w:t>’r</w:t>
      </w:r>
      <w:r w:rsidRPr="00000564">
        <w:t xml:space="preserve"> ddull byddaf yn mabwysiadu wrth i mi addysgu</w:t>
      </w:r>
      <w:r w:rsidR="002D4977">
        <w:t xml:space="preserve"> yn y dyfodol</w:t>
      </w:r>
      <w:r w:rsidR="00962D71">
        <w:t xml:space="preserve">. </w:t>
      </w:r>
    </w:p>
    <w:p w14:paraId="29DA1B1E" w14:textId="77777777" w:rsidR="006F7EB3" w:rsidRDefault="006F7EB3"/>
    <w:p w14:paraId="4AF9F319" w14:textId="77777777" w:rsidR="007A34EC" w:rsidRDefault="007A34EC"/>
    <w:p w14:paraId="197CBD46" w14:textId="77777777" w:rsidR="007A34EC" w:rsidRDefault="007A34EC"/>
    <w:p w14:paraId="014C69EC" w14:textId="77777777" w:rsidR="007A34EC" w:rsidRPr="004C0039" w:rsidRDefault="007A34EC">
      <w:pPr>
        <w:rPr>
          <w:rFonts w:cstheme="minorHAnsi"/>
          <w:u w:val="single"/>
        </w:rPr>
      </w:pPr>
    </w:p>
    <w:p w14:paraId="24C8688E" w14:textId="36013BDE" w:rsidR="007A34EC" w:rsidRPr="007A34EC" w:rsidRDefault="00BE005B" w:rsidP="00A35962">
      <w:pPr>
        <w:rPr>
          <w:rFonts w:cstheme="minorHAnsi"/>
          <w:u w:val="single"/>
        </w:rPr>
      </w:pPr>
      <w:r w:rsidRPr="004C0039">
        <w:rPr>
          <w:rFonts w:cstheme="minorHAnsi"/>
          <w:u w:val="single"/>
        </w:rPr>
        <w:lastRenderedPageBreak/>
        <w:t>Llyfryddiaeth:</w:t>
      </w:r>
    </w:p>
    <w:p w14:paraId="375FC4F0" w14:textId="77777777" w:rsidR="007A34EC" w:rsidRPr="007A34EC" w:rsidRDefault="007A34EC" w:rsidP="00EE481C">
      <w:pPr>
        <w:rPr>
          <w:rFonts w:cstheme="minorHAnsi"/>
        </w:rPr>
      </w:pPr>
      <w:r w:rsidRPr="007A34EC">
        <w:rPr>
          <w:rFonts w:cstheme="minorHAnsi"/>
        </w:rPr>
        <w:t xml:space="preserve">Altintas, E., &amp; Ozdemir, A. S. (2015). The effect of developed differentiation approach on the achievements of the students. </w:t>
      </w:r>
      <w:r w:rsidRPr="007A34EC">
        <w:rPr>
          <w:rFonts w:cstheme="minorHAnsi"/>
          <w:i/>
          <w:iCs/>
        </w:rPr>
        <w:t>Eurasian Journal of Educational Research</w:t>
      </w:r>
      <w:r w:rsidRPr="007A34EC">
        <w:rPr>
          <w:rFonts w:cstheme="minorHAnsi"/>
        </w:rPr>
        <w:t>, 61, 199-216</w:t>
      </w:r>
    </w:p>
    <w:p w14:paraId="7012EB40" w14:textId="77777777" w:rsidR="007A34EC" w:rsidRPr="007A34EC" w:rsidRDefault="007A34EC" w:rsidP="002D4EA2">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Badia, G. (2017) ‘Combining Critical Reflection and Action Research to Improve Pedagogy’, </w:t>
      </w:r>
      <w:r w:rsidRPr="007A34EC">
        <w:rPr>
          <w:rFonts w:asciiTheme="minorHAnsi" w:hAnsiTheme="minorHAnsi" w:cstheme="minorHAnsi"/>
          <w:i/>
          <w:iCs/>
          <w:sz w:val="22"/>
          <w:szCs w:val="22"/>
        </w:rPr>
        <w:t>portal: Libraries and the Academy</w:t>
      </w:r>
      <w:r w:rsidRPr="007A34EC">
        <w:rPr>
          <w:rFonts w:asciiTheme="minorHAnsi" w:hAnsiTheme="minorHAnsi" w:cstheme="minorHAnsi"/>
          <w:sz w:val="22"/>
          <w:szCs w:val="22"/>
        </w:rPr>
        <w:t xml:space="preserve">, 17, pp. 695–720. </w:t>
      </w:r>
    </w:p>
    <w:p w14:paraId="20D7DBB5" w14:textId="77777777" w:rsidR="007A34EC" w:rsidRPr="007A34EC" w:rsidRDefault="007A34EC" w:rsidP="00AD54B1">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Bartlett, J. (2016) </w:t>
      </w:r>
      <w:r w:rsidRPr="007A34EC">
        <w:rPr>
          <w:rFonts w:asciiTheme="minorHAnsi" w:hAnsiTheme="minorHAnsi" w:cstheme="minorHAnsi"/>
          <w:i/>
          <w:iCs/>
          <w:sz w:val="22"/>
          <w:szCs w:val="22"/>
        </w:rPr>
        <w:t xml:space="preserve">Outstanding Differentiation for Learning in the </w:t>
      </w:r>
      <w:proofErr w:type="gramStart"/>
      <w:r w:rsidRPr="007A34EC">
        <w:rPr>
          <w:rFonts w:asciiTheme="minorHAnsi" w:hAnsiTheme="minorHAnsi" w:cstheme="minorHAnsi"/>
          <w:i/>
          <w:iCs/>
          <w:sz w:val="22"/>
          <w:szCs w:val="22"/>
        </w:rPr>
        <w:t xml:space="preserve">Classroom </w:t>
      </w:r>
      <w:r w:rsidRPr="007A34EC">
        <w:rPr>
          <w:rFonts w:asciiTheme="minorHAnsi" w:hAnsiTheme="minorHAnsi" w:cstheme="minorHAnsi"/>
          <w:sz w:val="22"/>
          <w:szCs w:val="22"/>
        </w:rPr>
        <w:t>.</w:t>
      </w:r>
      <w:proofErr w:type="gramEnd"/>
      <w:r w:rsidRPr="007A34EC">
        <w:rPr>
          <w:rFonts w:asciiTheme="minorHAnsi" w:hAnsiTheme="minorHAnsi" w:cstheme="minorHAnsi"/>
          <w:sz w:val="22"/>
          <w:szCs w:val="22"/>
        </w:rPr>
        <w:t xml:space="preserve"> 1st </w:t>
      </w:r>
      <w:proofErr w:type="spellStart"/>
      <w:r w:rsidRPr="007A34EC">
        <w:rPr>
          <w:rFonts w:asciiTheme="minorHAnsi" w:hAnsiTheme="minorHAnsi" w:cstheme="minorHAnsi"/>
          <w:sz w:val="22"/>
          <w:szCs w:val="22"/>
        </w:rPr>
        <w:t>edn</w:t>
      </w:r>
      <w:proofErr w:type="spellEnd"/>
      <w:r w:rsidRPr="007A34EC">
        <w:rPr>
          <w:rFonts w:asciiTheme="minorHAnsi" w:hAnsiTheme="minorHAnsi" w:cstheme="minorHAnsi"/>
          <w:sz w:val="22"/>
          <w:szCs w:val="22"/>
        </w:rPr>
        <w:t xml:space="preserve">. Abingdon, Oxon: Routledge. </w:t>
      </w:r>
    </w:p>
    <w:p w14:paraId="14146022" w14:textId="77777777" w:rsidR="007A34EC" w:rsidRPr="007A34EC" w:rsidRDefault="007A34EC" w:rsidP="00957B26">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British Educational Research Association [BERA] (2018) </w:t>
      </w:r>
      <w:r w:rsidRPr="007A34EC">
        <w:rPr>
          <w:rFonts w:asciiTheme="minorHAnsi" w:hAnsiTheme="minorHAnsi" w:cstheme="minorHAnsi"/>
          <w:i/>
          <w:iCs/>
          <w:sz w:val="22"/>
          <w:szCs w:val="22"/>
        </w:rPr>
        <w:t xml:space="preserve">Ethical Guidelines For Educational </w:t>
      </w:r>
      <w:proofErr w:type="gramStart"/>
      <w:r w:rsidRPr="007A34EC">
        <w:rPr>
          <w:rFonts w:asciiTheme="minorHAnsi" w:hAnsiTheme="minorHAnsi" w:cstheme="minorHAnsi"/>
          <w:i/>
          <w:iCs/>
          <w:sz w:val="22"/>
          <w:szCs w:val="22"/>
        </w:rPr>
        <w:t xml:space="preserve">Research </w:t>
      </w:r>
      <w:r w:rsidRPr="007A34EC">
        <w:rPr>
          <w:rFonts w:asciiTheme="minorHAnsi" w:hAnsiTheme="minorHAnsi" w:cstheme="minorHAnsi"/>
          <w:sz w:val="22"/>
          <w:szCs w:val="22"/>
        </w:rPr>
        <w:t>.</w:t>
      </w:r>
      <w:proofErr w:type="gramEnd"/>
      <w:r w:rsidRPr="007A34EC">
        <w:rPr>
          <w:rFonts w:asciiTheme="minorHAnsi" w:hAnsiTheme="minorHAnsi" w:cstheme="minorHAnsi"/>
          <w:sz w:val="22"/>
          <w:szCs w:val="22"/>
        </w:rPr>
        <w:t xml:space="preserve"> 4th </w:t>
      </w:r>
      <w:proofErr w:type="spellStart"/>
      <w:r w:rsidRPr="007A34EC">
        <w:rPr>
          <w:rFonts w:asciiTheme="minorHAnsi" w:hAnsiTheme="minorHAnsi" w:cstheme="minorHAnsi"/>
          <w:sz w:val="22"/>
          <w:szCs w:val="22"/>
        </w:rPr>
        <w:t>edn</w:t>
      </w:r>
      <w:proofErr w:type="spellEnd"/>
      <w:r w:rsidRPr="007A34EC">
        <w:rPr>
          <w:rFonts w:asciiTheme="minorHAnsi" w:hAnsiTheme="minorHAnsi" w:cstheme="minorHAnsi"/>
          <w:sz w:val="22"/>
          <w:szCs w:val="22"/>
        </w:rPr>
        <w:t xml:space="preserve">. London. </w:t>
      </w:r>
      <w:hyperlink r:id="rId11" w:history="1">
        <w:r w:rsidRPr="007A34EC">
          <w:rPr>
            <w:rStyle w:val="Hyperlink"/>
            <w:rFonts w:asciiTheme="minorHAnsi" w:hAnsiTheme="minorHAnsi" w:cstheme="minorHAnsi"/>
            <w:sz w:val="22"/>
            <w:szCs w:val="22"/>
          </w:rPr>
          <w:t xml:space="preserve">Bera ethical guidelines 2018 4th ed - ETHICAL GUIDELINES FOR EDUCATIONAL RESEARCH Fourth edition - </w:t>
        </w:r>
        <w:proofErr w:type="spellStart"/>
        <w:r w:rsidRPr="007A34EC">
          <w:rPr>
            <w:rStyle w:val="Hyperlink"/>
            <w:rFonts w:asciiTheme="minorHAnsi" w:hAnsiTheme="minorHAnsi" w:cstheme="minorHAnsi"/>
            <w:sz w:val="22"/>
            <w:szCs w:val="22"/>
          </w:rPr>
          <w:t>Studocu</w:t>
        </w:r>
        <w:proofErr w:type="spellEnd"/>
      </w:hyperlink>
    </w:p>
    <w:p w14:paraId="6CB8C6B9" w14:textId="77777777" w:rsidR="007A34EC" w:rsidRPr="007A34EC" w:rsidRDefault="007A34EC" w:rsidP="00760EE3">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Brookfield, S. (2009) ‘The concept of critical reflection: Promises and contradictions’, </w:t>
      </w:r>
      <w:r w:rsidRPr="007A34EC">
        <w:rPr>
          <w:rFonts w:asciiTheme="minorHAnsi" w:hAnsiTheme="minorHAnsi" w:cstheme="minorHAnsi"/>
          <w:i/>
          <w:iCs/>
          <w:sz w:val="22"/>
          <w:szCs w:val="22"/>
        </w:rPr>
        <w:t>European Journal of Social Work</w:t>
      </w:r>
      <w:r w:rsidRPr="007A34EC">
        <w:rPr>
          <w:rFonts w:asciiTheme="minorHAnsi" w:hAnsiTheme="minorHAnsi" w:cstheme="minorHAnsi"/>
          <w:sz w:val="22"/>
          <w:szCs w:val="22"/>
        </w:rPr>
        <w:t xml:space="preserve">, 12, pp. 293–304. </w:t>
      </w:r>
    </w:p>
    <w:p w14:paraId="07ACA743" w14:textId="77777777" w:rsidR="007A34EC" w:rsidRPr="007A34EC" w:rsidRDefault="007A34EC" w:rsidP="00AA4F8E">
      <w:pPr>
        <w:pStyle w:val="NormalWeb"/>
        <w:ind w:left="567" w:hanging="567"/>
        <w:rPr>
          <w:rStyle w:val="Hyperlink"/>
          <w:rFonts w:asciiTheme="minorHAnsi" w:hAnsiTheme="minorHAnsi" w:cstheme="minorHAnsi"/>
          <w:color w:val="auto"/>
          <w:sz w:val="22"/>
          <w:szCs w:val="22"/>
          <w:u w:val="none"/>
        </w:rPr>
      </w:pPr>
      <w:r w:rsidRPr="007A34EC">
        <w:rPr>
          <w:rFonts w:asciiTheme="minorHAnsi" w:hAnsiTheme="minorHAnsi" w:cstheme="minorHAnsi"/>
          <w:sz w:val="22"/>
          <w:szCs w:val="22"/>
        </w:rPr>
        <w:t xml:space="preserve">Brookfield, S.D. (2015) ‘Critical Reflection as Doctoral Education’, </w:t>
      </w:r>
      <w:r w:rsidRPr="007A34EC">
        <w:rPr>
          <w:rFonts w:asciiTheme="minorHAnsi" w:hAnsiTheme="minorHAnsi" w:cstheme="minorHAnsi"/>
          <w:i/>
          <w:iCs/>
          <w:sz w:val="22"/>
          <w:szCs w:val="22"/>
        </w:rPr>
        <w:t>NEW DIRECTIONS FOR ADULT AND CONTINUING EDUCATION.</w:t>
      </w:r>
      <w:r w:rsidRPr="007A34EC">
        <w:rPr>
          <w:rFonts w:asciiTheme="minorHAnsi" w:hAnsiTheme="minorHAnsi" w:cstheme="minorHAnsi"/>
          <w:sz w:val="22"/>
          <w:szCs w:val="22"/>
        </w:rPr>
        <w:t xml:space="preserve"> Wiley Periodicals, Inc. (147), pp. 15–23. </w:t>
      </w:r>
    </w:p>
    <w:p w14:paraId="05997927" w14:textId="77777777" w:rsidR="007A34EC" w:rsidRPr="007A34EC" w:rsidRDefault="007A34EC" w:rsidP="009A1174">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Brookfield, S.D. (2017) </w:t>
      </w:r>
      <w:r w:rsidRPr="007A34EC">
        <w:rPr>
          <w:rFonts w:asciiTheme="minorHAnsi" w:hAnsiTheme="minorHAnsi" w:cstheme="minorHAnsi"/>
          <w:i/>
          <w:iCs/>
          <w:sz w:val="22"/>
          <w:szCs w:val="22"/>
        </w:rPr>
        <w:t>Becoming a Critically Reflective Teacher</w:t>
      </w:r>
      <w:r w:rsidRPr="007A34EC">
        <w:rPr>
          <w:rFonts w:asciiTheme="minorHAnsi" w:hAnsiTheme="minorHAnsi" w:cstheme="minorHAnsi"/>
          <w:sz w:val="22"/>
          <w:szCs w:val="22"/>
        </w:rPr>
        <w:t xml:space="preserve">. 2nd </w:t>
      </w:r>
      <w:proofErr w:type="spellStart"/>
      <w:r w:rsidRPr="007A34EC">
        <w:rPr>
          <w:rFonts w:asciiTheme="minorHAnsi" w:hAnsiTheme="minorHAnsi" w:cstheme="minorHAnsi"/>
          <w:sz w:val="22"/>
          <w:szCs w:val="22"/>
        </w:rPr>
        <w:t>edn</w:t>
      </w:r>
      <w:proofErr w:type="spellEnd"/>
      <w:r w:rsidRPr="007A34EC">
        <w:rPr>
          <w:rFonts w:asciiTheme="minorHAnsi" w:hAnsiTheme="minorHAnsi" w:cstheme="minorHAnsi"/>
          <w:sz w:val="22"/>
          <w:szCs w:val="22"/>
        </w:rPr>
        <w:t xml:space="preserve">. San Francisco: Jossey-Bass. </w:t>
      </w:r>
    </w:p>
    <w:p w14:paraId="6BC98F67" w14:textId="77777777" w:rsidR="007A34EC" w:rsidRPr="007A34EC" w:rsidRDefault="007A34EC" w:rsidP="00263645">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Campos, B. </w:t>
      </w:r>
      <w:r w:rsidRPr="007A34EC">
        <w:rPr>
          <w:rFonts w:asciiTheme="minorHAnsi" w:hAnsiTheme="minorHAnsi" w:cstheme="minorHAnsi"/>
          <w:i/>
          <w:iCs/>
          <w:sz w:val="22"/>
          <w:szCs w:val="22"/>
        </w:rPr>
        <w:t>et al.</w:t>
      </w:r>
      <w:r w:rsidRPr="007A34EC">
        <w:rPr>
          <w:rFonts w:asciiTheme="minorHAnsi" w:hAnsiTheme="minorHAnsi" w:cstheme="minorHAnsi"/>
          <w:sz w:val="22"/>
          <w:szCs w:val="22"/>
        </w:rPr>
        <w:t xml:space="preserve"> (2007) ‘Culture and Teasing: The Relational Benefits of Reduced Desire for Positive Self-Differentiation’, </w:t>
      </w:r>
      <w:r w:rsidRPr="007A34EC">
        <w:rPr>
          <w:rFonts w:asciiTheme="minorHAnsi" w:hAnsiTheme="minorHAnsi" w:cstheme="minorHAnsi"/>
          <w:i/>
          <w:iCs/>
          <w:sz w:val="22"/>
          <w:szCs w:val="22"/>
        </w:rPr>
        <w:t>PERSONALITY AND SOCIAL PSYCHOLOGY BULLETIN</w:t>
      </w:r>
      <w:r w:rsidRPr="007A34EC">
        <w:rPr>
          <w:rFonts w:asciiTheme="minorHAnsi" w:hAnsiTheme="minorHAnsi" w:cstheme="minorHAnsi"/>
          <w:sz w:val="22"/>
          <w:szCs w:val="22"/>
        </w:rPr>
        <w:t xml:space="preserve">, 33, pp. 3–16. </w:t>
      </w:r>
    </w:p>
    <w:p w14:paraId="2E8F5223" w14:textId="77777777" w:rsidR="007A34EC" w:rsidRPr="007A34EC" w:rsidRDefault="007A34EC" w:rsidP="00135B8D">
      <w:pPr>
        <w:rPr>
          <w:rFonts w:cstheme="minorHAnsi"/>
          <w:color w:val="000000" w:themeColor="text1"/>
        </w:rPr>
      </w:pPr>
      <w:r w:rsidRPr="007A34EC">
        <w:rPr>
          <w:rFonts w:cstheme="minorHAnsi"/>
          <w:color w:val="000000" w:themeColor="text1"/>
        </w:rPr>
        <w:t>Daniels, H., and Hedegaard, M., (2011) ‘Vygotsky and special needs education: rethinking support for children and schools’. London: Continuum International</w:t>
      </w:r>
    </w:p>
    <w:p w14:paraId="4B4EDBF6" w14:textId="77777777" w:rsidR="007A34EC" w:rsidRPr="007A34EC" w:rsidRDefault="007A34EC" w:rsidP="00A35962">
      <w:pPr>
        <w:rPr>
          <w:rFonts w:cstheme="minorHAnsi"/>
        </w:rPr>
      </w:pPr>
      <w:r w:rsidRPr="007A34EC">
        <w:rPr>
          <w:rFonts w:cstheme="minorHAnsi"/>
        </w:rPr>
        <w:t>Dixon, F. A., Yssel, N., McConnell, J. M. and Hardin, T., (2014) Differentiated instruction, professional development, and teacher efficacy. Journal for the Education of the Gifted, 37(2), pp. 111-127.</w:t>
      </w:r>
    </w:p>
    <w:p w14:paraId="2B593EA4" w14:textId="77777777" w:rsidR="007A34EC" w:rsidRPr="007A34EC" w:rsidRDefault="007A34EC" w:rsidP="00487E65">
      <w:pPr>
        <w:rPr>
          <w:rFonts w:cstheme="minorHAnsi"/>
          <w:color w:val="222222"/>
          <w:shd w:val="clear" w:color="auto" w:fill="FFFFFF"/>
        </w:rPr>
      </w:pPr>
      <w:r w:rsidRPr="007A34EC">
        <w:rPr>
          <w:rFonts w:cstheme="minorHAnsi"/>
          <w:color w:val="222222"/>
          <w:shd w:val="clear" w:color="auto" w:fill="FFFFFF"/>
        </w:rPr>
        <w:t>Evans, C. and Waring, M., (2011) How can an understanding of cognitive style enable trainee teachers to have a better understanding of differentiation in the classroom?. </w:t>
      </w:r>
      <w:r w:rsidRPr="007A34EC">
        <w:rPr>
          <w:rFonts w:cstheme="minorHAnsi"/>
          <w:i/>
          <w:iCs/>
          <w:color w:val="222222"/>
          <w:shd w:val="clear" w:color="auto" w:fill="FFFFFF"/>
        </w:rPr>
        <w:t>Educational Research for Policy and Practice</w:t>
      </w:r>
      <w:r w:rsidRPr="007A34EC">
        <w:rPr>
          <w:rFonts w:cstheme="minorHAnsi"/>
          <w:color w:val="222222"/>
          <w:shd w:val="clear" w:color="auto" w:fill="FFFFFF"/>
        </w:rPr>
        <w:t>, </w:t>
      </w:r>
      <w:r w:rsidRPr="007A34EC">
        <w:rPr>
          <w:rFonts w:cstheme="minorHAnsi"/>
          <w:i/>
          <w:iCs/>
          <w:color w:val="222222"/>
          <w:shd w:val="clear" w:color="auto" w:fill="FFFFFF"/>
        </w:rPr>
        <w:t>10</w:t>
      </w:r>
      <w:r w:rsidRPr="007A34EC">
        <w:rPr>
          <w:rFonts w:cstheme="minorHAnsi"/>
          <w:color w:val="222222"/>
          <w:shd w:val="clear" w:color="auto" w:fill="FFFFFF"/>
        </w:rPr>
        <w:t>, pp.149-169.</w:t>
      </w:r>
    </w:p>
    <w:p w14:paraId="19C4DDFE" w14:textId="77777777" w:rsidR="007A34EC" w:rsidRPr="007A34EC" w:rsidRDefault="007A34EC" w:rsidP="00A35962">
      <w:pPr>
        <w:rPr>
          <w:rFonts w:cstheme="minorHAnsi"/>
        </w:rPr>
      </w:pPr>
      <w:r w:rsidRPr="007A34EC">
        <w:rPr>
          <w:rFonts w:cstheme="minorHAnsi"/>
        </w:rPr>
        <w:t>Geelan, D et al., (2015) Lessons from Alison: a narrative study of differentiation in classroom teaching</w:t>
      </w:r>
      <w:r w:rsidRPr="007A34EC">
        <w:rPr>
          <w:rFonts w:cstheme="minorHAnsi"/>
          <w:i/>
          <w:iCs/>
        </w:rPr>
        <w:t>. International Journal of Pedagogies and Learning</w:t>
      </w:r>
      <w:r w:rsidRPr="007A34EC">
        <w:rPr>
          <w:rFonts w:cstheme="minorHAnsi"/>
        </w:rPr>
        <w:t>, 10 (1), pp. 13-23</w:t>
      </w:r>
    </w:p>
    <w:p w14:paraId="30850688" w14:textId="77777777" w:rsidR="007A34EC" w:rsidRPr="007A34EC" w:rsidRDefault="007A34EC" w:rsidP="001C6C21">
      <w:pPr>
        <w:pStyle w:val="NormalWeb"/>
        <w:ind w:left="567" w:hanging="567"/>
        <w:rPr>
          <w:rFonts w:asciiTheme="minorHAnsi" w:hAnsiTheme="minorHAnsi" w:cstheme="minorHAnsi"/>
          <w:sz w:val="22"/>
          <w:szCs w:val="22"/>
        </w:rPr>
      </w:pPr>
      <w:proofErr w:type="spellStart"/>
      <w:r w:rsidRPr="007A34EC">
        <w:rPr>
          <w:rFonts w:asciiTheme="minorHAnsi" w:hAnsiTheme="minorHAnsi" w:cstheme="minorHAnsi"/>
          <w:sz w:val="22"/>
          <w:szCs w:val="22"/>
        </w:rPr>
        <w:t>Hamarus</w:t>
      </w:r>
      <w:proofErr w:type="spellEnd"/>
      <w:r w:rsidRPr="007A34EC">
        <w:rPr>
          <w:rFonts w:asciiTheme="minorHAnsi" w:hAnsiTheme="minorHAnsi" w:cstheme="minorHAnsi"/>
          <w:sz w:val="22"/>
          <w:szCs w:val="22"/>
        </w:rPr>
        <w:t xml:space="preserve">, P. and Kaikkonen, P. (2008) ‘School bullying as a creator of pupil peer pressure’, </w:t>
      </w:r>
      <w:r w:rsidRPr="007A34EC">
        <w:rPr>
          <w:rFonts w:asciiTheme="minorHAnsi" w:hAnsiTheme="minorHAnsi" w:cstheme="minorHAnsi"/>
          <w:i/>
          <w:iCs/>
          <w:sz w:val="22"/>
          <w:szCs w:val="22"/>
        </w:rPr>
        <w:t>Educational Research</w:t>
      </w:r>
      <w:r w:rsidRPr="007A34EC">
        <w:rPr>
          <w:rFonts w:asciiTheme="minorHAnsi" w:hAnsiTheme="minorHAnsi" w:cstheme="minorHAnsi"/>
          <w:sz w:val="22"/>
          <w:szCs w:val="22"/>
        </w:rPr>
        <w:t xml:space="preserve">, 50, pp. 333–345. </w:t>
      </w:r>
    </w:p>
    <w:p w14:paraId="7A585E27" w14:textId="77777777" w:rsidR="007A34EC" w:rsidRPr="007A34EC" w:rsidRDefault="007A34EC" w:rsidP="007D23F1">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Hébert, C. (2015) ‘Knowing and/or experiencing: a critical examination of the reflective models of John Dewey and Donald Schön’, </w:t>
      </w:r>
      <w:r w:rsidRPr="007A34EC">
        <w:rPr>
          <w:rFonts w:asciiTheme="minorHAnsi" w:hAnsiTheme="minorHAnsi" w:cstheme="minorHAnsi"/>
          <w:i/>
          <w:iCs/>
          <w:sz w:val="22"/>
          <w:szCs w:val="22"/>
        </w:rPr>
        <w:t>Reflective Practice</w:t>
      </w:r>
      <w:r w:rsidRPr="007A34EC">
        <w:rPr>
          <w:rFonts w:asciiTheme="minorHAnsi" w:hAnsiTheme="minorHAnsi" w:cstheme="minorHAnsi"/>
          <w:sz w:val="22"/>
          <w:szCs w:val="22"/>
        </w:rPr>
        <w:t xml:space="preserve">, 16, pp. 361–371. </w:t>
      </w:r>
    </w:p>
    <w:p w14:paraId="2B20FAB3" w14:textId="77777777" w:rsidR="007A34EC" w:rsidRPr="007A34EC" w:rsidRDefault="007A34EC" w:rsidP="006E24DD">
      <w:pPr>
        <w:rPr>
          <w:rFonts w:cstheme="minorHAnsi"/>
        </w:rPr>
      </w:pPr>
      <w:r w:rsidRPr="007A34EC">
        <w:rPr>
          <w:rFonts w:cstheme="minorHAnsi"/>
        </w:rPr>
        <w:t xml:space="preserve">Hertberg-Davis, H. L., and Brighton, C. M., (2006) Support and Sabotage Principals’ Influence on Middle School Teachers’ Responses to Differentiation. </w:t>
      </w:r>
      <w:r w:rsidRPr="007A34EC">
        <w:rPr>
          <w:rFonts w:cstheme="minorHAnsi"/>
          <w:i/>
          <w:iCs/>
        </w:rPr>
        <w:t>The Journal of Secondary Gifted Education</w:t>
      </w:r>
      <w:r w:rsidRPr="007A34EC">
        <w:rPr>
          <w:rFonts w:cstheme="minorHAnsi"/>
        </w:rPr>
        <w:t>, 17 (2), pp. 90 – 102</w:t>
      </w:r>
    </w:p>
    <w:p w14:paraId="2B3E7AAC" w14:textId="77777777" w:rsidR="007A34EC" w:rsidRPr="007A34EC" w:rsidRDefault="007A34EC" w:rsidP="00BE005B">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Joshi, K.R. (2018) ‘Critical Incidents for Teachers’ Professional Development’, </w:t>
      </w:r>
      <w:r w:rsidRPr="007A34EC">
        <w:rPr>
          <w:rFonts w:asciiTheme="minorHAnsi" w:hAnsiTheme="minorHAnsi" w:cstheme="minorHAnsi"/>
          <w:i/>
          <w:iCs/>
          <w:sz w:val="22"/>
          <w:szCs w:val="22"/>
        </w:rPr>
        <w:t xml:space="preserve">NELTA </w:t>
      </w:r>
      <w:proofErr w:type="spellStart"/>
      <w:r w:rsidRPr="007A34EC">
        <w:rPr>
          <w:rFonts w:asciiTheme="minorHAnsi" w:hAnsiTheme="minorHAnsi" w:cstheme="minorHAnsi"/>
          <w:i/>
          <w:iCs/>
          <w:sz w:val="22"/>
          <w:szCs w:val="22"/>
        </w:rPr>
        <w:t>Surkhet</w:t>
      </w:r>
      <w:proofErr w:type="spellEnd"/>
      <w:r w:rsidRPr="007A34EC">
        <w:rPr>
          <w:rFonts w:asciiTheme="minorHAnsi" w:hAnsiTheme="minorHAnsi" w:cstheme="minorHAnsi"/>
          <w:sz w:val="22"/>
          <w:szCs w:val="22"/>
        </w:rPr>
        <w:t xml:space="preserve">, 5, pp. 82–87. </w:t>
      </w:r>
    </w:p>
    <w:p w14:paraId="16F4E391" w14:textId="77777777" w:rsidR="007A34EC" w:rsidRPr="007A34EC" w:rsidRDefault="007A34EC" w:rsidP="003033D8">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lastRenderedPageBreak/>
        <w:t xml:space="preserve"> Keuning, T. and Geel, M. van (2021) ‘Differentiated Teaching </w:t>
      </w:r>
      <w:proofErr w:type="gramStart"/>
      <w:r w:rsidRPr="007A34EC">
        <w:rPr>
          <w:rFonts w:asciiTheme="minorHAnsi" w:hAnsiTheme="minorHAnsi" w:cstheme="minorHAnsi"/>
          <w:sz w:val="22"/>
          <w:szCs w:val="22"/>
        </w:rPr>
        <w:t>With</w:t>
      </w:r>
      <w:proofErr w:type="gramEnd"/>
      <w:r w:rsidRPr="007A34EC">
        <w:rPr>
          <w:rFonts w:asciiTheme="minorHAnsi" w:hAnsiTheme="minorHAnsi" w:cstheme="minorHAnsi"/>
          <w:sz w:val="22"/>
          <w:szCs w:val="22"/>
        </w:rPr>
        <w:t xml:space="preserve"> Adaptive Learning Systems and Teacher Dashboards: The Teacher Still Matters Most’, </w:t>
      </w:r>
      <w:r w:rsidRPr="007A34EC">
        <w:rPr>
          <w:rFonts w:asciiTheme="minorHAnsi" w:hAnsiTheme="minorHAnsi" w:cstheme="minorHAnsi"/>
          <w:i/>
          <w:iCs/>
          <w:sz w:val="22"/>
          <w:szCs w:val="22"/>
        </w:rPr>
        <w:t>IEEE TRANSACTIONS ON LEARNING TECHNOLOGIES</w:t>
      </w:r>
      <w:r w:rsidRPr="007A34EC">
        <w:rPr>
          <w:rFonts w:asciiTheme="minorHAnsi" w:hAnsiTheme="minorHAnsi" w:cstheme="minorHAnsi"/>
          <w:sz w:val="22"/>
          <w:szCs w:val="22"/>
        </w:rPr>
        <w:t xml:space="preserve">, 14, pp. 201–210. </w:t>
      </w:r>
    </w:p>
    <w:p w14:paraId="4BCAE54D" w14:textId="77777777" w:rsidR="007A34EC" w:rsidRPr="007A34EC" w:rsidRDefault="007A34EC" w:rsidP="006E24DD">
      <w:pPr>
        <w:rPr>
          <w:rFonts w:cstheme="minorHAnsi"/>
          <w:color w:val="000000" w:themeColor="text1"/>
        </w:rPr>
      </w:pPr>
      <w:r w:rsidRPr="007A34EC">
        <w:rPr>
          <w:rFonts w:cstheme="minorHAnsi"/>
          <w:color w:val="000000" w:themeColor="text1"/>
        </w:rPr>
        <w:t>Konstantinou-Katzi, P et al., (2013) Differentiation of teaching and learning mathematics: an action research study in tertiary education</w:t>
      </w:r>
      <w:r w:rsidRPr="007A34EC">
        <w:rPr>
          <w:rFonts w:cstheme="minorHAnsi"/>
          <w:i/>
          <w:iCs/>
          <w:color w:val="000000" w:themeColor="text1"/>
        </w:rPr>
        <w:t>. International Journal of Mathematical Education in Science and Technology</w:t>
      </w:r>
      <w:r w:rsidRPr="007A34EC">
        <w:rPr>
          <w:rFonts w:cstheme="minorHAnsi"/>
          <w:color w:val="000000" w:themeColor="text1"/>
        </w:rPr>
        <w:t>, 44 (3), pp. 332-349</w:t>
      </w:r>
    </w:p>
    <w:p w14:paraId="41CB9A95" w14:textId="77777777" w:rsidR="007A34EC" w:rsidRPr="007A34EC" w:rsidRDefault="007A34EC" w:rsidP="008E45BF">
      <w:pPr>
        <w:rPr>
          <w:rFonts w:cstheme="minorHAnsi"/>
        </w:rPr>
      </w:pPr>
      <w:r w:rsidRPr="007A34EC">
        <w:rPr>
          <w:rFonts w:cstheme="minorHAnsi"/>
        </w:rPr>
        <w:t xml:space="preserve">Kulick , J.N. (2012) </w:t>
      </w:r>
      <w:r w:rsidRPr="007A34EC">
        <w:rPr>
          <w:rFonts w:cstheme="minorHAnsi"/>
          <w:i/>
          <w:iCs/>
        </w:rPr>
        <w:t>Acting Out in the Classroom: Applying Principles and Methods of Differentiation to Address  Challenging Student Behavior</w:t>
      </w:r>
      <w:r w:rsidRPr="007A34EC">
        <w:rPr>
          <w:rFonts w:cstheme="minorHAnsi"/>
        </w:rPr>
        <w:t xml:space="preserve">. thesis. New York: Bank Street College of Education. Retrieved from </w:t>
      </w:r>
      <w:r w:rsidR="00000000">
        <w:fldChar w:fldCharType="begin"/>
      </w:r>
      <w:r w:rsidR="00000000">
        <w:instrText>HYPERLINK "https://educate.bankstreet.edu/independent-studies/148"</w:instrText>
      </w:r>
      <w:r w:rsidR="00000000">
        <w:fldChar w:fldCharType="separate"/>
      </w:r>
      <w:r w:rsidRPr="007A34EC">
        <w:rPr>
          <w:rStyle w:val="Hyperlink"/>
          <w:rFonts w:cstheme="minorHAnsi"/>
        </w:rPr>
        <w:t>https://educate.bankstreet.edu/independent-studies/148</w:t>
      </w:r>
      <w:r w:rsidR="00000000">
        <w:rPr>
          <w:rStyle w:val="Hyperlink"/>
          <w:rFonts w:cstheme="minorHAnsi"/>
        </w:rPr>
        <w:fldChar w:fldCharType="end"/>
      </w:r>
    </w:p>
    <w:p w14:paraId="3AF61747" w14:textId="77777777" w:rsidR="007A34EC" w:rsidRPr="007A34EC" w:rsidRDefault="007A34EC" w:rsidP="00135B8D">
      <w:pPr>
        <w:pStyle w:val="NormalWeb"/>
        <w:ind w:left="567" w:hanging="567"/>
        <w:rPr>
          <w:rFonts w:asciiTheme="minorHAnsi" w:hAnsiTheme="minorHAnsi" w:cstheme="minorHAnsi"/>
          <w:sz w:val="22"/>
          <w:szCs w:val="22"/>
        </w:rPr>
      </w:pPr>
      <w:proofErr w:type="spellStart"/>
      <w:r w:rsidRPr="007A34EC">
        <w:rPr>
          <w:rFonts w:asciiTheme="minorHAnsi" w:hAnsiTheme="minorHAnsi" w:cstheme="minorHAnsi"/>
          <w:sz w:val="22"/>
          <w:szCs w:val="22"/>
        </w:rPr>
        <w:t>Kupers</w:t>
      </w:r>
      <w:proofErr w:type="spellEnd"/>
      <w:r w:rsidRPr="007A34EC">
        <w:rPr>
          <w:rFonts w:asciiTheme="minorHAnsi" w:hAnsiTheme="minorHAnsi" w:cstheme="minorHAnsi"/>
          <w:sz w:val="22"/>
          <w:szCs w:val="22"/>
        </w:rPr>
        <w:t xml:space="preserve">, E. </w:t>
      </w:r>
      <w:r w:rsidRPr="007A34EC">
        <w:rPr>
          <w:rFonts w:asciiTheme="minorHAnsi" w:hAnsiTheme="minorHAnsi" w:cstheme="minorHAnsi"/>
          <w:i/>
          <w:iCs/>
          <w:sz w:val="22"/>
          <w:szCs w:val="22"/>
        </w:rPr>
        <w:t>et al.</w:t>
      </w:r>
      <w:r w:rsidRPr="007A34EC">
        <w:rPr>
          <w:rFonts w:asciiTheme="minorHAnsi" w:hAnsiTheme="minorHAnsi" w:cstheme="minorHAnsi"/>
          <w:sz w:val="22"/>
          <w:szCs w:val="22"/>
        </w:rPr>
        <w:t xml:space="preserve"> (2023) ‘Differentiation and Students with </w:t>
      </w:r>
      <w:proofErr w:type="gramStart"/>
      <w:r w:rsidRPr="007A34EC">
        <w:rPr>
          <w:rFonts w:asciiTheme="minorHAnsi" w:hAnsiTheme="minorHAnsi" w:cstheme="minorHAnsi"/>
          <w:sz w:val="22"/>
          <w:szCs w:val="22"/>
        </w:rPr>
        <w:t>Special  Educational</w:t>
      </w:r>
      <w:proofErr w:type="gramEnd"/>
      <w:r w:rsidRPr="007A34EC">
        <w:rPr>
          <w:rFonts w:asciiTheme="minorHAnsi" w:hAnsiTheme="minorHAnsi" w:cstheme="minorHAnsi"/>
          <w:sz w:val="22"/>
          <w:szCs w:val="22"/>
        </w:rPr>
        <w:t xml:space="preserve"> Needs: Teachers’ Intentions  and Classroom Interactions’, </w:t>
      </w:r>
      <w:r w:rsidRPr="007A34EC">
        <w:rPr>
          <w:rFonts w:asciiTheme="minorHAnsi" w:hAnsiTheme="minorHAnsi" w:cstheme="minorHAnsi"/>
          <w:i/>
          <w:iCs/>
          <w:sz w:val="22"/>
          <w:szCs w:val="22"/>
        </w:rPr>
        <w:t>Effective Teaching Around the World</w:t>
      </w:r>
      <w:r w:rsidRPr="007A34EC">
        <w:rPr>
          <w:rFonts w:asciiTheme="minorHAnsi" w:hAnsiTheme="minorHAnsi" w:cstheme="minorHAnsi"/>
          <w:sz w:val="22"/>
          <w:szCs w:val="22"/>
        </w:rPr>
        <w:t xml:space="preserve">, Chapter 36, pp. 775–791. </w:t>
      </w:r>
    </w:p>
    <w:p w14:paraId="0DE7CDC5" w14:textId="77777777" w:rsidR="007A34EC" w:rsidRPr="007A34EC" w:rsidRDefault="007A34EC" w:rsidP="00236C34">
      <w:pPr>
        <w:pStyle w:val="NormalWeb"/>
        <w:ind w:left="567" w:hanging="567"/>
        <w:rPr>
          <w:rFonts w:asciiTheme="minorHAnsi" w:hAnsiTheme="minorHAnsi" w:cstheme="minorHAnsi"/>
          <w:sz w:val="22"/>
          <w:szCs w:val="22"/>
        </w:rPr>
      </w:pPr>
      <w:proofErr w:type="spellStart"/>
      <w:r w:rsidRPr="007A34EC">
        <w:rPr>
          <w:rFonts w:asciiTheme="minorHAnsi" w:hAnsiTheme="minorHAnsi" w:cstheme="minorHAnsi"/>
          <w:sz w:val="22"/>
          <w:szCs w:val="22"/>
        </w:rPr>
        <w:t>Llywodraeth</w:t>
      </w:r>
      <w:proofErr w:type="spellEnd"/>
      <w:r w:rsidRPr="007A34EC">
        <w:rPr>
          <w:rFonts w:asciiTheme="minorHAnsi" w:hAnsiTheme="minorHAnsi" w:cstheme="minorHAnsi"/>
          <w:sz w:val="22"/>
          <w:szCs w:val="22"/>
        </w:rPr>
        <w:t xml:space="preserve"> Cymru (2020) </w:t>
      </w:r>
      <w:proofErr w:type="spellStart"/>
      <w:r w:rsidRPr="007A34EC">
        <w:rPr>
          <w:rFonts w:asciiTheme="minorHAnsi" w:hAnsiTheme="minorHAnsi" w:cstheme="minorHAnsi"/>
          <w:i/>
          <w:iCs/>
          <w:sz w:val="22"/>
          <w:szCs w:val="22"/>
        </w:rPr>
        <w:t>Cwricwlwm</w:t>
      </w:r>
      <w:proofErr w:type="spellEnd"/>
      <w:r w:rsidRPr="007A34EC">
        <w:rPr>
          <w:rFonts w:asciiTheme="minorHAnsi" w:hAnsiTheme="minorHAnsi" w:cstheme="minorHAnsi"/>
          <w:i/>
          <w:iCs/>
          <w:sz w:val="22"/>
          <w:szCs w:val="22"/>
        </w:rPr>
        <w:t xml:space="preserve"> </w:t>
      </w:r>
      <w:proofErr w:type="spellStart"/>
      <w:r w:rsidRPr="007A34EC">
        <w:rPr>
          <w:rFonts w:asciiTheme="minorHAnsi" w:hAnsiTheme="minorHAnsi" w:cstheme="minorHAnsi"/>
          <w:i/>
          <w:iCs/>
          <w:sz w:val="22"/>
          <w:szCs w:val="22"/>
        </w:rPr>
        <w:t>i</w:t>
      </w:r>
      <w:proofErr w:type="spellEnd"/>
      <w:r w:rsidRPr="007A34EC">
        <w:rPr>
          <w:rFonts w:asciiTheme="minorHAnsi" w:hAnsiTheme="minorHAnsi" w:cstheme="minorHAnsi"/>
          <w:i/>
          <w:iCs/>
          <w:sz w:val="22"/>
          <w:szCs w:val="22"/>
        </w:rPr>
        <w:t xml:space="preserve"> </w:t>
      </w:r>
      <w:proofErr w:type="spellStart"/>
      <w:r w:rsidRPr="007A34EC">
        <w:rPr>
          <w:rFonts w:asciiTheme="minorHAnsi" w:hAnsiTheme="minorHAnsi" w:cstheme="minorHAnsi"/>
          <w:i/>
          <w:iCs/>
          <w:sz w:val="22"/>
          <w:szCs w:val="22"/>
        </w:rPr>
        <w:t>Gymru</w:t>
      </w:r>
      <w:proofErr w:type="spellEnd"/>
      <w:r w:rsidRPr="007A34EC">
        <w:rPr>
          <w:rFonts w:asciiTheme="minorHAnsi" w:hAnsiTheme="minorHAnsi" w:cstheme="minorHAnsi"/>
          <w:sz w:val="22"/>
          <w:szCs w:val="22"/>
        </w:rPr>
        <w:t xml:space="preserve">, </w:t>
      </w:r>
      <w:r w:rsidRPr="007A34EC">
        <w:rPr>
          <w:rFonts w:asciiTheme="minorHAnsi" w:hAnsiTheme="minorHAnsi" w:cstheme="minorHAnsi"/>
          <w:i/>
          <w:iCs/>
          <w:sz w:val="22"/>
          <w:szCs w:val="22"/>
        </w:rPr>
        <w:t>Hwb</w:t>
      </w:r>
      <w:r w:rsidRPr="007A34EC">
        <w:rPr>
          <w:rFonts w:asciiTheme="minorHAnsi" w:hAnsiTheme="minorHAnsi" w:cstheme="minorHAnsi"/>
          <w:sz w:val="22"/>
          <w:szCs w:val="22"/>
        </w:rPr>
        <w:t xml:space="preserve">. Available at: https://hwb.gov.wales/cwricwlwm-i-gymru (Accessed: 27 October 2023). </w:t>
      </w:r>
    </w:p>
    <w:p w14:paraId="10CDC347" w14:textId="77777777" w:rsidR="007A34EC" w:rsidRPr="007A34EC" w:rsidRDefault="007A34EC" w:rsidP="0020144B">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Manny-Ikan, E. and Dagan, O. (2011) ‘Using the Interactive White Board in Teaching </w:t>
      </w:r>
      <w:proofErr w:type="gramStart"/>
      <w:r w:rsidRPr="007A34EC">
        <w:rPr>
          <w:rFonts w:asciiTheme="minorHAnsi" w:hAnsiTheme="minorHAnsi" w:cstheme="minorHAnsi"/>
          <w:sz w:val="22"/>
          <w:szCs w:val="22"/>
        </w:rPr>
        <w:t>and  Learning</w:t>
      </w:r>
      <w:proofErr w:type="gramEnd"/>
      <w:r w:rsidRPr="007A34EC">
        <w:rPr>
          <w:rFonts w:asciiTheme="minorHAnsi" w:hAnsiTheme="minorHAnsi" w:cstheme="minorHAnsi"/>
          <w:sz w:val="22"/>
          <w:szCs w:val="22"/>
        </w:rPr>
        <w:t xml:space="preserve"> – An Evaluation of the SMART CLASSROOM  Pilot Project’, </w:t>
      </w:r>
      <w:r w:rsidRPr="007A34EC">
        <w:rPr>
          <w:rFonts w:asciiTheme="minorHAnsi" w:hAnsiTheme="minorHAnsi" w:cstheme="minorHAnsi"/>
          <w:i/>
          <w:iCs/>
          <w:sz w:val="22"/>
          <w:szCs w:val="22"/>
        </w:rPr>
        <w:t>Interdisciplinary Journal of E-Learning and Learning Objects</w:t>
      </w:r>
      <w:r w:rsidRPr="007A34EC">
        <w:rPr>
          <w:rFonts w:asciiTheme="minorHAnsi" w:hAnsiTheme="minorHAnsi" w:cstheme="minorHAnsi"/>
          <w:sz w:val="22"/>
          <w:szCs w:val="22"/>
        </w:rPr>
        <w:t xml:space="preserve">, 7, pp. 249–273. </w:t>
      </w:r>
    </w:p>
    <w:p w14:paraId="40C943EC" w14:textId="77777777" w:rsidR="007A34EC" w:rsidRPr="007A34EC" w:rsidRDefault="007A34EC" w:rsidP="00AF106F">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Markkanen, P. </w:t>
      </w:r>
      <w:r w:rsidRPr="007A34EC">
        <w:rPr>
          <w:rFonts w:asciiTheme="minorHAnsi" w:hAnsiTheme="minorHAnsi" w:cstheme="minorHAnsi"/>
          <w:i/>
          <w:iCs/>
          <w:sz w:val="22"/>
          <w:szCs w:val="22"/>
        </w:rPr>
        <w:t>et al.</w:t>
      </w:r>
      <w:r w:rsidRPr="007A34EC">
        <w:rPr>
          <w:rFonts w:asciiTheme="minorHAnsi" w:hAnsiTheme="minorHAnsi" w:cstheme="minorHAnsi"/>
          <w:sz w:val="22"/>
          <w:szCs w:val="22"/>
        </w:rPr>
        <w:t xml:space="preserve"> (2020) ‘A reflective cycle: Understanding challenging situations in a school setting’, </w:t>
      </w:r>
      <w:r w:rsidRPr="007A34EC">
        <w:rPr>
          <w:rFonts w:asciiTheme="minorHAnsi" w:hAnsiTheme="minorHAnsi" w:cstheme="minorHAnsi"/>
          <w:i/>
          <w:iCs/>
          <w:sz w:val="22"/>
          <w:szCs w:val="22"/>
        </w:rPr>
        <w:t>EDUCATIONAL RESEARCH</w:t>
      </w:r>
      <w:r w:rsidRPr="007A34EC">
        <w:rPr>
          <w:rFonts w:asciiTheme="minorHAnsi" w:hAnsiTheme="minorHAnsi" w:cstheme="minorHAnsi"/>
          <w:sz w:val="22"/>
          <w:szCs w:val="22"/>
        </w:rPr>
        <w:t xml:space="preserve">, 62, pp. 46–62. </w:t>
      </w:r>
    </w:p>
    <w:p w14:paraId="043F995E" w14:textId="77777777" w:rsidR="007A34EC" w:rsidRPr="007A34EC" w:rsidRDefault="007A34EC" w:rsidP="002D4EA2">
      <w:pPr>
        <w:pStyle w:val="NormalWeb"/>
        <w:ind w:left="567" w:hanging="567"/>
        <w:rPr>
          <w:rFonts w:asciiTheme="minorHAnsi" w:hAnsiTheme="minorHAnsi" w:cstheme="minorHAnsi"/>
          <w:color w:val="000000" w:themeColor="text1"/>
          <w:sz w:val="22"/>
          <w:szCs w:val="22"/>
        </w:rPr>
      </w:pPr>
      <w:r w:rsidRPr="007A34EC">
        <w:rPr>
          <w:rFonts w:asciiTheme="minorHAnsi" w:hAnsiTheme="minorHAnsi" w:cstheme="minorHAnsi"/>
          <w:color w:val="000000" w:themeColor="text1"/>
          <w:sz w:val="22"/>
          <w:szCs w:val="22"/>
        </w:rPr>
        <w:t>McNamara, S., and Moreton, G., (1997) ‘Understanding Differentiation: A Teachers Guide’. London: David Fulton</w:t>
      </w:r>
    </w:p>
    <w:p w14:paraId="16EB5C74" w14:textId="77777777" w:rsidR="007A34EC" w:rsidRPr="007A34EC" w:rsidRDefault="007A34EC" w:rsidP="00263645">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Mjelve, L.H. </w:t>
      </w:r>
      <w:r w:rsidRPr="007A34EC">
        <w:rPr>
          <w:rFonts w:asciiTheme="minorHAnsi" w:hAnsiTheme="minorHAnsi" w:cstheme="minorHAnsi"/>
          <w:i/>
          <w:iCs/>
          <w:sz w:val="22"/>
          <w:szCs w:val="22"/>
        </w:rPr>
        <w:t>et al.</w:t>
      </w:r>
      <w:r w:rsidRPr="007A34EC">
        <w:rPr>
          <w:rFonts w:asciiTheme="minorHAnsi" w:hAnsiTheme="minorHAnsi" w:cstheme="minorHAnsi"/>
          <w:sz w:val="22"/>
          <w:szCs w:val="22"/>
        </w:rPr>
        <w:t xml:space="preserve"> (2019) ‘Teachers’ understandings of shyness: Psychosocial differentiation for student inclusion’, </w:t>
      </w:r>
      <w:r w:rsidRPr="007A34EC">
        <w:rPr>
          <w:rFonts w:asciiTheme="minorHAnsi" w:hAnsiTheme="minorHAnsi" w:cstheme="minorHAnsi"/>
          <w:i/>
          <w:iCs/>
          <w:sz w:val="22"/>
          <w:szCs w:val="22"/>
        </w:rPr>
        <w:t>British Educational Research Journal</w:t>
      </w:r>
      <w:r w:rsidRPr="007A34EC">
        <w:rPr>
          <w:rFonts w:asciiTheme="minorHAnsi" w:hAnsiTheme="minorHAnsi" w:cstheme="minorHAnsi"/>
          <w:sz w:val="22"/>
          <w:szCs w:val="22"/>
        </w:rPr>
        <w:t xml:space="preserve">, 45, pp. 1295–1311. </w:t>
      </w:r>
    </w:p>
    <w:p w14:paraId="5E46958C" w14:textId="77777777" w:rsidR="007A34EC" w:rsidRPr="007A34EC" w:rsidRDefault="007A34EC" w:rsidP="00322A1B">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Mulryan-Kyne, C. (2020) ‘Supporting reflection and reflective practice in an initial teacher education programme: an exploratory study’, </w:t>
      </w:r>
      <w:r w:rsidRPr="007A34EC">
        <w:rPr>
          <w:rFonts w:asciiTheme="minorHAnsi" w:hAnsiTheme="minorHAnsi" w:cstheme="minorHAnsi"/>
          <w:i/>
          <w:iCs/>
          <w:sz w:val="22"/>
          <w:szCs w:val="22"/>
        </w:rPr>
        <w:t>European Journal of Teacher Education</w:t>
      </w:r>
      <w:r w:rsidRPr="007A34EC">
        <w:rPr>
          <w:rFonts w:asciiTheme="minorHAnsi" w:hAnsiTheme="minorHAnsi" w:cstheme="minorHAnsi"/>
          <w:sz w:val="22"/>
          <w:szCs w:val="22"/>
        </w:rPr>
        <w:t xml:space="preserve">, 44, pp. 502–519. </w:t>
      </w:r>
    </w:p>
    <w:p w14:paraId="54E3F9AB" w14:textId="77777777" w:rsidR="007A34EC" w:rsidRPr="007A34EC" w:rsidRDefault="007A34EC" w:rsidP="00135B8D">
      <w:pPr>
        <w:rPr>
          <w:rFonts w:eastAsiaTheme="majorEastAsia" w:cstheme="minorHAnsi"/>
          <w:color w:val="000000" w:themeColor="text1"/>
          <w:lang w:val="en-GB"/>
        </w:rPr>
      </w:pPr>
      <w:r w:rsidRPr="007A34EC">
        <w:rPr>
          <w:rFonts w:cstheme="minorHAnsi"/>
          <w:color w:val="000000" w:themeColor="text1"/>
          <w:shd w:val="clear" w:color="auto" w:fill="FFFFFF"/>
        </w:rPr>
        <w:t xml:space="preserve">Munro, J., 2012. Session G-Effective strategies for implementing differentiated instruction [online] Available at: </w:t>
      </w:r>
      <w:hyperlink r:id="rId12" w:history="1">
        <w:r w:rsidRPr="007A34EC">
          <w:rPr>
            <w:rStyle w:val="Hyperlink"/>
            <w:rFonts w:cstheme="minorHAnsi"/>
          </w:rPr>
          <w:t>Effective strategies for implementing differentiated instruction (acer.edu.au)</w:t>
        </w:r>
      </w:hyperlink>
      <w:r w:rsidRPr="007A34EC">
        <w:rPr>
          <w:rFonts w:cstheme="minorHAnsi"/>
          <w:color w:val="0000FF"/>
        </w:rPr>
        <w:t xml:space="preserve"> </w:t>
      </w:r>
      <w:r w:rsidRPr="007A34EC">
        <w:rPr>
          <w:rFonts w:cstheme="minorHAnsi"/>
          <w:color w:val="000000" w:themeColor="text1"/>
        </w:rPr>
        <w:t>(Accessed; 24 October 2023)</w:t>
      </w:r>
    </w:p>
    <w:p w14:paraId="48EDFED8" w14:textId="77777777" w:rsidR="007A34EC" w:rsidRPr="007A34EC" w:rsidRDefault="007A34EC" w:rsidP="00AA4F8E">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Muscat, M. and Mollicone, P. (2012) ‘Using Kolb’s learning cycle to </w:t>
      </w:r>
      <w:proofErr w:type="gramStart"/>
      <w:r w:rsidRPr="007A34EC">
        <w:rPr>
          <w:rFonts w:asciiTheme="minorHAnsi" w:hAnsiTheme="minorHAnsi" w:cstheme="minorHAnsi"/>
          <w:sz w:val="22"/>
          <w:szCs w:val="22"/>
        </w:rPr>
        <w:t>enhance  the</w:t>
      </w:r>
      <w:proofErr w:type="gramEnd"/>
      <w:r w:rsidRPr="007A34EC">
        <w:rPr>
          <w:rFonts w:asciiTheme="minorHAnsi" w:hAnsiTheme="minorHAnsi" w:cstheme="minorHAnsi"/>
          <w:sz w:val="22"/>
          <w:szCs w:val="22"/>
        </w:rPr>
        <w:t xml:space="preserve"> teaching and learning of mechanics  of materials’, </w:t>
      </w:r>
      <w:r w:rsidRPr="007A34EC">
        <w:rPr>
          <w:rFonts w:asciiTheme="minorHAnsi" w:hAnsiTheme="minorHAnsi" w:cstheme="minorHAnsi"/>
          <w:i/>
          <w:iCs/>
          <w:sz w:val="22"/>
          <w:szCs w:val="22"/>
        </w:rPr>
        <w:t>International Journal of Mechanical Engineering Education</w:t>
      </w:r>
      <w:r w:rsidRPr="007A34EC">
        <w:rPr>
          <w:rFonts w:asciiTheme="minorHAnsi" w:hAnsiTheme="minorHAnsi" w:cstheme="minorHAnsi"/>
          <w:sz w:val="22"/>
          <w:szCs w:val="22"/>
        </w:rPr>
        <w:t xml:space="preserve">, 40, pp. 66–78. </w:t>
      </w:r>
    </w:p>
    <w:p w14:paraId="63D69683" w14:textId="6F80D146" w:rsidR="00021473" w:rsidRPr="007A34EC" w:rsidRDefault="007A34EC" w:rsidP="00855C1A">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Nett, U.E., Goetz, </w:t>
      </w:r>
      <w:proofErr w:type="gramStart"/>
      <w:r w:rsidRPr="007A34EC">
        <w:rPr>
          <w:rFonts w:asciiTheme="minorHAnsi" w:hAnsiTheme="minorHAnsi" w:cstheme="minorHAnsi"/>
          <w:sz w:val="22"/>
          <w:szCs w:val="22"/>
        </w:rPr>
        <w:t>T.</w:t>
      </w:r>
      <w:proofErr w:type="gramEnd"/>
      <w:r w:rsidRPr="007A34EC">
        <w:rPr>
          <w:rFonts w:asciiTheme="minorHAnsi" w:hAnsiTheme="minorHAnsi" w:cstheme="minorHAnsi"/>
          <w:sz w:val="22"/>
          <w:szCs w:val="22"/>
        </w:rPr>
        <w:t xml:space="preserve"> and Daniels, L.M. (2010) ‘What to do when feeling bored? Students’ strategies for coping with boredom’, </w:t>
      </w:r>
      <w:r w:rsidRPr="007A34EC">
        <w:rPr>
          <w:rFonts w:asciiTheme="minorHAnsi" w:hAnsiTheme="minorHAnsi" w:cstheme="minorHAnsi"/>
          <w:i/>
          <w:iCs/>
          <w:sz w:val="22"/>
          <w:szCs w:val="22"/>
        </w:rPr>
        <w:t>Learning and Individual Differences</w:t>
      </w:r>
      <w:r w:rsidRPr="007A34EC">
        <w:rPr>
          <w:rFonts w:asciiTheme="minorHAnsi" w:hAnsiTheme="minorHAnsi" w:cstheme="minorHAnsi"/>
          <w:sz w:val="22"/>
          <w:szCs w:val="22"/>
        </w:rPr>
        <w:t xml:space="preserve">, 20, pp. 626–638. </w:t>
      </w:r>
    </w:p>
    <w:p w14:paraId="2BEA7AD8" w14:textId="77777777" w:rsidR="007A34EC" w:rsidRPr="007A34EC" w:rsidRDefault="007A34EC" w:rsidP="0069252A">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Piggott, A. (2002) ‘Putting differentiation into practice in secondary science lessons’, </w:t>
      </w:r>
      <w:r w:rsidRPr="007A34EC">
        <w:rPr>
          <w:rFonts w:asciiTheme="minorHAnsi" w:hAnsiTheme="minorHAnsi" w:cstheme="minorHAnsi"/>
          <w:i/>
          <w:iCs/>
          <w:sz w:val="22"/>
          <w:szCs w:val="22"/>
        </w:rPr>
        <w:t>School Science Review</w:t>
      </w:r>
      <w:r w:rsidRPr="007A34EC">
        <w:rPr>
          <w:rFonts w:asciiTheme="minorHAnsi" w:hAnsiTheme="minorHAnsi" w:cstheme="minorHAnsi"/>
          <w:sz w:val="22"/>
          <w:szCs w:val="22"/>
        </w:rPr>
        <w:t xml:space="preserve">, 83, pp. 65–72. </w:t>
      </w:r>
    </w:p>
    <w:p w14:paraId="5D778177" w14:textId="77777777" w:rsidR="007A34EC" w:rsidRPr="007A34EC" w:rsidRDefault="007A34EC" w:rsidP="0085701D">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Rodgers, C. (2002) ‘Defining Reflection: Another Look at John Dewey and Reflective Thinking’, </w:t>
      </w:r>
      <w:r w:rsidRPr="007A34EC">
        <w:rPr>
          <w:rFonts w:asciiTheme="minorHAnsi" w:hAnsiTheme="minorHAnsi" w:cstheme="minorHAnsi"/>
          <w:i/>
          <w:iCs/>
          <w:sz w:val="22"/>
          <w:szCs w:val="22"/>
        </w:rPr>
        <w:t>Teachers College Record</w:t>
      </w:r>
      <w:r w:rsidRPr="007A34EC">
        <w:rPr>
          <w:rFonts w:asciiTheme="minorHAnsi" w:hAnsiTheme="minorHAnsi" w:cstheme="minorHAnsi"/>
          <w:sz w:val="22"/>
          <w:szCs w:val="22"/>
        </w:rPr>
        <w:t xml:space="preserve">, 104, pp. 842–866. </w:t>
      </w:r>
    </w:p>
    <w:p w14:paraId="4CAE99A2" w14:textId="77777777" w:rsidR="007A34EC" w:rsidRPr="007A34EC" w:rsidRDefault="007A34EC" w:rsidP="00473577">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lastRenderedPageBreak/>
        <w:t xml:space="preserve">Smale-Jacobse, A. </w:t>
      </w:r>
      <w:r w:rsidRPr="007A34EC">
        <w:rPr>
          <w:rFonts w:asciiTheme="minorHAnsi" w:hAnsiTheme="minorHAnsi" w:cstheme="minorHAnsi"/>
          <w:i/>
          <w:iCs/>
          <w:sz w:val="22"/>
          <w:szCs w:val="22"/>
        </w:rPr>
        <w:t>et al.</w:t>
      </w:r>
      <w:r w:rsidRPr="007A34EC">
        <w:rPr>
          <w:rFonts w:asciiTheme="minorHAnsi" w:hAnsiTheme="minorHAnsi" w:cstheme="minorHAnsi"/>
          <w:sz w:val="22"/>
          <w:szCs w:val="22"/>
        </w:rPr>
        <w:t xml:space="preserve"> (2019) ‘Differentiated Instruction in Secondary Education: A Systematic Review of Research Evidence’</w:t>
      </w:r>
      <w:proofErr w:type="gramStart"/>
      <w:r w:rsidRPr="007A34EC">
        <w:rPr>
          <w:rFonts w:asciiTheme="minorHAnsi" w:hAnsiTheme="minorHAnsi" w:cstheme="minorHAnsi"/>
          <w:sz w:val="22"/>
          <w:szCs w:val="22"/>
        </w:rPr>
        <w:t>, :</w:t>
      </w:r>
      <w:proofErr w:type="gramEnd"/>
      <w:r w:rsidRPr="007A34EC">
        <w:rPr>
          <w:rFonts w:asciiTheme="minorHAnsi" w:hAnsiTheme="minorHAnsi" w:cstheme="minorHAnsi"/>
          <w:sz w:val="22"/>
          <w:szCs w:val="22"/>
        </w:rPr>
        <w:t xml:space="preserve"> </w:t>
      </w:r>
      <w:r w:rsidRPr="007A34EC">
        <w:rPr>
          <w:rFonts w:asciiTheme="minorHAnsi" w:hAnsiTheme="minorHAnsi" w:cstheme="minorHAnsi"/>
          <w:i/>
          <w:iCs/>
          <w:sz w:val="22"/>
          <w:szCs w:val="22"/>
        </w:rPr>
        <w:t>A Systematic Review of Research Evidence. Front. Psychol.</w:t>
      </w:r>
      <w:r w:rsidRPr="007A34EC">
        <w:rPr>
          <w:rFonts w:asciiTheme="minorHAnsi" w:hAnsiTheme="minorHAnsi" w:cstheme="minorHAnsi"/>
          <w:sz w:val="22"/>
          <w:szCs w:val="22"/>
        </w:rPr>
        <w:t xml:space="preserve">, 10, pp. 1–23. </w:t>
      </w:r>
    </w:p>
    <w:p w14:paraId="6148A8CD" w14:textId="77777777" w:rsidR="007A34EC" w:rsidRPr="007A34EC" w:rsidRDefault="007A34EC" w:rsidP="00135B8D">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Taylor, S. (2017) ‘Contested Knowledge: A Critical Review of the Concept </w:t>
      </w:r>
      <w:proofErr w:type="gramStart"/>
      <w:r w:rsidRPr="007A34EC">
        <w:rPr>
          <w:rFonts w:asciiTheme="minorHAnsi" w:hAnsiTheme="minorHAnsi" w:cstheme="minorHAnsi"/>
          <w:sz w:val="22"/>
          <w:szCs w:val="22"/>
        </w:rPr>
        <w:t>of  Differentiation</w:t>
      </w:r>
      <w:proofErr w:type="gramEnd"/>
      <w:r w:rsidRPr="007A34EC">
        <w:rPr>
          <w:rFonts w:asciiTheme="minorHAnsi" w:hAnsiTheme="minorHAnsi" w:cstheme="minorHAnsi"/>
          <w:sz w:val="22"/>
          <w:szCs w:val="22"/>
        </w:rPr>
        <w:t xml:space="preserve"> in Teaching and Learning’, </w:t>
      </w:r>
      <w:r w:rsidRPr="007A34EC">
        <w:rPr>
          <w:rFonts w:asciiTheme="minorHAnsi" w:hAnsiTheme="minorHAnsi" w:cstheme="minorHAnsi"/>
          <w:i/>
          <w:iCs/>
          <w:sz w:val="22"/>
          <w:szCs w:val="22"/>
        </w:rPr>
        <w:t>Warwick Journal of Education: Transforming Teaching</w:t>
      </w:r>
      <w:r w:rsidRPr="007A34EC">
        <w:rPr>
          <w:rFonts w:asciiTheme="minorHAnsi" w:hAnsiTheme="minorHAnsi" w:cstheme="minorHAnsi"/>
          <w:sz w:val="22"/>
          <w:szCs w:val="22"/>
        </w:rPr>
        <w:t xml:space="preserve">, 1, pp. 55–68. </w:t>
      </w:r>
    </w:p>
    <w:p w14:paraId="3B80AF38" w14:textId="77777777" w:rsidR="007A34EC" w:rsidRPr="007A34EC" w:rsidRDefault="007A34EC" w:rsidP="00135B8D">
      <w:pPr>
        <w:rPr>
          <w:rFonts w:cstheme="minorHAnsi"/>
          <w:color w:val="000000" w:themeColor="text1"/>
        </w:rPr>
      </w:pPr>
      <w:r w:rsidRPr="007A34EC">
        <w:rPr>
          <w:rFonts w:cstheme="minorHAnsi"/>
          <w:color w:val="000000" w:themeColor="text1"/>
        </w:rPr>
        <w:t xml:space="preserve">Terwel, J., (2005) Curriculum differentiation: multiple perspectives and developments in education. </w:t>
      </w:r>
      <w:r w:rsidRPr="007A34EC">
        <w:rPr>
          <w:rFonts w:cstheme="minorHAnsi"/>
          <w:i/>
          <w:iCs/>
          <w:color w:val="000000" w:themeColor="text1"/>
        </w:rPr>
        <w:t>Journal of Curriculum Studies</w:t>
      </w:r>
      <w:r w:rsidRPr="007A34EC">
        <w:rPr>
          <w:rFonts w:cstheme="minorHAnsi"/>
          <w:color w:val="000000" w:themeColor="text1"/>
        </w:rPr>
        <w:t>, 37 (6), pp. 653-670</w:t>
      </w:r>
    </w:p>
    <w:p w14:paraId="52CEBCA7" w14:textId="77777777" w:rsidR="007A34EC" w:rsidRPr="007A34EC" w:rsidRDefault="007A34EC" w:rsidP="00E9258C">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Toka, K.R. and Gioti, L. (2023) ‘Transformation and Critical Reflection: Comparing </w:t>
      </w:r>
      <w:proofErr w:type="gramStart"/>
      <w:r w:rsidRPr="007A34EC">
        <w:rPr>
          <w:rFonts w:asciiTheme="minorHAnsi" w:hAnsiTheme="minorHAnsi" w:cstheme="minorHAnsi"/>
          <w:sz w:val="22"/>
          <w:szCs w:val="22"/>
        </w:rPr>
        <w:t>Brookfield  with</w:t>
      </w:r>
      <w:proofErr w:type="gramEnd"/>
      <w:r w:rsidRPr="007A34EC">
        <w:rPr>
          <w:rFonts w:asciiTheme="minorHAnsi" w:hAnsiTheme="minorHAnsi" w:cstheme="minorHAnsi"/>
          <w:sz w:val="22"/>
          <w:szCs w:val="22"/>
        </w:rPr>
        <w:t xml:space="preserve"> Mezirow’, </w:t>
      </w:r>
      <w:r w:rsidRPr="007A34EC">
        <w:rPr>
          <w:rFonts w:asciiTheme="minorHAnsi" w:hAnsiTheme="minorHAnsi" w:cstheme="minorHAnsi"/>
          <w:i/>
          <w:iCs/>
          <w:sz w:val="22"/>
          <w:szCs w:val="22"/>
        </w:rPr>
        <w:t>Conference: X International Conference on Critical Education Proceedings: Education for Social Emancipation</w:t>
      </w:r>
      <w:r w:rsidRPr="007A34EC">
        <w:rPr>
          <w:rFonts w:asciiTheme="minorHAnsi" w:hAnsiTheme="minorHAnsi" w:cstheme="minorHAnsi"/>
          <w:sz w:val="22"/>
          <w:szCs w:val="22"/>
        </w:rPr>
        <w:t xml:space="preserve">, pp. 613–623. </w:t>
      </w:r>
    </w:p>
    <w:p w14:paraId="60282D2E" w14:textId="77777777" w:rsidR="007A34EC" w:rsidRPr="007A34EC" w:rsidRDefault="007A34EC" w:rsidP="00135B8D">
      <w:pPr>
        <w:rPr>
          <w:rFonts w:eastAsiaTheme="majorEastAsia" w:cstheme="minorHAnsi"/>
          <w:color w:val="000000" w:themeColor="text1"/>
          <w:lang w:val="en-GB"/>
        </w:rPr>
      </w:pPr>
      <w:r w:rsidRPr="007A34EC">
        <w:rPr>
          <w:rFonts w:cstheme="minorHAnsi"/>
          <w:color w:val="000000" w:themeColor="text1"/>
        </w:rPr>
        <w:t xml:space="preserve">Tomlinson C. A., (2008) ‘The Goals of Differentiation Differentiated instruction helps students not only master content, but also form their own identities as learners’ </w:t>
      </w:r>
      <w:r w:rsidRPr="007A34EC">
        <w:rPr>
          <w:rFonts w:cstheme="minorHAnsi"/>
          <w:i/>
          <w:iCs/>
          <w:color w:val="000000" w:themeColor="text1"/>
        </w:rPr>
        <w:t>Educational Leadership</w:t>
      </w:r>
      <w:r w:rsidRPr="007A34EC">
        <w:rPr>
          <w:rFonts w:cstheme="minorHAnsi"/>
          <w:color w:val="000000" w:themeColor="text1"/>
        </w:rPr>
        <w:t xml:space="preserve"> 66 (3), pp. 1-6</w:t>
      </w:r>
    </w:p>
    <w:p w14:paraId="005A27BD" w14:textId="77777777" w:rsidR="007A34EC" w:rsidRDefault="007A34EC" w:rsidP="00BE005B">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Tripp, D. (2012) </w:t>
      </w:r>
      <w:r w:rsidRPr="007A34EC">
        <w:rPr>
          <w:rFonts w:asciiTheme="minorHAnsi" w:hAnsiTheme="minorHAnsi" w:cstheme="minorHAnsi"/>
          <w:i/>
          <w:iCs/>
          <w:sz w:val="22"/>
          <w:szCs w:val="22"/>
        </w:rPr>
        <w:t xml:space="preserve">Critical Incidents in Teaching: Developing professional </w:t>
      </w:r>
      <w:proofErr w:type="gramStart"/>
      <w:r w:rsidRPr="007A34EC">
        <w:rPr>
          <w:rFonts w:asciiTheme="minorHAnsi" w:hAnsiTheme="minorHAnsi" w:cstheme="minorHAnsi"/>
          <w:i/>
          <w:iCs/>
          <w:sz w:val="22"/>
          <w:szCs w:val="22"/>
        </w:rPr>
        <w:t xml:space="preserve">judgement </w:t>
      </w:r>
      <w:r w:rsidRPr="007A34EC">
        <w:rPr>
          <w:rFonts w:asciiTheme="minorHAnsi" w:hAnsiTheme="minorHAnsi" w:cstheme="minorHAnsi"/>
          <w:sz w:val="22"/>
          <w:szCs w:val="22"/>
        </w:rPr>
        <w:t>.</w:t>
      </w:r>
      <w:proofErr w:type="gramEnd"/>
      <w:r w:rsidRPr="007A34EC">
        <w:rPr>
          <w:rFonts w:asciiTheme="minorHAnsi" w:hAnsiTheme="minorHAnsi" w:cstheme="minorHAnsi"/>
          <w:sz w:val="22"/>
          <w:szCs w:val="22"/>
        </w:rPr>
        <w:t xml:space="preserve"> Classic Edition. London and New </w:t>
      </w:r>
      <w:proofErr w:type="gramStart"/>
      <w:r w:rsidRPr="007A34EC">
        <w:rPr>
          <w:rFonts w:asciiTheme="minorHAnsi" w:hAnsiTheme="minorHAnsi" w:cstheme="minorHAnsi"/>
          <w:sz w:val="22"/>
          <w:szCs w:val="22"/>
        </w:rPr>
        <w:t>York :</w:t>
      </w:r>
      <w:proofErr w:type="gramEnd"/>
      <w:r w:rsidRPr="007A34EC">
        <w:rPr>
          <w:rFonts w:asciiTheme="minorHAnsi" w:hAnsiTheme="minorHAnsi" w:cstheme="minorHAnsi"/>
          <w:sz w:val="22"/>
          <w:szCs w:val="22"/>
        </w:rPr>
        <w:t xml:space="preserve"> Routledge. </w:t>
      </w:r>
    </w:p>
    <w:p w14:paraId="03833C7E" w14:textId="10D42546" w:rsidR="006F7BDA" w:rsidRPr="006F7BDA" w:rsidRDefault="006F7BDA" w:rsidP="006F7BDA">
      <w:pPr>
        <w:pStyle w:val="NormalWeb"/>
        <w:ind w:left="567" w:hanging="567"/>
        <w:rPr>
          <w:rFonts w:asciiTheme="minorHAnsi" w:hAnsiTheme="minorHAnsi" w:cstheme="minorHAnsi"/>
          <w:sz w:val="22"/>
          <w:szCs w:val="22"/>
        </w:rPr>
      </w:pPr>
      <w:r w:rsidRPr="006F7BDA">
        <w:rPr>
          <w:rFonts w:asciiTheme="minorHAnsi" w:hAnsiTheme="minorHAnsi" w:cstheme="minorHAnsi"/>
          <w:sz w:val="22"/>
          <w:szCs w:val="22"/>
        </w:rPr>
        <w:t xml:space="preserve">Vince, R. (1998) ‘Behind and Beyond Kolb’s Learning Cycle’, </w:t>
      </w:r>
      <w:r w:rsidRPr="006F7BDA">
        <w:rPr>
          <w:rFonts w:asciiTheme="minorHAnsi" w:hAnsiTheme="minorHAnsi" w:cstheme="minorHAnsi"/>
          <w:i/>
          <w:iCs/>
          <w:sz w:val="22"/>
          <w:szCs w:val="22"/>
        </w:rPr>
        <w:t>Journal of Management Education. SAGE Publications.</w:t>
      </w:r>
      <w:r w:rsidRPr="006F7BDA">
        <w:rPr>
          <w:rFonts w:asciiTheme="minorHAnsi" w:hAnsiTheme="minorHAnsi" w:cstheme="minorHAnsi"/>
          <w:sz w:val="22"/>
          <w:szCs w:val="22"/>
        </w:rPr>
        <w:t xml:space="preserve"> 22, pp. 304–319. </w:t>
      </w:r>
    </w:p>
    <w:p w14:paraId="01C1B2B1" w14:textId="54F64798" w:rsidR="00E75C93" w:rsidRPr="00E75C93" w:rsidRDefault="00E75C93" w:rsidP="00E75C93">
      <w:r>
        <w:t xml:space="preserve">Westwood, P (2001) Differentiation’ as a strategy for inclusive classroom practice: Some difficulties identified. </w:t>
      </w:r>
      <w:r w:rsidRPr="00D60539">
        <w:rPr>
          <w:i/>
          <w:iCs/>
        </w:rPr>
        <w:t>Australian Journal of Learning Difficulties</w:t>
      </w:r>
      <w:r>
        <w:t>, 6:1, 5-11</w:t>
      </w:r>
    </w:p>
    <w:p w14:paraId="1DB331F6" w14:textId="77777777" w:rsidR="007A34EC" w:rsidRPr="007A34EC" w:rsidRDefault="007A34EC" w:rsidP="008E45BF">
      <w:pPr>
        <w:rPr>
          <w:rFonts w:cstheme="minorHAnsi"/>
        </w:rPr>
      </w:pPr>
      <w:r w:rsidRPr="007A34EC">
        <w:rPr>
          <w:rFonts w:cstheme="minorHAnsi"/>
        </w:rPr>
        <w:t xml:space="preserve">Wiliam, D (2018) Dylan Wiliam talks… inclusive differentiation. YouTube video. Available at </w:t>
      </w:r>
      <w:hyperlink r:id="rId13" w:history="1">
        <w:r w:rsidRPr="007A34EC">
          <w:rPr>
            <w:rStyle w:val="Hyperlink"/>
            <w:rFonts w:cstheme="minorHAnsi"/>
          </w:rPr>
          <w:t>Dylan Wiliam talks... inclusive differentiation - YouTube</w:t>
        </w:r>
      </w:hyperlink>
      <w:r w:rsidRPr="007A34EC">
        <w:rPr>
          <w:rFonts w:cstheme="minorHAnsi"/>
        </w:rPr>
        <w:t xml:space="preserve"> (Accessed: 31 October 2023).</w:t>
      </w:r>
    </w:p>
    <w:p w14:paraId="7E907BF6" w14:textId="77777777" w:rsidR="007A34EC" w:rsidRPr="007A34EC" w:rsidRDefault="007A34EC" w:rsidP="005525C4">
      <w:pPr>
        <w:pStyle w:val="NormalWeb"/>
        <w:ind w:left="567" w:hanging="567"/>
        <w:rPr>
          <w:rFonts w:asciiTheme="minorHAnsi" w:hAnsiTheme="minorHAnsi" w:cstheme="minorHAnsi"/>
          <w:sz w:val="22"/>
          <w:szCs w:val="22"/>
        </w:rPr>
      </w:pPr>
      <w:r w:rsidRPr="007A34EC">
        <w:rPr>
          <w:rFonts w:asciiTheme="minorHAnsi" w:hAnsiTheme="minorHAnsi" w:cstheme="minorHAnsi"/>
          <w:sz w:val="22"/>
          <w:szCs w:val="22"/>
        </w:rPr>
        <w:t xml:space="preserve">Yau-Fai Ho, D., Fu, </w:t>
      </w:r>
      <w:proofErr w:type="gramStart"/>
      <w:r w:rsidRPr="007A34EC">
        <w:rPr>
          <w:rFonts w:asciiTheme="minorHAnsi" w:hAnsiTheme="minorHAnsi" w:cstheme="minorHAnsi"/>
          <w:sz w:val="22"/>
          <w:szCs w:val="22"/>
        </w:rPr>
        <w:t>W.</w:t>
      </w:r>
      <w:proofErr w:type="gramEnd"/>
      <w:r w:rsidRPr="007A34EC">
        <w:rPr>
          <w:rFonts w:asciiTheme="minorHAnsi" w:hAnsiTheme="minorHAnsi" w:cstheme="minorHAnsi"/>
          <w:sz w:val="22"/>
          <w:szCs w:val="22"/>
        </w:rPr>
        <w:t xml:space="preserve"> and Ng, S.M. (2004) ‘Guilt, Shame and Embarrassment: Revelations of Face and Self’, </w:t>
      </w:r>
      <w:r w:rsidRPr="007A34EC">
        <w:rPr>
          <w:rFonts w:asciiTheme="minorHAnsi" w:hAnsiTheme="minorHAnsi" w:cstheme="minorHAnsi"/>
          <w:i/>
          <w:iCs/>
          <w:sz w:val="22"/>
          <w:szCs w:val="22"/>
        </w:rPr>
        <w:t>Culture &amp; Psychology</w:t>
      </w:r>
      <w:r w:rsidRPr="007A34EC">
        <w:rPr>
          <w:rFonts w:asciiTheme="minorHAnsi" w:hAnsiTheme="minorHAnsi" w:cstheme="minorHAnsi"/>
          <w:sz w:val="22"/>
          <w:szCs w:val="22"/>
        </w:rPr>
        <w:t xml:space="preserve">, 10, pp. 64–68. </w:t>
      </w:r>
    </w:p>
    <w:p w14:paraId="338040A2" w14:textId="77777777" w:rsidR="00E169F4" w:rsidRPr="007A34EC" w:rsidRDefault="00E169F4" w:rsidP="00A35962">
      <w:pPr>
        <w:rPr>
          <w:rFonts w:cstheme="minorHAnsi"/>
        </w:rPr>
      </w:pPr>
    </w:p>
    <w:p w14:paraId="5667F9BA" w14:textId="77777777" w:rsidR="00E169F4" w:rsidRDefault="00E169F4" w:rsidP="00A35962"/>
    <w:p w14:paraId="65FAA222" w14:textId="77777777" w:rsidR="00E169F4" w:rsidRDefault="00E169F4" w:rsidP="00A35962"/>
    <w:p w14:paraId="17521E29" w14:textId="77777777" w:rsidR="00E169F4" w:rsidRDefault="00E169F4" w:rsidP="00A35962"/>
    <w:p w14:paraId="108BBE34" w14:textId="77777777" w:rsidR="00E169F4" w:rsidRDefault="00E169F4" w:rsidP="00A35962"/>
    <w:p w14:paraId="1D93650D" w14:textId="77777777" w:rsidR="00E169F4" w:rsidRDefault="00E169F4" w:rsidP="00A35962"/>
    <w:p w14:paraId="041EF121" w14:textId="77777777" w:rsidR="00E169F4" w:rsidRDefault="00E169F4" w:rsidP="00A35962"/>
    <w:p w14:paraId="743D79E1" w14:textId="77777777" w:rsidR="00E169F4" w:rsidRDefault="00E169F4" w:rsidP="00A35962"/>
    <w:p w14:paraId="5728F417" w14:textId="77777777" w:rsidR="00E169F4" w:rsidRDefault="00E169F4" w:rsidP="00A35962"/>
    <w:p w14:paraId="05936E0E" w14:textId="77777777" w:rsidR="00E169F4" w:rsidRDefault="00E169F4" w:rsidP="00A35962"/>
    <w:p w14:paraId="3B249AFB" w14:textId="77777777" w:rsidR="00E169F4" w:rsidRDefault="00E169F4" w:rsidP="00A35962"/>
    <w:p w14:paraId="55C9795C" w14:textId="2F5166C9" w:rsidR="00E169F4" w:rsidRDefault="00E169F4" w:rsidP="00A35962">
      <w:bookmarkStart w:id="33" w:name="_Hlk150087434"/>
      <w:r>
        <w:lastRenderedPageBreak/>
        <w:t>Atodiadau:</w:t>
      </w:r>
    </w:p>
    <w:p w14:paraId="6F08B096" w14:textId="77777777" w:rsidR="00E169F4" w:rsidRPr="00817D4B" w:rsidRDefault="00E169F4" w:rsidP="00E169F4">
      <w:pPr>
        <w:jc w:val="both"/>
        <w:rPr>
          <w:b/>
          <w:color w:val="FFFFFF"/>
        </w:rPr>
      </w:pPr>
      <w:r w:rsidRPr="00817D4B">
        <w:rPr>
          <w:b/>
        </w:rPr>
        <w:t xml:space="preserve">ARSYLWI / NODIADAU MAES </w:t>
      </w:r>
    </w:p>
    <w:p w14:paraId="3B6B521E" w14:textId="77777777" w:rsidR="00E169F4" w:rsidRPr="00817D4B" w:rsidRDefault="00E169F4" w:rsidP="00E169F4">
      <w:pPr>
        <w:rPr>
          <w:sz w:val="16"/>
          <w:szCs w:val="16"/>
        </w:rPr>
      </w:pPr>
    </w:p>
    <w:p w14:paraId="1F3A2AD5" w14:textId="77777777" w:rsidR="00E169F4" w:rsidRPr="00817D4B" w:rsidRDefault="00E169F4" w:rsidP="00E169F4">
      <w:pPr>
        <w:rPr>
          <w:b/>
          <w:bCs/>
          <w:color w:val="FFFFFF"/>
        </w:rPr>
      </w:pPr>
      <w:r w:rsidRPr="00817D4B">
        <w:rPr>
          <w:b/>
          <w:bCs/>
        </w:rPr>
        <w:t>Cofnod 1</w:t>
      </w:r>
    </w:p>
    <w:tbl>
      <w:tblPr>
        <w:tblStyle w:val="TableGrid"/>
        <w:tblW w:w="0" w:type="auto"/>
        <w:tblLook w:val="04A0" w:firstRow="1" w:lastRow="0" w:firstColumn="1" w:lastColumn="0" w:noHBand="0" w:noVBand="1"/>
      </w:tblPr>
      <w:tblGrid>
        <w:gridCol w:w="8926"/>
      </w:tblGrid>
      <w:tr w:rsidR="00E169F4" w:rsidRPr="00817D4B" w14:paraId="3CBF91DA" w14:textId="77777777" w:rsidTr="008A5A17">
        <w:trPr>
          <w:trHeight w:val="240"/>
        </w:trPr>
        <w:tc>
          <w:tcPr>
            <w:tcW w:w="8926" w:type="dxa"/>
          </w:tcPr>
          <w:p w14:paraId="1589F05E" w14:textId="77777777" w:rsidR="00E169F4" w:rsidRDefault="00E169F4" w:rsidP="008A5A17">
            <w:pPr>
              <w:rPr>
                <w:rFonts w:asciiTheme="minorHAnsi" w:hAnsiTheme="minorHAnsi"/>
              </w:rPr>
            </w:pPr>
            <w:r w:rsidRPr="00817D4B">
              <w:rPr>
                <w:rFonts w:asciiTheme="minorHAnsi" w:hAnsiTheme="minorHAnsi"/>
              </w:rPr>
              <w:t>Dyddiad ac amser, grŵp blwyddyn:</w:t>
            </w:r>
            <w:r>
              <w:rPr>
                <w:rFonts w:asciiTheme="minorHAnsi" w:hAnsiTheme="minorHAnsi"/>
              </w:rPr>
              <w:t xml:space="preserve"> Dosbarth blwyddyn 8: gwers Mathemateg </w:t>
            </w:r>
          </w:p>
          <w:p w14:paraId="67D70875" w14:textId="77777777" w:rsidR="00E169F4" w:rsidRPr="00A55698" w:rsidRDefault="00E169F4" w:rsidP="008A5A17">
            <w:pPr>
              <w:rPr>
                <w:rFonts w:asciiTheme="minorHAnsi" w:hAnsiTheme="minorHAnsi"/>
              </w:rPr>
            </w:pPr>
            <w:r w:rsidRPr="00A55698">
              <w:rPr>
                <w:rFonts w:asciiTheme="minorHAnsi" w:hAnsiTheme="minorHAnsi"/>
              </w:rPr>
              <w:t xml:space="preserve">Recordiad o </w:t>
            </w:r>
            <w:r>
              <w:rPr>
                <w:rFonts w:asciiTheme="minorHAnsi" w:hAnsiTheme="minorHAnsi"/>
              </w:rPr>
              <w:t xml:space="preserve">wers blaenorol a wedi’i arsylwi mewn ystafell trochi ar </w:t>
            </w:r>
            <w:r>
              <w:rPr>
                <w:rFonts w:cs="Calibri"/>
              </w:rPr>
              <w:t>ô</w:t>
            </w:r>
            <w:r>
              <w:rPr>
                <w:rFonts w:asciiTheme="minorHAnsi" w:hAnsiTheme="minorHAnsi"/>
              </w:rPr>
              <w:t xml:space="preserve">l felly nid oes cofnod o bryd cafodd y wers ei recordio. </w:t>
            </w:r>
          </w:p>
          <w:p w14:paraId="3F6C6731" w14:textId="77777777" w:rsidR="00E169F4" w:rsidRPr="00817D4B" w:rsidRDefault="00E169F4" w:rsidP="008A5A17">
            <w:pPr>
              <w:rPr>
                <w:rFonts w:asciiTheme="minorHAnsi" w:hAnsiTheme="minorHAnsi"/>
              </w:rPr>
            </w:pPr>
          </w:p>
        </w:tc>
      </w:tr>
      <w:tr w:rsidR="00E169F4" w:rsidRPr="00817D4B" w14:paraId="542D5DEE" w14:textId="77777777" w:rsidTr="008A5A17">
        <w:tc>
          <w:tcPr>
            <w:tcW w:w="8926" w:type="dxa"/>
          </w:tcPr>
          <w:p w14:paraId="1C4B23E0" w14:textId="77777777" w:rsidR="00E169F4" w:rsidRPr="00817D4B" w:rsidRDefault="00E169F4" w:rsidP="008A5A17">
            <w:pPr>
              <w:rPr>
                <w:rFonts w:asciiTheme="minorHAnsi" w:hAnsiTheme="minorHAnsi"/>
                <w:color w:val="FFFFFF"/>
              </w:rPr>
            </w:pPr>
            <w:r w:rsidRPr="00817D4B">
              <w:rPr>
                <w:rFonts w:asciiTheme="minorHAnsi" w:hAnsiTheme="minorHAnsi"/>
                <w:b/>
                <w:bCs/>
              </w:rPr>
              <w:t xml:space="preserve">Ble a Phryd: </w:t>
            </w:r>
            <w:r w:rsidRPr="00817D4B">
              <w:rPr>
                <w:rFonts w:asciiTheme="minorHAnsi" w:hAnsiTheme="minorHAnsi"/>
              </w:rPr>
              <w:t xml:space="preserve"> Cyd-destun yr arsylwi – pwnc/MDPh, cyd-destun cyffredinol yr ystafell ddosbarth</w:t>
            </w:r>
          </w:p>
          <w:p w14:paraId="09AC0D63" w14:textId="21289292" w:rsidR="00E169F4" w:rsidRDefault="00E169F4" w:rsidP="008A5A17">
            <w:pPr>
              <w:rPr>
                <w:rFonts w:asciiTheme="minorHAnsi" w:hAnsiTheme="minorHAnsi"/>
              </w:rPr>
            </w:pPr>
            <w:r>
              <w:rPr>
                <w:rFonts w:asciiTheme="minorHAnsi" w:hAnsiTheme="minorHAnsi"/>
              </w:rPr>
              <w:t>Pwnc:</w:t>
            </w:r>
            <w:r w:rsidR="00A24F34">
              <w:rPr>
                <w:rFonts w:asciiTheme="minorHAnsi" w:hAnsiTheme="minorHAnsi"/>
              </w:rPr>
              <w:t xml:space="preserve"> M</w:t>
            </w:r>
            <w:r>
              <w:rPr>
                <w:rFonts w:asciiTheme="minorHAnsi" w:hAnsiTheme="minorHAnsi"/>
              </w:rPr>
              <w:t xml:space="preserve">athemateg </w:t>
            </w:r>
          </w:p>
          <w:p w14:paraId="288A4D9B" w14:textId="77777777" w:rsidR="00E169F4" w:rsidRDefault="00E169F4" w:rsidP="008A5A17">
            <w:pPr>
              <w:rPr>
                <w:rFonts w:asciiTheme="minorHAnsi" w:hAnsiTheme="minorHAnsi"/>
              </w:rPr>
            </w:pPr>
            <w:r>
              <w:rPr>
                <w:rFonts w:asciiTheme="minorHAnsi" w:hAnsiTheme="minorHAnsi"/>
              </w:rPr>
              <w:t xml:space="preserve">MDPh: Mathemateg a Rhifedd </w:t>
            </w:r>
          </w:p>
          <w:p w14:paraId="5CD00774" w14:textId="77777777" w:rsidR="00E169F4" w:rsidRDefault="00E169F4" w:rsidP="008A5A17">
            <w:pPr>
              <w:rPr>
                <w:rFonts w:asciiTheme="minorHAnsi" w:hAnsiTheme="minorHAnsi"/>
              </w:rPr>
            </w:pPr>
            <w:r>
              <w:rPr>
                <w:rFonts w:asciiTheme="minorHAnsi" w:hAnsiTheme="minorHAnsi"/>
              </w:rPr>
              <w:t>Cyd-destun yr ystafell dosbarth: Gwers Mathemateg o fewn ysgol mawr (super school), cyfrwng y Gymraeg.</w:t>
            </w:r>
          </w:p>
          <w:p w14:paraId="33BAC64E" w14:textId="77777777" w:rsidR="00E169F4" w:rsidRDefault="00E169F4" w:rsidP="008A5A17">
            <w:pPr>
              <w:rPr>
                <w:rFonts w:asciiTheme="minorHAnsi" w:hAnsiTheme="minorHAnsi"/>
              </w:rPr>
            </w:pPr>
            <w:r>
              <w:rPr>
                <w:rFonts w:asciiTheme="minorHAnsi" w:hAnsiTheme="minorHAnsi"/>
              </w:rPr>
              <w:t xml:space="preserve">Roedd 17 disgybl, 50% bechgyn a 50% merched. </w:t>
            </w:r>
          </w:p>
          <w:p w14:paraId="1F567E06" w14:textId="77777777" w:rsidR="00E169F4" w:rsidRPr="00817D4B" w:rsidRDefault="00E169F4" w:rsidP="008A5A17">
            <w:pPr>
              <w:rPr>
                <w:rFonts w:asciiTheme="minorHAnsi" w:hAnsiTheme="minorHAnsi"/>
              </w:rPr>
            </w:pPr>
            <w:r>
              <w:rPr>
                <w:rFonts w:asciiTheme="minorHAnsi" w:hAnsiTheme="minorHAnsi"/>
              </w:rPr>
              <w:t xml:space="preserve">Ddim yn gwybod pa set neu os oedd unwhyr disgyblion gydag ADY. </w:t>
            </w:r>
          </w:p>
        </w:tc>
      </w:tr>
      <w:tr w:rsidR="00E169F4" w:rsidRPr="00817D4B" w14:paraId="57359A6B" w14:textId="77777777" w:rsidTr="008A5A17">
        <w:tc>
          <w:tcPr>
            <w:tcW w:w="8926" w:type="dxa"/>
          </w:tcPr>
          <w:p w14:paraId="6B7964AD" w14:textId="77777777" w:rsidR="00E169F4" w:rsidRDefault="00E169F4" w:rsidP="008A5A17">
            <w:pPr>
              <w:rPr>
                <w:rFonts w:asciiTheme="minorHAnsi" w:hAnsiTheme="minorHAnsi"/>
              </w:rPr>
            </w:pPr>
            <w:r w:rsidRPr="00817D4B">
              <w:rPr>
                <w:rFonts w:asciiTheme="minorHAnsi" w:hAnsiTheme="minorHAnsi"/>
                <w:b/>
                <w:bCs/>
              </w:rPr>
              <w:t xml:space="preserve">Beth ddigwyddodd: </w:t>
            </w:r>
            <w:r w:rsidRPr="00817D4B">
              <w:rPr>
                <w:rFonts w:asciiTheme="minorHAnsi" w:hAnsiTheme="minorHAnsi"/>
              </w:rPr>
              <w:t xml:space="preserve">disgrifiad manwl o’r digwyddiad critigol (gorau po fwyaf o fanylder er mwyn gallu cyfeirio ato yn eich gwaith diweddarach) </w:t>
            </w:r>
          </w:p>
          <w:p w14:paraId="2B182C4C" w14:textId="77777777" w:rsidR="00E169F4" w:rsidRDefault="00E169F4" w:rsidP="008A5A17">
            <w:pPr>
              <w:rPr>
                <w:rFonts w:asciiTheme="minorHAnsi" w:hAnsiTheme="minorHAnsi"/>
              </w:rPr>
            </w:pPr>
          </w:p>
          <w:p w14:paraId="5968255E" w14:textId="77777777" w:rsidR="00E169F4" w:rsidRDefault="00E169F4" w:rsidP="008A5A17">
            <w:pPr>
              <w:rPr>
                <w:rFonts w:asciiTheme="minorHAnsi" w:hAnsiTheme="minorHAnsi"/>
                <w:bCs/>
              </w:rPr>
            </w:pPr>
            <w:r w:rsidRPr="00647C8F">
              <w:rPr>
                <w:rFonts w:asciiTheme="minorHAnsi" w:hAnsiTheme="minorHAnsi"/>
                <w:bCs/>
              </w:rPr>
              <w:t xml:space="preserve">Digwyddiad critigol = gwahaniaethu </w:t>
            </w:r>
          </w:p>
          <w:p w14:paraId="0B6E651D" w14:textId="77777777" w:rsidR="00E169F4" w:rsidRPr="00817D4B" w:rsidRDefault="00E169F4" w:rsidP="008A5A17">
            <w:pPr>
              <w:rPr>
                <w:rFonts w:asciiTheme="minorHAnsi" w:hAnsiTheme="minorHAnsi"/>
                <w:bCs/>
              </w:rPr>
            </w:pPr>
          </w:p>
          <w:p w14:paraId="7AB80FB1" w14:textId="77777777" w:rsidR="00FC6C7D" w:rsidRPr="00FC6C7D" w:rsidRDefault="000817FB" w:rsidP="000817FB">
            <w:pPr>
              <w:pStyle w:val="ListParagraph"/>
              <w:widowControl w:val="0"/>
              <w:numPr>
                <w:ilvl w:val="0"/>
                <w:numId w:val="4"/>
              </w:numPr>
              <w:autoSpaceDE w:val="0"/>
              <w:autoSpaceDN w:val="0"/>
              <w:adjustRightInd w:val="0"/>
              <w:rPr>
                <w:rFonts w:asciiTheme="minorHAnsi" w:hAnsiTheme="minorHAnsi"/>
                <w:bCs/>
              </w:rPr>
            </w:pPr>
            <w:r w:rsidRPr="000817FB">
              <w:rPr>
                <w:bCs/>
              </w:rPr>
              <w:t>Rhoddod yr athrawes cwestiynau enghreifftiol (efydd) ar y bwrdd gwyn mawr ac esboniodd wrth y dosbarth sut i gyflawni’r cwestiynau yma. Esboniodd yr athrawes sut i wneud y cwestiynau</w:t>
            </w:r>
            <w:r w:rsidR="00FC6C7D">
              <w:rPr>
                <w:bCs/>
              </w:rPr>
              <w:t xml:space="preserve"> lefel efydd,</w:t>
            </w:r>
            <w:r w:rsidRPr="000817FB">
              <w:rPr>
                <w:bCs/>
              </w:rPr>
              <w:t xml:space="preserve"> ond gofynnodd cwestiynau i’r disgyblion. </w:t>
            </w:r>
          </w:p>
          <w:p w14:paraId="44080645" w14:textId="1E1C5721" w:rsidR="00FC6C7D" w:rsidRDefault="00FC6C7D" w:rsidP="000817FB">
            <w:pPr>
              <w:pStyle w:val="ListParagraph"/>
              <w:widowControl w:val="0"/>
              <w:numPr>
                <w:ilvl w:val="0"/>
                <w:numId w:val="4"/>
              </w:numPr>
              <w:autoSpaceDE w:val="0"/>
              <w:autoSpaceDN w:val="0"/>
              <w:adjustRightInd w:val="0"/>
              <w:rPr>
                <w:rFonts w:asciiTheme="minorHAnsi" w:hAnsiTheme="minorHAnsi"/>
                <w:bCs/>
              </w:rPr>
            </w:pPr>
            <w:r>
              <w:rPr>
                <w:bCs/>
              </w:rPr>
              <w:t xml:space="preserve">Gofyn cwestiynau oedd yn gwneud i’r disgyblion esbonio’r camau i weithio’r ateb allan. </w:t>
            </w:r>
          </w:p>
          <w:p w14:paraId="0B696569" w14:textId="04FD164F" w:rsidR="00FC6C7D" w:rsidRDefault="000817FB" w:rsidP="000817FB">
            <w:pPr>
              <w:pStyle w:val="ListParagraph"/>
              <w:widowControl w:val="0"/>
              <w:numPr>
                <w:ilvl w:val="0"/>
                <w:numId w:val="4"/>
              </w:numPr>
              <w:autoSpaceDE w:val="0"/>
              <w:autoSpaceDN w:val="0"/>
              <w:adjustRightInd w:val="0"/>
              <w:rPr>
                <w:rFonts w:asciiTheme="minorHAnsi" w:hAnsiTheme="minorHAnsi"/>
                <w:bCs/>
              </w:rPr>
            </w:pPr>
            <w:r w:rsidRPr="000817FB">
              <w:rPr>
                <w:bCs/>
              </w:rPr>
              <w:t>Dyma ffordd iddi weld os oedd y disgyblion yn deall y gwaith</w:t>
            </w:r>
            <w:r w:rsidR="00FC6C7D">
              <w:rPr>
                <w:bCs/>
              </w:rPr>
              <w:t xml:space="preserve"> ac yn rhoi hyder i’r disgyblion.</w:t>
            </w:r>
          </w:p>
          <w:p w14:paraId="01498DA5" w14:textId="3CAA3DF1" w:rsidR="000817FB" w:rsidRPr="000817FB" w:rsidRDefault="000817FB" w:rsidP="000817FB">
            <w:pPr>
              <w:pStyle w:val="ListParagraph"/>
              <w:widowControl w:val="0"/>
              <w:numPr>
                <w:ilvl w:val="0"/>
                <w:numId w:val="4"/>
              </w:numPr>
              <w:autoSpaceDE w:val="0"/>
              <w:autoSpaceDN w:val="0"/>
              <w:adjustRightInd w:val="0"/>
              <w:rPr>
                <w:bCs/>
              </w:rPr>
            </w:pPr>
            <w:r w:rsidRPr="000817FB">
              <w:rPr>
                <w:bCs/>
              </w:rPr>
              <w:t xml:space="preserve">Dim ond enghreifftiau </w:t>
            </w:r>
            <w:r w:rsidR="00A24F34">
              <w:rPr>
                <w:bCs/>
              </w:rPr>
              <w:t xml:space="preserve">o gwestiynau lefel </w:t>
            </w:r>
            <w:r w:rsidRPr="000817FB">
              <w:rPr>
                <w:bCs/>
              </w:rPr>
              <w:t xml:space="preserve">efydd </w:t>
            </w:r>
            <w:r w:rsidR="00A24F34">
              <w:rPr>
                <w:bCs/>
              </w:rPr>
              <w:t>g</w:t>
            </w:r>
            <w:r w:rsidRPr="000817FB">
              <w:rPr>
                <w:bCs/>
              </w:rPr>
              <w:t xml:space="preserve">wnaeth y dosbarth ar y cyd. </w:t>
            </w:r>
          </w:p>
          <w:p w14:paraId="7DCBB699" w14:textId="3B064D15" w:rsidR="000817FB" w:rsidRPr="000817FB" w:rsidRDefault="000817FB" w:rsidP="000817FB">
            <w:pPr>
              <w:pStyle w:val="ListParagraph"/>
              <w:widowControl w:val="0"/>
              <w:numPr>
                <w:ilvl w:val="0"/>
                <w:numId w:val="4"/>
              </w:numPr>
              <w:autoSpaceDE w:val="0"/>
              <w:autoSpaceDN w:val="0"/>
              <w:adjustRightInd w:val="0"/>
              <w:rPr>
                <w:bCs/>
              </w:rPr>
            </w:pPr>
            <w:r w:rsidRPr="000817FB">
              <w:rPr>
                <w:bCs/>
              </w:rPr>
              <w:t xml:space="preserve">Ar ôl i’r athrawes gorffen addysgu’n uniongyrchol gyda’r cwestiynau enghreifftiol efydd, rhoddodd 3 tasg wahanol ar y bwrdd gwyn; efydd, arian, ac aur. </w:t>
            </w:r>
          </w:p>
          <w:p w14:paraId="6AE48D6A" w14:textId="77777777" w:rsidR="00A24F34" w:rsidRDefault="000817FB" w:rsidP="000817FB">
            <w:pPr>
              <w:pStyle w:val="ListParagraph"/>
              <w:widowControl w:val="0"/>
              <w:numPr>
                <w:ilvl w:val="0"/>
                <w:numId w:val="4"/>
              </w:numPr>
              <w:autoSpaceDE w:val="0"/>
              <w:autoSpaceDN w:val="0"/>
              <w:adjustRightInd w:val="0"/>
              <w:rPr>
                <w:rFonts w:asciiTheme="minorHAnsi" w:hAnsiTheme="minorHAnsi"/>
                <w:bCs/>
              </w:rPr>
            </w:pPr>
            <w:r w:rsidRPr="000817FB">
              <w:rPr>
                <w:bCs/>
              </w:rPr>
              <w:t>Rhoddodd yr athrawes yr opsiwn i’r disgyblion i ddewis pa dasg hoffan nhw gyflawni.</w:t>
            </w:r>
          </w:p>
          <w:p w14:paraId="29054C10" w14:textId="03D704EC" w:rsidR="000817FB" w:rsidRPr="000817FB" w:rsidRDefault="000817FB" w:rsidP="000817FB">
            <w:pPr>
              <w:pStyle w:val="ListParagraph"/>
              <w:widowControl w:val="0"/>
              <w:numPr>
                <w:ilvl w:val="0"/>
                <w:numId w:val="4"/>
              </w:numPr>
              <w:autoSpaceDE w:val="0"/>
              <w:autoSpaceDN w:val="0"/>
              <w:adjustRightInd w:val="0"/>
              <w:rPr>
                <w:bCs/>
              </w:rPr>
            </w:pPr>
            <w:r w:rsidRPr="000817FB">
              <w:rPr>
                <w:bCs/>
              </w:rPr>
              <w:t>Rhoddodd yr athrawes amser penodol iddynt gyflawni’r dasg.</w:t>
            </w:r>
          </w:p>
          <w:p w14:paraId="4B43B8E2" w14:textId="1749C0C8" w:rsidR="000817FB" w:rsidRPr="000817FB" w:rsidRDefault="000817FB" w:rsidP="000817FB">
            <w:pPr>
              <w:pStyle w:val="ListParagraph"/>
              <w:widowControl w:val="0"/>
              <w:numPr>
                <w:ilvl w:val="0"/>
                <w:numId w:val="4"/>
              </w:numPr>
              <w:autoSpaceDE w:val="0"/>
              <w:autoSpaceDN w:val="0"/>
              <w:adjustRightInd w:val="0"/>
              <w:rPr>
                <w:bCs/>
              </w:rPr>
            </w:pPr>
            <w:r w:rsidRPr="000817FB">
              <w:rPr>
                <w:bCs/>
              </w:rPr>
              <w:t xml:space="preserve">Aeth yr athrawes o gwmpas yn rhoi cymorth i’r disgyblion gan scaffaldi trwy ofyn cwestiynau </w:t>
            </w:r>
            <w:r w:rsidR="00A24F34">
              <w:rPr>
                <w:bCs/>
              </w:rPr>
              <w:t>a dangos iddynt sut i gyflawni rhai o’r cwesitynau.</w:t>
            </w:r>
          </w:p>
          <w:p w14:paraId="4E9659EC" w14:textId="77777777" w:rsidR="00E169F4" w:rsidRPr="00A24F34" w:rsidRDefault="000817FB" w:rsidP="000817FB">
            <w:pPr>
              <w:numPr>
                <w:ilvl w:val="0"/>
                <w:numId w:val="4"/>
              </w:numPr>
              <w:rPr>
                <w:rFonts w:asciiTheme="minorHAnsi" w:hAnsiTheme="minorHAnsi"/>
              </w:rPr>
            </w:pPr>
            <w:r w:rsidRPr="000817FB">
              <w:rPr>
                <w:bCs/>
              </w:rPr>
              <w:t xml:space="preserve">Dywedodd bachgen bod y dasg efydd yn hawdd ond wedyn gofynnodd am gymorth i gwblhau’r cwestiwn cyntaf ar y dasg arian. </w:t>
            </w:r>
          </w:p>
          <w:p w14:paraId="7DCA5BED" w14:textId="0EAC0B8F" w:rsidR="00A24F34" w:rsidRPr="00817D4B" w:rsidRDefault="00A24F34" w:rsidP="000817FB">
            <w:pPr>
              <w:numPr>
                <w:ilvl w:val="0"/>
                <w:numId w:val="4"/>
              </w:numPr>
              <w:rPr>
                <w:rFonts w:asciiTheme="minorHAnsi" w:hAnsiTheme="minorHAnsi"/>
              </w:rPr>
            </w:pPr>
            <w:r>
              <w:t>Roedd pawb ar dasg.</w:t>
            </w:r>
          </w:p>
        </w:tc>
      </w:tr>
      <w:tr w:rsidR="00E169F4" w:rsidRPr="00817D4B" w14:paraId="25BE1806" w14:textId="77777777" w:rsidTr="008A5A17">
        <w:tc>
          <w:tcPr>
            <w:tcW w:w="8926" w:type="dxa"/>
          </w:tcPr>
          <w:p w14:paraId="3E71D682" w14:textId="77777777" w:rsidR="00E169F4" w:rsidRPr="00817D4B" w:rsidRDefault="00E169F4" w:rsidP="008A5A17">
            <w:pPr>
              <w:rPr>
                <w:rFonts w:asciiTheme="minorHAnsi" w:hAnsiTheme="minorHAnsi"/>
                <w:b/>
                <w:color w:val="FFFFFF"/>
              </w:rPr>
            </w:pPr>
            <w:r w:rsidRPr="00817D4B">
              <w:rPr>
                <w:rFonts w:asciiTheme="minorHAnsi" w:hAnsiTheme="minorHAnsi"/>
                <w:b/>
              </w:rPr>
              <w:t xml:space="preserve">Meysydd archwilio posibl: </w:t>
            </w:r>
            <w:r w:rsidRPr="00817D4B">
              <w:rPr>
                <w:rFonts w:asciiTheme="minorHAnsi" w:hAnsiTheme="minorHAnsi"/>
                <w:bCs/>
              </w:rPr>
              <w:t>beth yn eich barn chi a allai fod “o dan yr wyneb” yn y digwyddiadau hyn? Pa lwybrau ymchwil gallech chi eu hystyried?</w:t>
            </w:r>
          </w:p>
          <w:p w14:paraId="645396BB" w14:textId="6FB0A13E" w:rsidR="008E3787" w:rsidRDefault="008E3787" w:rsidP="008E3787">
            <w:pPr>
              <w:pStyle w:val="ListParagraph"/>
              <w:widowControl w:val="0"/>
              <w:numPr>
                <w:ilvl w:val="0"/>
                <w:numId w:val="5"/>
              </w:numPr>
              <w:autoSpaceDE w:val="0"/>
              <w:autoSpaceDN w:val="0"/>
              <w:adjustRightInd w:val="0"/>
              <w:rPr>
                <w:rFonts w:asciiTheme="minorHAnsi" w:hAnsiTheme="minorHAnsi"/>
              </w:rPr>
            </w:pPr>
            <w:r w:rsidRPr="008E3787">
              <w:t xml:space="preserve">Y math o wahaniaethu – defnyddiodd yr athrawes yma gwahaniaethu gan dasg a chymorth. </w:t>
            </w:r>
          </w:p>
          <w:p w14:paraId="10FB32C8" w14:textId="40E5F324" w:rsidR="003528FE" w:rsidRPr="008E3787" w:rsidRDefault="003528FE" w:rsidP="008E3787">
            <w:pPr>
              <w:pStyle w:val="ListParagraph"/>
              <w:widowControl w:val="0"/>
              <w:numPr>
                <w:ilvl w:val="0"/>
                <w:numId w:val="5"/>
              </w:numPr>
              <w:autoSpaceDE w:val="0"/>
              <w:autoSpaceDN w:val="0"/>
              <w:adjustRightInd w:val="0"/>
            </w:pPr>
            <w:r>
              <w:t>Edrych mewn i fathau gwahanol o wahaniaethu er mwyn darganfod y math mwyaf effeithiol.</w:t>
            </w:r>
          </w:p>
          <w:p w14:paraId="7FA2DB25" w14:textId="755F23A1" w:rsidR="00E169F4" w:rsidRPr="00C97714" w:rsidRDefault="008E3787" w:rsidP="008E3787">
            <w:pPr>
              <w:pStyle w:val="ListParagraph"/>
              <w:widowControl w:val="0"/>
              <w:numPr>
                <w:ilvl w:val="0"/>
                <w:numId w:val="5"/>
              </w:numPr>
              <w:autoSpaceDE w:val="0"/>
              <w:autoSpaceDN w:val="0"/>
              <w:adjustRightInd w:val="0"/>
              <w:rPr>
                <w:rFonts w:asciiTheme="minorHAnsi" w:hAnsiTheme="minorHAnsi"/>
              </w:rPr>
            </w:pPr>
            <w:r w:rsidRPr="008E3787">
              <w:t>Rhoi’r dewis i’r disgyblion o ba dasg hoffan nhw gwblhau: osgoi teimlo’n swil os yw’r athrawes yn rhoi tasgau allu is neu uwch iddynt.</w:t>
            </w:r>
          </w:p>
        </w:tc>
      </w:tr>
      <w:tr w:rsidR="00E169F4" w:rsidRPr="00817D4B" w14:paraId="16C346FE" w14:textId="77777777" w:rsidTr="008A5A17">
        <w:tc>
          <w:tcPr>
            <w:tcW w:w="8926" w:type="dxa"/>
          </w:tcPr>
          <w:p w14:paraId="08AC6225" w14:textId="77777777" w:rsidR="00E169F4" w:rsidRPr="00817D4B" w:rsidRDefault="00E169F4" w:rsidP="008A5A17">
            <w:pPr>
              <w:rPr>
                <w:rFonts w:asciiTheme="minorHAnsi" w:hAnsiTheme="minorHAnsi"/>
                <w:bCs/>
                <w:color w:val="FFFFFF"/>
              </w:rPr>
            </w:pPr>
            <w:r w:rsidRPr="00817D4B">
              <w:rPr>
                <w:rFonts w:asciiTheme="minorHAnsi" w:hAnsiTheme="minorHAnsi"/>
                <w:b/>
              </w:rPr>
              <w:t xml:space="preserve">Nodiadau: </w:t>
            </w:r>
            <w:r w:rsidRPr="00817D4B">
              <w:rPr>
                <w:rFonts w:asciiTheme="minorHAnsi" w:hAnsiTheme="minorHAnsi"/>
                <w:bCs/>
              </w:rPr>
              <w:t>unrhyw fanylion gallwch eu nodi (ydy hi’n amgylchedd prysur, ydy hi ar ôl cinio, oes llawer o bethau’n tynnu sylw’r cyfranogwyr, ydy cyfarwyddiadau’n cael eu gwneud yn eglur – gorau po fwyaf o bethau y gallwch gyfeirio atynt yma)</w:t>
            </w:r>
          </w:p>
          <w:p w14:paraId="583DCF40" w14:textId="77777777" w:rsidR="00E169F4" w:rsidRDefault="00E169F4" w:rsidP="008A5A17">
            <w:pPr>
              <w:rPr>
                <w:rFonts w:asciiTheme="minorHAnsi" w:hAnsiTheme="minorHAnsi"/>
                <w:bCs/>
              </w:rPr>
            </w:pPr>
          </w:p>
          <w:p w14:paraId="79E0801B" w14:textId="77777777" w:rsidR="008E3787" w:rsidRPr="008E3787" w:rsidRDefault="008E3787" w:rsidP="008E3787">
            <w:pPr>
              <w:pStyle w:val="ListParagraph"/>
              <w:widowControl w:val="0"/>
              <w:numPr>
                <w:ilvl w:val="0"/>
                <w:numId w:val="6"/>
              </w:numPr>
              <w:autoSpaceDE w:val="0"/>
              <w:autoSpaceDN w:val="0"/>
              <w:adjustRightInd w:val="0"/>
              <w:rPr>
                <w:bCs/>
              </w:rPr>
            </w:pPr>
            <w:r w:rsidRPr="008E3787">
              <w:rPr>
                <w:bCs/>
              </w:rPr>
              <w:lastRenderedPageBreak/>
              <w:t xml:space="preserve">Doedd dim problemau ymddygiad </w:t>
            </w:r>
          </w:p>
          <w:p w14:paraId="349F84D2" w14:textId="0D348823" w:rsidR="008E3787" w:rsidRPr="008E3787" w:rsidRDefault="008E3787" w:rsidP="008E3787">
            <w:pPr>
              <w:pStyle w:val="ListParagraph"/>
              <w:widowControl w:val="0"/>
              <w:numPr>
                <w:ilvl w:val="0"/>
                <w:numId w:val="6"/>
              </w:numPr>
              <w:autoSpaceDE w:val="0"/>
              <w:autoSpaceDN w:val="0"/>
              <w:adjustRightInd w:val="0"/>
              <w:rPr>
                <w:bCs/>
              </w:rPr>
            </w:pPr>
            <w:r w:rsidRPr="008E3787">
              <w:rPr>
                <w:bCs/>
              </w:rPr>
              <w:t xml:space="preserve">Roedd pawb yn cyflawni’r dasg </w:t>
            </w:r>
          </w:p>
          <w:p w14:paraId="66B72D40" w14:textId="38EF7E30" w:rsidR="008E3787" w:rsidRPr="008E3787" w:rsidRDefault="008E3787" w:rsidP="008E3787">
            <w:pPr>
              <w:pStyle w:val="ListParagraph"/>
              <w:widowControl w:val="0"/>
              <w:numPr>
                <w:ilvl w:val="0"/>
                <w:numId w:val="6"/>
              </w:numPr>
              <w:autoSpaceDE w:val="0"/>
              <w:autoSpaceDN w:val="0"/>
              <w:adjustRightInd w:val="0"/>
              <w:rPr>
                <w:bCs/>
              </w:rPr>
            </w:pPr>
            <w:r w:rsidRPr="008E3787">
              <w:rPr>
                <w:bCs/>
              </w:rPr>
              <w:t xml:space="preserve">Roedd y disgyblion eisiau ateb cwestiynau </w:t>
            </w:r>
          </w:p>
          <w:p w14:paraId="1C4FDC99" w14:textId="7278B24C" w:rsidR="008E3787" w:rsidRPr="008E3787" w:rsidRDefault="008E3787" w:rsidP="008E3787">
            <w:pPr>
              <w:pStyle w:val="ListParagraph"/>
              <w:widowControl w:val="0"/>
              <w:numPr>
                <w:ilvl w:val="0"/>
                <w:numId w:val="6"/>
              </w:numPr>
              <w:autoSpaceDE w:val="0"/>
              <w:autoSpaceDN w:val="0"/>
              <w:adjustRightInd w:val="0"/>
              <w:rPr>
                <w:bCs/>
              </w:rPr>
            </w:pPr>
            <w:r w:rsidRPr="008E3787">
              <w:rPr>
                <w:bCs/>
              </w:rPr>
              <w:t>Roedd y disgyblion yn gofyn am gymorth yn aml</w:t>
            </w:r>
          </w:p>
          <w:p w14:paraId="41FC449D" w14:textId="77777777" w:rsidR="003A670D" w:rsidRDefault="008E3787" w:rsidP="008E3787">
            <w:pPr>
              <w:pStyle w:val="ListParagraph"/>
              <w:widowControl w:val="0"/>
              <w:numPr>
                <w:ilvl w:val="0"/>
                <w:numId w:val="6"/>
              </w:numPr>
              <w:autoSpaceDE w:val="0"/>
              <w:autoSpaceDN w:val="0"/>
              <w:adjustRightInd w:val="0"/>
              <w:rPr>
                <w:rFonts w:asciiTheme="minorHAnsi" w:hAnsiTheme="minorHAnsi"/>
                <w:bCs/>
              </w:rPr>
            </w:pPr>
            <w:r w:rsidRPr="008E3787">
              <w:rPr>
                <w:bCs/>
              </w:rPr>
              <w:t xml:space="preserve">Roedd sgwrsio yn ystod y tasgau ond roedd mwyafrif ohonynt am y gwaith </w:t>
            </w:r>
          </w:p>
          <w:p w14:paraId="1C1583E0" w14:textId="7F38D2CF" w:rsidR="008E3787" w:rsidRPr="008E3787" w:rsidRDefault="00E169F4" w:rsidP="008E3787">
            <w:pPr>
              <w:pStyle w:val="ListParagraph"/>
              <w:widowControl w:val="0"/>
              <w:numPr>
                <w:ilvl w:val="0"/>
                <w:numId w:val="6"/>
              </w:numPr>
              <w:autoSpaceDE w:val="0"/>
              <w:autoSpaceDN w:val="0"/>
              <w:adjustRightInd w:val="0"/>
              <w:rPr>
                <w:bCs/>
              </w:rPr>
            </w:pPr>
            <w:r>
              <w:rPr>
                <w:bCs/>
              </w:rPr>
              <w:t xml:space="preserve">Dosbarth </w:t>
            </w:r>
            <w:r w:rsidR="008E3787" w:rsidRPr="008E3787">
              <w:rPr>
                <w:bCs/>
              </w:rPr>
              <w:t xml:space="preserve">eithaf bach- dim ond 17 disgybl </w:t>
            </w:r>
          </w:p>
          <w:p w14:paraId="0070E8F8" w14:textId="05B2E014" w:rsidR="008E3787" w:rsidRDefault="008E3787" w:rsidP="008E3787">
            <w:pPr>
              <w:pStyle w:val="ListParagraph"/>
              <w:widowControl w:val="0"/>
              <w:numPr>
                <w:ilvl w:val="0"/>
                <w:numId w:val="6"/>
              </w:numPr>
              <w:autoSpaceDE w:val="0"/>
              <w:autoSpaceDN w:val="0"/>
              <w:adjustRightInd w:val="0"/>
              <w:rPr>
                <w:rFonts w:asciiTheme="minorHAnsi" w:hAnsiTheme="minorHAnsi"/>
                <w:bCs/>
              </w:rPr>
            </w:pPr>
            <w:r w:rsidRPr="008E3787">
              <w:rPr>
                <w:bCs/>
              </w:rPr>
              <w:t xml:space="preserve">Cyfarwyddiadau clir: roedd y disgyblion yn ateb cwestiynau’r athrawes yn gywir </w:t>
            </w:r>
          </w:p>
          <w:p w14:paraId="13F5ABAA" w14:textId="6FF759B1" w:rsidR="003A670D" w:rsidRDefault="003A670D" w:rsidP="008E3787">
            <w:pPr>
              <w:pStyle w:val="ListParagraph"/>
              <w:widowControl w:val="0"/>
              <w:numPr>
                <w:ilvl w:val="0"/>
                <w:numId w:val="6"/>
              </w:numPr>
              <w:autoSpaceDE w:val="0"/>
              <w:autoSpaceDN w:val="0"/>
              <w:adjustRightInd w:val="0"/>
              <w:rPr>
                <w:rFonts w:asciiTheme="minorHAnsi" w:hAnsiTheme="minorHAnsi"/>
                <w:bCs/>
              </w:rPr>
            </w:pPr>
            <w:r>
              <w:rPr>
                <w:bCs/>
              </w:rPr>
              <w:t>Amgylchedd cyfforddus a chadarnhaol</w:t>
            </w:r>
          </w:p>
          <w:p w14:paraId="24CE3F5D" w14:textId="3047A12E" w:rsidR="003A670D" w:rsidRDefault="003A670D" w:rsidP="008E3787">
            <w:pPr>
              <w:pStyle w:val="ListParagraph"/>
              <w:widowControl w:val="0"/>
              <w:numPr>
                <w:ilvl w:val="0"/>
                <w:numId w:val="6"/>
              </w:numPr>
              <w:autoSpaceDE w:val="0"/>
              <w:autoSpaceDN w:val="0"/>
              <w:adjustRightInd w:val="0"/>
              <w:rPr>
                <w:rFonts w:asciiTheme="minorHAnsi" w:hAnsiTheme="minorHAnsi"/>
                <w:bCs/>
              </w:rPr>
            </w:pPr>
            <w:r>
              <w:rPr>
                <w:bCs/>
              </w:rPr>
              <w:t>Un disgybl yn gwneud sylwadau gwirion</w:t>
            </w:r>
          </w:p>
          <w:p w14:paraId="4C907649" w14:textId="61686D56" w:rsidR="00123831" w:rsidRDefault="00123831" w:rsidP="00123831">
            <w:pPr>
              <w:pStyle w:val="ListParagraph"/>
              <w:widowControl w:val="0"/>
              <w:numPr>
                <w:ilvl w:val="0"/>
                <w:numId w:val="6"/>
              </w:numPr>
              <w:autoSpaceDE w:val="0"/>
              <w:autoSpaceDN w:val="0"/>
              <w:adjustRightInd w:val="0"/>
              <w:rPr>
                <w:rFonts w:asciiTheme="minorHAnsi" w:hAnsiTheme="minorHAnsi"/>
                <w:bCs/>
              </w:rPr>
            </w:pPr>
            <w:r>
              <w:rPr>
                <w:bCs/>
              </w:rPr>
              <w:t xml:space="preserve">Addysgu uniongyrchol </w:t>
            </w:r>
          </w:p>
          <w:p w14:paraId="15486E7C" w14:textId="7B1589BF" w:rsidR="00E169F4" w:rsidRPr="00123831" w:rsidRDefault="00123831" w:rsidP="008A5A17">
            <w:pPr>
              <w:pStyle w:val="ListParagraph"/>
              <w:widowControl w:val="0"/>
              <w:numPr>
                <w:ilvl w:val="0"/>
                <w:numId w:val="6"/>
              </w:numPr>
              <w:autoSpaceDE w:val="0"/>
              <w:autoSpaceDN w:val="0"/>
              <w:adjustRightInd w:val="0"/>
              <w:rPr>
                <w:rFonts w:asciiTheme="minorHAnsi" w:hAnsiTheme="minorHAnsi"/>
                <w:bCs/>
              </w:rPr>
            </w:pPr>
            <w:r>
              <w:rPr>
                <w:bCs/>
              </w:rPr>
              <w:t xml:space="preserve">Dysgu ar y cyd </w:t>
            </w:r>
          </w:p>
        </w:tc>
      </w:tr>
    </w:tbl>
    <w:p w14:paraId="32472950" w14:textId="77777777" w:rsidR="00E169F4" w:rsidRPr="00A35962" w:rsidRDefault="00E169F4" w:rsidP="00A35962">
      <w:pPr>
        <w:rPr>
          <w:rFonts w:asciiTheme="majorHAnsi" w:eastAsiaTheme="majorEastAsia" w:hAnsiTheme="majorHAnsi" w:cstheme="majorBidi"/>
          <w:lang w:val="en-GB"/>
        </w:rPr>
      </w:pPr>
    </w:p>
    <w:p w14:paraId="59821C9C" w14:textId="77777777" w:rsidR="001C6C21" w:rsidRDefault="001C6C21" w:rsidP="0020144B">
      <w:pPr>
        <w:pStyle w:val="NormalWeb"/>
        <w:ind w:left="567" w:hanging="567"/>
      </w:pPr>
    </w:p>
    <w:p w14:paraId="75990A39" w14:textId="77777777" w:rsidR="00EE481C" w:rsidRPr="000460AE" w:rsidRDefault="00EE481C" w:rsidP="00135B8D">
      <w:pPr>
        <w:rPr>
          <w:rFonts w:asciiTheme="majorHAnsi" w:eastAsiaTheme="majorEastAsia" w:hAnsiTheme="majorHAnsi" w:cstheme="majorBidi"/>
          <w:color w:val="000000" w:themeColor="text1"/>
          <w:lang w:val="en-GB"/>
        </w:rPr>
      </w:pPr>
    </w:p>
    <w:p w14:paraId="4CE7239C" w14:textId="77777777" w:rsidR="002D4EA2" w:rsidRDefault="002D4EA2" w:rsidP="00AF106F">
      <w:pPr>
        <w:pStyle w:val="NormalWeb"/>
        <w:ind w:left="567" w:hanging="567"/>
      </w:pPr>
    </w:p>
    <w:p w14:paraId="3F3BB83E" w14:textId="77777777" w:rsidR="00FD2482" w:rsidRDefault="00FD2482" w:rsidP="00760EE3">
      <w:pPr>
        <w:pStyle w:val="NormalWeb"/>
        <w:ind w:left="567" w:hanging="567"/>
      </w:pPr>
    </w:p>
    <w:p w14:paraId="132C6014" w14:textId="77777777" w:rsidR="00760EE3" w:rsidRDefault="00760EE3" w:rsidP="00E9258C">
      <w:pPr>
        <w:pStyle w:val="NormalWeb"/>
        <w:ind w:left="567" w:hanging="567"/>
      </w:pPr>
    </w:p>
    <w:p w14:paraId="1B3B4A9E" w14:textId="77777777" w:rsidR="00E9258C" w:rsidRDefault="00E9258C" w:rsidP="007D23F1">
      <w:pPr>
        <w:pStyle w:val="NormalWeb"/>
        <w:ind w:left="567" w:hanging="567"/>
      </w:pPr>
    </w:p>
    <w:p w14:paraId="244844B1" w14:textId="77777777" w:rsidR="009A1174" w:rsidRDefault="009A1174" w:rsidP="00BE005B">
      <w:pPr>
        <w:pStyle w:val="NormalWeb"/>
        <w:ind w:left="567" w:hanging="567"/>
      </w:pPr>
    </w:p>
    <w:bookmarkEnd w:id="33"/>
    <w:p w14:paraId="730057A0" w14:textId="77777777" w:rsidR="00BE005B" w:rsidRPr="009660F4" w:rsidRDefault="00BE005B"/>
    <w:sectPr w:rsidR="00BE005B" w:rsidRPr="009660F4" w:rsidSect="00E636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597F"/>
    <w:multiLevelType w:val="hybridMultilevel"/>
    <w:tmpl w:val="DE0AA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317B4"/>
    <w:multiLevelType w:val="hybridMultilevel"/>
    <w:tmpl w:val="2F288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A1287"/>
    <w:multiLevelType w:val="hybridMultilevel"/>
    <w:tmpl w:val="56C4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08087D"/>
    <w:multiLevelType w:val="hybridMultilevel"/>
    <w:tmpl w:val="ADFA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D0589"/>
    <w:multiLevelType w:val="hybridMultilevel"/>
    <w:tmpl w:val="0E1ECF6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A33695"/>
    <w:multiLevelType w:val="hybridMultilevel"/>
    <w:tmpl w:val="3FE6C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3646338">
    <w:abstractNumId w:val="0"/>
  </w:num>
  <w:num w:numId="2" w16cid:durableId="1690527542">
    <w:abstractNumId w:val="3"/>
  </w:num>
  <w:num w:numId="3" w16cid:durableId="1631130287">
    <w:abstractNumId w:val="4"/>
  </w:num>
  <w:num w:numId="4" w16cid:durableId="1073895487">
    <w:abstractNumId w:val="2"/>
  </w:num>
  <w:num w:numId="5" w16cid:durableId="639920252">
    <w:abstractNumId w:val="1"/>
  </w:num>
  <w:num w:numId="6" w16cid:durableId="18033028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95E"/>
    <w:rsid w:val="00000564"/>
    <w:rsid w:val="00013DF6"/>
    <w:rsid w:val="0001497B"/>
    <w:rsid w:val="00021473"/>
    <w:rsid w:val="00024A73"/>
    <w:rsid w:val="000460AE"/>
    <w:rsid w:val="00047DC5"/>
    <w:rsid w:val="000505FC"/>
    <w:rsid w:val="00057652"/>
    <w:rsid w:val="00061F69"/>
    <w:rsid w:val="00064A2F"/>
    <w:rsid w:val="000654D7"/>
    <w:rsid w:val="00066EAB"/>
    <w:rsid w:val="00070095"/>
    <w:rsid w:val="00080482"/>
    <w:rsid w:val="000817FB"/>
    <w:rsid w:val="00084E6B"/>
    <w:rsid w:val="00095790"/>
    <w:rsid w:val="000A485B"/>
    <w:rsid w:val="000B09D9"/>
    <w:rsid w:val="000B4A56"/>
    <w:rsid w:val="000B5A0C"/>
    <w:rsid w:val="000D49A9"/>
    <w:rsid w:val="000D77B2"/>
    <w:rsid w:val="00104A02"/>
    <w:rsid w:val="00107D07"/>
    <w:rsid w:val="001113FA"/>
    <w:rsid w:val="001150D2"/>
    <w:rsid w:val="00115900"/>
    <w:rsid w:val="00123831"/>
    <w:rsid w:val="001247AE"/>
    <w:rsid w:val="00125099"/>
    <w:rsid w:val="00135B8D"/>
    <w:rsid w:val="00157AB7"/>
    <w:rsid w:val="00160B2B"/>
    <w:rsid w:val="00175D82"/>
    <w:rsid w:val="00186D84"/>
    <w:rsid w:val="00196081"/>
    <w:rsid w:val="001979E8"/>
    <w:rsid w:val="001A0F12"/>
    <w:rsid w:val="001A7858"/>
    <w:rsid w:val="001B4C0F"/>
    <w:rsid w:val="001B6EF7"/>
    <w:rsid w:val="001C19EE"/>
    <w:rsid w:val="001C6C21"/>
    <w:rsid w:val="001D0102"/>
    <w:rsid w:val="001E27C5"/>
    <w:rsid w:val="001E2B93"/>
    <w:rsid w:val="001E7955"/>
    <w:rsid w:val="001F3CBC"/>
    <w:rsid w:val="001F65C5"/>
    <w:rsid w:val="00200FDD"/>
    <w:rsid w:val="0020144B"/>
    <w:rsid w:val="00215EA3"/>
    <w:rsid w:val="002227C4"/>
    <w:rsid w:val="00232DE3"/>
    <w:rsid w:val="00233CA4"/>
    <w:rsid w:val="00236C34"/>
    <w:rsid w:val="0023740B"/>
    <w:rsid w:val="00242FF2"/>
    <w:rsid w:val="002454B9"/>
    <w:rsid w:val="0025398E"/>
    <w:rsid w:val="002566E8"/>
    <w:rsid w:val="00256A20"/>
    <w:rsid w:val="0026204C"/>
    <w:rsid w:val="00263645"/>
    <w:rsid w:val="002758B5"/>
    <w:rsid w:val="002C0B4F"/>
    <w:rsid w:val="002C1FD3"/>
    <w:rsid w:val="002C21AC"/>
    <w:rsid w:val="002C3E56"/>
    <w:rsid w:val="002D4977"/>
    <w:rsid w:val="002D4EA2"/>
    <w:rsid w:val="002D538D"/>
    <w:rsid w:val="002E1020"/>
    <w:rsid w:val="002E1A48"/>
    <w:rsid w:val="002E3F6C"/>
    <w:rsid w:val="002E4323"/>
    <w:rsid w:val="002F6C4B"/>
    <w:rsid w:val="002F7F28"/>
    <w:rsid w:val="00302070"/>
    <w:rsid w:val="003033D8"/>
    <w:rsid w:val="00322A1B"/>
    <w:rsid w:val="00332443"/>
    <w:rsid w:val="00346425"/>
    <w:rsid w:val="00346656"/>
    <w:rsid w:val="003528FE"/>
    <w:rsid w:val="00360DA1"/>
    <w:rsid w:val="00365557"/>
    <w:rsid w:val="0036769E"/>
    <w:rsid w:val="003922B1"/>
    <w:rsid w:val="003A670D"/>
    <w:rsid w:val="003B2350"/>
    <w:rsid w:val="003B2450"/>
    <w:rsid w:val="003C14F9"/>
    <w:rsid w:val="003C7EB4"/>
    <w:rsid w:val="003D2F9E"/>
    <w:rsid w:val="003D479C"/>
    <w:rsid w:val="00407981"/>
    <w:rsid w:val="00417674"/>
    <w:rsid w:val="004217AF"/>
    <w:rsid w:val="004239A3"/>
    <w:rsid w:val="004360BB"/>
    <w:rsid w:val="00450E31"/>
    <w:rsid w:val="00466DA8"/>
    <w:rsid w:val="00473577"/>
    <w:rsid w:val="00473DB0"/>
    <w:rsid w:val="00476B55"/>
    <w:rsid w:val="00487E65"/>
    <w:rsid w:val="004A15C0"/>
    <w:rsid w:val="004A5E02"/>
    <w:rsid w:val="004A646D"/>
    <w:rsid w:val="004A6F3F"/>
    <w:rsid w:val="004B0F94"/>
    <w:rsid w:val="004B0FAB"/>
    <w:rsid w:val="004B1B5B"/>
    <w:rsid w:val="004B1C99"/>
    <w:rsid w:val="004B5A56"/>
    <w:rsid w:val="004C0039"/>
    <w:rsid w:val="004F0E0E"/>
    <w:rsid w:val="005008BB"/>
    <w:rsid w:val="00504095"/>
    <w:rsid w:val="005048DA"/>
    <w:rsid w:val="00513B83"/>
    <w:rsid w:val="0052202C"/>
    <w:rsid w:val="005326E1"/>
    <w:rsid w:val="00534E7B"/>
    <w:rsid w:val="0054005E"/>
    <w:rsid w:val="00540B22"/>
    <w:rsid w:val="00541207"/>
    <w:rsid w:val="00550E2E"/>
    <w:rsid w:val="005525C4"/>
    <w:rsid w:val="00556049"/>
    <w:rsid w:val="005625AE"/>
    <w:rsid w:val="00572F7A"/>
    <w:rsid w:val="00576F1B"/>
    <w:rsid w:val="00586945"/>
    <w:rsid w:val="00591DB1"/>
    <w:rsid w:val="005A370C"/>
    <w:rsid w:val="005A54DE"/>
    <w:rsid w:val="005B6068"/>
    <w:rsid w:val="005D2366"/>
    <w:rsid w:val="005E16E1"/>
    <w:rsid w:val="005E6B28"/>
    <w:rsid w:val="005F661A"/>
    <w:rsid w:val="00604C02"/>
    <w:rsid w:val="006105C1"/>
    <w:rsid w:val="00611522"/>
    <w:rsid w:val="006239CF"/>
    <w:rsid w:val="006252AB"/>
    <w:rsid w:val="00630E06"/>
    <w:rsid w:val="006356A4"/>
    <w:rsid w:val="00645C66"/>
    <w:rsid w:val="006463F4"/>
    <w:rsid w:val="0065723A"/>
    <w:rsid w:val="00662AC1"/>
    <w:rsid w:val="00665EC2"/>
    <w:rsid w:val="00667919"/>
    <w:rsid w:val="00673800"/>
    <w:rsid w:val="00680B0A"/>
    <w:rsid w:val="0069252A"/>
    <w:rsid w:val="00692FE9"/>
    <w:rsid w:val="006938E5"/>
    <w:rsid w:val="00694CC1"/>
    <w:rsid w:val="006968BC"/>
    <w:rsid w:val="00696EF8"/>
    <w:rsid w:val="006A70B1"/>
    <w:rsid w:val="006C4DD9"/>
    <w:rsid w:val="006D0056"/>
    <w:rsid w:val="006D33A7"/>
    <w:rsid w:val="006D3791"/>
    <w:rsid w:val="006D3B64"/>
    <w:rsid w:val="006E24DD"/>
    <w:rsid w:val="006E4444"/>
    <w:rsid w:val="006E5B63"/>
    <w:rsid w:val="006F7BDA"/>
    <w:rsid w:val="006F7EB3"/>
    <w:rsid w:val="0071342E"/>
    <w:rsid w:val="007174E1"/>
    <w:rsid w:val="0072308B"/>
    <w:rsid w:val="00724F99"/>
    <w:rsid w:val="007341A5"/>
    <w:rsid w:val="00743A1D"/>
    <w:rsid w:val="007511CE"/>
    <w:rsid w:val="00751E5B"/>
    <w:rsid w:val="00760EE3"/>
    <w:rsid w:val="00770BEB"/>
    <w:rsid w:val="00777BF1"/>
    <w:rsid w:val="007846BC"/>
    <w:rsid w:val="007A0976"/>
    <w:rsid w:val="007A34EC"/>
    <w:rsid w:val="007B3BD3"/>
    <w:rsid w:val="007C7E70"/>
    <w:rsid w:val="007D23F1"/>
    <w:rsid w:val="007E0DA5"/>
    <w:rsid w:val="007E1375"/>
    <w:rsid w:val="007E1BBE"/>
    <w:rsid w:val="007E2719"/>
    <w:rsid w:val="007F288B"/>
    <w:rsid w:val="00820EE8"/>
    <w:rsid w:val="00825F9C"/>
    <w:rsid w:val="00855C1A"/>
    <w:rsid w:val="00856C78"/>
    <w:rsid w:val="0085701D"/>
    <w:rsid w:val="00860CDF"/>
    <w:rsid w:val="0086260F"/>
    <w:rsid w:val="00882CF7"/>
    <w:rsid w:val="00886937"/>
    <w:rsid w:val="00886D8C"/>
    <w:rsid w:val="00892A0F"/>
    <w:rsid w:val="00894851"/>
    <w:rsid w:val="0089603E"/>
    <w:rsid w:val="008A16C7"/>
    <w:rsid w:val="008B2373"/>
    <w:rsid w:val="008B306E"/>
    <w:rsid w:val="008B3CC8"/>
    <w:rsid w:val="008C1DA5"/>
    <w:rsid w:val="008C47C0"/>
    <w:rsid w:val="008E3787"/>
    <w:rsid w:val="008E45BF"/>
    <w:rsid w:val="008F4398"/>
    <w:rsid w:val="0091149F"/>
    <w:rsid w:val="009155AA"/>
    <w:rsid w:val="0091633F"/>
    <w:rsid w:val="0091754C"/>
    <w:rsid w:val="009352BD"/>
    <w:rsid w:val="009365C3"/>
    <w:rsid w:val="009373FB"/>
    <w:rsid w:val="009378A5"/>
    <w:rsid w:val="00943648"/>
    <w:rsid w:val="009538B2"/>
    <w:rsid w:val="00957B26"/>
    <w:rsid w:val="00960AD9"/>
    <w:rsid w:val="00960ECA"/>
    <w:rsid w:val="00962D71"/>
    <w:rsid w:val="00962EA2"/>
    <w:rsid w:val="009660F4"/>
    <w:rsid w:val="00967737"/>
    <w:rsid w:val="0097337A"/>
    <w:rsid w:val="00982166"/>
    <w:rsid w:val="0098615F"/>
    <w:rsid w:val="0098714A"/>
    <w:rsid w:val="00996AD0"/>
    <w:rsid w:val="009A1174"/>
    <w:rsid w:val="009B5BF3"/>
    <w:rsid w:val="009C732E"/>
    <w:rsid w:val="009D54CD"/>
    <w:rsid w:val="009E1E09"/>
    <w:rsid w:val="009E3076"/>
    <w:rsid w:val="009F3B91"/>
    <w:rsid w:val="00A04F28"/>
    <w:rsid w:val="00A11B66"/>
    <w:rsid w:val="00A13458"/>
    <w:rsid w:val="00A141E9"/>
    <w:rsid w:val="00A24F34"/>
    <w:rsid w:val="00A266C2"/>
    <w:rsid w:val="00A35962"/>
    <w:rsid w:val="00A36D8F"/>
    <w:rsid w:val="00A45F07"/>
    <w:rsid w:val="00A524DB"/>
    <w:rsid w:val="00A540BE"/>
    <w:rsid w:val="00A65BC4"/>
    <w:rsid w:val="00A9027C"/>
    <w:rsid w:val="00A9029C"/>
    <w:rsid w:val="00A96CDA"/>
    <w:rsid w:val="00AA0775"/>
    <w:rsid w:val="00AA1094"/>
    <w:rsid w:val="00AA2971"/>
    <w:rsid w:val="00AA4F8E"/>
    <w:rsid w:val="00AC0E73"/>
    <w:rsid w:val="00AD178C"/>
    <w:rsid w:val="00AD54B1"/>
    <w:rsid w:val="00AD7871"/>
    <w:rsid w:val="00AF106F"/>
    <w:rsid w:val="00AF11C7"/>
    <w:rsid w:val="00AF1B87"/>
    <w:rsid w:val="00AF2940"/>
    <w:rsid w:val="00B05C7D"/>
    <w:rsid w:val="00B0678D"/>
    <w:rsid w:val="00B17F07"/>
    <w:rsid w:val="00B20A24"/>
    <w:rsid w:val="00B22A8E"/>
    <w:rsid w:val="00B267FB"/>
    <w:rsid w:val="00B3182D"/>
    <w:rsid w:val="00B40C61"/>
    <w:rsid w:val="00B458B5"/>
    <w:rsid w:val="00B47B31"/>
    <w:rsid w:val="00B63C5A"/>
    <w:rsid w:val="00B657DC"/>
    <w:rsid w:val="00B67003"/>
    <w:rsid w:val="00B742AE"/>
    <w:rsid w:val="00B766F9"/>
    <w:rsid w:val="00B83692"/>
    <w:rsid w:val="00B9078E"/>
    <w:rsid w:val="00BC2392"/>
    <w:rsid w:val="00BC52C3"/>
    <w:rsid w:val="00BC7F0E"/>
    <w:rsid w:val="00BE005B"/>
    <w:rsid w:val="00BE338E"/>
    <w:rsid w:val="00BE4C0C"/>
    <w:rsid w:val="00C0144C"/>
    <w:rsid w:val="00C111ED"/>
    <w:rsid w:val="00C13633"/>
    <w:rsid w:val="00C14FDA"/>
    <w:rsid w:val="00C15689"/>
    <w:rsid w:val="00C17A81"/>
    <w:rsid w:val="00C24DD6"/>
    <w:rsid w:val="00C263A1"/>
    <w:rsid w:val="00C300D6"/>
    <w:rsid w:val="00C32845"/>
    <w:rsid w:val="00C34478"/>
    <w:rsid w:val="00C41B37"/>
    <w:rsid w:val="00C44464"/>
    <w:rsid w:val="00C53B46"/>
    <w:rsid w:val="00C73434"/>
    <w:rsid w:val="00C95F81"/>
    <w:rsid w:val="00CB060E"/>
    <w:rsid w:val="00CC1032"/>
    <w:rsid w:val="00CC1340"/>
    <w:rsid w:val="00CC390B"/>
    <w:rsid w:val="00CC63FF"/>
    <w:rsid w:val="00CD5C23"/>
    <w:rsid w:val="00D000D9"/>
    <w:rsid w:val="00D06B08"/>
    <w:rsid w:val="00D25378"/>
    <w:rsid w:val="00D30366"/>
    <w:rsid w:val="00D54E26"/>
    <w:rsid w:val="00D64BF9"/>
    <w:rsid w:val="00D65D1A"/>
    <w:rsid w:val="00D72085"/>
    <w:rsid w:val="00D75F78"/>
    <w:rsid w:val="00D803E3"/>
    <w:rsid w:val="00D80B42"/>
    <w:rsid w:val="00D926E0"/>
    <w:rsid w:val="00D9456C"/>
    <w:rsid w:val="00D955FF"/>
    <w:rsid w:val="00D95D69"/>
    <w:rsid w:val="00DB0399"/>
    <w:rsid w:val="00DC5D9F"/>
    <w:rsid w:val="00DD1BE3"/>
    <w:rsid w:val="00DD73B4"/>
    <w:rsid w:val="00E03394"/>
    <w:rsid w:val="00E07E54"/>
    <w:rsid w:val="00E119FD"/>
    <w:rsid w:val="00E13BA1"/>
    <w:rsid w:val="00E169F4"/>
    <w:rsid w:val="00E2595E"/>
    <w:rsid w:val="00E417AE"/>
    <w:rsid w:val="00E55D83"/>
    <w:rsid w:val="00E636CC"/>
    <w:rsid w:val="00E637DB"/>
    <w:rsid w:val="00E64B39"/>
    <w:rsid w:val="00E66259"/>
    <w:rsid w:val="00E717EB"/>
    <w:rsid w:val="00E75C93"/>
    <w:rsid w:val="00E85A7C"/>
    <w:rsid w:val="00E910B7"/>
    <w:rsid w:val="00E9258C"/>
    <w:rsid w:val="00EA28BF"/>
    <w:rsid w:val="00EA4FFD"/>
    <w:rsid w:val="00EB3A77"/>
    <w:rsid w:val="00EC1806"/>
    <w:rsid w:val="00EC4A5A"/>
    <w:rsid w:val="00ED225A"/>
    <w:rsid w:val="00ED464F"/>
    <w:rsid w:val="00EE481C"/>
    <w:rsid w:val="00EE722B"/>
    <w:rsid w:val="00EF247D"/>
    <w:rsid w:val="00F00ED9"/>
    <w:rsid w:val="00F11EDE"/>
    <w:rsid w:val="00F169F6"/>
    <w:rsid w:val="00F21CC3"/>
    <w:rsid w:val="00F47703"/>
    <w:rsid w:val="00F5102A"/>
    <w:rsid w:val="00F57469"/>
    <w:rsid w:val="00F6317C"/>
    <w:rsid w:val="00F67B25"/>
    <w:rsid w:val="00F75E71"/>
    <w:rsid w:val="00F81864"/>
    <w:rsid w:val="00F8315C"/>
    <w:rsid w:val="00FA1D48"/>
    <w:rsid w:val="00FB653D"/>
    <w:rsid w:val="00FC235A"/>
    <w:rsid w:val="00FC512C"/>
    <w:rsid w:val="00FC6C7D"/>
    <w:rsid w:val="00FC717B"/>
    <w:rsid w:val="00FD2482"/>
    <w:rsid w:val="00FD683C"/>
    <w:rsid w:val="00FE5AA2"/>
    <w:rsid w:val="00FF2357"/>
    <w:rsid w:val="00FF2FD2"/>
    <w:rsid w:val="00FF5B48"/>
    <w:rsid w:val="00FF5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85A712"/>
  <w15:chartTrackingRefBased/>
  <w15:docId w15:val="{ECDC0A7F-6F16-49C4-A286-3CE26FA0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005B"/>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unhideWhenUsed/>
    <w:rsid w:val="00777BF1"/>
    <w:rPr>
      <w:color w:val="0000FF"/>
      <w:u w:val="single"/>
    </w:rPr>
  </w:style>
  <w:style w:type="character" w:styleId="FollowedHyperlink">
    <w:name w:val="FollowedHyperlink"/>
    <w:basedOn w:val="DefaultParagraphFont"/>
    <w:uiPriority w:val="99"/>
    <w:semiHidden/>
    <w:unhideWhenUsed/>
    <w:rsid w:val="00322A1B"/>
    <w:rPr>
      <w:color w:val="954F72" w:themeColor="followedHyperlink"/>
      <w:u w:val="single"/>
    </w:rPr>
  </w:style>
  <w:style w:type="paragraph" w:styleId="ListParagraph">
    <w:name w:val="List Paragraph"/>
    <w:basedOn w:val="Normal"/>
    <w:uiPriority w:val="34"/>
    <w:qFormat/>
    <w:rsid w:val="00B742AE"/>
    <w:pPr>
      <w:ind w:left="720"/>
      <w:contextualSpacing/>
    </w:pPr>
  </w:style>
  <w:style w:type="table" w:styleId="TableGrid">
    <w:name w:val="Table Grid"/>
    <w:basedOn w:val="TableNormal"/>
    <w:uiPriority w:val="39"/>
    <w:rsid w:val="00E169F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36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636C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753156">
      <w:bodyDiv w:val="1"/>
      <w:marLeft w:val="0"/>
      <w:marRight w:val="0"/>
      <w:marTop w:val="0"/>
      <w:marBottom w:val="0"/>
      <w:divBdr>
        <w:top w:val="none" w:sz="0" w:space="0" w:color="auto"/>
        <w:left w:val="none" w:sz="0" w:space="0" w:color="auto"/>
        <w:bottom w:val="none" w:sz="0" w:space="0" w:color="auto"/>
        <w:right w:val="none" w:sz="0" w:space="0" w:color="auto"/>
      </w:divBdr>
    </w:div>
    <w:div w:id="885337905">
      <w:bodyDiv w:val="1"/>
      <w:marLeft w:val="0"/>
      <w:marRight w:val="0"/>
      <w:marTop w:val="0"/>
      <w:marBottom w:val="0"/>
      <w:divBdr>
        <w:top w:val="none" w:sz="0" w:space="0" w:color="auto"/>
        <w:left w:val="none" w:sz="0" w:space="0" w:color="auto"/>
        <w:bottom w:val="none" w:sz="0" w:space="0" w:color="auto"/>
        <w:right w:val="none" w:sz="0" w:space="0" w:color="auto"/>
      </w:divBdr>
    </w:div>
    <w:div w:id="1172914620">
      <w:bodyDiv w:val="1"/>
      <w:marLeft w:val="0"/>
      <w:marRight w:val="0"/>
      <w:marTop w:val="0"/>
      <w:marBottom w:val="0"/>
      <w:divBdr>
        <w:top w:val="none" w:sz="0" w:space="0" w:color="auto"/>
        <w:left w:val="none" w:sz="0" w:space="0" w:color="auto"/>
        <w:bottom w:val="none" w:sz="0" w:space="0" w:color="auto"/>
        <w:right w:val="none" w:sz="0" w:space="0" w:color="auto"/>
      </w:divBdr>
    </w:div>
    <w:div w:id="1238202070">
      <w:bodyDiv w:val="1"/>
      <w:marLeft w:val="0"/>
      <w:marRight w:val="0"/>
      <w:marTop w:val="0"/>
      <w:marBottom w:val="0"/>
      <w:divBdr>
        <w:top w:val="none" w:sz="0" w:space="0" w:color="auto"/>
        <w:left w:val="none" w:sz="0" w:space="0" w:color="auto"/>
        <w:bottom w:val="none" w:sz="0" w:space="0" w:color="auto"/>
        <w:right w:val="none" w:sz="0" w:space="0" w:color="auto"/>
      </w:divBdr>
    </w:div>
    <w:div w:id="1238517479">
      <w:bodyDiv w:val="1"/>
      <w:marLeft w:val="0"/>
      <w:marRight w:val="0"/>
      <w:marTop w:val="0"/>
      <w:marBottom w:val="0"/>
      <w:divBdr>
        <w:top w:val="none" w:sz="0" w:space="0" w:color="auto"/>
        <w:left w:val="none" w:sz="0" w:space="0" w:color="auto"/>
        <w:bottom w:val="none" w:sz="0" w:space="0" w:color="auto"/>
        <w:right w:val="none" w:sz="0" w:space="0" w:color="auto"/>
      </w:divBdr>
    </w:div>
    <w:div w:id="1424060820">
      <w:bodyDiv w:val="1"/>
      <w:marLeft w:val="0"/>
      <w:marRight w:val="0"/>
      <w:marTop w:val="0"/>
      <w:marBottom w:val="0"/>
      <w:divBdr>
        <w:top w:val="none" w:sz="0" w:space="0" w:color="auto"/>
        <w:left w:val="none" w:sz="0" w:space="0" w:color="auto"/>
        <w:bottom w:val="none" w:sz="0" w:space="0" w:color="auto"/>
        <w:right w:val="none" w:sz="0" w:space="0" w:color="auto"/>
      </w:divBdr>
    </w:div>
    <w:div w:id="202639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OThNtcCqu4c"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research.acer.edu.au/cgi/viewcontent.cgi?article=1144&amp;context=research_confer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udocu.com/ph/document/golden-gate-colleges/science/bera-ethical-guidelines-2018-4th-ed/6236420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2305107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AD8CD7-72E5-4F81-81C6-6AA86B2D8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2630</TotalTime>
  <Pages>13</Pages>
  <Words>5495</Words>
  <Characters>29167</Characters>
  <Application>Microsoft Office Word</Application>
  <DocSecurity>0</DocSecurity>
  <Lines>473</Lines>
  <Paragraphs>120</Paragraphs>
  <ScaleCrop>false</ScaleCrop>
  <HeadingPairs>
    <vt:vector size="2" baseType="variant">
      <vt:variant>
        <vt:lpstr>Title</vt:lpstr>
      </vt:variant>
      <vt:variant>
        <vt:i4>1</vt:i4>
      </vt:variant>
    </vt:vector>
  </HeadingPairs>
  <TitlesOfParts>
    <vt:vector size="1" baseType="lpstr">
      <vt:lpstr>Gwerthusiad beirniadol a nodi'r camau addysgu a dysgu nesaf sy'n 
canolbwyntio ar astudiaeth achos o ddysgwr unigol neu grŵp o ddysgwyr, yn seiliedig ar 
ddigwyddiad critigol a arsylwyd.</vt:lpstr>
    </vt:vector>
  </TitlesOfParts>
  <Company/>
  <LinksUpToDate>false</LinksUpToDate>
  <CharactersWithSpaces>34640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Gwerthusiad beirniadol a nodi'r camau addysgu a dysgu nesaf sy'n 
canolbwyntio ar astudiaeth achos o ddysgwr unigol neu grŵp o ddysgwyr, yn seiliedig ar 
ddigwyddiad critigol a arsylwyd.</dc:title>
  <dc:subject>Digwyddiad critigol: gwahaniaethu</dc:subject>
  <dc:creator>Gwenan Evans</dc:creator>
  <cp:keywords/>
  <dc:description/>
  <cp:lastModifiedBy>Gwenan Evans</cp:lastModifiedBy>
  <cp:revision>304</cp:revision>
  <dcterms:created xsi:type="dcterms:W3CDTF">2023-10-12T17:27:00Z</dcterms:created>
  <dcterms:modified xsi:type="dcterms:W3CDTF">2023-11-05T15:35:00Z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416508f338cec976c7c78fef5bc9b8140b184d26596198bd1d18acaf1b1a8b92</vt:lpwstr>
  </property>
</Properties>
</file>