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4E3A3B7A" w14:textId="5A8A95C7" w:rsidR="00B21ECD" w:rsidRPr="00A36AC1" w:rsidRDefault="00C1554D" w:rsidP="000B31CA">
      <w:pPr>
        <w:jc w:val="center"/>
        <w:rPr>
          <w:rFonts w:ascii="Arial" w:hAnsi="Arial" w:cs="Arial"/>
          <w:b/>
          <w:bCs/>
          <w:sz w:val="24"/>
          <w:szCs w:val="24"/>
        </w:rPr>
      </w:pPr>
      <w:r w:rsidRPr="00A36AC1">
        <w:rPr>
          <w:rFonts w:ascii="Arial" w:hAnsi="Arial" w:cs="Arial"/>
          <w:b/>
          <w:bCs/>
          <w:sz w:val="24"/>
          <w:szCs w:val="24"/>
        </w:rPr>
        <w:t xml:space="preserve">Component </w:t>
      </w:r>
      <w:r w:rsidR="00A36AC1" w:rsidRPr="00A36AC1">
        <w:rPr>
          <w:rFonts w:ascii="Arial" w:hAnsi="Arial" w:cs="Arial"/>
          <w:b/>
          <w:bCs/>
          <w:sz w:val="24"/>
          <w:szCs w:val="24"/>
        </w:rPr>
        <w:t>1</w:t>
      </w:r>
      <w:r w:rsidRPr="00A36AC1">
        <w:rPr>
          <w:rFonts w:ascii="Arial" w:hAnsi="Arial" w:cs="Arial"/>
          <w:b/>
          <w:bCs/>
          <w:sz w:val="24"/>
          <w:szCs w:val="24"/>
        </w:rPr>
        <w:t xml:space="preserve"> - </w:t>
      </w:r>
      <w:r w:rsidR="00A36AC1" w:rsidRPr="00A36AC1">
        <w:rPr>
          <w:rFonts w:ascii="Arial" w:hAnsi="Arial" w:cs="Arial"/>
          <w:b/>
          <w:bCs/>
          <w:sz w:val="24"/>
          <w:szCs w:val="24"/>
        </w:rPr>
        <w:t>Individual</w:t>
      </w:r>
      <w:r w:rsidR="000B31CA" w:rsidRPr="00A36AC1">
        <w:rPr>
          <w:rFonts w:ascii="Arial" w:hAnsi="Arial" w:cs="Arial"/>
          <w:b/>
          <w:bCs/>
          <w:sz w:val="24"/>
          <w:szCs w:val="24"/>
        </w:rPr>
        <w:t xml:space="preserve"> Report</w:t>
      </w:r>
    </w:p>
    <w:p w14:paraId="151504F2" w14:textId="09D91746" w:rsidR="000B31CA" w:rsidRPr="00A36AC1" w:rsidRDefault="000B31CA" w:rsidP="000B31CA">
      <w:pPr>
        <w:jc w:val="center"/>
        <w:rPr>
          <w:rFonts w:ascii="Arial" w:hAnsi="Arial" w:cs="Arial"/>
          <w:sz w:val="24"/>
          <w:szCs w:val="24"/>
        </w:rPr>
      </w:pPr>
      <w:r w:rsidRPr="00A36AC1">
        <w:rPr>
          <w:rFonts w:ascii="Arial" w:hAnsi="Arial" w:cs="Arial"/>
          <w:sz w:val="24"/>
          <w:szCs w:val="24"/>
        </w:rPr>
        <w:t>Student Name:</w:t>
      </w:r>
    </w:p>
    <w:p w14:paraId="0F8646DB" w14:textId="551A43E5" w:rsidR="000B31CA" w:rsidRPr="00A36AC1" w:rsidRDefault="000B31CA" w:rsidP="000B31CA">
      <w:pPr>
        <w:jc w:val="center"/>
        <w:rPr>
          <w:rFonts w:ascii="Arial" w:hAnsi="Arial" w:cs="Arial"/>
          <w:sz w:val="24"/>
          <w:szCs w:val="24"/>
        </w:rPr>
      </w:pPr>
      <w:r w:rsidRPr="00A36AC1">
        <w:rPr>
          <w:rFonts w:ascii="Arial" w:hAnsi="Arial" w:cs="Arial"/>
          <w:sz w:val="24"/>
          <w:szCs w:val="24"/>
        </w:rPr>
        <w:t>Student Number:</w:t>
      </w:r>
    </w:p>
    <w:p w14:paraId="6BAB90F0" w14:textId="16C73B1C" w:rsidR="000B31CA" w:rsidRPr="00A36AC1" w:rsidRDefault="000B31CA" w:rsidP="000B31CA">
      <w:pPr>
        <w:jc w:val="center"/>
        <w:rPr>
          <w:rFonts w:ascii="Arial" w:hAnsi="Arial" w:cs="Arial"/>
          <w:sz w:val="24"/>
          <w:szCs w:val="24"/>
        </w:rPr>
      </w:pPr>
      <w:r w:rsidRPr="00A36AC1">
        <w:rPr>
          <w:rFonts w:ascii="Arial" w:hAnsi="Arial" w:cs="Arial"/>
          <w:sz w:val="24"/>
          <w:szCs w:val="24"/>
        </w:rPr>
        <w:t xml:space="preserve">Lecturer Name: </w:t>
      </w:r>
    </w:p>
    <w:p w14:paraId="29151C78" w14:textId="09D4CA1C"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w:t>
      </w:r>
      <w:r w:rsidR="00E8428C">
        <w:rPr>
          <w:rFonts w:ascii="Arial" w:hAnsi="Arial" w:cs="Arial"/>
          <w:b/>
          <w:bCs/>
          <w:sz w:val="24"/>
          <w:szCs w:val="24"/>
        </w:rPr>
        <w:t>5002</w:t>
      </w:r>
      <w:r w:rsidR="000B31CA" w:rsidRPr="00A36AC1">
        <w:rPr>
          <w:rFonts w:ascii="Arial" w:hAnsi="Arial" w:cs="Arial"/>
          <w:b/>
          <w:bCs/>
          <w:sz w:val="24"/>
          <w:szCs w:val="24"/>
        </w:rPr>
        <w:t>_BIRM</w:t>
      </w:r>
    </w:p>
    <w:p w14:paraId="2E8EAAA3" w14:textId="0F4E1AAC" w:rsidR="000B31CA" w:rsidRPr="00A36AC1" w:rsidRDefault="00E8428C" w:rsidP="000B31CA">
      <w:pPr>
        <w:jc w:val="center"/>
        <w:rPr>
          <w:rFonts w:ascii="Arial" w:hAnsi="Arial" w:cs="Arial"/>
          <w:b/>
          <w:bCs/>
          <w:sz w:val="24"/>
          <w:szCs w:val="24"/>
        </w:rPr>
      </w:pPr>
      <w:r>
        <w:rPr>
          <w:rFonts w:ascii="Arial" w:hAnsi="Arial" w:cs="Arial"/>
          <w:b/>
          <w:bCs/>
          <w:sz w:val="24"/>
          <w:szCs w:val="24"/>
        </w:rPr>
        <w:t>Management Accounting</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Theme="minorHAnsi" w:eastAsiaTheme="minorHAnsi" w:hAnsiTheme="minorHAnsi" w:cs="Arial"/>
          <w:sz w:val="24"/>
          <w:szCs w:val="24"/>
          <w:lang w:val="en-GB"/>
        </w:rPr>
        <w:id w:val="-2141098255"/>
        <w:docPartObj>
          <w:docPartGallery w:val="Table of Contents"/>
          <w:docPartUnique/>
        </w:docPartObj>
      </w:sdtPr>
      <w:sdtEndPr>
        <w:rPr>
          <w:b/>
          <w:bCs/>
          <w:noProof/>
        </w:rPr>
      </w:sdtEndPr>
      <w:sdtContent>
        <w:p w14:paraId="63DC040C" w14:textId="0EC8126B" w:rsidR="00164B3B" w:rsidRPr="00A36AC1" w:rsidRDefault="00A36AC1">
          <w:pPr>
            <w:pStyle w:val="Titlucuprins"/>
            <w:rPr>
              <w:rFonts w:cs="Arial"/>
              <w:b/>
              <w:bCs/>
              <w:sz w:val="24"/>
              <w:szCs w:val="24"/>
            </w:rPr>
          </w:pPr>
          <w:r w:rsidRPr="00A36AC1">
            <w:rPr>
              <w:rFonts w:eastAsiaTheme="minorHAnsi" w:cs="Arial"/>
              <w:b/>
              <w:bCs/>
              <w:sz w:val="24"/>
              <w:szCs w:val="24"/>
              <w:lang w:val="en-GB"/>
            </w:rPr>
            <w:t>Table of con</w:t>
          </w:r>
          <w:r w:rsidR="00164B3B" w:rsidRPr="00A36AC1">
            <w:rPr>
              <w:rFonts w:cs="Arial"/>
              <w:b/>
              <w:bCs/>
              <w:sz w:val="24"/>
              <w:szCs w:val="24"/>
            </w:rPr>
            <w:t>tents</w:t>
          </w:r>
        </w:p>
        <w:p w14:paraId="249FC971" w14:textId="77777777" w:rsidR="004C5017" w:rsidRPr="004C5017" w:rsidRDefault="00164B3B" w:rsidP="004C5017">
          <w:pPr>
            <w:pStyle w:val="Cuprins1"/>
            <w:spacing w:line="360" w:lineRule="auto"/>
            <w:jc w:val="both"/>
            <w:rPr>
              <w:rFonts w:eastAsiaTheme="minorEastAsia"/>
              <w:b w:val="0"/>
              <w:bCs w:val="0"/>
              <w:lang w:val="en-US"/>
            </w:rPr>
          </w:pPr>
          <w:r w:rsidRPr="00A36AC1">
            <w:rPr>
              <w:noProof w:val="0"/>
              <w:sz w:val="24"/>
              <w:szCs w:val="24"/>
            </w:rPr>
            <w:fldChar w:fldCharType="begin"/>
          </w:r>
          <w:r w:rsidRPr="00A36AC1">
            <w:rPr>
              <w:sz w:val="24"/>
              <w:szCs w:val="24"/>
            </w:rPr>
            <w:instrText xml:space="preserve"> TOC \o "1-3" \h \z \u </w:instrText>
          </w:r>
          <w:r w:rsidRPr="00A36AC1">
            <w:rPr>
              <w:noProof w:val="0"/>
              <w:sz w:val="24"/>
              <w:szCs w:val="24"/>
            </w:rPr>
            <w:fldChar w:fldCharType="separate"/>
          </w:r>
          <w:hyperlink w:anchor="_Toc127095683" w:history="1">
            <w:r w:rsidR="004C5017" w:rsidRPr="004C5017">
              <w:rPr>
                <w:rStyle w:val="Hyperlink"/>
              </w:rPr>
              <w:t>Introduction</w:t>
            </w:r>
            <w:r w:rsidR="004C5017" w:rsidRPr="004C5017">
              <w:rPr>
                <w:webHidden/>
              </w:rPr>
              <w:tab/>
            </w:r>
            <w:r w:rsidR="004C5017" w:rsidRPr="004C5017">
              <w:rPr>
                <w:webHidden/>
              </w:rPr>
              <w:fldChar w:fldCharType="begin"/>
            </w:r>
            <w:r w:rsidR="004C5017" w:rsidRPr="004C5017">
              <w:rPr>
                <w:webHidden/>
              </w:rPr>
              <w:instrText xml:space="preserve"> PAGEREF _Toc127095683 \h </w:instrText>
            </w:r>
            <w:r w:rsidR="004C5017" w:rsidRPr="004C5017">
              <w:rPr>
                <w:webHidden/>
              </w:rPr>
            </w:r>
            <w:r w:rsidR="004C5017" w:rsidRPr="004C5017">
              <w:rPr>
                <w:webHidden/>
              </w:rPr>
              <w:fldChar w:fldCharType="separate"/>
            </w:r>
            <w:r w:rsidR="004C5017" w:rsidRPr="004C5017">
              <w:rPr>
                <w:webHidden/>
              </w:rPr>
              <w:t>1</w:t>
            </w:r>
            <w:r w:rsidR="004C5017" w:rsidRPr="004C5017">
              <w:rPr>
                <w:webHidden/>
              </w:rPr>
              <w:fldChar w:fldCharType="end"/>
            </w:r>
          </w:hyperlink>
        </w:p>
        <w:p w14:paraId="20FFA8F4" w14:textId="77777777" w:rsidR="004C5017" w:rsidRPr="004C5017" w:rsidRDefault="00D43A57" w:rsidP="004C5017">
          <w:pPr>
            <w:pStyle w:val="Cuprins1"/>
            <w:spacing w:line="360" w:lineRule="auto"/>
            <w:jc w:val="both"/>
            <w:rPr>
              <w:rFonts w:eastAsiaTheme="minorEastAsia"/>
              <w:b w:val="0"/>
              <w:bCs w:val="0"/>
              <w:lang w:val="en-US"/>
            </w:rPr>
          </w:pPr>
          <w:hyperlink w:anchor="_Toc127095684" w:history="1">
            <w:r w:rsidR="004C5017" w:rsidRPr="004C5017">
              <w:rPr>
                <w:rStyle w:val="Hyperlink"/>
              </w:rPr>
              <w:t>A</w:t>
            </w:r>
            <w:r w:rsidR="004C5017" w:rsidRPr="004C5017">
              <w:rPr>
                <w:webHidden/>
              </w:rPr>
              <w:tab/>
            </w:r>
            <w:r w:rsidR="004C5017" w:rsidRPr="004C5017">
              <w:rPr>
                <w:webHidden/>
              </w:rPr>
              <w:fldChar w:fldCharType="begin"/>
            </w:r>
            <w:r w:rsidR="004C5017" w:rsidRPr="004C5017">
              <w:rPr>
                <w:webHidden/>
              </w:rPr>
              <w:instrText xml:space="preserve"> PAGEREF _Toc127095684 \h </w:instrText>
            </w:r>
            <w:r w:rsidR="004C5017" w:rsidRPr="004C5017">
              <w:rPr>
                <w:webHidden/>
              </w:rPr>
            </w:r>
            <w:r w:rsidR="004C5017" w:rsidRPr="004C5017">
              <w:rPr>
                <w:webHidden/>
              </w:rPr>
              <w:fldChar w:fldCharType="separate"/>
            </w:r>
            <w:r w:rsidR="004C5017" w:rsidRPr="004C5017">
              <w:rPr>
                <w:webHidden/>
              </w:rPr>
              <w:t>1</w:t>
            </w:r>
            <w:r w:rsidR="004C5017" w:rsidRPr="004C5017">
              <w:rPr>
                <w:webHidden/>
              </w:rPr>
              <w:fldChar w:fldCharType="end"/>
            </w:r>
          </w:hyperlink>
        </w:p>
        <w:p w14:paraId="0B015543"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85" w:history="1">
            <w:r w:rsidR="004C5017" w:rsidRPr="004C5017">
              <w:rPr>
                <w:rStyle w:val="Hyperlink"/>
                <w:rFonts w:ascii="Arial" w:hAnsi="Arial" w:cs="Arial"/>
                <w:b/>
                <w:noProof/>
              </w:rPr>
              <w:t>1.1 Marginal costing and Absorption costing</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_Toc127095685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1</w:t>
            </w:r>
            <w:r w:rsidR="004C5017" w:rsidRPr="004C5017">
              <w:rPr>
                <w:rFonts w:ascii="Arial" w:hAnsi="Arial" w:cs="Arial"/>
                <w:noProof/>
                <w:webHidden/>
              </w:rPr>
              <w:fldChar w:fldCharType="end"/>
            </w:r>
          </w:hyperlink>
        </w:p>
        <w:p w14:paraId="4D309CCB"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86" w:history="1">
            <w:r w:rsidR="004C5017" w:rsidRPr="004C5017">
              <w:rPr>
                <w:rStyle w:val="Hyperlink"/>
                <w:rFonts w:ascii="Arial" w:hAnsi="Arial" w:cs="Arial"/>
                <w:b/>
                <w:noProof/>
              </w:rPr>
              <w:t xml:space="preserve">1.2 </w:t>
            </w:r>
            <w:r w:rsidR="004C5017" w:rsidRPr="004C5017">
              <w:rPr>
                <w:rStyle w:val="Hyperlink"/>
                <w:rFonts w:ascii="Arial" w:hAnsi="Arial" w:cs="Arial"/>
                <w:b/>
                <w:i/>
                <w:noProof/>
              </w:rPr>
              <w:t>Marginal Costing Statement for December 2022</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_Toc127095686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4</w:t>
            </w:r>
            <w:r w:rsidR="004C5017" w:rsidRPr="004C5017">
              <w:rPr>
                <w:rFonts w:ascii="Arial" w:hAnsi="Arial" w:cs="Arial"/>
                <w:noProof/>
                <w:webHidden/>
              </w:rPr>
              <w:fldChar w:fldCharType="end"/>
            </w:r>
          </w:hyperlink>
        </w:p>
        <w:p w14:paraId="5CFBED17"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87" w:history="1">
            <w:r w:rsidR="004C5017" w:rsidRPr="004C5017">
              <w:rPr>
                <w:rStyle w:val="Hyperlink"/>
                <w:rFonts w:ascii="Arial" w:hAnsi="Arial" w:cs="Arial"/>
                <w:b/>
                <w:noProof/>
              </w:rPr>
              <w:t xml:space="preserve">1.3 </w:t>
            </w:r>
            <w:r w:rsidR="004C5017" w:rsidRPr="004C5017">
              <w:rPr>
                <w:rStyle w:val="Hyperlink"/>
                <w:rFonts w:ascii="Arial" w:hAnsi="Arial" w:cs="Arial"/>
                <w:b/>
                <w:i/>
                <w:noProof/>
              </w:rPr>
              <w:t>Marginal Costing Statement showing the results if MSG stops making Hoists</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_Toc127095687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4</w:t>
            </w:r>
            <w:r w:rsidR="004C5017" w:rsidRPr="004C5017">
              <w:rPr>
                <w:rFonts w:ascii="Arial" w:hAnsi="Arial" w:cs="Arial"/>
                <w:noProof/>
                <w:webHidden/>
              </w:rPr>
              <w:fldChar w:fldCharType="end"/>
            </w:r>
          </w:hyperlink>
        </w:p>
        <w:p w14:paraId="47C360EC"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88" w:history="1">
            <w:r w:rsidR="004C5017" w:rsidRPr="004C5017">
              <w:rPr>
                <w:rStyle w:val="Hyperlink"/>
                <w:rFonts w:ascii="Arial" w:hAnsi="Arial" w:cs="Arial"/>
                <w:b/>
                <w:noProof/>
              </w:rPr>
              <w:t xml:space="preserve">1.4 </w:t>
            </w:r>
            <w:r w:rsidR="004C5017" w:rsidRPr="004C5017">
              <w:rPr>
                <w:rStyle w:val="Hyperlink"/>
                <w:rFonts w:ascii="Arial" w:hAnsi="Arial" w:cs="Arial"/>
                <w:b/>
                <w:i/>
                <w:noProof/>
              </w:rPr>
              <w:t>Marginal Costing Statement showing the results if MSG stops making Mobile Beds</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_Toc127095688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5</w:t>
            </w:r>
            <w:r w:rsidR="004C5017" w:rsidRPr="004C5017">
              <w:rPr>
                <w:rFonts w:ascii="Arial" w:hAnsi="Arial" w:cs="Arial"/>
                <w:noProof/>
                <w:webHidden/>
              </w:rPr>
              <w:fldChar w:fldCharType="end"/>
            </w:r>
          </w:hyperlink>
        </w:p>
        <w:p w14:paraId="2D6A2835"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89" w:history="1">
            <w:r w:rsidR="004C5017" w:rsidRPr="004C5017">
              <w:rPr>
                <w:rStyle w:val="Hyperlink"/>
                <w:rFonts w:ascii="Arial" w:hAnsi="Arial" w:cs="Arial"/>
                <w:b/>
                <w:noProof/>
              </w:rPr>
              <w:t>1.5 Impact in terms of long-term business profitability and sustainable growth for ceasing production of Hoists and Mobile Beds</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_Toc127095689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6</w:t>
            </w:r>
            <w:r w:rsidR="004C5017" w:rsidRPr="004C5017">
              <w:rPr>
                <w:rFonts w:ascii="Arial" w:hAnsi="Arial" w:cs="Arial"/>
                <w:noProof/>
                <w:webHidden/>
              </w:rPr>
              <w:fldChar w:fldCharType="end"/>
            </w:r>
          </w:hyperlink>
        </w:p>
        <w:p w14:paraId="5C95575D" w14:textId="77777777" w:rsidR="004C5017" w:rsidRPr="004C5017" w:rsidRDefault="00D43A57" w:rsidP="004C5017">
          <w:pPr>
            <w:pStyle w:val="Cuprins1"/>
            <w:spacing w:line="360" w:lineRule="auto"/>
            <w:jc w:val="both"/>
            <w:rPr>
              <w:rFonts w:eastAsiaTheme="minorEastAsia"/>
              <w:b w:val="0"/>
              <w:bCs w:val="0"/>
              <w:lang w:val="en-US"/>
            </w:rPr>
          </w:pPr>
          <w:hyperlink w:anchor="_Toc127095690" w:history="1">
            <w:r w:rsidR="004C5017" w:rsidRPr="004C5017">
              <w:rPr>
                <w:rStyle w:val="Hyperlink"/>
              </w:rPr>
              <w:t>B</w:t>
            </w:r>
            <w:r w:rsidR="004C5017" w:rsidRPr="004C5017">
              <w:rPr>
                <w:webHidden/>
              </w:rPr>
              <w:tab/>
            </w:r>
            <w:r w:rsidR="004C5017" w:rsidRPr="004C5017">
              <w:rPr>
                <w:webHidden/>
              </w:rPr>
              <w:fldChar w:fldCharType="begin"/>
            </w:r>
            <w:r w:rsidR="004C5017" w:rsidRPr="004C5017">
              <w:rPr>
                <w:webHidden/>
              </w:rPr>
              <w:instrText xml:space="preserve"> PAGEREF _Toc127095690 \h </w:instrText>
            </w:r>
            <w:r w:rsidR="004C5017" w:rsidRPr="004C5017">
              <w:rPr>
                <w:webHidden/>
              </w:rPr>
            </w:r>
            <w:r w:rsidR="004C5017" w:rsidRPr="004C5017">
              <w:rPr>
                <w:webHidden/>
              </w:rPr>
              <w:fldChar w:fldCharType="separate"/>
            </w:r>
            <w:r w:rsidR="004C5017" w:rsidRPr="004C5017">
              <w:rPr>
                <w:webHidden/>
              </w:rPr>
              <w:t>7</w:t>
            </w:r>
            <w:r w:rsidR="004C5017" w:rsidRPr="004C5017">
              <w:rPr>
                <w:webHidden/>
              </w:rPr>
              <w:fldChar w:fldCharType="end"/>
            </w:r>
          </w:hyperlink>
        </w:p>
        <w:p w14:paraId="68456A04"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91" w:history="1">
            <w:r w:rsidR="004C5017" w:rsidRPr="004C5017">
              <w:rPr>
                <w:rStyle w:val="Hyperlink"/>
                <w:rFonts w:ascii="Arial" w:hAnsi="Arial" w:cs="Arial"/>
                <w:b/>
                <w:noProof/>
              </w:rPr>
              <w:t>2.1 Break-even unit</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_Toc127095691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7</w:t>
            </w:r>
            <w:r w:rsidR="004C5017" w:rsidRPr="004C5017">
              <w:rPr>
                <w:rFonts w:ascii="Arial" w:hAnsi="Arial" w:cs="Arial"/>
                <w:noProof/>
                <w:webHidden/>
              </w:rPr>
              <w:fldChar w:fldCharType="end"/>
            </w:r>
          </w:hyperlink>
        </w:p>
        <w:p w14:paraId="4A01167C"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92" w:history="1">
            <w:r w:rsidR="004C5017" w:rsidRPr="004C5017">
              <w:rPr>
                <w:rStyle w:val="Hyperlink"/>
                <w:rFonts w:ascii="Arial" w:hAnsi="Arial" w:cs="Arial"/>
                <w:b/>
                <w:noProof/>
              </w:rPr>
              <w:t>2.2 Sales volume to make a profit of £24,000</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_Toc127095692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7</w:t>
            </w:r>
            <w:r w:rsidR="004C5017" w:rsidRPr="004C5017">
              <w:rPr>
                <w:rFonts w:ascii="Arial" w:hAnsi="Arial" w:cs="Arial"/>
                <w:noProof/>
                <w:webHidden/>
              </w:rPr>
              <w:fldChar w:fldCharType="end"/>
            </w:r>
          </w:hyperlink>
        </w:p>
        <w:p w14:paraId="26C876A1"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93" w:history="1">
            <w:r w:rsidR="004C5017" w:rsidRPr="004C5017">
              <w:rPr>
                <w:rStyle w:val="Hyperlink"/>
                <w:rFonts w:ascii="Arial" w:hAnsi="Arial" w:cs="Arial"/>
                <w:b/>
                <w:noProof/>
              </w:rPr>
              <w:t>2.3 Sales volume to make a profit of</w:t>
            </w:r>
            <w:r w:rsidR="004C5017" w:rsidRPr="004C5017">
              <w:rPr>
                <w:rStyle w:val="Hyperlink"/>
                <w:rFonts w:ascii="Arial" w:hAnsi="Arial" w:cs="Arial"/>
                <w:noProof/>
              </w:rPr>
              <w:t xml:space="preserve"> </w:t>
            </w:r>
            <w:r w:rsidR="004C5017" w:rsidRPr="004C5017">
              <w:rPr>
                <w:rStyle w:val="Hyperlink"/>
                <w:rFonts w:ascii="Arial" w:hAnsi="Arial" w:cs="Arial"/>
                <w:b/>
                <w:noProof/>
              </w:rPr>
              <w:t>£18,200</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_Toc127095693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7</w:t>
            </w:r>
            <w:r w:rsidR="004C5017" w:rsidRPr="004C5017">
              <w:rPr>
                <w:rFonts w:ascii="Arial" w:hAnsi="Arial" w:cs="Arial"/>
                <w:noProof/>
                <w:webHidden/>
              </w:rPr>
              <w:fldChar w:fldCharType="end"/>
            </w:r>
          </w:hyperlink>
        </w:p>
        <w:p w14:paraId="737BC152" w14:textId="77777777" w:rsidR="004C5017" w:rsidRPr="004C5017" w:rsidRDefault="00D43A57" w:rsidP="004C5017">
          <w:pPr>
            <w:pStyle w:val="Cuprins2"/>
            <w:tabs>
              <w:tab w:val="right" w:leader="dot" w:pos="9016"/>
            </w:tabs>
            <w:spacing w:line="360" w:lineRule="auto"/>
            <w:jc w:val="both"/>
            <w:rPr>
              <w:rFonts w:ascii="Arial" w:eastAsiaTheme="minorEastAsia" w:hAnsi="Arial" w:cs="Arial"/>
              <w:noProof/>
              <w:lang w:val="en-US"/>
            </w:rPr>
          </w:pPr>
          <w:hyperlink w:anchor="_Toc127095694" w:history="1">
            <w:r w:rsidR="004C5017" w:rsidRPr="004C5017">
              <w:rPr>
                <w:rStyle w:val="Hyperlink"/>
                <w:rFonts w:ascii="Arial" w:hAnsi="Arial" w:cs="Arial"/>
                <w:b/>
                <w:noProof/>
              </w:rPr>
              <w:t>2.4 Critical discussion on the limitations of the Break-Even/ Cost-Volume-Profit Analysis and its practical applicability in DelhiCorner</w:t>
            </w:r>
            <w:r w:rsidR="004C5017" w:rsidRPr="004C5017">
              <w:rPr>
                <w:rFonts w:ascii="Arial" w:hAnsi="Arial" w:cs="Arial"/>
                <w:noProof/>
                <w:webHidden/>
              </w:rPr>
              <w:tab/>
            </w:r>
            <w:r w:rsidR="004C5017" w:rsidRPr="004C5017">
              <w:rPr>
                <w:rFonts w:ascii="Arial" w:hAnsi="Arial" w:cs="Arial"/>
                <w:noProof/>
                <w:webHidden/>
              </w:rPr>
              <w:fldChar w:fldCharType="begin"/>
            </w:r>
            <w:r w:rsidR="004C5017" w:rsidRPr="004C5017">
              <w:rPr>
                <w:rFonts w:ascii="Arial" w:hAnsi="Arial" w:cs="Arial"/>
                <w:noProof/>
                <w:webHidden/>
              </w:rPr>
              <w:instrText xml:space="preserve"> PAGEREF _Toc127095694 \h </w:instrText>
            </w:r>
            <w:r w:rsidR="004C5017" w:rsidRPr="004C5017">
              <w:rPr>
                <w:rFonts w:ascii="Arial" w:hAnsi="Arial" w:cs="Arial"/>
                <w:noProof/>
                <w:webHidden/>
              </w:rPr>
            </w:r>
            <w:r w:rsidR="004C5017" w:rsidRPr="004C5017">
              <w:rPr>
                <w:rFonts w:ascii="Arial" w:hAnsi="Arial" w:cs="Arial"/>
                <w:noProof/>
                <w:webHidden/>
              </w:rPr>
              <w:fldChar w:fldCharType="separate"/>
            </w:r>
            <w:r w:rsidR="004C5017" w:rsidRPr="004C5017">
              <w:rPr>
                <w:rFonts w:ascii="Arial" w:hAnsi="Arial" w:cs="Arial"/>
                <w:noProof/>
                <w:webHidden/>
              </w:rPr>
              <w:t>7</w:t>
            </w:r>
            <w:r w:rsidR="004C5017" w:rsidRPr="004C5017">
              <w:rPr>
                <w:rFonts w:ascii="Arial" w:hAnsi="Arial" w:cs="Arial"/>
                <w:noProof/>
                <w:webHidden/>
              </w:rPr>
              <w:fldChar w:fldCharType="end"/>
            </w:r>
          </w:hyperlink>
        </w:p>
        <w:p w14:paraId="6DB467E3" w14:textId="77777777" w:rsidR="004C5017" w:rsidRPr="004C5017" w:rsidRDefault="00D43A57" w:rsidP="004C5017">
          <w:pPr>
            <w:pStyle w:val="Cuprins1"/>
            <w:spacing w:line="360" w:lineRule="auto"/>
            <w:jc w:val="both"/>
            <w:rPr>
              <w:rFonts w:eastAsiaTheme="minorEastAsia"/>
              <w:b w:val="0"/>
              <w:bCs w:val="0"/>
              <w:lang w:val="en-US"/>
            </w:rPr>
          </w:pPr>
          <w:hyperlink w:anchor="_Toc127095695" w:history="1">
            <w:r w:rsidR="004C5017" w:rsidRPr="004C5017">
              <w:rPr>
                <w:rStyle w:val="Hyperlink"/>
              </w:rPr>
              <w:t>Conclusion</w:t>
            </w:r>
            <w:r w:rsidR="004C5017" w:rsidRPr="004C5017">
              <w:rPr>
                <w:webHidden/>
              </w:rPr>
              <w:tab/>
            </w:r>
            <w:r w:rsidR="004C5017" w:rsidRPr="004C5017">
              <w:rPr>
                <w:webHidden/>
              </w:rPr>
              <w:fldChar w:fldCharType="begin"/>
            </w:r>
            <w:r w:rsidR="004C5017" w:rsidRPr="004C5017">
              <w:rPr>
                <w:webHidden/>
              </w:rPr>
              <w:instrText xml:space="preserve"> PAGEREF _Toc127095695 \h </w:instrText>
            </w:r>
            <w:r w:rsidR="004C5017" w:rsidRPr="004C5017">
              <w:rPr>
                <w:webHidden/>
              </w:rPr>
            </w:r>
            <w:r w:rsidR="004C5017" w:rsidRPr="004C5017">
              <w:rPr>
                <w:webHidden/>
              </w:rPr>
              <w:fldChar w:fldCharType="separate"/>
            </w:r>
            <w:r w:rsidR="004C5017" w:rsidRPr="004C5017">
              <w:rPr>
                <w:webHidden/>
              </w:rPr>
              <w:t>8</w:t>
            </w:r>
            <w:r w:rsidR="004C5017" w:rsidRPr="004C5017">
              <w:rPr>
                <w:webHidden/>
              </w:rPr>
              <w:fldChar w:fldCharType="end"/>
            </w:r>
          </w:hyperlink>
        </w:p>
        <w:p w14:paraId="3D026E78" w14:textId="77777777" w:rsidR="004C5017" w:rsidRPr="004C5017" w:rsidRDefault="00D43A57" w:rsidP="004C5017">
          <w:pPr>
            <w:pStyle w:val="Cuprins1"/>
            <w:spacing w:line="360" w:lineRule="auto"/>
            <w:jc w:val="both"/>
            <w:rPr>
              <w:rFonts w:eastAsiaTheme="minorEastAsia"/>
              <w:b w:val="0"/>
              <w:bCs w:val="0"/>
              <w:lang w:val="en-US"/>
            </w:rPr>
          </w:pPr>
          <w:hyperlink w:anchor="_Toc127095696" w:history="1">
            <w:r w:rsidR="004C5017" w:rsidRPr="004C5017">
              <w:rPr>
                <w:rStyle w:val="Hyperlink"/>
              </w:rPr>
              <w:t>Reference List</w:t>
            </w:r>
            <w:r w:rsidR="004C5017" w:rsidRPr="004C5017">
              <w:rPr>
                <w:webHidden/>
              </w:rPr>
              <w:tab/>
            </w:r>
            <w:r w:rsidR="004C5017" w:rsidRPr="004C5017">
              <w:rPr>
                <w:webHidden/>
              </w:rPr>
              <w:fldChar w:fldCharType="begin"/>
            </w:r>
            <w:r w:rsidR="004C5017" w:rsidRPr="004C5017">
              <w:rPr>
                <w:webHidden/>
              </w:rPr>
              <w:instrText xml:space="preserve"> PAGEREF _Toc127095696 \h </w:instrText>
            </w:r>
            <w:r w:rsidR="004C5017" w:rsidRPr="004C5017">
              <w:rPr>
                <w:webHidden/>
              </w:rPr>
            </w:r>
            <w:r w:rsidR="004C5017" w:rsidRPr="004C5017">
              <w:rPr>
                <w:webHidden/>
              </w:rPr>
              <w:fldChar w:fldCharType="separate"/>
            </w:r>
            <w:r w:rsidR="004C5017" w:rsidRPr="004C5017">
              <w:rPr>
                <w:webHidden/>
              </w:rPr>
              <w:t>9</w:t>
            </w:r>
            <w:r w:rsidR="004C5017" w:rsidRPr="004C5017">
              <w:rPr>
                <w:webHidden/>
              </w:rPr>
              <w:fldChar w:fldCharType="end"/>
            </w:r>
          </w:hyperlink>
        </w:p>
        <w:p w14:paraId="0A943A67" w14:textId="1B0CC3A8" w:rsidR="00164B3B" w:rsidRPr="00A36AC1" w:rsidRDefault="00164B3B">
          <w:pPr>
            <w:rPr>
              <w:rFonts w:ascii="Arial" w:hAnsi="Arial" w:cs="Arial"/>
              <w:sz w:val="24"/>
              <w:szCs w:val="24"/>
            </w:rPr>
          </w:pPr>
          <w:r w:rsidRPr="00A36AC1">
            <w:rPr>
              <w:rFonts w:ascii="Arial" w:hAnsi="Arial" w:cs="Arial"/>
              <w:b/>
              <w:bCs/>
              <w:noProof/>
              <w:sz w:val="24"/>
              <w:szCs w:val="24"/>
            </w:rPr>
            <w:fldChar w:fldCharType="end"/>
          </w:r>
        </w:p>
      </w:sdtContent>
    </w:sdt>
    <w:p w14:paraId="190CBE73" w14:textId="40EE2B8D" w:rsidR="00C1554D" w:rsidRPr="00A36AC1" w:rsidRDefault="00C1554D">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Pr="00A36AC1" w:rsidRDefault="00A36AC1">
      <w:pPr>
        <w:rPr>
          <w:rFonts w:ascii="Arial" w:hAnsi="Arial" w:cs="Arial"/>
          <w:sz w:val="24"/>
          <w:szCs w:val="24"/>
        </w:rPr>
      </w:pPr>
    </w:p>
    <w:p w14:paraId="00E52FE4" w14:textId="736ADC05" w:rsidR="00A36AC1" w:rsidRPr="00A36AC1" w:rsidRDefault="00A36AC1">
      <w:pPr>
        <w:rPr>
          <w:rFonts w:ascii="Arial" w:hAnsi="Arial" w:cs="Arial"/>
          <w:sz w:val="24"/>
          <w:szCs w:val="24"/>
        </w:rPr>
      </w:pPr>
    </w:p>
    <w:p w14:paraId="6587B3BC" w14:textId="22072BB5" w:rsidR="00A36AC1" w:rsidRPr="00A36AC1" w:rsidRDefault="00A36AC1">
      <w:pPr>
        <w:rPr>
          <w:rFonts w:ascii="Arial" w:hAnsi="Arial" w:cs="Arial"/>
          <w:sz w:val="24"/>
          <w:szCs w:val="24"/>
        </w:rPr>
      </w:pPr>
    </w:p>
    <w:p w14:paraId="082494A0" w14:textId="7E6677BE" w:rsidR="00A36AC1" w:rsidRPr="00A36AC1" w:rsidRDefault="00A36AC1">
      <w:pPr>
        <w:rPr>
          <w:rFonts w:ascii="Arial" w:hAnsi="Arial" w:cs="Arial"/>
          <w:sz w:val="24"/>
          <w:szCs w:val="24"/>
        </w:rPr>
      </w:pPr>
    </w:p>
    <w:p w14:paraId="3C0CA803" w14:textId="4C965BD2" w:rsidR="00A36AC1" w:rsidRPr="00A36AC1" w:rsidRDefault="00A36AC1">
      <w:pPr>
        <w:rPr>
          <w:rFonts w:ascii="Arial" w:hAnsi="Arial" w:cs="Arial"/>
          <w:sz w:val="24"/>
          <w:szCs w:val="24"/>
        </w:rPr>
      </w:pPr>
    </w:p>
    <w:p w14:paraId="3F4D743C" w14:textId="1970FFAF" w:rsidR="00A36AC1" w:rsidRPr="00A36AC1" w:rsidRDefault="00A36AC1">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576B68BB" w14:textId="4E9DC1B2" w:rsidR="00A36AC1" w:rsidRPr="00A36AC1" w:rsidRDefault="00A36AC1">
      <w:pPr>
        <w:rPr>
          <w:rFonts w:ascii="Arial" w:hAnsi="Arial" w:cs="Arial"/>
          <w:sz w:val="24"/>
          <w:szCs w:val="24"/>
        </w:rPr>
      </w:pPr>
    </w:p>
    <w:p w14:paraId="151CBBDC" w14:textId="0A5F9382" w:rsidR="00A36AC1" w:rsidRPr="00A36AC1" w:rsidRDefault="00A36AC1">
      <w:pPr>
        <w:rPr>
          <w:rFonts w:ascii="Arial" w:hAnsi="Arial" w:cs="Arial"/>
          <w:sz w:val="24"/>
          <w:szCs w:val="24"/>
        </w:rPr>
      </w:pPr>
    </w:p>
    <w:p w14:paraId="0FAA98A1" w14:textId="1EAE0705" w:rsidR="00A36AC1" w:rsidRPr="00A36AC1" w:rsidRDefault="00A36AC1">
      <w:pPr>
        <w:rPr>
          <w:rFonts w:ascii="Arial" w:hAnsi="Arial" w:cs="Arial"/>
          <w:sz w:val="24"/>
          <w:szCs w:val="24"/>
        </w:rPr>
      </w:pPr>
    </w:p>
    <w:p w14:paraId="43CB2CEC" w14:textId="6487390B" w:rsidR="00A36AC1" w:rsidRPr="00A36AC1" w:rsidRDefault="00A36AC1">
      <w:pPr>
        <w:rPr>
          <w:rFonts w:ascii="Arial" w:hAnsi="Arial" w:cs="Arial"/>
          <w:sz w:val="24"/>
          <w:szCs w:val="24"/>
        </w:rPr>
      </w:pPr>
    </w:p>
    <w:p w14:paraId="32A436A2" w14:textId="6A56AA48" w:rsidR="00A36AC1" w:rsidRPr="00A36AC1" w:rsidRDefault="00A36AC1">
      <w:pPr>
        <w:rPr>
          <w:rFonts w:ascii="Arial" w:hAnsi="Arial" w:cs="Arial"/>
          <w:b/>
          <w:bCs/>
          <w:sz w:val="24"/>
          <w:szCs w:val="24"/>
        </w:rPr>
      </w:pPr>
      <w:commentRangeStart w:id="0"/>
      <w:r w:rsidRPr="00A36AC1">
        <w:rPr>
          <w:rFonts w:ascii="Arial" w:hAnsi="Arial" w:cs="Arial"/>
          <w:b/>
          <w:bCs/>
          <w:sz w:val="24"/>
          <w:szCs w:val="24"/>
        </w:rPr>
        <w:t>REPORT</w:t>
      </w:r>
    </w:p>
    <w:p w14:paraId="19CF852B" w14:textId="49348382" w:rsidR="00A36AC1" w:rsidRPr="00A36AC1" w:rsidRDefault="00A36AC1">
      <w:pPr>
        <w:rPr>
          <w:rFonts w:ascii="Arial" w:hAnsi="Arial" w:cs="Arial"/>
          <w:b/>
          <w:bCs/>
          <w:sz w:val="24"/>
          <w:szCs w:val="24"/>
        </w:rPr>
      </w:pPr>
    </w:p>
    <w:p w14:paraId="7EA5F79A" w14:textId="67266E66" w:rsidR="00A36AC1" w:rsidRPr="00A36AC1" w:rsidRDefault="00A36AC1">
      <w:pPr>
        <w:rPr>
          <w:rFonts w:ascii="Arial" w:hAnsi="Arial" w:cs="Arial"/>
          <w:b/>
          <w:bCs/>
          <w:sz w:val="24"/>
          <w:szCs w:val="24"/>
        </w:rPr>
      </w:pPr>
      <w:r w:rsidRPr="00A36AC1">
        <w:rPr>
          <w:rFonts w:ascii="Arial" w:hAnsi="Arial" w:cs="Arial"/>
          <w:b/>
          <w:bCs/>
          <w:sz w:val="24"/>
          <w:szCs w:val="24"/>
        </w:rPr>
        <w:t>To:</w:t>
      </w:r>
    </w:p>
    <w:p w14:paraId="48663C56" w14:textId="06558FAC" w:rsidR="00A36AC1" w:rsidRPr="00A36AC1" w:rsidRDefault="00A36AC1">
      <w:pPr>
        <w:rPr>
          <w:rFonts w:ascii="Arial" w:hAnsi="Arial" w:cs="Arial"/>
          <w:b/>
          <w:bCs/>
          <w:sz w:val="24"/>
          <w:szCs w:val="24"/>
        </w:rPr>
      </w:pPr>
      <w:r w:rsidRPr="00A36AC1">
        <w:rPr>
          <w:rFonts w:ascii="Arial" w:hAnsi="Arial" w:cs="Arial"/>
          <w:b/>
          <w:bCs/>
          <w:sz w:val="24"/>
          <w:szCs w:val="24"/>
        </w:rPr>
        <w:t>From:</w:t>
      </w:r>
    </w:p>
    <w:p w14:paraId="1B7563D2" w14:textId="5DF6E793" w:rsidR="00A36AC1" w:rsidRPr="00A36AC1" w:rsidRDefault="00A36AC1">
      <w:pPr>
        <w:rPr>
          <w:rFonts w:ascii="Arial" w:hAnsi="Arial" w:cs="Arial"/>
          <w:b/>
          <w:bCs/>
          <w:sz w:val="24"/>
          <w:szCs w:val="24"/>
        </w:rPr>
      </w:pPr>
      <w:r w:rsidRPr="00A36AC1">
        <w:rPr>
          <w:rFonts w:ascii="Arial" w:hAnsi="Arial" w:cs="Arial"/>
          <w:b/>
          <w:bCs/>
          <w:sz w:val="24"/>
          <w:szCs w:val="24"/>
        </w:rPr>
        <w:t>Date:</w:t>
      </w:r>
    </w:p>
    <w:p w14:paraId="641EEB09" w14:textId="232776B7" w:rsidR="00A36AC1" w:rsidRDefault="00A36AC1">
      <w:pPr>
        <w:rPr>
          <w:rFonts w:ascii="Arial" w:hAnsi="Arial" w:cs="Arial"/>
          <w:b/>
          <w:bCs/>
          <w:sz w:val="24"/>
          <w:szCs w:val="24"/>
        </w:rPr>
      </w:pPr>
      <w:r w:rsidRPr="00A36AC1">
        <w:rPr>
          <w:rFonts w:ascii="Arial" w:hAnsi="Arial" w:cs="Arial"/>
          <w:b/>
          <w:bCs/>
          <w:sz w:val="24"/>
          <w:szCs w:val="24"/>
        </w:rPr>
        <w:t>Subject:</w:t>
      </w:r>
    </w:p>
    <w:commentRangeEnd w:id="0"/>
    <w:p w14:paraId="34FB1D51" w14:textId="77777777" w:rsidR="00FD5729" w:rsidRDefault="00335668">
      <w:pPr>
        <w:rPr>
          <w:rFonts w:ascii="Arial" w:hAnsi="Arial" w:cs="Arial"/>
          <w:b/>
          <w:bCs/>
          <w:sz w:val="24"/>
          <w:szCs w:val="24"/>
        </w:rPr>
      </w:pPr>
      <w:r>
        <w:rPr>
          <w:rStyle w:val="Referincomentariu"/>
        </w:rPr>
        <w:commentReference w:id="0"/>
      </w:r>
    </w:p>
    <w:p w14:paraId="20A06F57" w14:textId="77777777" w:rsidR="00FD5729" w:rsidRDefault="00FD5729">
      <w:pPr>
        <w:rPr>
          <w:rFonts w:ascii="Arial" w:hAnsi="Arial" w:cs="Arial"/>
          <w:b/>
          <w:bCs/>
          <w:sz w:val="24"/>
          <w:szCs w:val="24"/>
        </w:rPr>
      </w:pPr>
    </w:p>
    <w:p w14:paraId="45DC17F3" w14:textId="77777777" w:rsidR="00FD5729" w:rsidRDefault="00FD5729">
      <w:pPr>
        <w:rPr>
          <w:rFonts w:ascii="Arial" w:hAnsi="Arial" w:cs="Arial"/>
          <w:b/>
          <w:bCs/>
          <w:sz w:val="24"/>
          <w:szCs w:val="24"/>
        </w:rPr>
      </w:pPr>
    </w:p>
    <w:p w14:paraId="278F99B9" w14:textId="77777777" w:rsidR="00FD5729" w:rsidRDefault="00FD5729">
      <w:pPr>
        <w:rPr>
          <w:rFonts w:ascii="Arial" w:hAnsi="Arial" w:cs="Arial"/>
          <w:b/>
          <w:bCs/>
          <w:sz w:val="24"/>
          <w:szCs w:val="24"/>
        </w:rPr>
      </w:pPr>
    </w:p>
    <w:p w14:paraId="4B091CE2" w14:textId="77777777" w:rsidR="00FD5729" w:rsidRDefault="00FD5729">
      <w:pPr>
        <w:rPr>
          <w:rFonts w:ascii="Arial" w:hAnsi="Arial" w:cs="Arial"/>
          <w:b/>
          <w:bCs/>
          <w:sz w:val="24"/>
          <w:szCs w:val="24"/>
        </w:rPr>
      </w:pPr>
    </w:p>
    <w:p w14:paraId="37A5D94D" w14:textId="77777777" w:rsidR="00FD5729" w:rsidRDefault="00FD5729">
      <w:pPr>
        <w:rPr>
          <w:rFonts w:ascii="Arial" w:hAnsi="Arial" w:cs="Arial"/>
          <w:b/>
          <w:bCs/>
          <w:sz w:val="24"/>
          <w:szCs w:val="24"/>
        </w:rPr>
      </w:pPr>
    </w:p>
    <w:p w14:paraId="708E3896" w14:textId="77777777" w:rsidR="00FD5729" w:rsidRDefault="00FD5729">
      <w:pPr>
        <w:rPr>
          <w:rFonts w:ascii="Arial" w:hAnsi="Arial" w:cs="Arial"/>
          <w:b/>
          <w:bCs/>
          <w:sz w:val="24"/>
          <w:szCs w:val="24"/>
        </w:rPr>
      </w:pPr>
    </w:p>
    <w:p w14:paraId="1B1DB5A0" w14:textId="77777777" w:rsidR="00FD5729" w:rsidRDefault="00FD5729">
      <w:pPr>
        <w:rPr>
          <w:rFonts w:ascii="Arial" w:hAnsi="Arial" w:cs="Arial"/>
          <w:b/>
          <w:bCs/>
          <w:sz w:val="24"/>
          <w:szCs w:val="24"/>
        </w:rPr>
      </w:pPr>
    </w:p>
    <w:p w14:paraId="5DCD7A96" w14:textId="77777777" w:rsidR="00FD5729" w:rsidRDefault="00FD5729">
      <w:pPr>
        <w:rPr>
          <w:rFonts w:ascii="Arial" w:hAnsi="Arial" w:cs="Arial"/>
          <w:b/>
          <w:bCs/>
          <w:sz w:val="24"/>
          <w:szCs w:val="24"/>
        </w:rPr>
      </w:pPr>
    </w:p>
    <w:p w14:paraId="32C04D09" w14:textId="35C4F270" w:rsidR="00164B3B" w:rsidRPr="00FD5729" w:rsidRDefault="00164B3B" w:rsidP="00C34289">
      <w:pPr>
        <w:pStyle w:val="Titlu1"/>
        <w:spacing w:line="360" w:lineRule="auto"/>
        <w:rPr>
          <w:rFonts w:cs="Arial"/>
          <w:b/>
          <w:bCs/>
          <w:sz w:val="28"/>
          <w:szCs w:val="24"/>
        </w:rPr>
      </w:pPr>
      <w:bookmarkStart w:id="1" w:name="_Toc127095683"/>
      <w:r w:rsidRPr="00FD5729">
        <w:rPr>
          <w:rFonts w:cs="Arial"/>
          <w:b/>
          <w:bCs/>
          <w:sz w:val="28"/>
          <w:szCs w:val="24"/>
        </w:rPr>
        <w:t>Introduction</w:t>
      </w:r>
      <w:bookmarkEnd w:id="1"/>
    </w:p>
    <w:p w14:paraId="6A10EE88" w14:textId="4C57DBD1" w:rsidR="005F6BED" w:rsidRPr="009E3AAF" w:rsidRDefault="00A879D0" w:rsidP="00FD5729">
      <w:pPr>
        <w:spacing w:line="360" w:lineRule="auto"/>
        <w:jc w:val="both"/>
        <w:rPr>
          <w:rFonts w:ascii="Arial" w:hAnsi="Arial" w:cs="Arial"/>
          <w:color w:val="1F3864" w:themeColor="accent1" w:themeShade="80"/>
          <w:szCs w:val="24"/>
        </w:rPr>
      </w:pPr>
      <w:r w:rsidRPr="009E3AAF">
        <w:rPr>
          <w:rFonts w:ascii="Arial" w:hAnsi="Arial" w:cs="Arial"/>
          <w:color w:val="1F3864" w:themeColor="accent1" w:themeShade="80"/>
          <w:szCs w:val="24"/>
        </w:rPr>
        <w:t xml:space="preserve">Managerial accounting is the method of accounting that assists managers in </w:t>
      </w:r>
      <w:r w:rsidR="003F01FF" w:rsidRPr="009E3AAF">
        <w:rPr>
          <w:rFonts w:ascii="Arial" w:hAnsi="Arial" w:cs="Arial"/>
          <w:color w:val="1F3864" w:themeColor="accent1" w:themeShade="80"/>
          <w:szCs w:val="24"/>
        </w:rPr>
        <w:t>costing, planning, control,</w:t>
      </w:r>
      <w:r w:rsidRPr="009E3AAF">
        <w:rPr>
          <w:rFonts w:ascii="Arial" w:hAnsi="Arial" w:cs="Arial"/>
          <w:color w:val="1F3864" w:themeColor="accent1" w:themeShade="80"/>
          <w:szCs w:val="24"/>
        </w:rPr>
        <w:t xml:space="preserve"> decision</w:t>
      </w:r>
      <w:r w:rsidR="003F01FF" w:rsidRPr="009E3AAF">
        <w:rPr>
          <w:rFonts w:ascii="Arial" w:hAnsi="Arial" w:cs="Arial"/>
          <w:color w:val="1F3864" w:themeColor="accent1" w:themeShade="80"/>
          <w:szCs w:val="24"/>
        </w:rPr>
        <w:t xml:space="preserve"> making and performance evaluation through the use of pertinent information.</w:t>
      </w:r>
      <w:r w:rsidRPr="009E3AAF">
        <w:rPr>
          <w:rFonts w:ascii="Arial" w:hAnsi="Arial" w:cs="Arial"/>
          <w:color w:val="1F3864" w:themeColor="accent1" w:themeShade="80"/>
          <w:szCs w:val="24"/>
        </w:rPr>
        <w:t xml:space="preserve"> </w:t>
      </w:r>
      <w:r w:rsidR="00D17D8B" w:rsidRPr="009E3AAF">
        <w:rPr>
          <w:rFonts w:ascii="Arial" w:hAnsi="Arial" w:cs="Arial"/>
          <w:color w:val="1F3864" w:themeColor="accent1" w:themeShade="80"/>
          <w:szCs w:val="24"/>
        </w:rPr>
        <w:t>Marginal costing</w:t>
      </w:r>
      <w:r w:rsidR="003F01FF" w:rsidRPr="009E3AAF">
        <w:rPr>
          <w:rFonts w:ascii="Arial" w:hAnsi="Arial" w:cs="Arial"/>
          <w:color w:val="1F3864" w:themeColor="accent1" w:themeShade="80"/>
          <w:szCs w:val="24"/>
        </w:rPr>
        <w:t xml:space="preserve">, absorption </w:t>
      </w:r>
      <w:r w:rsidR="00DB3A7A" w:rsidRPr="009E3AAF">
        <w:rPr>
          <w:rFonts w:ascii="Arial" w:hAnsi="Arial" w:cs="Arial"/>
          <w:color w:val="1F3864" w:themeColor="accent1" w:themeShade="80"/>
          <w:szCs w:val="24"/>
        </w:rPr>
        <w:t>costing, break-even calculation and</w:t>
      </w:r>
      <w:r w:rsidR="003F01FF" w:rsidRPr="009E3AAF">
        <w:rPr>
          <w:rFonts w:ascii="Arial" w:hAnsi="Arial" w:cs="Arial"/>
          <w:color w:val="1F3864" w:themeColor="accent1" w:themeShade="80"/>
          <w:szCs w:val="24"/>
        </w:rPr>
        <w:t xml:space="preserve"> cost-volume-profit analysis are some of the tools that enable an organization to </w:t>
      </w:r>
      <w:r w:rsidR="00DB3A7A" w:rsidRPr="009E3AAF">
        <w:rPr>
          <w:rFonts w:ascii="Arial" w:hAnsi="Arial" w:cs="Arial"/>
          <w:color w:val="1F3864" w:themeColor="accent1" w:themeShade="80"/>
          <w:szCs w:val="24"/>
        </w:rPr>
        <w:t xml:space="preserve">determine organizational position, </w:t>
      </w:r>
      <w:r w:rsidR="003F01FF" w:rsidRPr="009E3AAF">
        <w:rPr>
          <w:rFonts w:ascii="Arial" w:hAnsi="Arial" w:cs="Arial"/>
          <w:color w:val="1F3864" w:themeColor="accent1" w:themeShade="80"/>
          <w:szCs w:val="24"/>
        </w:rPr>
        <w:t xml:space="preserve">evaluate </w:t>
      </w:r>
      <w:r w:rsidR="00DB3A7A" w:rsidRPr="009E3AAF">
        <w:rPr>
          <w:rFonts w:ascii="Arial" w:hAnsi="Arial" w:cs="Arial"/>
          <w:color w:val="1F3864" w:themeColor="accent1" w:themeShade="80"/>
          <w:szCs w:val="24"/>
        </w:rPr>
        <w:t xml:space="preserve">firm performance and make </w:t>
      </w:r>
      <w:r w:rsidR="00491B6C">
        <w:rPr>
          <w:rFonts w:ascii="Arial" w:hAnsi="Arial" w:cs="Arial"/>
          <w:color w:val="1F3864" w:themeColor="accent1" w:themeShade="80"/>
          <w:szCs w:val="24"/>
        </w:rPr>
        <w:t xml:space="preserve">the </w:t>
      </w:r>
      <w:r w:rsidR="00DB3A7A" w:rsidRPr="009E3AAF">
        <w:rPr>
          <w:rFonts w:ascii="Arial" w:hAnsi="Arial" w:cs="Arial"/>
          <w:color w:val="1F3864" w:themeColor="accent1" w:themeShade="80"/>
          <w:szCs w:val="24"/>
        </w:rPr>
        <w:t xml:space="preserve">decision. Marginal costing is a method of valuing inventory. The break-even point is a point at which production causes neither profit nor loss. This facilitates understanding how many units should be produced and at what price. In this report, how these tools help </w:t>
      </w:r>
      <w:r w:rsidR="00491B6C">
        <w:rPr>
          <w:rFonts w:ascii="Arial" w:hAnsi="Arial" w:cs="Arial"/>
          <w:color w:val="1F3864" w:themeColor="accent1" w:themeShade="80"/>
          <w:szCs w:val="24"/>
        </w:rPr>
        <w:t xml:space="preserve">the </w:t>
      </w:r>
      <w:r w:rsidR="00DB3A7A" w:rsidRPr="009E3AAF">
        <w:rPr>
          <w:rFonts w:ascii="Arial" w:hAnsi="Arial" w:cs="Arial"/>
          <w:color w:val="1F3864" w:themeColor="accent1" w:themeShade="80"/>
          <w:szCs w:val="24"/>
        </w:rPr>
        <w:t>management of Mobility Global (MG) and DelhiCorner to improve performance, make decision</w:t>
      </w:r>
      <w:r w:rsidR="00491B6C">
        <w:rPr>
          <w:rFonts w:ascii="Arial" w:hAnsi="Arial" w:cs="Arial"/>
          <w:color w:val="1F3864" w:themeColor="accent1" w:themeShade="80"/>
          <w:szCs w:val="24"/>
        </w:rPr>
        <w:t>s</w:t>
      </w:r>
      <w:r w:rsidR="00DB3A7A" w:rsidRPr="009E3AAF">
        <w:rPr>
          <w:rFonts w:ascii="Arial" w:hAnsi="Arial" w:cs="Arial"/>
          <w:color w:val="1F3864" w:themeColor="accent1" w:themeShade="80"/>
          <w:szCs w:val="24"/>
        </w:rPr>
        <w:t xml:space="preserve"> and plan</w:t>
      </w:r>
      <w:r w:rsidR="00FD5729" w:rsidRPr="009E3AAF">
        <w:rPr>
          <w:rFonts w:ascii="Arial" w:hAnsi="Arial" w:cs="Arial"/>
          <w:color w:val="1F3864" w:themeColor="accent1" w:themeShade="80"/>
          <w:szCs w:val="24"/>
        </w:rPr>
        <w:t xml:space="preserve"> </w:t>
      </w:r>
      <w:r w:rsidR="00DB3A7A" w:rsidRPr="009E3AAF">
        <w:rPr>
          <w:rFonts w:ascii="Arial" w:hAnsi="Arial" w:cs="Arial"/>
          <w:color w:val="1F3864" w:themeColor="accent1" w:themeShade="80"/>
          <w:szCs w:val="24"/>
        </w:rPr>
        <w:t xml:space="preserve">will be shown. </w:t>
      </w:r>
    </w:p>
    <w:p w14:paraId="2BE56298" w14:textId="5AB17F70" w:rsidR="001C2CA9" w:rsidRPr="00CE7E92" w:rsidRDefault="00170767" w:rsidP="00170767">
      <w:pPr>
        <w:pStyle w:val="Titlu1"/>
        <w:spacing w:line="360" w:lineRule="auto"/>
        <w:jc w:val="center"/>
        <w:rPr>
          <w:rFonts w:cs="Arial"/>
          <w:b/>
          <w:sz w:val="28"/>
        </w:rPr>
      </w:pPr>
      <w:bookmarkStart w:id="2" w:name="_Toc127095684"/>
      <w:r w:rsidRPr="00CE7E92">
        <w:rPr>
          <w:rFonts w:cs="Arial"/>
          <w:b/>
          <w:sz w:val="28"/>
        </w:rPr>
        <w:t>A</w:t>
      </w:r>
      <w:bookmarkEnd w:id="2"/>
    </w:p>
    <w:p w14:paraId="2BDF6837" w14:textId="77777777" w:rsidR="001C2CA9" w:rsidRPr="00A36AC1" w:rsidRDefault="001C2CA9" w:rsidP="00A306E2">
      <w:pPr>
        <w:rPr>
          <w:rFonts w:ascii="Arial" w:hAnsi="Arial" w:cs="Arial"/>
          <w:sz w:val="24"/>
          <w:szCs w:val="24"/>
        </w:rPr>
      </w:pPr>
    </w:p>
    <w:p w14:paraId="6E29F1C3" w14:textId="1B8D7715" w:rsidR="00CE7E92" w:rsidRPr="00CE7E92" w:rsidRDefault="00C34289" w:rsidP="00CE7E92">
      <w:pPr>
        <w:pStyle w:val="Titlu2"/>
        <w:spacing w:line="360" w:lineRule="auto"/>
        <w:rPr>
          <w:rFonts w:cs="Arial"/>
          <w:b/>
        </w:rPr>
      </w:pPr>
      <w:bookmarkStart w:id="3" w:name="_Toc127095685"/>
      <w:r w:rsidRPr="00CE7E92">
        <w:rPr>
          <w:rFonts w:cs="Arial"/>
          <w:b/>
        </w:rPr>
        <w:t xml:space="preserve">1.1 </w:t>
      </w:r>
      <w:r w:rsidR="006E465C" w:rsidRPr="00003037">
        <w:rPr>
          <w:rFonts w:cs="Arial"/>
          <w:b/>
        </w:rPr>
        <w:t>Marginal costing</w:t>
      </w:r>
      <w:r w:rsidR="006E465C">
        <w:rPr>
          <w:rFonts w:cs="Arial"/>
          <w:b/>
        </w:rPr>
        <w:t xml:space="preserve"> and Absorption costing</w:t>
      </w:r>
      <w:bookmarkEnd w:id="3"/>
    </w:p>
    <w:p w14:paraId="1FE7796A" w14:textId="77777777" w:rsidR="00A36821" w:rsidRPr="006E465C" w:rsidRDefault="007A0544" w:rsidP="00170767">
      <w:pPr>
        <w:spacing w:line="360" w:lineRule="auto"/>
        <w:jc w:val="both"/>
        <w:rPr>
          <w:rFonts w:ascii="Arial" w:hAnsi="Arial" w:cs="Arial"/>
        </w:rPr>
      </w:pPr>
      <w:r w:rsidRPr="006E465C">
        <w:rPr>
          <w:rFonts w:ascii="Arial" w:hAnsi="Arial" w:cs="Arial"/>
          <w:b/>
        </w:rPr>
        <w:t xml:space="preserve">Marginal </w:t>
      </w:r>
      <w:commentRangeStart w:id="4"/>
      <w:r w:rsidRPr="006E465C">
        <w:rPr>
          <w:rFonts w:ascii="Arial" w:hAnsi="Arial" w:cs="Arial"/>
          <w:b/>
        </w:rPr>
        <w:t>costing:</w:t>
      </w:r>
      <w:r w:rsidR="00170767" w:rsidRPr="006E465C">
        <w:rPr>
          <w:rFonts w:ascii="Arial" w:hAnsi="Arial" w:cs="Arial"/>
        </w:rPr>
        <w:t xml:space="preserve"> </w:t>
      </w:r>
    </w:p>
    <w:p w14:paraId="0959FC0A" w14:textId="39D7056E" w:rsidR="001C2CA9" w:rsidRPr="006E465C" w:rsidRDefault="00170767" w:rsidP="00E86C95">
      <w:pPr>
        <w:spacing w:line="360" w:lineRule="auto"/>
        <w:jc w:val="both"/>
        <w:rPr>
          <w:rFonts w:ascii="Arial" w:hAnsi="Arial" w:cs="Arial"/>
        </w:rPr>
      </w:pPr>
      <w:r w:rsidRPr="006E465C">
        <w:rPr>
          <w:rFonts w:ascii="Arial" w:hAnsi="Arial" w:cs="Arial"/>
        </w:rPr>
        <w:t xml:space="preserve">Marginal costing </w:t>
      </w:r>
      <w:r w:rsidR="00003037" w:rsidRPr="006E465C">
        <w:rPr>
          <w:rFonts w:ascii="Arial" w:hAnsi="Arial" w:cs="Arial"/>
        </w:rPr>
        <w:t>is the valuation method that considers variable costs to derive contribution and from that contribution</w:t>
      </w:r>
      <w:r w:rsidR="006E465C" w:rsidRPr="006E465C">
        <w:rPr>
          <w:rFonts w:ascii="Arial" w:hAnsi="Arial" w:cs="Arial"/>
        </w:rPr>
        <w:t>,</w:t>
      </w:r>
      <w:r w:rsidR="00003037" w:rsidRPr="006E465C">
        <w:rPr>
          <w:rFonts w:ascii="Arial" w:hAnsi="Arial" w:cs="Arial"/>
        </w:rPr>
        <w:t xml:space="preserve"> fixed costs are deducted to determine profit</w:t>
      </w:r>
      <w:r w:rsidR="00E4398A">
        <w:rPr>
          <w:rFonts w:ascii="Arial" w:hAnsi="Arial" w:cs="Arial"/>
        </w:rPr>
        <w:t xml:space="preserve"> (Bhimani, </w:t>
      </w:r>
      <w:r w:rsidR="00E4398A" w:rsidRPr="006E465C">
        <w:rPr>
          <w:rFonts w:ascii="Arial" w:hAnsi="Arial" w:cs="Arial"/>
        </w:rPr>
        <w:t>2018)</w:t>
      </w:r>
      <w:r w:rsidR="00E86C95">
        <w:rPr>
          <w:rFonts w:ascii="Arial" w:hAnsi="Arial" w:cs="Arial"/>
        </w:rPr>
        <w:t>. If Mobility Global</w:t>
      </w:r>
      <w:r w:rsidR="00003037" w:rsidRPr="006E465C">
        <w:rPr>
          <w:rFonts w:ascii="Arial" w:hAnsi="Arial" w:cs="Arial"/>
        </w:rPr>
        <w:t xml:space="preserve"> </w:t>
      </w:r>
      <w:r w:rsidR="00E86C95">
        <w:rPr>
          <w:rFonts w:ascii="Arial" w:hAnsi="Arial" w:cs="Arial"/>
        </w:rPr>
        <w:t>abandons the production of</w:t>
      </w:r>
      <w:r w:rsidR="00E86C95" w:rsidRPr="00E86C95">
        <w:t xml:space="preserve"> </w:t>
      </w:r>
      <w:r w:rsidR="00E86C95">
        <w:rPr>
          <w:rFonts w:ascii="Arial" w:hAnsi="Arial" w:cs="Arial"/>
        </w:rPr>
        <w:t xml:space="preserve">Hoists </w:t>
      </w:r>
      <w:r w:rsidR="00E86C95" w:rsidRPr="00E86C95">
        <w:rPr>
          <w:rFonts w:ascii="Arial" w:hAnsi="Arial" w:cs="Arial"/>
        </w:rPr>
        <w:t>and Mobile Beds</w:t>
      </w:r>
      <w:r w:rsidR="00E86C95">
        <w:rPr>
          <w:rFonts w:ascii="Arial" w:hAnsi="Arial" w:cs="Arial"/>
        </w:rPr>
        <w:t xml:space="preserve">, associated variable costs are not considered. As a result, Mobility Global will not produce </w:t>
      </w:r>
      <w:r w:rsidR="00491B6C">
        <w:rPr>
          <w:rFonts w:ascii="Arial" w:hAnsi="Arial" w:cs="Arial"/>
        </w:rPr>
        <w:t xml:space="preserve">a </w:t>
      </w:r>
      <w:r w:rsidR="00E86C95">
        <w:rPr>
          <w:rFonts w:ascii="Arial" w:hAnsi="Arial" w:cs="Arial"/>
        </w:rPr>
        <w:t>marginal cost statement</w:t>
      </w:r>
      <w:r w:rsidR="00A36821" w:rsidRPr="006E465C">
        <w:rPr>
          <w:rFonts w:ascii="Arial" w:hAnsi="Arial" w:cs="Arial"/>
        </w:rPr>
        <w:t>. In marginal costing direct material costs, direct labour costs and other variable costs are considered product costs as they are charged to products and fixed costs are charged in the period the costs are incurred or the financial statements are produced because fixed costs are considered as period costs</w:t>
      </w:r>
      <w:r w:rsidR="006051FF" w:rsidRPr="006051FF">
        <w:rPr>
          <w:rFonts w:ascii="Arial" w:hAnsi="Arial" w:cs="Arial"/>
        </w:rPr>
        <w:t xml:space="preserve"> </w:t>
      </w:r>
      <w:r w:rsidR="006051FF">
        <w:rPr>
          <w:rFonts w:ascii="Arial" w:hAnsi="Arial" w:cs="Arial"/>
        </w:rPr>
        <w:t xml:space="preserve">(Blocher, </w:t>
      </w:r>
      <w:r w:rsidR="006051FF" w:rsidRPr="006E465C">
        <w:rPr>
          <w:rFonts w:ascii="Arial" w:hAnsi="Arial" w:cs="Arial"/>
        </w:rPr>
        <w:t>2019)</w:t>
      </w:r>
      <w:r w:rsidR="00A36821" w:rsidRPr="006E465C">
        <w:rPr>
          <w:rFonts w:ascii="Arial" w:hAnsi="Arial" w:cs="Arial"/>
        </w:rPr>
        <w:t xml:space="preserve">. Therefore, having </w:t>
      </w:r>
      <w:r w:rsidR="006E465C" w:rsidRPr="006E465C">
        <w:rPr>
          <w:rFonts w:ascii="Arial" w:hAnsi="Arial" w:cs="Arial"/>
        </w:rPr>
        <w:t xml:space="preserve">a </w:t>
      </w:r>
      <w:r w:rsidR="00A36821" w:rsidRPr="006E465C">
        <w:rPr>
          <w:rFonts w:ascii="Arial" w:hAnsi="Arial" w:cs="Arial"/>
        </w:rPr>
        <w:t xml:space="preserve">good understanding </w:t>
      </w:r>
      <w:r w:rsidR="006E465C" w:rsidRPr="006E465C">
        <w:rPr>
          <w:rFonts w:ascii="Arial" w:hAnsi="Arial" w:cs="Arial"/>
        </w:rPr>
        <w:t>of</w:t>
      </w:r>
      <w:r w:rsidR="00A36821" w:rsidRPr="006E465C">
        <w:rPr>
          <w:rFonts w:ascii="Arial" w:hAnsi="Arial" w:cs="Arial"/>
        </w:rPr>
        <w:t xml:space="preserve"> period and product costs is essential to calculate profit in </w:t>
      </w:r>
      <w:r w:rsidR="006E465C" w:rsidRPr="006E465C">
        <w:rPr>
          <w:rFonts w:ascii="Arial" w:hAnsi="Arial" w:cs="Arial"/>
        </w:rPr>
        <w:t xml:space="preserve">the </w:t>
      </w:r>
      <w:r w:rsidR="00A36821" w:rsidRPr="006E465C">
        <w:rPr>
          <w:rFonts w:ascii="Arial" w:hAnsi="Arial" w:cs="Arial"/>
        </w:rPr>
        <w:t xml:space="preserve">marginal costing method. </w:t>
      </w:r>
      <w:r w:rsidR="00223B25" w:rsidRPr="006E465C">
        <w:rPr>
          <w:rFonts w:ascii="Arial" w:hAnsi="Arial" w:cs="Arial"/>
        </w:rPr>
        <w:t xml:space="preserve">In </w:t>
      </w:r>
      <w:r w:rsidR="006E465C" w:rsidRPr="006E465C">
        <w:rPr>
          <w:rFonts w:ascii="Arial" w:hAnsi="Arial" w:cs="Arial"/>
        </w:rPr>
        <w:t xml:space="preserve">the </w:t>
      </w:r>
      <w:r w:rsidR="00223B25" w:rsidRPr="006E465C">
        <w:rPr>
          <w:rFonts w:ascii="Arial" w:hAnsi="Arial" w:cs="Arial"/>
        </w:rPr>
        <w:t xml:space="preserve">marginal costing method, not production or activity level but sales drive profit. Therefore, if an organization adopts </w:t>
      </w:r>
      <w:r w:rsidR="006E465C" w:rsidRPr="006E465C">
        <w:rPr>
          <w:rFonts w:ascii="Arial" w:hAnsi="Arial" w:cs="Arial"/>
        </w:rPr>
        <w:t xml:space="preserve">a </w:t>
      </w:r>
      <w:r w:rsidR="00223B25" w:rsidRPr="006E465C">
        <w:rPr>
          <w:rFonts w:ascii="Arial" w:hAnsi="Arial" w:cs="Arial"/>
        </w:rPr>
        <w:t xml:space="preserve">marginal costing method and is making </w:t>
      </w:r>
      <w:r w:rsidR="006E465C" w:rsidRPr="006E465C">
        <w:rPr>
          <w:rFonts w:ascii="Arial" w:hAnsi="Arial" w:cs="Arial"/>
        </w:rPr>
        <w:t xml:space="preserve">a </w:t>
      </w:r>
      <w:r w:rsidR="00223B25" w:rsidRPr="006E465C">
        <w:rPr>
          <w:rFonts w:ascii="Arial" w:hAnsi="Arial" w:cs="Arial"/>
        </w:rPr>
        <w:t xml:space="preserve">loss for producing a particular product, it needs to increase the product price. If the product price cannot be raised or </w:t>
      </w:r>
      <w:r w:rsidR="00AC61D1" w:rsidRPr="006E465C">
        <w:rPr>
          <w:rFonts w:ascii="Arial" w:hAnsi="Arial" w:cs="Arial"/>
        </w:rPr>
        <w:t xml:space="preserve">raising the price does not positively influence the profit of an organization, the organization should cease producing that product. </w:t>
      </w:r>
    </w:p>
    <w:p w14:paraId="4A2805F3" w14:textId="77777777" w:rsidR="00DF5D12" w:rsidRPr="006E465C" w:rsidRDefault="007A0544" w:rsidP="00170767">
      <w:pPr>
        <w:spacing w:line="360" w:lineRule="auto"/>
        <w:jc w:val="both"/>
        <w:rPr>
          <w:rFonts w:ascii="Arial" w:hAnsi="Arial" w:cs="Arial"/>
          <w:b/>
        </w:rPr>
      </w:pPr>
      <w:r w:rsidRPr="006E465C">
        <w:rPr>
          <w:rFonts w:ascii="Arial" w:hAnsi="Arial" w:cs="Arial"/>
          <w:b/>
        </w:rPr>
        <w:t xml:space="preserve">Absorption costing: </w:t>
      </w:r>
    </w:p>
    <w:p w14:paraId="48888BB8" w14:textId="3065D270" w:rsidR="007A0544" w:rsidRPr="006E465C" w:rsidRDefault="00A36821" w:rsidP="00170767">
      <w:pPr>
        <w:spacing w:line="360" w:lineRule="auto"/>
        <w:jc w:val="both"/>
        <w:rPr>
          <w:rFonts w:ascii="Arial" w:hAnsi="Arial" w:cs="Arial"/>
        </w:rPr>
      </w:pPr>
      <w:r w:rsidRPr="006E465C">
        <w:rPr>
          <w:rFonts w:ascii="Arial" w:hAnsi="Arial" w:cs="Arial"/>
        </w:rPr>
        <w:t xml:space="preserve">Absorption costing is another inventory valuation method </w:t>
      </w:r>
      <w:r w:rsidR="006E465C" w:rsidRPr="006E465C">
        <w:rPr>
          <w:rFonts w:ascii="Arial" w:hAnsi="Arial" w:cs="Arial"/>
        </w:rPr>
        <w:t xml:space="preserve">that </w:t>
      </w:r>
      <w:r w:rsidR="00DF5D12" w:rsidRPr="006E465C">
        <w:rPr>
          <w:rFonts w:ascii="Arial" w:hAnsi="Arial" w:cs="Arial"/>
        </w:rPr>
        <w:t>considers all production cost</w:t>
      </w:r>
      <w:r w:rsidR="006E465C" w:rsidRPr="006E465C">
        <w:rPr>
          <w:rFonts w:ascii="Arial" w:hAnsi="Arial" w:cs="Arial"/>
        </w:rPr>
        <w:t>s</w:t>
      </w:r>
      <w:r w:rsidR="00DF5D12" w:rsidRPr="006E465C">
        <w:rPr>
          <w:rFonts w:ascii="Arial" w:hAnsi="Arial" w:cs="Arial"/>
        </w:rPr>
        <w:t xml:space="preserve"> for valuing inventories. In </w:t>
      </w:r>
      <w:r w:rsidR="006E465C" w:rsidRPr="006E465C">
        <w:rPr>
          <w:rFonts w:ascii="Arial" w:hAnsi="Arial" w:cs="Arial"/>
        </w:rPr>
        <w:t xml:space="preserve">the </w:t>
      </w:r>
      <w:r w:rsidR="00DF5D12" w:rsidRPr="006E465C">
        <w:rPr>
          <w:rFonts w:ascii="Arial" w:hAnsi="Arial" w:cs="Arial"/>
        </w:rPr>
        <w:t xml:space="preserve">absorption costing method fixed costs are absorbed into each unit and </w:t>
      </w:r>
      <w:r w:rsidR="006E465C" w:rsidRPr="006E465C">
        <w:rPr>
          <w:rFonts w:ascii="Arial" w:hAnsi="Arial" w:cs="Arial"/>
        </w:rPr>
        <w:t>are</w:t>
      </w:r>
      <w:r w:rsidR="00DF5D12" w:rsidRPr="006E465C">
        <w:rPr>
          <w:rFonts w:ascii="Arial" w:hAnsi="Arial" w:cs="Arial"/>
        </w:rPr>
        <w:t xml:space="preserve"> treated as product cost</w:t>
      </w:r>
      <w:r w:rsidR="00E4398A">
        <w:rPr>
          <w:rFonts w:ascii="Arial" w:hAnsi="Arial" w:cs="Arial"/>
        </w:rPr>
        <w:t>s</w:t>
      </w:r>
      <w:r w:rsidR="00DF5D12" w:rsidRPr="006E465C">
        <w:rPr>
          <w:rFonts w:ascii="Arial" w:hAnsi="Arial" w:cs="Arial"/>
        </w:rPr>
        <w:t xml:space="preserve"> instead of period costs to determine profit</w:t>
      </w:r>
      <w:r w:rsidR="006051FF" w:rsidRPr="006051FF">
        <w:rPr>
          <w:rFonts w:ascii="Arial" w:hAnsi="Arial" w:cs="Arial"/>
        </w:rPr>
        <w:t xml:space="preserve"> </w:t>
      </w:r>
      <w:r w:rsidR="006051FF">
        <w:rPr>
          <w:rFonts w:ascii="Arial" w:hAnsi="Arial" w:cs="Arial"/>
        </w:rPr>
        <w:t xml:space="preserve">(Cohen, </w:t>
      </w:r>
      <w:r w:rsidR="006051FF" w:rsidRPr="006E465C">
        <w:rPr>
          <w:rFonts w:ascii="Arial" w:hAnsi="Arial" w:cs="Arial"/>
        </w:rPr>
        <w:t>2020)</w:t>
      </w:r>
      <w:r w:rsidR="00DF5D12" w:rsidRPr="006E465C">
        <w:rPr>
          <w:rFonts w:ascii="Arial" w:hAnsi="Arial" w:cs="Arial"/>
        </w:rPr>
        <w:t xml:space="preserve">. There are various ways in which </w:t>
      </w:r>
      <w:r w:rsidR="00B06990" w:rsidRPr="006E465C">
        <w:rPr>
          <w:rFonts w:ascii="Arial" w:hAnsi="Arial" w:cs="Arial"/>
        </w:rPr>
        <w:t xml:space="preserve">production or </w:t>
      </w:r>
      <w:r w:rsidR="00DF5D12" w:rsidRPr="006E465C">
        <w:rPr>
          <w:rFonts w:ascii="Arial" w:hAnsi="Arial" w:cs="Arial"/>
        </w:rPr>
        <w:t xml:space="preserve">fixed overheads are absorbed </w:t>
      </w:r>
      <w:r w:rsidR="006E465C" w:rsidRPr="006E465C">
        <w:rPr>
          <w:rFonts w:ascii="Arial" w:hAnsi="Arial" w:cs="Arial"/>
        </w:rPr>
        <w:t>in</w:t>
      </w:r>
      <w:r w:rsidR="00DF5D12" w:rsidRPr="006E465C">
        <w:rPr>
          <w:rFonts w:ascii="Arial" w:hAnsi="Arial" w:cs="Arial"/>
        </w:rPr>
        <w:t xml:space="preserve">to each unit produced and the absorption method might differ from organization to organization. </w:t>
      </w:r>
      <w:r w:rsidR="00B06990" w:rsidRPr="006E465C">
        <w:rPr>
          <w:rFonts w:ascii="Arial" w:hAnsi="Arial" w:cs="Arial"/>
        </w:rPr>
        <w:t>For determining overhead absorption rate production overhead is divided by activity level</w:t>
      </w:r>
      <w:r w:rsidR="008402C2" w:rsidRPr="006E465C">
        <w:rPr>
          <w:rFonts w:ascii="Arial" w:hAnsi="Arial" w:cs="Arial"/>
        </w:rPr>
        <w:t>. P</w:t>
      </w:r>
      <w:r w:rsidR="00B06990" w:rsidRPr="006E465C">
        <w:rPr>
          <w:rFonts w:ascii="Arial" w:hAnsi="Arial" w:cs="Arial"/>
        </w:rPr>
        <w:t xml:space="preserve">er unit, per labour hour, per machine hour, % of direct labour costs, % of direct material costs and % of </w:t>
      </w:r>
      <w:r w:rsidR="006E465C" w:rsidRPr="006E465C">
        <w:rPr>
          <w:rFonts w:ascii="Arial" w:hAnsi="Arial" w:cs="Arial"/>
        </w:rPr>
        <w:t xml:space="preserve">the </w:t>
      </w:r>
      <w:r w:rsidR="00B06990" w:rsidRPr="006E465C">
        <w:rPr>
          <w:rFonts w:ascii="Arial" w:hAnsi="Arial" w:cs="Arial"/>
        </w:rPr>
        <w:t xml:space="preserve">prime cost are </w:t>
      </w:r>
      <w:r w:rsidR="008402C2" w:rsidRPr="006E465C">
        <w:rPr>
          <w:rFonts w:ascii="Arial" w:hAnsi="Arial" w:cs="Arial"/>
        </w:rPr>
        <w:t>some of the approved bases for activity level. An organization can use any method it likes or assumes to be appropriate for treating its fixed costs as long as it is allowed by international law or accounting bodies</w:t>
      </w:r>
      <w:r w:rsidR="006051FF" w:rsidRPr="006051FF">
        <w:rPr>
          <w:rFonts w:ascii="Arial" w:hAnsi="Arial" w:cs="Arial"/>
        </w:rPr>
        <w:t xml:space="preserve"> </w:t>
      </w:r>
      <w:r w:rsidR="006051FF">
        <w:rPr>
          <w:rFonts w:ascii="Arial" w:hAnsi="Arial" w:cs="Arial"/>
        </w:rPr>
        <w:t xml:space="preserve">(Desai, and Mital, </w:t>
      </w:r>
      <w:r w:rsidR="006051FF" w:rsidRPr="006E465C">
        <w:rPr>
          <w:rFonts w:ascii="Arial" w:hAnsi="Arial" w:cs="Arial"/>
        </w:rPr>
        <w:t>2018)</w:t>
      </w:r>
      <w:r w:rsidR="008402C2" w:rsidRPr="006E465C">
        <w:rPr>
          <w:rFonts w:ascii="Arial" w:hAnsi="Arial" w:cs="Arial"/>
        </w:rPr>
        <w:t>. For example, i</w:t>
      </w:r>
      <w:r w:rsidR="006E465C" w:rsidRPr="006E465C">
        <w:rPr>
          <w:rFonts w:ascii="Arial" w:hAnsi="Arial" w:cs="Arial"/>
        </w:rPr>
        <w:t>f</w:t>
      </w:r>
      <w:r w:rsidR="008402C2" w:rsidRPr="006E465C">
        <w:rPr>
          <w:rFonts w:ascii="Arial" w:hAnsi="Arial" w:cs="Arial"/>
        </w:rPr>
        <w:t xml:space="preserve"> an organization produces </w:t>
      </w:r>
      <w:r w:rsidR="006E465C" w:rsidRPr="006E465C">
        <w:rPr>
          <w:rFonts w:ascii="Arial" w:hAnsi="Arial" w:cs="Arial"/>
        </w:rPr>
        <w:t>similar products</w:t>
      </w:r>
      <w:r w:rsidR="008402C2" w:rsidRPr="006E465C">
        <w:rPr>
          <w:rFonts w:ascii="Arial" w:hAnsi="Arial" w:cs="Arial"/>
        </w:rPr>
        <w:t xml:space="preserve"> it can use </w:t>
      </w:r>
      <w:r w:rsidR="006E465C" w:rsidRPr="006E465C">
        <w:rPr>
          <w:rFonts w:ascii="Arial" w:hAnsi="Arial" w:cs="Arial"/>
        </w:rPr>
        <w:t xml:space="preserve">the </w:t>
      </w:r>
      <w:r w:rsidR="008402C2" w:rsidRPr="006E465C">
        <w:rPr>
          <w:rFonts w:ascii="Arial" w:hAnsi="Arial" w:cs="Arial"/>
        </w:rPr>
        <w:t xml:space="preserve">per unit basis for calculating overhead absorption rate, per labour hour can be used for an organization that has labour-intensive cost centres et cetera. </w:t>
      </w:r>
    </w:p>
    <w:p w14:paraId="04D35CF4" w14:textId="00D815E6" w:rsidR="00DF5D12" w:rsidRPr="006E465C" w:rsidRDefault="008402C2" w:rsidP="00170767">
      <w:pPr>
        <w:spacing w:line="360" w:lineRule="auto"/>
        <w:jc w:val="both"/>
        <w:rPr>
          <w:rFonts w:ascii="Arial" w:hAnsi="Arial" w:cs="Arial"/>
          <w:b/>
          <w:i/>
        </w:rPr>
      </w:pPr>
      <w:r w:rsidRPr="006E465C">
        <w:rPr>
          <w:rFonts w:ascii="Arial" w:hAnsi="Arial" w:cs="Arial"/>
          <w:b/>
          <w:i/>
        </w:rPr>
        <w:t>Differences</w:t>
      </w:r>
    </w:p>
    <w:tbl>
      <w:tblPr>
        <w:tblStyle w:val="Tabelgril"/>
        <w:tblW w:w="0" w:type="auto"/>
        <w:tblLook w:val="04A0" w:firstRow="1" w:lastRow="0" w:firstColumn="1" w:lastColumn="0" w:noHBand="0" w:noVBand="1"/>
      </w:tblPr>
      <w:tblGrid>
        <w:gridCol w:w="3080"/>
        <w:gridCol w:w="3081"/>
        <w:gridCol w:w="3081"/>
      </w:tblGrid>
      <w:tr w:rsidR="008402C2" w:rsidRPr="006E465C" w14:paraId="1E08571E" w14:textId="77777777" w:rsidTr="008402C2">
        <w:tc>
          <w:tcPr>
            <w:tcW w:w="3080" w:type="dxa"/>
          </w:tcPr>
          <w:p w14:paraId="40F9A781" w14:textId="6F01C836" w:rsidR="008402C2" w:rsidRPr="009E3AAF" w:rsidRDefault="00C506FB" w:rsidP="00C506FB">
            <w:pPr>
              <w:tabs>
                <w:tab w:val="left" w:pos="1860"/>
              </w:tabs>
              <w:spacing w:line="360" w:lineRule="auto"/>
              <w:jc w:val="both"/>
              <w:rPr>
                <w:rFonts w:ascii="Arial" w:hAnsi="Arial" w:cs="Arial"/>
                <w:b/>
                <w:color w:val="1F3864" w:themeColor="accent1" w:themeShade="80"/>
              </w:rPr>
            </w:pPr>
            <w:r w:rsidRPr="009E3AAF">
              <w:rPr>
                <w:rFonts w:ascii="Arial" w:hAnsi="Arial" w:cs="Arial"/>
                <w:b/>
                <w:color w:val="1F3864" w:themeColor="accent1" w:themeShade="80"/>
              </w:rPr>
              <w:t>Differences</w:t>
            </w:r>
            <w:r w:rsidRPr="009E3AAF">
              <w:rPr>
                <w:rFonts w:ascii="Arial" w:hAnsi="Arial" w:cs="Arial"/>
                <w:b/>
                <w:color w:val="1F3864" w:themeColor="accent1" w:themeShade="80"/>
              </w:rPr>
              <w:tab/>
            </w:r>
          </w:p>
        </w:tc>
        <w:tc>
          <w:tcPr>
            <w:tcW w:w="3081" w:type="dxa"/>
          </w:tcPr>
          <w:p w14:paraId="449BC7F2" w14:textId="60901497" w:rsidR="008402C2" w:rsidRPr="009E3AAF" w:rsidRDefault="008402C2" w:rsidP="00170767">
            <w:pPr>
              <w:spacing w:line="360" w:lineRule="auto"/>
              <w:jc w:val="both"/>
              <w:rPr>
                <w:rFonts w:ascii="Arial" w:hAnsi="Arial" w:cs="Arial"/>
                <w:b/>
                <w:color w:val="1F3864" w:themeColor="accent1" w:themeShade="80"/>
              </w:rPr>
            </w:pPr>
            <w:r w:rsidRPr="009E3AAF">
              <w:rPr>
                <w:rFonts w:ascii="Arial" w:hAnsi="Arial" w:cs="Arial"/>
                <w:b/>
                <w:color w:val="1F3864" w:themeColor="accent1" w:themeShade="80"/>
              </w:rPr>
              <w:t>Absorption costing</w:t>
            </w:r>
          </w:p>
        </w:tc>
        <w:tc>
          <w:tcPr>
            <w:tcW w:w="3081" w:type="dxa"/>
          </w:tcPr>
          <w:p w14:paraId="27525EB7" w14:textId="31D8AB8B" w:rsidR="008402C2" w:rsidRPr="009E3AAF" w:rsidRDefault="008402C2" w:rsidP="00170767">
            <w:pPr>
              <w:spacing w:line="360" w:lineRule="auto"/>
              <w:jc w:val="both"/>
              <w:rPr>
                <w:rFonts w:ascii="Arial" w:hAnsi="Arial" w:cs="Arial"/>
                <w:b/>
                <w:color w:val="1F3864" w:themeColor="accent1" w:themeShade="80"/>
              </w:rPr>
            </w:pPr>
            <w:r w:rsidRPr="009E3AAF">
              <w:rPr>
                <w:rFonts w:ascii="Arial" w:hAnsi="Arial" w:cs="Arial"/>
                <w:b/>
                <w:color w:val="1F3864" w:themeColor="accent1" w:themeShade="80"/>
              </w:rPr>
              <w:t>Marginal costing</w:t>
            </w:r>
          </w:p>
        </w:tc>
      </w:tr>
      <w:tr w:rsidR="008402C2" w:rsidRPr="006E465C" w14:paraId="183BA638" w14:textId="77777777" w:rsidTr="008402C2">
        <w:tc>
          <w:tcPr>
            <w:tcW w:w="3080" w:type="dxa"/>
          </w:tcPr>
          <w:p w14:paraId="4102DC0F" w14:textId="6719F178" w:rsidR="008402C2" w:rsidRPr="009E3AAF" w:rsidRDefault="00C506FB"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Valuation process</w:t>
            </w:r>
          </w:p>
        </w:tc>
        <w:tc>
          <w:tcPr>
            <w:tcW w:w="3081" w:type="dxa"/>
          </w:tcPr>
          <w:p w14:paraId="4A8027BC" w14:textId="77777777" w:rsidR="00E86C95" w:rsidRPr="009E3AAF" w:rsidRDefault="00E86C95" w:rsidP="006E465C">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 xml:space="preserve">Mobility Global will have to absorb fixed costs in each unit of product produced and sold to determine profit. </w:t>
            </w:r>
          </w:p>
          <w:p w14:paraId="25C11433" w14:textId="4B3636CC" w:rsidR="008402C2" w:rsidRPr="009E3AAF" w:rsidRDefault="008402C2" w:rsidP="006E465C">
            <w:pPr>
              <w:spacing w:line="360" w:lineRule="auto"/>
              <w:jc w:val="both"/>
              <w:rPr>
                <w:rFonts w:ascii="Arial" w:hAnsi="Arial" w:cs="Arial"/>
                <w:color w:val="1F3864" w:themeColor="accent1" w:themeShade="80"/>
              </w:rPr>
            </w:pPr>
          </w:p>
        </w:tc>
        <w:tc>
          <w:tcPr>
            <w:tcW w:w="3081" w:type="dxa"/>
          </w:tcPr>
          <w:p w14:paraId="1699D677" w14:textId="16FE6E38" w:rsidR="00064B91" w:rsidRPr="009E3AAF" w:rsidRDefault="00E86C95"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Using</w:t>
            </w:r>
            <w:r w:rsidR="006E465C" w:rsidRPr="009E3AAF">
              <w:rPr>
                <w:rFonts w:ascii="Arial" w:hAnsi="Arial" w:cs="Arial"/>
                <w:color w:val="1F3864" w:themeColor="accent1" w:themeShade="80"/>
              </w:rPr>
              <w:t xml:space="preserve"> </w:t>
            </w:r>
            <w:r w:rsidR="00491B6C">
              <w:rPr>
                <w:rFonts w:ascii="Arial" w:hAnsi="Arial" w:cs="Arial"/>
                <w:color w:val="1F3864" w:themeColor="accent1" w:themeShade="80"/>
              </w:rPr>
              <w:t xml:space="preserve">the </w:t>
            </w:r>
            <w:r w:rsidR="006E465C" w:rsidRPr="009E3AAF">
              <w:rPr>
                <w:rFonts w:ascii="Arial" w:hAnsi="Arial" w:cs="Arial"/>
                <w:color w:val="1F3864" w:themeColor="accent1" w:themeShade="80"/>
              </w:rPr>
              <w:t>m</w:t>
            </w:r>
            <w:r w:rsidR="00C506FB" w:rsidRPr="009E3AAF">
              <w:rPr>
                <w:rFonts w:ascii="Arial" w:hAnsi="Arial" w:cs="Arial"/>
                <w:color w:val="1F3864" w:themeColor="accent1" w:themeShade="80"/>
              </w:rPr>
              <w:t xml:space="preserve">arginal costing method </w:t>
            </w:r>
            <w:r w:rsidRPr="009E3AAF">
              <w:rPr>
                <w:rFonts w:ascii="Arial" w:hAnsi="Arial" w:cs="Arial"/>
                <w:color w:val="1F3864" w:themeColor="accent1" w:themeShade="80"/>
              </w:rPr>
              <w:t xml:space="preserve">Mobility Global will </w:t>
            </w:r>
            <w:r w:rsidR="00064B91" w:rsidRPr="009E3AAF">
              <w:rPr>
                <w:rFonts w:ascii="Arial" w:hAnsi="Arial" w:cs="Arial"/>
                <w:color w:val="1F3864" w:themeColor="accent1" w:themeShade="80"/>
              </w:rPr>
              <w:t>subtract</w:t>
            </w:r>
            <w:r w:rsidR="00C506FB" w:rsidRPr="009E3AAF">
              <w:rPr>
                <w:rFonts w:ascii="Arial" w:hAnsi="Arial" w:cs="Arial"/>
                <w:color w:val="1F3864" w:themeColor="accent1" w:themeShade="80"/>
              </w:rPr>
              <w:t xml:space="preserve"> variable costs </w:t>
            </w:r>
            <w:r w:rsidR="00064B91" w:rsidRPr="009E3AAF">
              <w:rPr>
                <w:rFonts w:ascii="Arial" w:hAnsi="Arial" w:cs="Arial"/>
                <w:color w:val="1F3864" w:themeColor="accent1" w:themeShade="80"/>
              </w:rPr>
              <w:t>from revenue and will determine contribution. It determines profit by subtracting fixed costs from contribution.</w:t>
            </w:r>
          </w:p>
          <w:p w14:paraId="7B30BFD1" w14:textId="30FF7E16" w:rsidR="008402C2" w:rsidRPr="009E3AAF" w:rsidRDefault="008402C2" w:rsidP="00064B91">
            <w:pPr>
              <w:spacing w:line="360" w:lineRule="auto"/>
              <w:jc w:val="both"/>
              <w:rPr>
                <w:rFonts w:ascii="Arial" w:hAnsi="Arial" w:cs="Arial"/>
                <w:color w:val="1F3864" w:themeColor="accent1" w:themeShade="80"/>
              </w:rPr>
            </w:pPr>
          </w:p>
        </w:tc>
      </w:tr>
      <w:tr w:rsidR="00C506FB" w:rsidRPr="006E465C" w14:paraId="148C0B37" w14:textId="77777777" w:rsidTr="008402C2">
        <w:tc>
          <w:tcPr>
            <w:tcW w:w="3080" w:type="dxa"/>
          </w:tcPr>
          <w:p w14:paraId="43647E65" w14:textId="32F06D1D" w:rsidR="00C506FB" w:rsidRPr="009E3AAF" w:rsidRDefault="00C506FB"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Production overheads</w:t>
            </w:r>
          </w:p>
        </w:tc>
        <w:tc>
          <w:tcPr>
            <w:tcW w:w="3081" w:type="dxa"/>
          </w:tcPr>
          <w:p w14:paraId="0151D08C" w14:textId="4A2C0D13" w:rsidR="00C506FB" w:rsidRPr="009E3AAF" w:rsidRDefault="00064B91"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Under absorption costing</w:t>
            </w:r>
            <w:r w:rsidR="00491B6C">
              <w:rPr>
                <w:rFonts w:ascii="Arial" w:hAnsi="Arial" w:cs="Arial"/>
                <w:color w:val="1F3864" w:themeColor="accent1" w:themeShade="80"/>
              </w:rPr>
              <w:t>,</w:t>
            </w:r>
            <w:r w:rsidRPr="009E3AAF">
              <w:rPr>
                <w:rFonts w:ascii="Arial" w:hAnsi="Arial" w:cs="Arial"/>
                <w:color w:val="1F3864" w:themeColor="accent1" w:themeShade="80"/>
              </w:rPr>
              <w:t xml:space="preserve"> method Mobility Global will associate both variable and fixed costs with each unit produced.</w:t>
            </w:r>
          </w:p>
        </w:tc>
        <w:tc>
          <w:tcPr>
            <w:tcW w:w="3081" w:type="dxa"/>
          </w:tcPr>
          <w:p w14:paraId="3ABA34E5" w14:textId="6CE6818E" w:rsidR="00C506FB" w:rsidRPr="009E3AAF" w:rsidRDefault="00064B91"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Mobility Global can associate only variable costs with each product and has to treat fixed costs as period costs.</w:t>
            </w:r>
          </w:p>
        </w:tc>
      </w:tr>
      <w:tr w:rsidR="00C506FB" w:rsidRPr="006E465C" w14:paraId="0C49D370" w14:textId="77777777" w:rsidTr="008402C2">
        <w:tc>
          <w:tcPr>
            <w:tcW w:w="3080" w:type="dxa"/>
          </w:tcPr>
          <w:p w14:paraId="5B96E9A3" w14:textId="1712AA65" w:rsidR="00C506FB" w:rsidRPr="009E3AAF" w:rsidRDefault="00C506FB" w:rsidP="00C506FB">
            <w:pPr>
              <w:spacing w:line="360" w:lineRule="auto"/>
              <w:jc w:val="both"/>
              <w:rPr>
                <w:rFonts w:ascii="Arial" w:hAnsi="Arial" w:cs="Arial"/>
                <w:color w:val="1F3864" w:themeColor="accent1" w:themeShade="80"/>
              </w:rPr>
            </w:pPr>
          </w:p>
        </w:tc>
        <w:tc>
          <w:tcPr>
            <w:tcW w:w="3081" w:type="dxa"/>
          </w:tcPr>
          <w:p w14:paraId="478DF5F2" w14:textId="52BF7C5C" w:rsidR="00C506FB" w:rsidRPr="009E3AAF" w:rsidRDefault="00C506FB" w:rsidP="00170767">
            <w:pPr>
              <w:spacing w:line="360" w:lineRule="auto"/>
              <w:jc w:val="both"/>
              <w:rPr>
                <w:rFonts w:ascii="Arial" w:hAnsi="Arial" w:cs="Arial"/>
                <w:color w:val="1F3864" w:themeColor="accent1" w:themeShade="80"/>
              </w:rPr>
            </w:pPr>
          </w:p>
        </w:tc>
        <w:tc>
          <w:tcPr>
            <w:tcW w:w="3081" w:type="dxa"/>
          </w:tcPr>
          <w:p w14:paraId="2C2115B0" w14:textId="055CC35D" w:rsidR="00C506FB" w:rsidRPr="009E3AAF" w:rsidRDefault="00C506FB" w:rsidP="00170767">
            <w:pPr>
              <w:spacing w:line="360" w:lineRule="auto"/>
              <w:jc w:val="both"/>
              <w:rPr>
                <w:rFonts w:ascii="Arial" w:hAnsi="Arial" w:cs="Arial"/>
                <w:color w:val="1F3864" w:themeColor="accent1" w:themeShade="80"/>
              </w:rPr>
            </w:pPr>
          </w:p>
        </w:tc>
      </w:tr>
      <w:tr w:rsidR="00C506FB" w:rsidRPr="006E465C" w14:paraId="3A738A00" w14:textId="77777777" w:rsidTr="008402C2">
        <w:tc>
          <w:tcPr>
            <w:tcW w:w="3080" w:type="dxa"/>
          </w:tcPr>
          <w:p w14:paraId="074122A4" w14:textId="21A83779" w:rsidR="00C506FB" w:rsidRPr="009E3AAF" w:rsidRDefault="00C506FB"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Compliance</w:t>
            </w:r>
          </w:p>
        </w:tc>
        <w:tc>
          <w:tcPr>
            <w:tcW w:w="3081" w:type="dxa"/>
          </w:tcPr>
          <w:p w14:paraId="68DAB4D5" w14:textId="051678FC" w:rsidR="00C506FB" w:rsidRPr="009E3AAF" w:rsidRDefault="00064B91"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By</w:t>
            </w:r>
            <w:r w:rsidR="006E465C" w:rsidRPr="009E3AAF">
              <w:rPr>
                <w:rFonts w:ascii="Arial" w:hAnsi="Arial" w:cs="Arial"/>
                <w:color w:val="1F3864" w:themeColor="accent1" w:themeShade="80"/>
              </w:rPr>
              <w:t xml:space="preserve"> </w:t>
            </w:r>
            <w:r w:rsidRPr="009E3AAF">
              <w:rPr>
                <w:rFonts w:ascii="Arial" w:hAnsi="Arial" w:cs="Arial"/>
                <w:color w:val="1F3864" w:themeColor="accent1" w:themeShade="80"/>
              </w:rPr>
              <w:t xml:space="preserve">adopting </w:t>
            </w:r>
            <w:r w:rsidR="00491B6C">
              <w:rPr>
                <w:rFonts w:ascii="Arial" w:hAnsi="Arial" w:cs="Arial"/>
                <w:color w:val="1F3864" w:themeColor="accent1" w:themeShade="80"/>
              </w:rPr>
              <w:t xml:space="preserve">the </w:t>
            </w:r>
            <w:r w:rsidR="006E465C" w:rsidRPr="009E3AAF">
              <w:rPr>
                <w:rFonts w:ascii="Arial" w:hAnsi="Arial" w:cs="Arial"/>
                <w:color w:val="1F3864" w:themeColor="accent1" w:themeShade="80"/>
              </w:rPr>
              <w:t>a</w:t>
            </w:r>
            <w:r w:rsidR="00C506FB" w:rsidRPr="009E3AAF">
              <w:rPr>
                <w:rFonts w:ascii="Arial" w:hAnsi="Arial" w:cs="Arial"/>
                <w:color w:val="1F3864" w:themeColor="accent1" w:themeShade="80"/>
              </w:rPr>
              <w:t xml:space="preserve">bsorption costing method </w:t>
            </w:r>
            <w:r w:rsidRPr="009E3AAF">
              <w:rPr>
                <w:rFonts w:ascii="Arial" w:hAnsi="Arial" w:cs="Arial"/>
                <w:color w:val="1F3864" w:themeColor="accent1" w:themeShade="80"/>
              </w:rPr>
              <w:t>Mobility Global will comply</w:t>
            </w:r>
            <w:r w:rsidR="00C506FB" w:rsidRPr="009E3AAF">
              <w:rPr>
                <w:rFonts w:ascii="Arial" w:hAnsi="Arial" w:cs="Arial"/>
                <w:color w:val="1F3864" w:themeColor="accent1" w:themeShade="80"/>
              </w:rPr>
              <w:t xml:space="preserve"> with IAS2</w:t>
            </w:r>
          </w:p>
        </w:tc>
        <w:tc>
          <w:tcPr>
            <w:tcW w:w="3081" w:type="dxa"/>
          </w:tcPr>
          <w:p w14:paraId="2958459E" w14:textId="3AD47EEF" w:rsidR="00C506FB" w:rsidRPr="009E3AAF" w:rsidRDefault="00064B91" w:rsidP="00064B91">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By adopting</w:t>
            </w:r>
            <w:r w:rsidR="006E465C" w:rsidRPr="009E3AAF">
              <w:rPr>
                <w:rFonts w:ascii="Arial" w:hAnsi="Arial" w:cs="Arial"/>
                <w:color w:val="1F3864" w:themeColor="accent1" w:themeShade="80"/>
              </w:rPr>
              <w:t xml:space="preserve"> </w:t>
            </w:r>
            <w:r w:rsidR="00491B6C">
              <w:rPr>
                <w:rFonts w:ascii="Arial" w:hAnsi="Arial" w:cs="Arial"/>
                <w:color w:val="1F3864" w:themeColor="accent1" w:themeShade="80"/>
              </w:rPr>
              <w:t xml:space="preserve">the </w:t>
            </w:r>
            <w:r w:rsidR="006E465C" w:rsidRPr="009E3AAF">
              <w:rPr>
                <w:rFonts w:ascii="Arial" w:hAnsi="Arial" w:cs="Arial"/>
                <w:color w:val="1F3864" w:themeColor="accent1" w:themeShade="80"/>
              </w:rPr>
              <w:t>m</w:t>
            </w:r>
            <w:r w:rsidR="00C506FB" w:rsidRPr="009E3AAF">
              <w:rPr>
                <w:rFonts w:ascii="Arial" w:hAnsi="Arial" w:cs="Arial"/>
                <w:color w:val="1F3864" w:themeColor="accent1" w:themeShade="80"/>
              </w:rPr>
              <w:t xml:space="preserve">arginal costing method </w:t>
            </w:r>
            <w:r w:rsidRPr="009E3AAF">
              <w:rPr>
                <w:rFonts w:ascii="Arial" w:hAnsi="Arial" w:cs="Arial"/>
                <w:color w:val="1F3864" w:themeColor="accent1" w:themeShade="80"/>
              </w:rPr>
              <w:t xml:space="preserve">Mobility Global will not be able to </w:t>
            </w:r>
            <w:r w:rsidR="00C506FB" w:rsidRPr="009E3AAF">
              <w:rPr>
                <w:rFonts w:ascii="Arial" w:hAnsi="Arial" w:cs="Arial"/>
                <w:color w:val="1F3864" w:themeColor="accent1" w:themeShade="80"/>
              </w:rPr>
              <w:t>comply with IAS2</w:t>
            </w:r>
          </w:p>
        </w:tc>
      </w:tr>
      <w:tr w:rsidR="00C506FB" w:rsidRPr="006E465C" w14:paraId="4DB72B43" w14:textId="77777777" w:rsidTr="008402C2">
        <w:tc>
          <w:tcPr>
            <w:tcW w:w="3080" w:type="dxa"/>
          </w:tcPr>
          <w:p w14:paraId="7D820667" w14:textId="01035924" w:rsidR="00C506FB" w:rsidRPr="009E3AAF" w:rsidRDefault="00C506FB"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Classification of costs or overh</w:t>
            </w:r>
            <w:r w:rsidR="00365E4C" w:rsidRPr="009E3AAF">
              <w:rPr>
                <w:rFonts w:ascii="Arial" w:hAnsi="Arial" w:cs="Arial"/>
                <w:color w:val="1F3864" w:themeColor="accent1" w:themeShade="80"/>
              </w:rPr>
              <w:t>ea</w:t>
            </w:r>
            <w:r w:rsidRPr="009E3AAF">
              <w:rPr>
                <w:rFonts w:ascii="Arial" w:hAnsi="Arial" w:cs="Arial"/>
                <w:color w:val="1F3864" w:themeColor="accent1" w:themeShade="80"/>
              </w:rPr>
              <w:t>ds</w:t>
            </w:r>
          </w:p>
        </w:tc>
        <w:tc>
          <w:tcPr>
            <w:tcW w:w="3081" w:type="dxa"/>
          </w:tcPr>
          <w:p w14:paraId="003C868C" w14:textId="5DB9C557" w:rsidR="00C506FB" w:rsidRPr="009E3AAF" w:rsidRDefault="00ED58FE" w:rsidP="00ED58FE">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 xml:space="preserve">Mobility Global can classify its costs as </w:t>
            </w:r>
            <w:r w:rsidR="00365E4C" w:rsidRPr="009E3AAF">
              <w:rPr>
                <w:rFonts w:ascii="Arial" w:hAnsi="Arial" w:cs="Arial"/>
                <w:color w:val="1F3864" w:themeColor="accent1" w:themeShade="80"/>
              </w:rPr>
              <w:t xml:space="preserve">Production, administration, selling and distribution overheads </w:t>
            </w:r>
            <w:r w:rsidRPr="009E3AAF">
              <w:rPr>
                <w:rFonts w:ascii="Arial" w:hAnsi="Arial" w:cs="Arial"/>
                <w:color w:val="1F3864" w:themeColor="accent1" w:themeShade="80"/>
              </w:rPr>
              <w:t>if it uses</w:t>
            </w:r>
            <w:r w:rsidR="006E465C" w:rsidRPr="009E3AAF">
              <w:rPr>
                <w:rFonts w:ascii="Arial" w:hAnsi="Arial" w:cs="Arial"/>
                <w:color w:val="1F3864" w:themeColor="accent1" w:themeShade="80"/>
              </w:rPr>
              <w:t xml:space="preserve"> </w:t>
            </w:r>
            <w:r w:rsidR="00491B6C">
              <w:rPr>
                <w:rFonts w:ascii="Arial" w:hAnsi="Arial" w:cs="Arial"/>
                <w:color w:val="1F3864" w:themeColor="accent1" w:themeShade="80"/>
              </w:rPr>
              <w:t xml:space="preserve">the </w:t>
            </w:r>
            <w:r w:rsidR="00C506FB" w:rsidRPr="009E3AAF">
              <w:rPr>
                <w:rFonts w:ascii="Arial" w:hAnsi="Arial" w:cs="Arial"/>
                <w:color w:val="1F3864" w:themeColor="accent1" w:themeShade="80"/>
              </w:rPr>
              <w:t>absorption costing method</w:t>
            </w:r>
            <w:r w:rsidR="006051FF" w:rsidRPr="009E3AAF">
              <w:rPr>
                <w:rFonts w:ascii="Arial" w:hAnsi="Arial" w:cs="Arial"/>
                <w:color w:val="1F3864" w:themeColor="accent1" w:themeShade="80"/>
              </w:rPr>
              <w:t xml:space="preserve"> (Drury, 2021)</w:t>
            </w:r>
            <w:r w:rsidR="00365E4C" w:rsidRPr="009E3AAF">
              <w:rPr>
                <w:rFonts w:ascii="Arial" w:hAnsi="Arial" w:cs="Arial"/>
                <w:color w:val="1F3864" w:themeColor="accent1" w:themeShade="80"/>
              </w:rPr>
              <w:t xml:space="preserve">. </w:t>
            </w:r>
          </w:p>
        </w:tc>
        <w:tc>
          <w:tcPr>
            <w:tcW w:w="3081" w:type="dxa"/>
          </w:tcPr>
          <w:p w14:paraId="2D025658" w14:textId="461639F2" w:rsidR="00C506FB" w:rsidRPr="009E3AAF" w:rsidRDefault="00ED58FE" w:rsidP="00ED58FE">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Mobility Global will classify all costs as either variable or fixed costs</w:t>
            </w:r>
            <w:r w:rsidR="00C506FB" w:rsidRPr="009E3AAF">
              <w:rPr>
                <w:rFonts w:ascii="Arial" w:hAnsi="Arial" w:cs="Arial"/>
                <w:color w:val="1F3864" w:themeColor="accent1" w:themeShade="80"/>
              </w:rPr>
              <w:t xml:space="preserve"> </w:t>
            </w:r>
            <w:r w:rsidRPr="009E3AAF">
              <w:rPr>
                <w:rFonts w:ascii="Arial" w:hAnsi="Arial" w:cs="Arial"/>
                <w:color w:val="1F3864" w:themeColor="accent1" w:themeShade="80"/>
              </w:rPr>
              <w:t>if it adopts</w:t>
            </w:r>
            <w:r w:rsidR="006E465C" w:rsidRPr="009E3AAF">
              <w:rPr>
                <w:rFonts w:ascii="Arial" w:hAnsi="Arial" w:cs="Arial"/>
                <w:color w:val="1F3864" w:themeColor="accent1" w:themeShade="80"/>
              </w:rPr>
              <w:t xml:space="preserve"> </w:t>
            </w:r>
            <w:r w:rsidR="00491B6C">
              <w:rPr>
                <w:rFonts w:ascii="Arial" w:hAnsi="Arial" w:cs="Arial"/>
                <w:color w:val="1F3864" w:themeColor="accent1" w:themeShade="80"/>
              </w:rPr>
              <w:t xml:space="preserve">the </w:t>
            </w:r>
            <w:r w:rsidRPr="009E3AAF">
              <w:rPr>
                <w:rFonts w:ascii="Arial" w:hAnsi="Arial" w:cs="Arial"/>
                <w:color w:val="1F3864" w:themeColor="accent1" w:themeShade="80"/>
              </w:rPr>
              <w:t>marginal costing method.</w:t>
            </w:r>
          </w:p>
        </w:tc>
      </w:tr>
      <w:tr w:rsidR="00C506FB" w:rsidRPr="006E465C" w14:paraId="3615D70A" w14:textId="77777777" w:rsidTr="008402C2">
        <w:tc>
          <w:tcPr>
            <w:tcW w:w="3080" w:type="dxa"/>
          </w:tcPr>
          <w:p w14:paraId="07038189" w14:textId="1E52053A" w:rsidR="00C506FB" w:rsidRPr="009E3AAF" w:rsidRDefault="00ED58FE"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Appropriateness</w:t>
            </w:r>
          </w:p>
        </w:tc>
        <w:tc>
          <w:tcPr>
            <w:tcW w:w="3081" w:type="dxa"/>
          </w:tcPr>
          <w:p w14:paraId="2C8D103B" w14:textId="6333677E" w:rsidR="00C506FB" w:rsidRPr="009E3AAF" w:rsidRDefault="00ED58FE" w:rsidP="00ED58FE">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 xml:space="preserve">Mobility Global should use </w:t>
            </w:r>
            <w:r w:rsidR="00491B6C">
              <w:rPr>
                <w:rFonts w:ascii="Arial" w:hAnsi="Arial" w:cs="Arial"/>
                <w:color w:val="1F3864" w:themeColor="accent1" w:themeShade="80"/>
              </w:rPr>
              <w:t xml:space="preserve">the </w:t>
            </w:r>
            <w:r w:rsidRPr="009E3AAF">
              <w:rPr>
                <w:rFonts w:ascii="Arial" w:hAnsi="Arial" w:cs="Arial"/>
                <w:color w:val="1F3864" w:themeColor="accent1" w:themeShade="80"/>
              </w:rPr>
              <w:t xml:space="preserve">absorption costing method for stock valuation. </w:t>
            </w:r>
            <w:r w:rsidR="00365E4C" w:rsidRPr="009E3AAF">
              <w:rPr>
                <w:rFonts w:ascii="Arial" w:hAnsi="Arial" w:cs="Arial"/>
                <w:color w:val="1F3864" w:themeColor="accent1" w:themeShade="80"/>
              </w:rPr>
              <w:t xml:space="preserve"> </w:t>
            </w:r>
          </w:p>
        </w:tc>
        <w:tc>
          <w:tcPr>
            <w:tcW w:w="3081" w:type="dxa"/>
          </w:tcPr>
          <w:p w14:paraId="3AB46866" w14:textId="6316226C" w:rsidR="00C506FB" w:rsidRPr="009E3AAF" w:rsidRDefault="00ED58FE" w:rsidP="00ED58FE">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 xml:space="preserve">Mobility Global should use </w:t>
            </w:r>
            <w:r w:rsidR="00491B6C">
              <w:rPr>
                <w:rFonts w:ascii="Arial" w:hAnsi="Arial" w:cs="Arial"/>
                <w:color w:val="1F3864" w:themeColor="accent1" w:themeShade="80"/>
              </w:rPr>
              <w:t xml:space="preserve">the </w:t>
            </w:r>
            <w:r w:rsidRPr="009E3AAF">
              <w:rPr>
                <w:rFonts w:ascii="Arial" w:hAnsi="Arial" w:cs="Arial"/>
                <w:color w:val="1F3864" w:themeColor="accent1" w:themeShade="80"/>
              </w:rPr>
              <w:t>marginal costing method to help it make</w:t>
            </w:r>
            <w:r w:rsidR="00365E4C" w:rsidRPr="009E3AAF">
              <w:rPr>
                <w:rFonts w:ascii="Arial" w:hAnsi="Arial" w:cs="Arial"/>
                <w:color w:val="1F3864" w:themeColor="accent1" w:themeShade="80"/>
              </w:rPr>
              <w:t xml:space="preserve"> decisions. </w:t>
            </w:r>
          </w:p>
        </w:tc>
      </w:tr>
      <w:tr w:rsidR="00365E4C" w:rsidRPr="006E465C" w14:paraId="7ABD165D" w14:textId="77777777" w:rsidTr="008402C2">
        <w:tc>
          <w:tcPr>
            <w:tcW w:w="3080" w:type="dxa"/>
          </w:tcPr>
          <w:p w14:paraId="233C3FC0" w14:textId="232A1668" w:rsidR="00365E4C" w:rsidRPr="009E3AAF" w:rsidRDefault="00365E4C"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Reporting</w:t>
            </w:r>
          </w:p>
        </w:tc>
        <w:tc>
          <w:tcPr>
            <w:tcW w:w="3081" w:type="dxa"/>
          </w:tcPr>
          <w:p w14:paraId="59665EFF" w14:textId="3B4D589B" w:rsidR="00365E4C" w:rsidRPr="009E3AAF" w:rsidRDefault="00ED58FE" w:rsidP="00365E4C">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For</w:t>
            </w:r>
            <w:r w:rsidR="00365E4C" w:rsidRPr="009E3AAF">
              <w:rPr>
                <w:rFonts w:ascii="Arial" w:hAnsi="Arial" w:cs="Arial"/>
                <w:color w:val="1F3864" w:themeColor="accent1" w:themeShade="80"/>
              </w:rPr>
              <w:t xml:space="preserve"> external reporting</w:t>
            </w:r>
            <w:r w:rsidRPr="009E3AAF">
              <w:rPr>
                <w:rFonts w:ascii="Arial" w:hAnsi="Arial" w:cs="Arial"/>
                <w:color w:val="1F3864" w:themeColor="accent1" w:themeShade="80"/>
              </w:rPr>
              <w:t xml:space="preserve">, Mobility Global can use </w:t>
            </w:r>
            <w:r w:rsidR="00491B6C">
              <w:rPr>
                <w:rFonts w:ascii="Arial" w:hAnsi="Arial" w:cs="Arial"/>
                <w:color w:val="1F3864" w:themeColor="accent1" w:themeShade="80"/>
              </w:rPr>
              <w:t xml:space="preserve">the </w:t>
            </w:r>
            <w:r w:rsidRPr="009E3AAF">
              <w:rPr>
                <w:rFonts w:ascii="Arial" w:hAnsi="Arial" w:cs="Arial"/>
                <w:color w:val="1F3864" w:themeColor="accent1" w:themeShade="80"/>
              </w:rPr>
              <w:t>absorption costing method</w:t>
            </w:r>
          </w:p>
        </w:tc>
        <w:tc>
          <w:tcPr>
            <w:tcW w:w="3081" w:type="dxa"/>
          </w:tcPr>
          <w:p w14:paraId="475749F5" w14:textId="0A545DEE" w:rsidR="00365E4C" w:rsidRPr="009E3AAF" w:rsidRDefault="00ED58FE"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For</w:t>
            </w:r>
            <w:r w:rsidR="00365E4C" w:rsidRPr="009E3AAF">
              <w:rPr>
                <w:rFonts w:ascii="Arial" w:hAnsi="Arial" w:cs="Arial"/>
                <w:color w:val="1F3864" w:themeColor="accent1" w:themeShade="80"/>
              </w:rPr>
              <w:t xml:space="preserve"> internal reporting</w:t>
            </w:r>
            <w:r w:rsidRPr="009E3AAF">
              <w:rPr>
                <w:rFonts w:ascii="Arial" w:hAnsi="Arial" w:cs="Arial"/>
                <w:color w:val="1F3864" w:themeColor="accent1" w:themeShade="80"/>
              </w:rPr>
              <w:t xml:space="preserve">, Mobility Global can use marginal costing. </w:t>
            </w:r>
          </w:p>
        </w:tc>
      </w:tr>
      <w:tr w:rsidR="00365E4C" w:rsidRPr="006E465C" w14:paraId="6C295983" w14:textId="77777777" w:rsidTr="008402C2">
        <w:tc>
          <w:tcPr>
            <w:tcW w:w="3080" w:type="dxa"/>
          </w:tcPr>
          <w:p w14:paraId="430FF03C" w14:textId="7CD3C0C9" w:rsidR="00365E4C" w:rsidRPr="009E3AAF" w:rsidRDefault="00B232DD"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Invent</w:t>
            </w:r>
            <w:r w:rsidR="00365E4C" w:rsidRPr="009E3AAF">
              <w:rPr>
                <w:rFonts w:ascii="Arial" w:hAnsi="Arial" w:cs="Arial"/>
                <w:color w:val="1F3864" w:themeColor="accent1" w:themeShade="80"/>
              </w:rPr>
              <w:t xml:space="preserve">ory </w:t>
            </w:r>
          </w:p>
        </w:tc>
        <w:tc>
          <w:tcPr>
            <w:tcW w:w="3081" w:type="dxa"/>
          </w:tcPr>
          <w:p w14:paraId="558010C7" w14:textId="214D0003" w:rsidR="00365E4C" w:rsidRPr="009E3AAF" w:rsidRDefault="00ED58FE" w:rsidP="00491B6C">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 xml:space="preserve">Mobility Global will report higher profit under this method </w:t>
            </w:r>
            <w:r w:rsidR="00B232DD" w:rsidRPr="009E3AAF">
              <w:rPr>
                <w:rFonts w:ascii="Arial" w:hAnsi="Arial" w:cs="Arial"/>
                <w:color w:val="1F3864" w:themeColor="accent1" w:themeShade="80"/>
              </w:rPr>
              <w:t xml:space="preserve">If </w:t>
            </w:r>
            <w:r w:rsidR="006E465C" w:rsidRPr="009E3AAF">
              <w:rPr>
                <w:rFonts w:ascii="Arial" w:hAnsi="Arial" w:cs="Arial"/>
                <w:color w:val="1F3864" w:themeColor="accent1" w:themeShade="80"/>
              </w:rPr>
              <w:t xml:space="preserve">the </w:t>
            </w:r>
            <w:r w:rsidRPr="009E3AAF">
              <w:rPr>
                <w:rFonts w:ascii="Arial" w:hAnsi="Arial" w:cs="Arial"/>
                <w:color w:val="1F3864" w:themeColor="accent1" w:themeShade="80"/>
              </w:rPr>
              <w:t xml:space="preserve">level of inventory goes up. </w:t>
            </w:r>
          </w:p>
        </w:tc>
        <w:tc>
          <w:tcPr>
            <w:tcW w:w="3081" w:type="dxa"/>
          </w:tcPr>
          <w:p w14:paraId="2D107A1C" w14:textId="2206346E" w:rsidR="00365E4C" w:rsidRPr="009E3AAF" w:rsidRDefault="00ED58FE" w:rsidP="00ED58FE">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Mobility Global will report higher profit</w:t>
            </w:r>
            <w:r w:rsidR="00491B6C">
              <w:rPr>
                <w:rFonts w:ascii="Arial" w:hAnsi="Arial" w:cs="Arial"/>
                <w:color w:val="1F3864" w:themeColor="accent1" w:themeShade="80"/>
              </w:rPr>
              <w:t>s</w:t>
            </w:r>
            <w:r w:rsidRPr="009E3AAF">
              <w:rPr>
                <w:rFonts w:ascii="Arial" w:hAnsi="Arial" w:cs="Arial"/>
                <w:color w:val="1F3864" w:themeColor="accent1" w:themeShade="80"/>
              </w:rPr>
              <w:t xml:space="preserve"> using </w:t>
            </w:r>
            <w:r w:rsidR="00491B6C">
              <w:rPr>
                <w:rFonts w:ascii="Arial" w:hAnsi="Arial" w:cs="Arial"/>
                <w:color w:val="1F3864" w:themeColor="accent1" w:themeShade="80"/>
              </w:rPr>
              <w:t xml:space="preserve">the </w:t>
            </w:r>
            <w:r w:rsidRPr="009E3AAF">
              <w:rPr>
                <w:rFonts w:ascii="Arial" w:hAnsi="Arial" w:cs="Arial"/>
                <w:color w:val="1F3864" w:themeColor="accent1" w:themeShade="80"/>
              </w:rPr>
              <w:t xml:space="preserve">marginal costing method, </w:t>
            </w:r>
            <w:r w:rsidR="00B232DD" w:rsidRPr="009E3AAF">
              <w:rPr>
                <w:rFonts w:ascii="Arial" w:hAnsi="Arial" w:cs="Arial"/>
                <w:color w:val="1F3864" w:themeColor="accent1" w:themeShade="80"/>
              </w:rPr>
              <w:t xml:space="preserve">If </w:t>
            </w:r>
            <w:r w:rsidR="006E465C" w:rsidRPr="009E3AAF">
              <w:rPr>
                <w:rFonts w:ascii="Arial" w:hAnsi="Arial" w:cs="Arial"/>
                <w:color w:val="1F3864" w:themeColor="accent1" w:themeShade="80"/>
              </w:rPr>
              <w:t xml:space="preserve">the </w:t>
            </w:r>
            <w:r w:rsidRPr="009E3AAF">
              <w:rPr>
                <w:rFonts w:ascii="Arial" w:hAnsi="Arial" w:cs="Arial"/>
                <w:color w:val="1F3864" w:themeColor="accent1" w:themeShade="80"/>
              </w:rPr>
              <w:t xml:space="preserve">level of inventory goes down </w:t>
            </w:r>
            <w:r w:rsidR="006051FF" w:rsidRPr="009E3AAF">
              <w:rPr>
                <w:rFonts w:ascii="Arial" w:hAnsi="Arial" w:cs="Arial"/>
                <w:color w:val="1F3864" w:themeColor="accent1" w:themeShade="80"/>
              </w:rPr>
              <w:t>(Goel, 2019).</w:t>
            </w:r>
          </w:p>
        </w:tc>
      </w:tr>
      <w:tr w:rsidR="00365E4C" w:rsidRPr="006E465C" w14:paraId="31A69071" w14:textId="77777777" w:rsidTr="008402C2">
        <w:tc>
          <w:tcPr>
            <w:tcW w:w="3080" w:type="dxa"/>
          </w:tcPr>
          <w:p w14:paraId="11C48366" w14:textId="3198C656" w:rsidR="00365E4C" w:rsidRPr="009E3AAF" w:rsidRDefault="00B232DD" w:rsidP="00170767">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Measurement</w:t>
            </w:r>
          </w:p>
        </w:tc>
        <w:tc>
          <w:tcPr>
            <w:tcW w:w="3081" w:type="dxa"/>
          </w:tcPr>
          <w:p w14:paraId="3AF19D46" w14:textId="352DD127" w:rsidR="00365E4C" w:rsidRPr="009E3AAF" w:rsidRDefault="00B232DD" w:rsidP="009E3AAF">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While measuring</w:t>
            </w:r>
            <w:r w:rsidR="009E3AAF" w:rsidRPr="009E3AAF">
              <w:rPr>
                <w:rFonts w:ascii="Arial" w:hAnsi="Arial" w:cs="Arial"/>
                <w:color w:val="1F3864" w:themeColor="accent1" w:themeShade="80"/>
              </w:rPr>
              <w:t xml:space="preserve"> </w:t>
            </w:r>
            <w:r w:rsidR="00491B6C">
              <w:rPr>
                <w:rFonts w:ascii="Arial" w:hAnsi="Arial" w:cs="Arial"/>
                <w:color w:val="1F3864" w:themeColor="accent1" w:themeShade="80"/>
              </w:rPr>
              <w:t xml:space="preserve">the </w:t>
            </w:r>
            <w:r w:rsidR="009E3AAF" w:rsidRPr="009E3AAF">
              <w:rPr>
                <w:rFonts w:ascii="Arial" w:hAnsi="Arial" w:cs="Arial"/>
                <w:color w:val="1F3864" w:themeColor="accent1" w:themeShade="80"/>
              </w:rPr>
              <w:t>reported</w:t>
            </w:r>
            <w:r w:rsidRPr="009E3AAF">
              <w:rPr>
                <w:rFonts w:ascii="Arial" w:hAnsi="Arial" w:cs="Arial"/>
                <w:color w:val="1F3864" w:themeColor="accent1" w:themeShade="80"/>
              </w:rPr>
              <w:t xml:space="preserve"> profit</w:t>
            </w:r>
            <w:r w:rsidR="009E3AAF" w:rsidRPr="009E3AAF">
              <w:rPr>
                <w:rFonts w:ascii="Arial" w:hAnsi="Arial" w:cs="Arial"/>
                <w:color w:val="1F3864" w:themeColor="accent1" w:themeShade="80"/>
              </w:rPr>
              <w:t xml:space="preserve"> of Mobility Global will be</w:t>
            </w:r>
            <w:r w:rsidRPr="009E3AAF">
              <w:rPr>
                <w:rFonts w:ascii="Arial" w:hAnsi="Arial" w:cs="Arial"/>
                <w:color w:val="1F3864" w:themeColor="accent1" w:themeShade="80"/>
              </w:rPr>
              <w:t xml:space="preserve"> reduced or affected by fixed costs</w:t>
            </w:r>
            <w:r w:rsidR="009E3AAF" w:rsidRPr="009E3AAF">
              <w:rPr>
                <w:rFonts w:ascii="Arial" w:hAnsi="Arial" w:cs="Arial"/>
                <w:color w:val="1F3864" w:themeColor="accent1" w:themeShade="80"/>
              </w:rPr>
              <w:t>.</w:t>
            </w:r>
          </w:p>
        </w:tc>
        <w:tc>
          <w:tcPr>
            <w:tcW w:w="3081" w:type="dxa"/>
          </w:tcPr>
          <w:p w14:paraId="622B4944" w14:textId="145C54CC" w:rsidR="00365E4C" w:rsidRPr="009E3AAF" w:rsidRDefault="009E3AAF" w:rsidP="009E3AAF">
            <w:pPr>
              <w:spacing w:line="360" w:lineRule="auto"/>
              <w:jc w:val="both"/>
              <w:rPr>
                <w:rFonts w:ascii="Arial" w:hAnsi="Arial" w:cs="Arial"/>
                <w:color w:val="1F3864" w:themeColor="accent1" w:themeShade="80"/>
              </w:rPr>
            </w:pPr>
            <w:r w:rsidRPr="009E3AAF">
              <w:rPr>
                <w:rFonts w:ascii="Arial" w:hAnsi="Arial" w:cs="Arial"/>
                <w:color w:val="1F3864" w:themeColor="accent1" w:themeShade="80"/>
              </w:rPr>
              <w:t>Mobility Global will have to use</w:t>
            </w:r>
            <w:r w:rsidR="006E465C" w:rsidRPr="009E3AAF">
              <w:rPr>
                <w:rFonts w:ascii="Arial" w:hAnsi="Arial" w:cs="Arial"/>
                <w:color w:val="1F3864" w:themeColor="accent1" w:themeShade="80"/>
              </w:rPr>
              <w:t xml:space="preserve"> </w:t>
            </w:r>
            <w:r w:rsidR="00491B6C">
              <w:rPr>
                <w:rFonts w:ascii="Arial" w:hAnsi="Arial" w:cs="Arial"/>
                <w:color w:val="1F3864" w:themeColor="accent1" w:themeShade="80"/>
              </w:rPr>
              <w:t xml:space="preserve">the </w:t>
            </w:r>
            <w:r w:rsidR="00B232DD" w:rsidRPr="009E3AAF">
              <w:rPr>
                <w:rFonts w:ascii="Arial" w:hAnsi="Arial" w:cs="Arial"/>
                <w:color w:val="1F3864" w:themeColor="accent1" w:themeShade="80"/>
              </w:rPr>
              <w:t>P/v ratio to measure profitability in this method</w:t>
            </w:r>
            <w:r w:rsidR="006051FF" w:rsidRPr="009E3AAF">
              <w:rPr>
                <w:rFonts w:ascii="Arial" w:hAnsi="Arial" w:cs="Arial"/>
                <w:color w:val="1F3864" w:themeColor="accent1" w:themeShade="80"/>
              </w:rPr>
              <w:t xml:space="preserve"> (Seal, 2018)</w:t>
            </w:r>
            <w:r w:rsidR="00B232DD" w:rsidRPr="009E3AAF">
              <w:rPr>
                <w:rFonts w:ascii="Arial" w:hAnsi="Arial" w:cs="Arial"/>
                <w:color w:val="1F3864" w:themeColor="accent1" w:themeShade="80"/>
              </w:rPr>
              <w:t>.</w:t>
            </w:r>
          </w:p>
        </w:tc>
      </w:tr>
    </w:tbl>
    <w:p w14:paraId="5602A0E5" w14:textId="29FC763F" w:rsidR="001C2CA9" w:rsidRPr="006E465C" w:rsidRDefault="00B21ECD" w:rsidP="00491B6C">
      <w:pPr>
        <w:rPr>
          <w:b/>
        </w:rPr>
      </w:pPr>
      <w:r>
        <w:rPr>
          <w:rFonts w:ascii="Arial" w:hAnsi="Arial" w:cs="Arial"/>
          <w:b/>
          <w:i/>
          <w:sz w:val="24"/>
          <w:szCs w:val="24"/>
        </w:rPr>
        <w:br w:type="page"/>
      </w:r>
      <w:commentRangeEnd w:id="4"/>
      <w:r w:rsidR="00335668">
        <w:rPr>
          <w:rStyle w:val="Referincomentariu"/>
        </w:rPr>
        <w:commentReference w:id="4"/>
      </w:r>
      <w:bookmarkStart w:id="5" w:name="_Toc127095686"/>
      <w:r w:rsidR="00D7333A" w:rsidRPr="00CE7E92">
        <w:rPr>
          <w:b/>
        </w:rPr>
        <w:t xml:space="preserve">1.2 </w:t>
      </w:r>
      <w:r w:rsidR="00052901" w:rsidRPr="003B306D">
        <w:rPr>
          <w:rFonts w:cs="Arial"/>
          <w:b/>
          <w:i/>
        </w:rPr>
        <w:t>Marginal Costing Statement</w:t>
      </w:r>
      <w:r w:rsidR="00D7333A" w:rsidRPr="003B306D">
        <w:rPr>
          <w:rFonts w:cs="Arial"/>
          <w:b/>
          <w:i/>
        </w:rPr>
        <w:t xml:space="preserve"> for December 2022</w:t>
      </w:r>
      <w:bookmarkEnd w:id="5"/>
    </w:p>
    <w:tbl>
      <w:tblPr>
        <w:tblStyle w:val="Tabelgril"/>
        <w:tblW w:w="0" w:type="auto"/>
        <w:tblLook w:val="04A0" w:firstRow="1" w:lastRow="0" w:firstColumn="1" w:lastColumn="0" w:noHBand="0" w:noVBand="1"/>
      </w:tblPr>
      <w:tblGrid>
        <w:gridCol w:w="2857"/>
        <w:gridCol w:w="1515"/>
        <w:gridCol w:w="1442"/>
        <w:gridCol w:w="1153"/>
        <w:gridCol w:w="2275"/>
      </w:tblGrid>
      <w:tr w:rsidR="00232757" w:rsidRPr="003B306D" w14:paraId="7BC3654A" w14:textId="4C10A0AD" w:rsidTr="00D7333A">
        <w:tc>
          <w:tcPr>
            <w:tcW w:w="3136" w:type="dxa"/>
          </w:tcPr>
          <w:p w14:paraId="11C30522" w14:textId="3F1F36E5" w:rsidR="00052901" w:rsidRPr="003B306D" w:rsidRDefault="00052901" w:rsidP="003B306D">
            <w:pPr>
              <w:spacing w:line="360" w:lineRule="auto"/>
              <w:jc w:val="both"/>
              <w:rPr>
                <w:rFonts w:ascii="Arial" w:hAnsi="Arial" w:cs="Arial"/>
                <w:b/>
                <w:i/>
              </w:rPr>
            </w:pPr>
            <w:r w:rsidRPr="003B306D">
              <w:rPr>
                <w:rFonts w:ascii="Arial" w:hAnsi="Arial" w:cs="Arial"/>
                <w:b/>
                <w:i/>
              </w:rPr>
              <w:t>Particulars</w:t>
            </w:r>
          </w:p>
        </w:tc>
        <w:tc>
          <w:tcPr>
            <w:tcW w:w="1765" w:type="dxa"/>
          </w:tcPr>
          <w:p w14:paraId="01A8B2C9" w14:textId="7E0B2749" w:rsidR="00052901" w:rsidRPr="003B306D" w:rsidRDefault="00052901" w:rsidP="003B306D">
            <w:pPr>
              <w:spacing w:line="360" w:lineRule="auto"/>
              <w:jc w:val="both"/>
              <w:rPr>
                <w:rFonts w:ascii="Arial" w:hAnsi="Arial" w:cs="Arial"/>
                <w:b/>
                <w:i/>
              </w:rPr>
            </w:pPr>
            <w:r w:rsidRPr="003B306D">
              <w:rPr>
                <w:rFonts w:ascii="Arial" w:hAnsi="Arial" w:cs="Arial"/>
                <w:b/>
                <w:i/>
              </w:rPr>
              <w:t>Wheelchairs</w:t>
            </w:r>
          </w:p>
        </w:tc>
        <w:tc>
          <w:tcPr>
            <w:tcW w:w="1571" w:type="dxa"/>
          </w:tcPr>
          <w:p w14:paraId="3FDF7CCC" w14:textId="2CFEA253" w:rsidR="00052901" w:rsidRPr="003B306D" w:rsidRDefault="00052901" w:rsidP="003B306D">
            <w:pPr>
              <w:spacing w:line="360" w:lineRule="auto"/>
              <w:jc w:val="both"/>
              <w:rPr>
                <w:rFonts w:ascii="Arial" w:hAnsi="Arial" w:cs="Arial"/>
                <w:b/>
                <w:i/>
              </w:rPr>
            </w:pPr>
            <w:r w:rsidRPr="003B306D">
              <w:rPr>
                <w:rFonts w:ascii="Arial" w:hAnsi="Arial" w:cs="Arial"/>
                <w:b/>
                <w:i/>
              </w:rPr>
              <w:t>Hoists</w:t>
            </w:r>
          </w:p>
        </w:tc>
        <w:tc>
          <w:tcPr>
            <w:tcW w:w="1393" w:type="dxa"/>
          </w:tcPr>
          <w:p w14:paraId="34F0E94F" w14:textId="3EAFEC5B" w:rsidR="00052901" w:rsidRPr="003B306D" w:rsidRDefault="00052901" w:rsidP="003B306D">
            <w:pPr>
              <w:spacing w:line="360" w:lineRule="auto"/>
              <w:jc w:val="both"/>
              <w:rPr>
                <w:rFonts w:ascii="Arial" w:hAnsi="Arial" w:cs="Arial"/>
                <w:b/>
                <w:i/>
              </w:rPr>
            </w:pPr>
            <w:r w:rsidRPr="003B306D">
              <w:rPr>
                <w:rFonts w:ascii="Arial" w:hAnsi="Arial" w:cs="Arial"/>
                <w:b/>
                <w:i/>
              </w:rPr>
              <w:t>Mobile Beds</w:t>
            </w:r>
          </w:p>
        </w:tc>
        <w:tc>
          <w:tcPr>
            <w:tcW w:w="1377" w:type="dxa"/>
          </w:tcPr>
          <w:p w14:paraId="19335B16" w14:textId="6B496F1F" w:rsidR="00052901" w:rsidRPr="003B306D" w:rsidRDefault="00052901" w:rsidP="003B306D">
            <w:pPr>
              <w:spacing w:line="360" w:lineRule="auto"/>
              <w:jc w:val="both"/>
              <w:rPr>
                <w:rFonts w:ascii="Arial" w:hAnsi="Arial" w:cs="Arial"/>
                <w:b/>
                <w:i/>
              </w:rPr>
            </w:pPr>
            <w:r w:rsidRPr="003B306D">
              <w:rPr>
                <w:rFonts w:ascii="Arial" w:hAnsi="Arial" w:cs="Arial"/>
                <w:b/>
                <w:i/>
              </w:rPr>
              <w:t>Total</w:t>
            </w:r>
          </w:p>
        </w:tc>
      </w:tr>
      <w:tr w:rsidR="00232757" w:rsidRPr="003B306D" w14:paraId="1636753B" w14:textId="5BCEE64C" w:rsidTr="00D7333A">
        <w:tc>
          <w:tcPr>
            <w:tcW w:w="3136" w:type="dxa"/>
          </w:tcPr>
          <w:p w14:paraId="1211C29E" w14:textId="6FF1D461" w:rsidR="00052901" w:rsidRPr="003B306D" w:rsidRDefault="00052901" w:rsidP="003B306D">
            <w:pPr>
              <w:spacing w:line="360" w:lineRule="auto"/>
              <w:jc w:val="both"/>
              <w:rPr>
                <w:rFonts w:ascii="Arial" w:hAnsi="Arial" w:cs="Arial"/>
              </w:rPr>
            </w:pPr>
            <w:r w:rsidRPr="003B306D">
              <w:rPr>
                <w:rFonts w:ascii="Arial" w:hAnsi="Arial" w:cs="Arial"/>
              </w:rPr>
              <w:t>Selling price</w:t>
            </w:r>
            <w:r w:rsidR="006051FF">
              <w:rPr>
                <w:rFonts w:ascii="Arial" w:hAnsi="Arial" w:cs="Arial"/>
              </w:rPr>
              <w:t xml:space="preserve"> (Cohen, </w:t>
            </w:r>
            <w:r w:rsidR="006051FF" w:rsidRPr="006E465C">
              <w:rPr>
                <w:rFonts w:ascii="Arial" w:hAnsi="Arial" w:cs="Arial"/>
              </w:rPr>
              <w:t>2020)</w:t>
            </w:r>
            <w:r w:rsidR="006051FF">
              <w:rPr>
                <w:rFonts w:ascii="Arial" w:hAnsi="Arial" w:cs="Arial"/>
              </w:rPr>
              <w:t>.</w:t>
            </w:r>
          </w:p>
        </w:tc>
        <w:tc>
          <w:tcPr>
            <w:tcW w:w="1765" w:type="dxa"/>
          </w:tcPr>
          <w:p w14:paraId="4E63EF1B" w14:textId="32FACD17" w:rsidR="00052901" w:rsidRPr="00E4398A" w:rsidRDefault="00052901" w:rsidP="003B306D">
            <w:pPr>
              <w:spacing w:line="360" w:lineRule="auto"/>
              <w:jc w:val="both"/>
              <w:rPr>
                <w:rFonts w:ascii="Arial" w:hAnsi="Arial" w:cs="Arial"/>
              </w:rPr>
            </w:pPr>
            <w:r w:rsidRPr="00E4398A">
              <w:rPr>
                <w:rFonts w:ascii="Arial" w:hAnsi="Arial" w:cs="Arial"/>
              </w:rPr>
              <w:t>503</w:t>
            </w:r>
          </w:p>
        </w:tc>
        <w:tc>
          <w:tcPr>
            <w:tcW w:w="1571" w:type="dxa"/>
          </w:tcPr>
          <w:p w14:paraId="6AD8B220" w14:textId="33EB4383" w:rsidR="00052901" w:rsidRPr="00E4398A" w:rsidRDefault="00052901" w:rsidP="003B306D">
            <w:pPr>
              <w:spacing w:line="360" w:lineRule="auto"/>
              <w:jc w:val="both"/>
              <w:rPr>
                <w:rFonts w:ascii="Arial" w:hAnsi="Arial" w:cs="Arial"/>
              </w:rPr>
            </w:pPr>
            <w:r w:rsidRPr="00E4398A">
              <w:rPr>
                <w:rFonts w:ascii="Arial" w:hAnsi="Arial" w:cs="Arial"/>
              </w:rPr>
              <w:t>200</w:t>
            </w:r>
          </w:p>
        </w:tc>
        <w:tc>
          <w:tcPr>
            <w:tcW w:w="1393" w:type="dxa"/>
          </w:tcPr>
          <w:p w14:paraId="2B65EBAB" w14:textId="40814373" w:rsidR="00052901" w:rsidRPr="00E4398A" w:rsidRDefault="00052901" w:rsidP="003B306D">
            <w:pPr>
              <w:spacing w:line="360" w:lineRule="auto"/>
              <w:jc w:val="both"/>
              <w:rPr>
                <w:rFonts w:ascii="Arial" w:hAnsi="Arial" w:cs="Arial"/>
              </w:rPr>
            </w:pPr>
            <w:r w:rsidRPr="00E4398A">
              <w:rPr>
                <w:rFonts w:ascii="Arial" w:hAnsi="Arial" w:cs="Arial"/>
              </w:rPr>
              <w:t>251</w:t>
            </w:r>
          </w:p>
        </w:tc>
        <w:tc>
          <w:tcPr>
            <w:tcW w:w="1377" w:type="dxa"/>
          </w:tcPr>
          <w:p w14:paraId="000ED4D8" w14:textId="7A3ADEEF" w:rsidR="00052901" w:rsidRPr="00DF122A" w:rsidRDefault="00FB4374" w:rsidP="003B306D">
            <w:pPr>
              <w:spacing w:line="360" w:lineRule="auto"/>
              <w:jc w:val="both"/>
              <w:rPr>
                <w:rFonts w:ascii="Arial" w:hAnsi="Arial" w:cs="Arial"/>
                <w:b/>
                <w:i/>
                <w:color w:val="1F3864" w:themeColor="accent1" w:themeShade="80"/>
              </w:rPr>
            </w:pPr>
            <w:r w:rsidRPr="00DF122A">
              <w:rPr>
                <w:rFonts w:ascii="Arial" w:hAnsi="Arial" w:cs="Arial"/>
                <w:b/>
                <w:i/>
                <w:color w:val="1F3864" w:themeColor="accent1" w:themeShade="80"/>
              </w:rPr>
              <w:t>276</w:t>
            </w:r>
          </w:p>
        </w:tc>
      </w:tr>
      <w:tr w:rsidR="00232757" w:rsidRPr="003B306D" w14:paraId="7EF86206" w14:textId="15547AE4" w:rsidTr="00D7333A">
        <w:tc>
          <w:tcPr>
            <w:tcW w:w="3136" w:type="dxa"/>
          </w:tcPr>
          <w:p w14:paraId="423C18CC" w14:textId="0940F6E0" w:rsidR="00052901" w:rsidRPr="003B306D" w:rsidRDefault="0018385E" w:rsidP="003B306D">
            <w:pPr>
              <w:spacing w:line="360" w:lineRule="auto"/>
              <w:jc w:val="both"/>
              <w:rPr>
                <w:rFonts w:ascii="Arial" w:hAnsi="Arial" w:cs="Arial"/>
              </w:rPr>
            </w:pPr>
            <w:r w:rsidRPr="003B306D">
              <w:rPr>
                <w:rFonts w:ascii="Arial" w:hAnsi="Arial" w:cs="Arial"/>
              </w:rPr>
              <w:t xml:space="preserve">Less: </w:t>
            </w:r>
            <w:r w:rsidR="00052901" w:rsidRPr="003B306D">
              <w:rPr>
                <w:rFonts w:ascii="Arial" w:hAnsi="Arial" w:cs="Arial"/>
              </w:rPr>
              <w:t>Direct Material</w:t>
            </w:r>
            <w:r w:rsidR="009F2984" w:rsidRPr="003B306D">
              <w:rPr>
                <w:rFonts w:ascii="Arial" w:hAnsi="Arial" w:cs="Arial"/>
              </w:rPr>
              <w:t xml:space="preserve"> (£)</w:t>
            </w:r>
          </w:p>
        </w:tc>
        <w:tc>
          <w:tcPr>
            <w:tcW w:w="1765" w:type="dxa"/>
          </w:tcPr>
          <w:p w14:paraId="16902513" w14:textId="378E7D1D" w:rsidR="00052901" w:rsidRPr="00E4398A" w:rsidRDefault="00232757" w:rsidP="003B306D">
            <w:pPr>
              <w:spacing w:line="360" w:lineRule="auto"/>
              <w:jc w:val="both"/>
              <w:rPr>
                <w:rFonts w:ascii="Arial" w:hAnsi="Arial" w:cs="Arial"/>
              </w:rPr>
            </w:pPr>
            <w:r w:rsidRPr="00E4398A">
              <w:rPr>
                <w:rFonts w:ascii="Arial" w:hAnsi="Arial" w:cs="Arial"/>
              </w:rPr>
              <w:t>(</w:t>
            </w:r>
            <w:r w:rsidR="00052901" w:rsidRPr="00E4398A">
              <w:rPr>
                <w:rFonts w:ascii="Arial" w:hAnsi="Arial" w:cs="Arial"/>
              </w:rPr>
              <w:t>116</w:t>
            </w:r>
            <w:r w:rsidRPr="00E4398A">
              <w:rPr>
                <w:rFonts w:ascii="Arial" w:hAnsi="Arial" w:cs="Arial"/>
              </w:rPr>
              <w:t>)</w:t>
            </w:r>
          </w:p>
        </w:tc>
        <w:tc>
          <w:tcPr>
            <w:tcW w:w="1571" w:type="dxa"/>
          </w:tcPr>
          <w:p w14:paraId="32EB1103" w14:textId="2B67A654" w:rsidR="00052901" w:rsidRPr="00E4398A" w:rsidRDefault="00232757" w:rsidP="003B306D">
            <w:pPr>
              <w:spacing w:line="360" w:lineRule="auto"/>
              <w:jc w:val="both"/>
              <w:rPr>
                <w:rFonts w:ascii="Arial" w:hAnsi="Arial" w:cs="Arial"/>
              </w:rPr>
            </w:pPr>
            <w:r w:rsidRPr="00E4398A">
              <w:rPr>
                <w:rFonts w:ascii="Arial" w:hAnsi="Arial" w:cs="Arial"/>
              </w:rPr>
              <w:t>(</w:t>
            </w:r>
            <w:r w:rsidR="00052901" w:rsidRPr="00E4398A">
              <w:rPr>
                <w:rFonts w:ascii="Arial" w:hAnsi="Arial" w:cs="Arial"/>
              </w:rPr>
              <w:t>74</w:t>
            </w:r>
            <w:r w:rsidRPr="00E4398A">
              <w:rPr>
                <w:rFonts w:ascii="Arial" w:hAnsi="Arial" w:cs="Arial"/>
              </w:rPr>
              <w:t>)</w:t>
            </w:r>
          </w:p>
        </w:tc>
        <w:tc>
          <w:tcPr>
            <w:tcW w:w="1393" w:type="dxa"/>
          </w:tcPr>
          <w:p w14:paraId="64FB4CB3" w14:textId="156383D6" w:rsidR="00052901" w:rsidRPr="00E4398A" w:rsidRDefault="00232757" w:rsidP="003B306D">
            <w:pPr>
              <w:spacing w:line="360" w:lineRule="auto"/>
              <w:jc w:val="both"/>
              <w:rPr>
                <w:rFonts w:ascii="Arial" w:hAnsi="Arial" w:cs="Arial"/>
              </w:rPr>
            </w:pPr>
            <w:r w:rsidRPr="00E4398A">
              <w:rPr>
                <w:rFonts w:ascii="Arial" w:hAnsi="Arial" w:cs="Arial"/>
              </w:rPr>
              <w:t>(</w:t>
            </w:r>
            <w:r w:rsidR="00052901" w:rsidRPr="00E4398A">
              <w:rPr>
                <w:rFonts w:ascii="Arial" w:hAnsi="Arial" w:cs="Arial"/>
              </w:rPr>
              <w:t>120</w:t>
            </w:r>
            <w:r w:rsidRPr="00E4398A">
              <w:rPr>
                <w:rFonts w:ascii="Arial" w:hAnsi="Arial" w:cs="Arial"/>
              </w:rPr>
              <w:t>)</w:t>
            </w:r>
          </w:p>
        </w:tc>
        <w:tc>
          <w:tcPr>
            <w:tcW w:w="1377" w:type="dxa"/>
          </w:tcPr>
          <w:p w14:paraId="17BA60FF" w14:textId="178C27C9" w:rsidR="00052901" w:rsidRPr="00DF122A" w:rsidRDefault="00DF122A" w:rsidP="003B306D">
            <w:pPr>
              <w:spacing w:line="360" w:lineRule="auto"/>
              <w:jc w:val="both"/>
              <w:rPr>
                <w:rFonts w:ascii="Arial" w:hAnsi="Arial" w:cs="Arial"/>
                <w:b/>
                <w:i/>
                <w:color w:val="1F3864" w:themeColor="accent1" w:themeShade="80"/>
              </w:rPr>
            </w:pPr>
            <w:r w:rsidRPr="00DF122A">
              <w:rPr>
                <w:rFonts w:ascii="Arial" w:hAnsi="Arial" w:cs="Arial"/>
                <w:b/>
                <w:i/>
                <w:color w:val="1F3864" w:themeColor="accent1" w:themeShade="80"/>
              </w:rPr>
              <w:t>(99</w:t>
            </w:r>
            <w:r w:rsidR="00615A09" w:rsidRPr="00DF122A">
              <w:rPr>
                <w:rFonts w:ascii="Arial" w:hAnsi="Arial" w:cs="Arial"/>
                <w:b/>
                <w:i/>
                <w:color w:val="1F3864" w:themeColor="accent1" w:themeShade="80"/>
              </w:rPr>
              <w:t>)</w:t>
            </w:r>
          </w:p>
        </w:tc>
      </w:tr>
      <w:tr w:rsidR="00232757" w:rsidRPr="003B306D" w14:paraId="72D8A72E" w14:textId="72B4F939" w:rsidTr="00D7333A">
        <w:tc>
          <w:tcPr>
            <w:tcW w:w="3136" w:type="dxa"/>
          </w:tcPr>
          <w:p w14:paraId="19D57A64" w14:textId="0A6513F8" w:rsidR="00052901" w:rsidRPr="003B306D" w:rsidRDefault="0018385E" w:rsidP="003B306D">
            <w:pPr>
              <w:spacing w:line="360" w:lineRule="auto"/>
              <w:jc w:val="both"/>
              <w:rPr>
                <w:rFonts w:ascii="Arial" w:hAnsi="Arial" w:cs="Arial"/>
              </w:rPr>
            </w:pPr>
            <w:r w:rsidRPr="003B306D">
              <w:rPr>
                <w:rFonts w:ascii="Arial" w:hAnsi="Arial" w:cs="Arial"/>
              </w:rPr>
              <w:t xml:space="preserve">Less: </w:t>
            </w:r>
            <w:r w:rsidR="00052901" w:rsidRPr="003B306D">
              <w:rPr>
                <w:rFonts w:ascii="Arial" w:hAnsi="Arial" w:cs="Arial"/>
              </w:rPr>
              <w:t>Direct Labour</w:t>
            </w:r>
            <w:r w:rsidR="009F2984" w:rsidRPr="003B306D">
              <w:rPr>
                <w:rFonts w:ascii="Arial" w:hAnsi="Arial" w:cs="Arial"/>
              </w:rPr>
              <w:t xml:space="preserve"> (£)</w:t>
            </w:r>
          </w:p>
        </w:tc>
        <w:tc>
          <w:tcPr>
            <w:tcW w:w="1765" w:type="dxa"/>
          </w:tcPr>
          <w:p w14:paraId="2DC50BB2" w14:textId="0FBEFCC5" w:rsidR="00052901" w:rsidRPr="00E4398A" w:rsidRDefault="00232757" w:rsidP="003B306D">
            <w:pPr>
              <w:spacing w:line="360" w:lineRule="auto"/>
              <w:jc w:val="both"/>
              <w:rPr>
                <w:rFonts w:ascii="Arial" w:hAnsi="Arial" w:cs="Arial"/>
              </w:rPr>
            </w:pPr>
            <w:r w:rsidRPr="00E4398A">
              <w:rPr>
                <w:rFonts w:ascii="Arial" w:hAnsi="Arial" w:cs="Arial"/>
              </w:rPr>
              <w:t>(</w:t>
            </w:r>
            <w:r w:rsidR="00052901" w:rsidRPr="00E4398A">
              <w:rPr>
                <w:rFonts w:ascii="Arial" w:hAnsi="Arial" w:cs="Arial"/>
              </w:rPr>
              <w:t>156</w:t>
            </w:r>
            <w:r w:rsidRPr="00E4398A">
              <w:rPr>
                <w:rFonts w:ascii="Arial" w:hAnsi="Arial" w:cs="Arial"/>
              </w:rPr>
              <w:t>)</w:t>
            </w:r>
          </w:p>
        </w:tc>
        <w:tc>
          <w:tcPr>
            <w:tcW w:w="1571" w:type="dxa"/>
          </w:tcPr>
          <w:p w14:paraId="7B5E7C6F" w14:textId="2B6F172F" w:rsidR="00052901" w:rsidRPr="00E4398A" w:rsidRDefault="00232757" w:rsidP="003B306D">
            <w:pPr>
              <w:spacing w:line="360" w:lineRule="auto"/>
              <w:jc w:val="both"/>
              <w:rPr>
                <w:rFonts w:ascii="Arial" w:hAnsi="Arial" w:cs="Arial"/>
              </w:rPr>
            </w:pPr>
            <w:r w:rsidRPr="00E4398A">
              <w:rPr>
                <w:rFonts w:ascii="Arial" w:hAnsi="Arial" w:cs="Arial"/>
              </w:rPr>
              <w:t>(</w:t>
            </w:r>
            <w:r w:rsidR="00052901" w:rsidRPr="00E4398A">
              <w:rPr>
                <w:rFonts w:ascii="Arial" w:hAnsi="Arial" w:cs="Arial"/>
              </w:rPr>
              <w:t>84</w:t>
            </w:r>
            <w:r w:rsidRPr="00E4398A">
              <w:rPr>
                <w:rFonts w:ascii="Arial" w:hAnsi="Arial" w:cs="Arial"/>
              </w:rPr>
              <w:t>)</w:t>
            </w:r>
          </w:p>
        </w:tc>
        <w:tc>
          <w:tcPr>
            <w:tcW w:w="1393" w:type="dxa"/>
          </w:tcPr>
          <w:p w14:paraId="23CA02C2" w14:textId="21F944CA" w:rsidR="00052901" w:rsidRPr="00E4398A" w:rsidRDefault="00232757" w:rsidP="003B306D">
            <w:pPr>
              <w:spacing w:line="360" w:lineRule="auto"/>
              <w:jc w:val="both"/>
              <w:rPr>
                <w:rFonts w:ascii="Arial" w:hAnsi="Arial" w:cs="Arial"/>
              </w:rPr>
            </w:pPr>
            <w:r w:rsidRPr="00E4398A">
              <w:rPr>
                <w:rFonts w:ascii="Arial" w:hAnsi="Arial" w:cs="Arial"/>
              </w:rPr>
              <w:t>(</w:t>
            </w:r>
            <w:r w:rsidR="00052901" w:rsidRPr="00E4398A">
              <w:rPr>
                <w:rFonts w:ascii="Arial" w:hAnsi="Arial" w:cs="Arial"/>
              </w:rPr>
              <w:t>88</w:t>
            </w:r>
            <w:r w:rsidRPr="00E4398A">
              <w:rPr>
                <w:rFonts w:ascii="Arial" w:hAnsi="Arial" w:cs="Arial"/>
              </w:rPr>
              <w:t>)</w:t>
            </w:r>
          </w:p>
        </w:tc>
        <w:tc>
          <w:tcPr>
            <w:tcW w:w="1377" w:type="dxa"/>
          </w:tcPr>
          <w:p w14:paraId="17D89A7B" w14:textId="50B644D6" w:rsidR="00052901" w:rsidRPr="00DF122A" w:rsidRDefault="00DF122A" w:rsidP="003B306D">
            <w:pPr>
              <w:spacing w:line="360" w:lineRule="auto"/>
              <w:jc w:val="both"/>
              <w:rPr>
                <w:rFonts w:ascii="Arial" w:hAnsi="Arial" w:cs="Arial"/>
                <w:b/>
                <w:i/>
                <w:color w:val="1F3864" w:themeColor="accent1" w:themeShade="80"/>
              </w:rPr>
            </w:pPr>
            <w:r w:rsidRPr="00DF122A">
              <w:rPr>
                <w:rFonts w:ascii="Arial" w:hAnsi="Arial" w:cs="Arial"/>
                <w:b/>
                <w:i/>
                <w:color w:val="1F3864" w:themeColor="accent1" w:themeShade="80"/>
              </w:rPr>
              <w:t>(99</w:t>
            </w:r>
            <w:r w:rsidR="00615A09" w:rsidRPr="00DF122A">
              <w:rPr>
                <w:rFonts w:ascii="Arial" w:hAnsi="Arial" w:cs="Arial"/>
                <w:b/>
                <w:i/>
                <w:color w:val="1F3864" w:themeColor="accent1" w:themeShade="80"/>
              </w:rPr>
              <w:t>)</w:t>
            </w:r>
          </w:p>
        </w:tc>
      </w:tr>
      <w:tr w:rsidR="00232757" w:rsidRPr="003B306D" w14:paraId="35D643B7" w14:textId="67014338" w:rsidTr="00D7333A">
        <w:tc>
          <w:tcPr>
            <w:tcW w:w="3136" w:type="dxa"/>
          </w:tcPr>
          <w:p w14:paraId="7C928F76" w14:textId="03AF2A43" w:rsidR="00052901" w:rsidRPr="003B306D" w:rsidRDefault="0018385E" w:rsidP="003B306D">
            <w:pPr>
              <w:spacing w:line="360" w:lineRule="auto"/>
              <w:jc w:val="both"/>
              <w:rPr>
                <w:rFonts w:ascii="Arial" w:hAnsi="Arial" w:cs="Arial"/>
              </w:rPr>
            </w:pPr>
            <w:r w:rsidRPr="003B306D">
              <w:rPr>
                <w:rFonts w:ascii="Arial" w:hAnsi="Arial" w:cs="Arial"/>
              </w:rPr>
              <w:t xml:space="preserve">Less: </w:t>
            </w:r>
            <w:r w:rsidR="00052901" w:rsidRPr="003B306D">
              <w:rPr>
                <w:rFonts w:ascii="Arial" w:hAnsi="Arial" w:cs="Arial"/>
              </w:rPr>
              <w:t>Other variable expenses</w:t>
            </w:r>
            <w:r w:rsidR="009F2984" w:rsidRPr="003B306D">
              <w:rPr>
                <w:rFonts w:ascii="Arial" w:hAnsi="Arial" w:cs="Arial"/>
              </w:rPr>
              <w:t xml:space="preserve"> (£)</w:t>
            </w:r>
            <w:r w:rsidR="006051FF">
              <w:rPr>
                <w:rFonts w:ascii="Arial" w:hAnsi="Arial" w:cs="Arial"/>
              </w:rPr>
              <w:t xml:space="preserve"> (Bhimani, </w:t>
            </w:r>
            <w:r w:rsidR="006051FF" w:rsidRPr="006E465C">
              <w:rPr>
                <w:rFonts w:ascii="Arial" w:hAnsi="Arial" w:cs="Arial"/>
              </w:rPr>
              <w:t>2018)</w:t>
            </w:r>
            <w:r w:rsidR="006051FF">
              <w:rPr>
                <w:rFonts w:ascii="Arial" w:hAnsi="Arial" w:cs="Arial"/>
              </w:rPr>
              <w:t>.</w:t>
            </w:r>
          </w:p>
        </w:tc>
        <w:tc>
          <w:tcPr>
            <w:tcW w:w="1765" w:type="dxa"/>
          </w:tcPr>
          <w:p w14:paraId="1D969688" w14:textId="1E7F0CCF" w:rsidR="00052901" w:rsidRPr="00E4398A" w:rsidRDefault="00232757" w:rsidP="003B306D">
            <w:pPr>
              <w:spacing w:line="360" w:lineRule="auto"/>
              <w:jc w:val="both"/>
              <w:rPr>
                <w:rFonts w:ascii="Arial" w:hAnsi="Arial" w:cs="Arial"/>
              </w:rPr>
            </w:pPr>
            <w:r w:rsidRPr="00E4398A">
              <w:rPr>
                <w:rFonts w:ascii="Arial" w:hAnsi="Arial" w:cs="Arial"/>
              </w:rPr>
              <w:t>(55)</w:t>
            </w:r>
          </w:p>
        </w:tc>
        <w:tc>
          <w:tcPr>
            <w:tcW w:w="1571" w:type="dxa"/>
          </w:tcPr>
          <w:p w14:paraId="3519B234" w14:textId="2A481EC5" w:rsidR="00052901" w:rsidRPr="00E4398A" w:rsidRDefault="00232757" w:rsidP="003B306D">
            <w:pPr>
              <w:spacing w:line="360" w:lineRule="auto"/>
              <w:jc w:val="both"/>
              <w:rPr>
                <w:rFonts w:ascii="Arial" w:hAnsi="Arial" w:cs="Arial"/>
              </w:rPr>
            </w:pPr>
            <w:r w:rsidRPr="00E4398A">
              <w:rPr>
                <w:rFonts w:ascii="Arial" w:hAnsi="Arial" w:cs="Arial"/>
              </w:rPr>
              <w:t>(50)</w:t>
            </w:r>
          </w:p>
        </w:tc>
        <w:tc>
          <w:tcPr>
            <w:tcW w:w="1393" w:type="dxa"/>
          </w:tcPr>
          <w:p w14:paraId="367CA166" w14:textId="4E9A9685" w:rsidR="00052901" w:rsidRPr="00E4398A" w:rsidRDefault="00232757" w:rsidP="003B306D">
            <w:pPr>
              <w:spacing w:line="360" w:lineRule="auto"/>
              <w:jc w:val="both"/>
              <w:rPr>
                <w:rFonts w:ascii="Arial" w:hAnsi="Arial" w:cs="Arial"/>
              </w:rPr>
            </w:pPr>
            <w:r w:rsidRPr="00E4398A">
              <w:rPr>
                <w:rFonts w:ascii="Arial" w:hAnsi="Arial" w:cs="Arial"/>
              </w:rPr>
              <w:t>(40)</w:t>
            </w:r>
          </w:p>
        </w:tc>
        <w:tc>
          <w:tcPr>
            <w:tcW w:w="1377" w:type="dxa"/>
          </w:tcPr>
          <w:p w14:paraId="664888AA" w14:textId="0C582F1F" w:rsidR="00052901" w:rsidRPr="00DF122A" w:rsidRDefault="00DF122A" w:rsidP="003B306D">
            <w:pPr>
              <w:spacing w:line="360" w:lineRule="auto"/>
              <w:jc w:val="both"/>
              <w:rPr>
                <w:rFonts w:ascii="Arial" w:hAnsi="Arial" w:cs="Arial"/>
                <w:b/>
                <w:i/>
                <w:color w:val="1F3864" w:themeColor="accent1" w:themeShade="80"/>
              </w:rPr>
            </w:pPr>
            <w:r w:rsidRPr="00DF122A">
              <w:rPr>
                <w:rFonts w:ascii="Arial" w:hAnsi="Arial" w:cs="Arial"/>
                <w:b/>
                <w:i/>
                <w:color w:val="1F3864" w:themeColor="accent1" w:themeShade="80"/>
              </w:rPr>
              <w:t>(47</w:t>
            </w:r>
            <w:r w:rsidR="00615A09" w:rsidRPr="00DF122A">
              <w:rPr>
                <w:rFonts w:ascii="Arial" w:hAnsi="Arial" w:cs="Arial"/>
                <w:b/>
                <w:i/>
                <w:color w:val="1F3864" w:themeColor="accent1" w:themeShade="80"/>
              </w:rPr>
              <w:t>)</w:t>
            </w:r>
          </w:p>
        </w:tc>
      </w:tr>
      <w:tr w:rsidR="00232757" w:rsidRPr="00335668" w14:paraId="3C7C2720" w14:textId="19D92438" w:rsidTr="00D7333A">
        <w:tc>
          <w:tcPr>
            <w:tcW w:w="3136" w:type="dxa"/>
          </w:tcPr>
          <w:p w14:paraId="77F0A09D" w14:textId="17603E98" w:rsidR="00052901" w:rsidRPr="00335668" w:rsidRDefault="00232757" w:rsidP="003B306D">
            <w:pPr>
              <w:spacing w:line="360" w:lineRule="auto"/>
              <w:jc w:val="both"/>
              <w:rPr>
                <w:rFonts w:ascii="Arial" w:hAnsi="Arial" w:cs="Arial"/>
                <w:highlight w:val="yellow"/>
              </w:rPr>
            </w:pPr>
            <w:r w:rsidRPr="00335668">
              <w:rPr>
                <w:rFonts w:ascii="Arial" w:hAnsi="Arial" w:cs="Arial"/>
                <w:highlight w:val="yellow"/>
              </w:rPr>
              <w:t>Contribution per unit</w:t>
            </w:r>
            <w:r w:rsidR="009F2984" w:rsidRPr="00335668">
              <w:rPr>
                <w:rFonts w:ascii="Arial" w:hAnsi="Arial" w:cs="Arial"/>
                <w:highlight w:val="yellow"/>
              </w:rPr>
              <w:t xml:space="preserve"> (£)</w:t>
            </w:r>
          </w:p>
        </w:tc>
        <w:tc>
          <w:tcPr>
            <w:tcW w:w="1765" w:type="dxa"/>
          </w:tcPr>
          <w:p w14:paraId="654E9EC5" w14:textId="68702C9F" w:rsidR="00052901" w:rsidRPr="00335668" w:rsidRDefault="00232757" w:rsidP="003B306D">
            <w:pPr>
              <w:spacing w:line="360" w:lineRule="auto"/>
              <w:jc w:val="both"/>
              <w:rPr>
                <w:rFonts w:ascii="Arial" w:hAnsi="Arial" w:cs="Arial"/>
                <w:b/>
                <w:i/>
                <w:highlight w:val="yellow"/>
              </w:rPr>
            </w:pPr>
            <w:r w:rsidRPr="00335668">
              <w:rPr>
                <w:rFonts w:ascii="Arial" w:hAnsi="Arial" w:cs="Arial"/>
                <w:b/>
                <w:i/>
                <w:highlight w:val="yellow"/>
              </w:rPr>
              <w:t>176</w:t>
            </w:r>
          </w:p>
        </w:tc>
        <w:tc>
          <w:tcPr>
            <w:tcW w:w="1571" w:type="dxa"/>
          </w:tcPr>
          <w:p w14:paraId="142DCF73" w14:textId="0E73E1F5" w:rsidR="00052901" w:rsidRPr="00335668" w:rsidRDefault="00232757" w:rsidP="003B306D">
            <w:pPr>
              <w:spacing w:line="360" w:lineRule="auto"/>
              <w:jc w:val="both"/>
              <w:rPr>
                <w:rFonts w:ascii="Arial" w:hAnsi="Arial" w:cs="Arial"/>
                <w:b/>
                <w:i/>
                <w:highlight w:val="yellow"/>
              </w:rPr>
            </w:pPr>
            <w:r w:rsidRPr="00335668">
              <w:rPr>
                <w:rFonts w:ascii="Arial" w:hAnsi="Arial" w:cs="Arial"/>
                <w:b/>
                <w:i/>
                <w:highlight w:val="yellow"/>
              </w:rPr>
              <w:t>-8</w:t>
            </w:r>
          </w:p>
        </w:tc>
        <w:tc>
          <w:tcPr>
            <w:tcW w:w="1393" w:type="dxa"/>
          </w:tcPr>
          <w:p w14:paraId="3A4F2F44" w14:textId="0EB01F77" w:rsidR="00052901" w:rsidRPr="00335668" w:rsidRDefault="00232757" w:rsidP="003B306D">
            <w:pPr>
              <w:spacing w:line="360" w:lineRule="auto"/>
              <w:jc w:val="both"/>
              <w:rPr>
                <w:rFonts w:ascii="Arial" w:hAnsi="Arial" w:cs="Arial"/>
                <w:b/>
                <w:i/>
                <w:highlight w:val="yellow"/>
              </w:rPr>
            </w:pPr>
            <w:r w:rsidRPr="00335668">
              <w:rPr>
                <w:rFonts w:ascii="Arial" w:hAnsi="Arial" w:cs="Arial"/>
                <w:b/>
                <w:i/>
                <w:highlight w:val="yellow"/>
              </w:rPr>
              <w:t>3</w:t>
            </w:r>
          </w:p>
        </w:tc>
        <w:tc>
          <w:tcPr>
            <w:tcW w:w="1377" w:type="dxa"/>
          </w:tcPr>
          <w:p w14:paraId="0AD52304" w14:textId="71D7EB18" w:rsidR="00052901" w:rsidRPr="00DF122A" w:rsidRDefault="00DF122A" w:rsidP="003B306D">
            <w:pPr>
              <w:spacing w:line="360" w:lineRule="auto"/>
              <w:jc w:val="both"/>
              <w:rPr>
                <w:rFonts w:ascii="Arial" w:hAnsi="Arial" w:cs="Arial"/>
                <w:b/>
                <w:i/>
                <w:color w:val="1F3864" w:themeColor="accent1" w:themeShade="80"/>
                <w:highlight w:val="yellow"/>
              </w:rPr>
            </w:pPr>
            <w:r w:rsidRPr="00DF122A">
              <w:rPr>
                <w:rFonts w:ascii="Arial" w:hAnsi="Arial" w:cs="Arial"/>
                <w:b/>
                <w:i/>
                <w:color w:val="1F3864" w:themeColor="accent1" w:themeShade="80"/>
                <w:highlight w:val="yellow"/>
              </w:rPr>
              <w:t>3</w:t>
            </w:r>
            <w:r w:rsidR="00D7333A" w:rsidRPr="00DF122A">
              <w:rPr>
                <w:rFonts w:ascii="Arial" w:hAnsi="Arial" w:cs="Arial"/>
                <w:b/>
                <w:i/>
                <w:color w:val="1F3864" w:themeColor="accent1" w:themeShade="80"/>
                <w:highlight w:val="yellow"/>
              </w:rPr>
              <w:t>1</w:t>
            </w:r>
          </w:p>
        </w:tc>
      </w:tr>
      <w:tr w:rsidR="00232757" w:rsidRPr="003B306D" w14:paraId="22EB32C1" w14:textId="59BF461E" w:rsidTr="00D7333A">
        <w:tc>
          <w:tcPr>
            <w:tcW w:w="3136" w:type="dxa"/>
          </w:tcPr>
          <w:p w14:paraId="01F5C0E2" w14:textId="2D5D9EE7" w:rsidR="00052901" w:rsidRPr="00335668" w:rsidRDefault="00232757" w:rsidP="003B306D">
            <w:pPr>
              <w:spacing w:line="360" w:lineRule="auto"/>
              <w:jc w:val="both"/>
              <w:rPr>
                <w:rFonts w:ascii="Arial" w:hAnsi="Arial" w:cs="Arial"/>
                <w:b/>
                <w:i/>
                <w:highlight w:val="yellow"/>
              </w:rPr>
            </w:pPr>
            <w:r w:rsidRPr="00335668">
              <w:rPr>
                <w:rFonts w:ascii="Arial" w:hAnsi="Arial" w:cs="Arial"/>
                <w:b/>
                <w:i/>
                <w:highlight w:val="yellow"/>
              </w:rPr>
              <w:t>Total contribution(Contribution per unit*units)</w:t>
            </w:r>
          </w:p>
        </w:tc>
        <w:tc>
          <w:tcPr>
            <w:tcW w:w="1765" w:type="dxa"/>
          </w:tcPr>
          <w:p w14:paraId="4BF551CD" w14:textId="54F1AAFD" w:rsidR="00052901" w:rsidRPr="00335668" w:rsidRDefault="00232757" w:rsidP="003B306D">
            <w:pPr>
              <w:spacing w:line="360" w:lineRule="auto"/>
              <w:jc w:val="both"/>
              <w:rPr>
                <w:rFonts w:ascii="Arial" w:hAnsi="Arial" w:cs="Arial"/>
                <w:b/>
                <w:i/>
                <w:highlight w:val="yellow"/>
              </w:rPr>
            </w:pPr>
            <w:r w:rsidRPr="00335668">
              <w:rPr>
                <w:rFonts w:ascii="Arial" w:hAnsi="Arial" w:cs="Arial"/>
                <w:b/>
                <w:i/>
                <w:highlight w:val="yellow"/>
              </w:rPr>
              <w:t>176*40=7040</w:t>
            </w:r>
          </w:p>
        </w:tc>
        <w:tc>
          <w:tcPr>
            <w:tcW w:w="1571" w:type="dxa"/>
          </w:tcPr>
          <w:p w14:paraId="1D500C0E" w14:textId="4C185D4E" w:rsidR="00052901" w:rsidRPr="00335668" w:rsidRDefault="00615A09" w:rsidP="003B306D">
            <w:pPr>
              <w:spacing w:line="360" w:lineRule="auto"/>
              <w:jc w:val="both"/>
              <w:rPr>
                <w:rFonts w:ascii="Arial" w:hAnsi="Arial" w:cs="Arial"/>
                <w:b/>
                <w:i/>
                <w:highlight w:val="yellow"/>
              </w:rPr>
            </w:pPr>
            <w:r w:rsidRPr="00335668">
              <w:rPr>
                <w:rFonts w:ascii="Arial" w:hAnsi="Arial" w:cs="Arial"/>
                <w:b/>
                <w:i/>
                <w:highlight w:val="yellow"/>
              </w:rPr>
              <w:t>(</w:t>
            </w:r>
            <w:r w:rsidR="00232757" w:rsidRPr="00335668">
              <w:rPr>
                <w:rFonts w:ascii="Arial" w:hAnsi="Arial" w:cs="Arial"/>
                <w:b/>
                <w:i/>
                <w:highlight w:val="yellow"/>
              </w:rPr>
              <w:t>8</w:t>
            </w:r>
            <w:r w:rsidRPr="00335668">
              <w:rPr>
                <w:rFonts w:ascii="Arial" w:hAnsi="Arial" w:cs="Arial"/>
                <w:b/>
                <w:i/>
                <w:highlight w:val="yellow"/>
              </w:rPr>
              <w:t>)</w:t>
            </w:r>
            <w:r w:rsidR="00232757" w:rsidRPr="00335668">
              <w:rPr>
                <w:rFonts w:ascii="Arial" w:hAnsi="Arial" w:cs="Arial"/>
                <w:b/>
                <w:i/>
                <w:highlight w:val="yellow"/>
              </w:rPr>
              <w:t>*93=</w:t>
            </w:r>
            <w:r w:rsidRPr="00335668">
              <w:rPr>
                <w:rFonts w:ascii="Arial" w:hAnsi="Arial" w:cs="Arial"/>
                <w:b/>
                <w:i/>
                <w:highlight w:val="yellow"/>
              </w:rPr>
              <w:t>(</w:t>
            </w:r>
            <w:r w:rsidR="00232757" w:rsidRPr="00335668">
              <w:rPr>
                <w:rFonts w:ascii="Arial" w:hAnsi="Arial" w:cs="Arial"/>
                <w:b/>
                <w:i/>
                <w:highlight w:val="yellow"/>
              </w:rPr>
              <w:t>744</w:t>
            </w:r>
            <w:r w:rsidRPr="00335668">
              <w:rPr>
                <w:rFonts w:ascii="Arial" w:hAnsi="Arial" w:cs="Arial"/>
                <w:b/>
                <w:i/>
                <w:highlight w:val="yellow"/>
              </w:rPr>
              <w:t>)</w:t>
            </w:r>
          </w:p>
        </w:tc>
        <w:tc>
          <w:tcPr>
            <w:tcW w:w="1393" w:type="dxa"/>
          </w:tcPr>
          <w:p w14:paraId="19F1C41E" w14:textId="26F952B9" w:rsidR="00052901" w:rsidRPr="00335668" w:rsidRDefault="00232757" w:rsidP="003B306D">
            <w:pPr>
              <w:spacing w:line="360" w:lineRule="auto"/>
              <w:jc w:val="both"/>
              <w:rPr>
                <w:rFonts w:ascii="Arial" w:hAnsi="Arial" w:cs="Arial"/>
                <w:b/>
                <w:i/>
                <w:highlight w:val="yellow"/>
              </w:rPr>
            </w:pPr>
            <w:r w:rsidRPr="00335668">
              <w:rPr>
                <w:rFonts w:ascii="Arial" w:hAnsi="Arial" w:cs="Arial"/>
                <w:b/>
                <w:i/>
                <w:highlight w:val="yellow"/>
              </w:rPr>
              <w:t>3*77=231</w:t>
            </w:r>
          </w:p>
        </w:tc>
        <w:tc>
          <w:tcPr>
            <w:tcW w:w="1377" w:type="dxa"/>
          </w:tcPr>
          <w:p w14:paraId="6AFD76DB" w14:textId="7DC21C97" w:rsidR="00052901" w:rsidRPr="00DF122A" w:rsidRDefault="00DF122A" w:rsidP="00DF122A">
            <w:pPr>
              <w:spacing w:line="360" w:lineRule="auto"/>
              <w:jc w:val="both"/>
              <w:rPr>
                <w:rFonts w:ascii="Arial" w:hAnsi="Arial" w:cs="Arial"/>
                <w:b/>
                <w:i/>
                <w:color w:val="1F3864" w:themeColor="accent1" w:themeShade="80"/>
              </w:rPr>
            </w:pPr>
            <w:r w:rsidRPr="00DF122A">
              <w:rPr>
                <w:rFonts w:ascii="Arial" w:hAnsi="Arial" w:cs="Arial"/>
                <w:b/>
                <w:i/>
                <w:color w:val="1F3864" w:themeColor="accent1" w:themeShade="80"/>
                <w:highlight w:val="yellow"/>
              </w:rPr>
              <w:t>31*(40+93+77)=</w:t>
            </w:r>
            <w:r w:rsidR="00D7333A" w:rsidRPr="00DF122A">
              <w:rPr>
                <w:rFonts w:ascii="Arial" w:hAnsi="Arial" w:cs="Arial"/>
                <w:b/>
                <w:i/>
                <w:color w:val="1F3864" w:themeColor="accent1" w:themeShade="80"/>
                <w:highlight w:val="yellow"/>
              </w:rPr>
              <w:t>6</w:t>
            </w:r>
            <w:r w:rsidRPr="00DF122A">
              <w:rPr>
                <w:rFonts w:ascii="Arial" w:hAnsi="Arial" w:cs="Arial"/>
                <w:b/>
                <w:i/>
                <w:color w:val="1F3864" w:themeColor="accent1" w:themeShade="80"/>
                <w:highlight w:val="yellow"/>
              </w:rPr>
              <w:t>510</w:t>
            </w:r>
          </w:p>
        </w:tc>
      </w:tr>
      <w:tr w:rsidR="00232757" w:rsidRPr="003B306D" w14:paraId="38F1E823" w14:textId="77777777" w:rsidTr="00D7333A">
        <w:tc>
          <w:tcPr>
            <w:tcW w:w="3136" w:type="dxa"/>
          </w:tcPr>
          <w:p w14:paraId="2715009A" w14:textId="1D2EB91E" w:rsidR="00232757" w:rsidRPr="003B306D" w:rsidRDefault="0018385E" w:rsidP="003B306D">
            <w:pPr>
              <w:spacing w:line="360" w:lineRule="auto"/>
              <w:jc w:val="both"/>
              <w:rPr>
                <w:rFonts w:ascii="Arial" w:hAnsi="Arial" w:cs="Arial"/>
              </w:rPr>
            </w:pPr>
            <w:r w:rsidRPr="003B306D">
              <w:rPr>
                <w:rFonts w:ascii="Arial" w:hAnsi="Arial" w:cs="Arial"/>
              </w:rPr>
              <w:t xml:space="preserve">Less; </w:t>
            </w:r>
            <w:r w:rsidR="00232757" w:rsidRPr="003B306D">
              <w:rPr>
                <w:rFonts w:ascii="Arial" w:hAnsi="Arial" w:cs="Arial"/>
              </w:rPr>
              <w:t>Fixed overheads</w:t>
            </w:r>
            <w:r w:rsidR="009F2984" w:rsidRPr="003B306D">
              <w:rPr>
                <w:rFonts w:ascii="Arial" w:hAnsi="Arial" w:cs="Arial"/>
              </w:rPr>
              <w:t xml:space="preserve"> (£)</w:t>
            </w:r>
          </w:p>
        </w:tc>
        <w:tc>
          <w:tcPr>
            <w:tcW w:w="1765" w:type="dxa"/>
          </w:tcPr>
          <w:p w14:paraId="493C20B2" w14:textId="40447A68" w:rsidR="00232757" w:rsidRPr="00E4398A" w:rsidRDefault="009F2984" w:rsidP="003B306D">
            <w:pPr>
              <w:spacing w:line="360" w:lineRule="auto"/>
              <w:jc w:val="both"/>
              <w:rPr>
                <w:rFonts w:ascii="Arial" w:hAnsi="Arial" w:cs="Arial"/>
              </w:rPr>
            </w:pPr>
            <w:r w:rsidRPr="00E4398A">
              <w:rPr>
                <w:rFonts w:ascii="Arial" w:hAnsi="Arial" w:cs="Arial"/>
              </w:rPr>
              <w:t>(6030</w:t>
            </w:r>
            <w:r w:rsidR="00232757" w:rsidRPr="00E4398A">
              <w:rPr>
                <w:rFonts w:ascii="Arial" w:hAnsi="Arial" w:cs="Arial"/>
              </w:rPr>
              <w:t xml:space="preserve">) </w:t>
            </w:r>
          </w:p>
          <w:p w14:paraId="6BC4D20F" w14:textId="0720D84F" w:rsidR="00232757" w:rsidRPr="00E4398A" w:rsidRDefault="00232757" w:rsidP="003B306D">
            <w:pPr>
              <w:spacing w:line="360" w:lineRule="auto"/>
              <w:jc w:val="both"/>
              <w:rPr>
                <w:rFonts w:ascii="Arial" w:hAnsi="Arial" w:cs="Arial"/>
              </w:rPr>
            </w:pPr>
          </w:p>
        </w:tc>
        <w:tc>
          <w:tcPr>
            <w:tcW w:w="1571" w:type="dxa"/>
          </w:tcPr>
          <w:p w14:paraId="138DB776" w14:textId="1FBD36E6" w:rsidR="00232757" w:rsidRPr="00E4398A" w:rsidRDefault="009F2984" w:rsidP="003B306D">
            <w:pPr>
              <w:spacing w:line="360" w:lineRule="auto"/>
              <w:jc w:val="both"/>
              <w:rPr>
                <w:rFonts w:ascii="Arial" w:hAnsi="Arial" w:cs="Arial"/>
              </w:rPr>
            </w:pPr>
            <w:r w:rsidRPr="00E4398A">
              <w:rPr>
                <w:rFonts w:ascii="Arial" w:hAnsi="Arial" w:cs="Arial"/>
              </w:rPr>
              <w:t>(5961.6</w:t>
            </w:r>
            <w:r w:rsidR="00232757" w:rsidRPr="00E4398A">
              <w:rPr>
                <w:rFonts w:ascii="Arial" w:hAnsi="Arial" w:cs="Arial"/>
              </w:rPr>
              <w:t>)</w:t>
            </w:r>
          </w:p>
          <w:p w14:paraId="78BB798A" w14:textId="77777777" w:rsidR="00232757" w:rsidRPr="00E4398A" w:rsidRDefault="00232757" w:rsidP="003B306D">
            <w:pPr>
              <w:spacing w:line="360" w:lineRule="auto"/>
              <w:jc w:val="both"/>
              <w:rPr>
                <w:rFonts w:ascii="Arial" w:hAnsi="Arial" w:cs="Arial"/>
              </w:rPr>
            </w:pPr>
          </w:p>
        </w:tc>
        <w:tc>
          <w:tcPr>
            <w:tcW w:w="1393" w:type="dxa"/>
          </w:tcPr>
          <w:p w14:paraId="4B329925" w14:textId="16926532" w:rsidR="00232757" w:rsidRPr="00E4398A" w:rsidRDefault="0018385E" w:rsidP="003B306D">
            <w:pPr>
              <w:spacing w:line="360" w:lineRule="auto"/>
              <w:jc w:val="both"/>
              <w:rPr>
                <w:rFonts w:ascii="Arial" w:hAnsi="Arial" w:cs="Arial"/>
              </w:rPr>
            </w:pPr>
            <w:r w:rsidRPr="00E4398A">
              <w:rPr>
                <w:rFonts w:ascii="Arial" w:hAnsi="Arial" w:cs="Arial"/>
              </w:rPr>
              <w:t>(</w:t>
            </w:r>
            <w:r w:rsidR="009F2984" w:rsidRPr="00E4398A">
              <w:rPr>
                <w:rFonts w:ascii="Arial" w:hAnsi="Arial" w:cs="Arial"/>
              </w:rPr>
              <w:t>7334.76</w:t>
            </w:r>
            <w:r w:rsidR="00232757" w:rsidRPr="00E4398A">
              <w:rPr>
                <w:rFonts w:ascii="Arial" w:hAnsi="Arial" w:cs="Arial"/>
              </w:rPr>
              <w:t>)</w:t>
            </w:r>
          </w:p>
        </w:tc>
        <w:tc>
          <w:tcPr>
            <w:tcW w:w="1377" w:type="dxa"/>
          </w:tcPr>
          <w:p w14:paraId="6F29FD93" w14:textId="535ABE77" w:rsidR="00232757" w:rsidRPr="00DF122A" w:rsidRDefault="00D7333A" w:rsidP="003B306D">
            <w:pPr>
              <w:spacing w:line="360" w:lineRule="auto"/>
              <w:jc w:val="both"/>
              <w:rPr>
                <w:rFonts w:ascii="Arial" w:hAnsi="Arial" w:cs="Arial"/>
                <w:b/>
                <w:i/>
                <w:color w:val="1F3864" w:themeColor="accent1" w:themeShade="80"/>
              </w:rPr>
            </w:pPr>
            <w:r w:rsidRPr="00DF122A">
              <w:rPr>
                <w:rFonts w:ascii="Arial" w:hAnsi="Arial" w:cs="Arial"/>
                <w:b/>
                <w:i/>
                <w:color w:val="1F3864" w:themeColor="accent1" w:themeShade="80"/>
              </w:rPr>
              <w:t>(19326.36)</w:t>
            </w:r>
          </w:p>
        </w:tc>
      </w:tr>
      <w:tr w:rsidR="00232757" w:rsidRPr="003B306D" w14:paraId="7F4FA600" w14:textId="77777777" w:rsidTr="00D7333A">
        <w:tc>
          <w:tcPr>
            <w:tcW w:w="3136" w:type="dxa"/>
          </w:tcPr>
          <w:p w14:paraId="33636A98" w14:textId="3AA7B962" w:rsidR="00232757" w:rsidRPr="003B306D" w:rsidRDefault="0018385E" w:rsidP="003B306D">
            <w:pPr>
              <w:spacing w:line="360" w:lineRule="auto"/>
              <w:jc w:val="both"/>
              <w:rPr>
                <w:rFonts w:ascii="Arial" w:hAnsi="Arial" w:cs="Arial"/>
                <w:b/>
                <w:i/>
              </w:rPr>
            </w:pPr>
            <w:r w:rsidRPr="003B306D">
              <w:rPr>
                <w:rFonts w:ascii="Arial" w:hAnsi="Arial" w:cs="Arial"/>
                <w:b/>
                <w:i/>
              </w:rPr>
              <w:t>Total profit</w:t>
            </w:r>
          </w:p>
        </w:tc>
        <w:tc>
          <w:tcPr>
            <w:tcW w:w="1765" w:type="dxa"/>
          </w:tcPr>
          <w:p w14:paraId="07FD27EF" w14:textId="09983614" w:rsidR="00232757" w:rsidRPr="00E4398A" w:rsidRDefault="0018385E" w:rsidP="003B306D">
            <w:pPr>
              <w:spacing w:line="360" w:lineRule="auto"/>
              <w:jc w:val="both"/>
              <w:rPr>
                <w:rFonts w:ascii="Arial" w:hAnsi="Arial" w:cs="Arial"/>
                <w:b/>
                <w:i/>
              </w:rPr>
            </w:pPr>
            <w:r w:rsidRPr="00E4398A">
              <w:rPr>
                <w:rFonts w:ascii="Arial" w:hAnsi="Arial" w:cs="Arial"/>
                <w:b/>
                <w:i/>
              </w:rPr>
              <w:t>1010</w:t>
            </w:r>
          </w:p>
        </w:tc>
        <w:tc>
          <w:tcPr>
            <w:tcW w:w="1571" w:type="dxa"/>
          </w:tcPr>
          <w:p w14:paraId="15F19FB8" w14:textId="08C2D394" w:rsidR="00232757" w:rsidRPr="00E4398A" w:rsidRDefault="00615A09" w:rsidP="003B306D">
            <w:pPr>
              <w:spacing w:line="360" w:lineRule="auto"/>
              <w:jc w:val="both"/>
              <w:rPr>
                <w:rFonts w:ascii="Arial" w:hAnsi="Arial" w:cs="Arial"/>
                <w:b/>
                <w:i/>
              </w:rPr>
            </w:pPr>
            <w:r w:rsidRPr="00E4398A">
              <w:rPr>
                <w:rFonts w:ascii="Arial" w:hAnsi="Arial" w:cs="Arial"/>
                <w:b/>
                <w:i/>
              </w:rPr>
              <w:t>(6705.6)</w:t>
            </w:r>
          </w:p>
        </w:tc>
        <w:tc>
          <w:tcPr>
            <w:tcW w:w="1393" w:type="dxa"/>
          </w:tcPr>
          <w:p w14:paraId="7189098B" w14:textId="3A3EBE04" w:rsidR="00232757" w:rsidRPr="00E4398A" w:rsidRDefault="00615A09" w:rsidP="003B306D">
            <w:pPr>
              <w:spacing w:line="360" w:lineRule="auto"/>
              <w:jc w:val="both"/>
              <w:rPr>
                <w:rFonts w:ascii="Arial" w:hAnsi="Arial" w:cs="Arial"/>
                <w:b/>
                <w:i/>
              </w:rPr>
            </w:pPr>
            <w:r w:rsidRPr="00E4398A">
              <w:rPr>
                <w:rFonts w:ascii="Arial" w:hAnsi="Arial" w:cs="Arial"/>
                <w:b/>
                <w:i/>
              </w:rPr>
              <w:t>(7103.76)</w:t>
            </w:r>
          </w:p>
        </w:tc>
        <w:tc>
          <w:tcPr>
            <w:tcW w:w="1377" w:type="dxa"/>
          </w:tcPr>
          <w:p w14:paraId="31400013" w14:textId="5D24F0A7" w:rsidR="00232757" w:rsidRPr="00DF122A" w:rsidRDefault="00D7333A" w:rsidP="00DF122A">
            <w:pPr>
              <w:spacing w:line="360" w:lineRule="auto"/>
              <w:jc w:val="both"/>
              <w:rPr>
                <w:rFonts w:ascii="Arial" w:hAnsi="Arial" w:cs="Arial"/>
                <w:b/>
                <w:i/>
                <w:color w:val="1F3864" w:themeColor="accent1" w:themeShade="80"/>
              </w:rPr>
            </w:pPr>
            <w:r w:rsidRPr="00DF122A">
              <w:rPr>
                <w:rFonts w:ascii="Arial" w:hAnsi="Arial" w:cs="Arial"/>
                <w:b/>
                <w:i/>
                <w:color w:val="1F3864" w:themeColor="accent1" w:themeShade="80"/>
              </w:rPr>
              <w:t>(12</w:t>
            </w:r>
            <w:r w:rsidR="00DF122A" w:rsidRPr="00DF122A">
              <w:rPr>
                <w:rFonts w:ascii="Arial" w:hAnsi="Arial" w:cs="Arial"/>
                <w:b/>
                <w:i/>
                <w:color w:val="1F3864" w:themeColor="accent1" w:themeShade="80"/>
              </w:rPr>
              <w:t>816.36</w:t>
            </w:r>
            <w:r w:rsidRPr="00DF122A">
              <w:rPr>
                <w:rFonts w:ascii="Arial" w:hAnsi="Arial" w:cs="Arial"/>
                <w:b/>
                <w:i/>
                <w:color w:val="1F3864" w:themeColor="accent1" w:themeShade="80"/>
              </w:rPr>
              <w:t>)</w:t>
            </w:r>
          </w:p>
        </w:tc>
      </w:tr>
    </w:tbl>
    <w:p w14:paraId="54074079" w14:textId="77777777" w:rsidR="001C2CA9" w:rsidRPr="00A36AC1" w:rsidRDefault="001C2CA9" w:rsidP="001C2CA9">
      <w:pPr>
        <w:rPr>
          <w:rFonts w:ascii="Arial" w:hAnsi="Arial" w:cs="Arial"/>
          <w:sz w:val="24"/>
          <w:szCs w:val="24"/>
        </w:rPr>
      </w:pPr>
    </w:p>
    <w:p w14:paraId="4914DB73" w14:textId="52D564F8" w:rsidR="003B306D" w:rsidRPr="006E465C" w:rsidRDefault="00D7333A" w:rsidP="006E465C">
      <w:pPr>
        <w:pStyle w:val="Titlu2"/>
        <w:spacing w:line="360" w:lineRule="auto"/>
        <w:rPr>
          <w:b/>
        </w:rPr>
      </w:pPr>
      <w:bookmarkStart w:id="6" w:name="_Toc127095687"/>
      <w:r w:rsidRPr="00CE7E92">
        <w:rPr>
          <w:b/>
        </w:rPr>
        <w:t xml:space="preserve">1.3 </w:t>
      </w:r>
      <w:r w:rsidR="006E465C" w:rsidRPr="003B306D">
        <w:rPr>
          <w:rFonts w:cs="Arial"/>
          <w:b/>
          <w:i/>
          <w:szCs w:val="24"/>
        </w:rPr>
        <w:t>Marginal Costing Statement showing the results if MSG stops making Hoists</w:t>
      </w:r>
      <w:bookmarkEnd w:id="6"/>
    </w:p>
    <w:tbl>
      <w:tblPr>
        <w:tblStyle w:val="Tabelgril"/>
        <w:tblW w:w="0" w:type="auto"/>
        <w:tblLook w:val="04A0" w:firstRow="1" w:lastRow="0" w:firstColumn="1" w:lastColumn="0" w:noHBand="0" w:noVBand="1"/>
      </w:tblPr>
      <w:tblGrid>
        <w:gridCol w:w="3136"/>
        <w:gridCol w:w="2012"/>
        <w:gridCol w:w="2160"/>
        <w:gridCol w:w="1890"/>
      </w:tblGrid>
      <w:tr w:rsidR="00B21ECD" w14:paraId="2F6E122F" w14:textId="77777777" w:rsidTr="00B21ECD">
        <w:tc>
          <w:tcPr>
            <w:tcW w:w="3136" w:type="dxa"/>
          </w:tcPr>
          <w:p w14:paraId="3DF0D1D6" w14:textId="77777777" w:rsidR="00B21ECD" w:rsidRPr="003B306D" w:rsidRDefault="00B21ECD" w:rsidP="00B21ECD">
            <w:pPr>
              <w:spacing w:line="360" w:lineRule="auto"/>
              <w:jc w:val="both"/>
              <w:rPr>
                <w:rFonts w:ascii="Arial" w:hAnsi="Arial" w:cs="Arial"/>
                <w:b/>
                <w:i/>
                <w:szCs w:val="24"/>
              </w:rPr>
            </w:pPr>
            <w:r w:rsidRPr="003B306D">
              <w:rPr>
                <w:rFonts w:ascii="Arial" w:hAnsi="Arial" w:cs="Arial"/>
                <w:b/>
                <w:i/>
                <w:szCs w:val="24"/>
              </w:rPr>
              <w:t>Particulars</w:t>
            </w:r>
          </w:p>
        </w:tc>
        <w:tc>
          <w:tcPr>
            <w:tcW w:w="2012" w:type="dxa"/>
          </w:tcPr>
          <w:p w14:paraId="5AAEC0FA" w14:textId="77777777" w:rsidR="00B21ECD" w:rsidRPr="003B306D" w:rsidRDefault="00B21ECD" w:rsidP="00B21ECD">
            <w:pPr>
              <w:spacing w:line="360" w:lineRule="auto"/>
              <w:jc w:val="both"/>
              <w:rPr>
                <w:rFonts w:ascii="Arial" w:hAnsi="Arial" w:cs="Arial"/>
                <w:b/>
                <w:i/>
                <w:szCs w:val="24"/>
              </w:rPr>
            </w:pPr>
            <w:r w:rsidRPr="003B306D">
              <w:rPr>
                <w:rFonts w:ascii="Arial" w:hAnsi="Arial" w:cs="Arial"/>
                <w:b/>
                <w:i/>
                <w:szCs w:val="24"/>
              </w:rPr>
              <w:t>Wheelchairs</w:t>
            </w:r>
          </w:p>
        </w:tc>
        <w:tc>
          <w:tcPr>
            <w:tcW w:w="2160" w:type="dxa"/>
          </w:tcPr>
          <w:p w14:paraId="6E894F4D" w14:textId="77777777" w:rsidR="00B21ECD" w:rsidRPr="003B306D" w:rsidRDefault="00B21ECD" w:rsidP="00B21ECD">
            <w:pPr>
              <w:spacing w:line="360" w:lineRule="auto"/>
              <w:jc w:val="both"/>
              <w:rPr>
                <w:rFonts w:ascii="Arial" w:hAnsi="Arial" w:cs="Arial"/>
                <w:b/>
                <w:i/>
                <w:szCs w:val="24"/>
              </w:rPr>
            </w:pPr>
            <w:r w:rsidRPr="003B306D">
              <w:rPr>
                <w:rFonts w:ascii="Arial" w:hAnsi="Arial" w:cs="Arial"/>
                <w:b/>
                <w:i/>
                <w:szCs w:val="24"/>
              </w:rPr>
              <w:t>Mobile Beds</w:t>
            </w:r>
          </w:p>
        </w:tc>
        <w:tc>
          <w:tcPr>
            <w:tcW w:w="1890" w:type="dxa"/>
          </w:tcPr>
          <w:p w14:paraId="24B42EA4" w14:textId="77777777" w:rsidR="00B21ECD" w:rsidRPr="003B306D" w:rsidRDefault="00B21ECD" w:rsidP="00B21ECD">
            <w:pPr>
              <w:spacing w:line="360" w:lineRule="auto"/>
              <w:jc w:val="both"/>
              <w:rPr>
                <w:rFonts w:ascii="Arial" w:hAnsi="Arial" w:cs="Arial"/>
                <w:b/>
                <w:i/>
                <w:szCs w:val="24"/>
              </w:rPr>
            </w:pPr>
            <w:r w:rsidRPr="003B306D">
              <w:rPr>
                <w:rFonts w:ascii="Arial" w:hAnsi="Arial" w:cs="Arial"/>
                <w:b/>
                <w:i/>
                <w:szCs w:val="24"/>
              </w:rPr>
              <w:t>Total</w:t>
            </w:r>
          </w:p>
        </w:tc>
      </w:tr>
      <w:tr w:rsidR="00B21ECD" w14:paraId="604DCA2B" w14:textId="77777777" w:rsidTr="00B21ECD">
        <w:tc>
          <w:tcPr>
            <w:tcW w:w="3136" w:type="dxa"/>
          </w:tcPr>
          <w:p w14:paraId="2CBC6F4A" w14:textId="77777777" w:rsidR="00B21ECD" w:rsidRPr="003B306D" w:rsidRDefault="00B21ECD" w:rsidP="00B21ECD">
            <w:pPr>
              <w:spacing w:line="360" w:lineRule="auto"/>
              <w:jc w:val="both"/>
              <w:rPr>
                <w:rFonts w:ascii="Arial" w:hAnsi="Arial" w:cs="Arial"/>
                <w:szCs w:val="24"/>
              </w:rPr>
            </w:pPr>
            <w:r w:rsidRPr="003B306D">
              <w:rPr>
                <w:rFonts w:ascii="Arial" w:hAnsi="Arial" w:cs="Arial"/>
                <w:szCs w:val="24"/>
              </w:rPr>
              <w:t>Selling price</w:t>
            </w:r>
          </w:p>
        </w:tc>
        <w:tc>
          <w:tcPr>
            <w:tcW w:w="2012" w:type="dxa"/>
          </w:tcPr>
          <w:p w14:paraId="54063808"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503</w:t>
            </w:r>
          </w:p>
        </w:tc>
        <w:tc>
          <w:tcPr>
            <w:tcW w:w="2160" w:type="dxa"/>
          </w:tcPr>
          <w:p w14:paraId="5FDDC72F"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251</w:t>
            </w:r>
          </w:p>
        </w:tc>
        <w:tc>
          <w:tcPr>
            <w:tcW w:w="1890" w:type="dxa"/>
          </w:tcPr>
          <w:p w14:paraId="5A2F3695" w14:textId="095D5AE0" w:rsidR="00B21ECD" w:rsidRPr="00E4398A" w:rsidRDefault="0065672A" w:rsidP="00B21ECD">
            <w:pPr>
              <w:spacing w:line="360" w:lineRule="auto"/>
              <w:jc w:val="both"/>
              <w:rPr>
                <w:rFonts w:ascii="Arial" w:hAnsi="Arial" w:cs="Arial"/>
                <w:b/>
                <w:i/>
                <w:szCs w:val="24"/>
              </w:rPr>
            </w:pPr>
            <w:r>
              <w:rPr>
                <w:rFonts w:ascii="Arial" w:hAnsi="Arial" w:cs="Arial"/>
                <w:b/>
                <w:i/>
                <w:szCs w:val="24"/>
              </w:rPr>
              <w:t>337</w:t>
            </w:r>
          </w:p>
        </w:tc>
      </w:tr>
      <w:tr w:rsidR="00B21ECD" w14:paraId="570E4FA0" w14:textId="77777777" w:rsidTr="00B21ECD">
        <w:tc>
          <w:tcPr>
            <w:tcW w:w="3136" w:type="dxa"/>
          </w:tcPr>
          <w:p w14:paraId="2351BDDF" w14:textId="77777777" w:rsidR="00B21ECD" w:rsidRPr="003B306D" w:rsidRDefault="00B21ECD" w:rsidP="00B21ECD">
            <w:pPr>
              <w:spacing w:line="360" w:lineRule="auto"/>
              <w:jc w:val="both"/>
              <w:rPr>
                <w:rFonts w:ascii="Arial" w:hAnsi="Arial" w:cs="Arial"/>
                <w:szCs w:val="24"/>
              </w:rPr>
            </w:pPr>
            <w:r w:rsidRPr="003B306D">
              <w:rPr>
                <w:rFonts w:ascii="Arial" w:hAnsi="Arial" w:cs="Arial"/>
                <w:szCs w:val="24"/>
              </w:rPr>
              <w:t>Less: Direct Material (£)</w:t>
            </w:r>
          </w:p>
        </w:tc>
        <w:tc>
          <w:tcPr>
            <w:tcW w:w="2012" w:type="dxa"/>
          </w:tcPr>
          <w:p w14:paraId="11EDDD38"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(116)</w:t>
            </w:r>
          </w:p>
        </w:tc>
        <w:tc>
          <w:tcPr>
            <w:tcW w:w="2160" w:type="dxa"/>
          </w:tcPr>
          <w:p w14:paraId="28D46B50"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(120)</w:t>
            </w:r>
          </w:p>
        </w:tc>
        <w:tc>
          <w:tcPr>
            <w:tcW w:w="1890" w:type="dxa"/>
          </w:tcPr>
          <w:p w14:paraId="7825A3EA" w14:textId="7CA80FA9" w:rsidR="00B21ECD" w:rsidRPr="00E4398A" w:rsidRDefault="0065672A" w:rsidP="00B21ECD">
            <w:pPr>
              <w:spacing w:line="360" w:lineRule="auto"/>
              <w:jc w:val="both"/>
              <w:rPr>
                <w:rFonts w:ascii="Arial" w:hAnsi="Arial" w:cs="Arial"/>
                <w:b/>
                <w:i/>
                <w:szCs w:val="24"/>
              </w:rPr>
            </w:pPr>
            <w:r>
              <w:rPr>
                <w:rFonts w:ascii="Arial" w:hAnsi="Arial" w:cs="Arial"/>
                <w:b/>
                <w:i/>
                <w:szCs w:val="24"/>
              </w:rPr>
              <w:t>(119</w:t>
            </w:r>
            <w:r w:rsidR="00B21ECD" w:rsidRPr="00E4398A">
              <w:rPr>
                <w:rFonts w:ascii="Arial" w:hAnsi="Arial" w:cs="Arial"/>
                <w:b/>
                <w:i/>
                <w:szCs w:val="24"/>
              </w:rPr>
              <w:t>)</w:t>
            </w:r>
          </w:p>
        </w:tc>
      </w:tr>
      <w:tr w:rsidR="00B21ECD" w14:paraId="6BF844CF" w14:textId="77777777" w:rsidTr="00B21ECD">
        <w:tc>
          <w:tcPr>
            <w:tcW w:w="3136" w:type="dxa"/>
          </w:tcPr>
          <w:p w14:paraId="5B11A47C" w14:textId="77777777" w:rsidR="00B21ECD" w:rsidRPr="003B306D" w:rsidRDefault="00B21ECD" w:rsidP="00B21ECD">
            <w:pPr>
              <w:spacing w:line="360" w:lineRule="auto"/>
              <w:jc w:val="both"/>
              <w:rPr>
                <w:rFonts w:ascii="Arial" w:hAnsi="Arial" w:cs="Arial"/>
                <w:szCs w:val="24"/>
              </w:rPr>
            </w:pPr>
            <w:r w:rsidRPr="003B306D">
              <w:rPr>
                <w:rFonts w:ascii="Arial" w:hAnsi="Arial" w:cs="Arial"/>
                <w:szCs w:val="24"/>
              </w:rPr>
              <w:t>Less: Direct Labour (£)</w:t>
            </w:r>
          </w:p>
        </w:tc>
        <w:tc>
          <w:tcPr>
            <w:tcW w:w="2012" w:type="dxa"/>
          </w:tcPr>
          <w:p w14:paraId="4EE01073"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(156)</w:t>
            </w:r>
          </w:p>
        </w:tc>
        <w:tc>
          <w:tcPr>
            <w:tcW w:w="2160" w:type="dxa"/>
          </w:tcPr>
          <w:p w14:paraId="33FE4651"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(88)</w:t>
            </w:r>
          </w:p>
        </w:tc>
        <w:tc>
          <w:tcPr>
            <w:tcW w:w="1890" w:type="dxa"/>
          </w:tcPr>
          <w:p w14:paraId="3CDC56BC" w14:textId="64245890" w:rsidR="00B21ECD" w:rsidRPr="00E4398A" w:rsidRDefault="0065672A" w:rsidP="00B21ECD">
            <w:pPr>
              <w:spacing w:line="360" w:lineRule="auto"/>
              <w:jc w:val="both"/>
              <w:rPr>
                <w:rFonts w:ascii="Arial" w:hAnsi="Arial" w:cs="Arial"/>
                <w:b/>
                <w:i/>
                <w:szCs w:val="24"/>
              </w:rPr>
            </w:pPr>
            <w:r>
              <w:rPr>
                <w:rFonts w:ascii="Arial" w:hAnsi="Arial" w:cs="Arial"/>
                <w:b/>
                <w:i/>
                <w:szCs w:val="24"/>
              </w:rPr>
              <w:t>(111</w:t>
            </w:r>
            <w:r w:rsidR="00B21ECD" w:rsidRPr="00E4398A">
              <w:rPr>
                <w:rFonts w:ascii="Arial" w:hAnsi="Arial" w:cs="Arial"/>
                <w:b/>
                <w:i/>
                <w:szCs w:val="24"/>
              </w:rPr>
              <w:t>)</w:t>
            </w:r>
          </w:p>
        </w:tc>
      </w:tr>
      <w:tr w:rsidR="00B21ECD" w14:paraId="12F8B86D" w14:textId="77777777" w:rsidTr="00B21ECD">
        <w:tc>
          <w:tcPr>
            <w:tcW w:w="3136" w:type="dxa"/>
          </w:tcPr>
          <w:p w14:paraId="2E74A339" w14:textId="77777777" w:rsidR="00B21ECD" w:rsidRPr="003B306D" w:rsidRDefault="00B21ECD" w:rsidP="00B21ECD">
            <w:pPr>
              <w:spacing w:line="360" w:lineRule="auto"/>
              <w:jc w:val="both"/>
              <w:rPr>
                <w:rFonts w:ascii="Arial" w:hAnsi="Arial" w:cs="Arial"/>
                <w:szCs w:val="24"/>
              </w:rPr>
            </w:pPr>
            <w:r w:rsidRPr="003B306D">
              <w:rPr>
                <w:rFonts w:ascii="Arial" w:hAnsi="Arial" w:cs="Arial"/>
                <w:szCs w:val="24"/>
              </w:rPr>
              <w:t>Less: Other variable expenses (£)</w:t>
            </w:r>
          </w:p>
        </w:tc>
        <w:tc>
          <w:tcPr>
            <w:tcW w:w="2012" w:type="dxa"/>
          </w:tcPr>
          <w:p w14:paraId="4BA69C72"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(55)</w:t>
            </w:r>
          </w:p>
        </w:tc>
        <w:tc>
          <w:tcPr>
            <w:tcW w:w="2160" w:type="dxa"/>
          </w:tcPr>
          <w:p w14:paraId="313C007C"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(40)</w:t>
            </w:r>
          </w:p>
        </w:tc>
        <w:tc>
          <w:tcPr>
            <w:tcW w:w="1890" w:type="dxa"/>
          </w:tcPr>
          <w:p w14:paraId="65EB67C4" w14:textId="3B3918EA" w:rsidR="00B21ECD" w:rsidRPr="00E4398A" w:rsidRDefault="0065672A" w:rsidP="00B21ECD">
            <w:pPr>
              <w:spacing w:line="360" w:lineRule="auto"/>
              <w:jc w:val="both"/>
              <w:rPr>
                <w:rFonts w:ascii="Arial" w:hAnsi="Arial" w:cs="Arial"/>
                <w:b/>
                <w:i/>
                <w:szCs w:val="24"/>
              </w:rPr>
            </w:pPr>
            <w:r>
              <w:rPr>
                <w:rFonts w:ascii="Arial" w:hAnsi="Arial" w:cs="Arial"/>
                <w:b/>
                <w:i/>
                <w:szCs w:val="24"/>
              </w:rPr>
              <w:t>(45</w:t>
            </w:r>
            <w:r w:rsidR="00B21ECD" w:rsidRPr="00E4398A">
              <w:rPr>
                <w:rFonts w:ascii="Arial" w:hAnsi="Arial" w:cs="Arial"/>
                <w:b/>
                <w:i/>
                <w:szCs w:val="24"/>
              </w:rPr>
              <w:t>)</w:t>
            </w:r>
          </w:p>
        </w:tc>
      </w:tr>
      <w:tr w:rsidR="00B21ECD" w14:paraId="52737789" w14:textId="77777777" w:rsidTr="00B21ECD">
        <w:tc>
          <w:tcPr>
            <w:tcW w:w="3136" w:type="dxa"/>
          </w:tcPr>
          <w:p w14:paraId="6AC7E87D" w14:textId="77777777" w:rsidR="00B21ECD" w:rsidRPr="003B306D" w:rsidRDefault="00B21ECD" w:rsidP="00B21ECD">
            <w:pPr>
              <w:spacing w:line="360" w:lineRule="auto"/>
              <w:jc w:val="both"/>
              <w:rPr>
                <w:rFonts w:ascii="Arial" w:hAnsi="Arial" w:cs="Arial"/>
                <w:szCs w:val="24"/>
              </w:rPr>
            </w:pPr>
            <w:r w:rsidRPr="003B306D">
              <w:rPr>
                <w:rFonts w:ascii="Arial" w:hAnsi="Arial" w:cs="Arial"/>
                <w:szCs w:val="24"/>
              </w:rPr>
              <w:t>Contribution per unit (£)</w:t>
            </w:r>
          </w:p>
        </w:tc>
        <w:tc>
          <w:tcPr>
            <w:tcW w:w="2012" w:type="dxa"/>
          </w:tcPr>
          <w:p w14:paraId="122EFAC6" w14:textId="77777777" w:rsidR="00B21ECD" w:rsidRPr="00E4398A" w:rsidRDefault="00B21ECD" w:rsidP="00B21ECD">
            <w:pPr>
              <w:spacing w:line="360" w:lineRule="auto"/>
              <w:jc w:val="both"/>
              <w:rPr>
                <w:rFonts w:ascii="Arial" w:hAnsi="Arial" w:cs="Arial"/>
                <w:b/>
                <w:i/>
                <w:szCs w:val="24"/>
              </w:rPr>
            </w:pPr>
            <w:r w:rsidRPr="00E4398A">
              <w:rPr>
                <w:rFonts w:ascii="Arial" w:hAnsi="Arial" w:cs="Arial"/>
                <w:b/>
                <w:i/>
                <w:szCs w:val="24"/>
              </w:rPr>
              <w:t>176</w:t>
            </w:r>
          </w:p>
        </w:tc>
        <w:tc>
          <w:tcPr>
            <w:tcW w:w="2160" w:type="dxa"/>
          </w:tcPr>
          <w:p w14:paraId="411A5CEB" w14:textId="77777777" w:rsidR="00B21ECD" w:rsidRPr="00E4398A" w:rsidRDefault="00B21ECD" w:rsidP="00B21ECD">
            <w:pPr>
              <w:spacing w:line="360" w:lineRule="auto"/>
              <w:jc w:val="both"/>
              <w:rPr>
                <w:rFonts w:ascii="Arial" w:hAnsi="Arial" w:cs="Arial"/>
                <w:b/>
                <w:i/>
                <w:szCs w:val="24"/>
              </w:rPr>
            </w:pPr>
            <w:r w:rsidRPr="00E4398A">
              <w:rPr>
                <w:rFonts w:ascii="Arial" w:hAnsi="Arial" w:cs="Arial"/>
                <w:b/>
                <w:i/>
                <w:szCs w:val="24"/>
              </w:rPr>
              <w:t>3</w:t>
            </w:r>
          </w:p>
        </w:tc>
        <w:tc>
          <w:tcPr>
            <w:tcW w:w="1890" w:type="dxa"/>
          </w:tcPr>
          <w:p w14:paraId="2B6B67A2" w14:textId="35174325" w:rsidR="00B21ECD" w:rsidRPr="00E4398A" w:rsidRDefault="0065672A" w:rsidP="00B21ECD">
            <w:pPr>
              <w:spacing w:line="360" w:lineRule="auto"/>
              <w:jc w:val="both"/>
              <w:rPr>
                <w:rFonts w:ascii="Arial" w:hAnsi="Arial" w:cs="Arial"/>
                <w:b/>
                <w:i/>
                <w:szCs w:val="24"/>
              </w:rPr>
            </w:pPr>
            <w:r>
              <w:rPr>
                <w:rFonts w:ascii="Arial" w:hAnsi="Arial" w:cs="Arial"/>
                <w:b/>
                <w:i/>
                <w:szCs w:val="24"/>
              </w:rPr>
              <w:t>62</w:t>
            </w:r>
          </w:p>
        </w:tc>
      </w:tr>
      <w:tr w:rsidR="00B21ECD" w14:paraId="64C292FB" w14:textId="77777777" w:rsidTr="00B21ECD">
        <w:tc>
          <w:tcPr>
            <w:tcW w:w="3136" w:type="dxa"/>
          </w:tcPr>
          <w:p w14:paraId="32BD99C3" w14:textId="69DEB40C" w:rsidR="00B21ECD" w:rsidRPr="003B306D" w:rsidRDefault="00B21ECD" w:rsidP="00B21ECD">
            <w:pPr>
              <w:spacing w:line="360" w:lineRule="auto"/>
              <w:jc w:val="both"/>
              <w:rPr>
                <w:rFonts w:ascii="Arial" w:hAnsi="Arial" w:cs="Arial"/>
                <w:b/>
                <w:i/>
                <w:szCs w:val="24"/>
              </w:rPr>
            </w:pPr>
            <w:r w:rsidRPr="003B306D">
              <w:rPr>
                <w:rFonts w:ascii="Arial" w:hAnsi="Arial" w:cs="Arial"/>
                <w:b/>
                <w:i/>
                <w:szCs w:val="24"/>
              </w:rPr>
              <w:t>Total contribution(Contribution per unit*units)</w:t>
            </w:r>
            <w:r w:rsidR="006051FF">
              <w:rPr>
                <w:rFonts w:ascii="Arial" w:hAnsi="Arial" w:cs="Arial"/>
                <w:b/>
                <w:i/>
                <w:szCs w:val="24"/>
              </w:rPr>
              <w:t xml:space="preserve"> (</w:t>
            </w:r>
            <w:r w:rsidR="006051FF">
              <w:rPr>
                <w:rFonts w:ascii="Arial" w:hAnsi="Arial" w:cs="Arial"/>
              </w:rPr>
              <w:t xml:space="preserve">Blocher, </w:t>
            </w:r>
            <w:r w:rsidR="006051FF" w:rsidRPr="006E465C">
              <w:rPr>
                <w:rFonts w:ascii="Arial" w:hAnsi="Arial" w:cs="Arial"/>
              </w:rPr>
              <w:t>2019)</w:t>
            </w:r>
            <w:r w:rsidR="006051FF">
              <w:rPr>
                <w:rFonts w:ascii="Arial" w:hAnsi="Arial" w:cs="Arial"/>
              </w:rPr>
              <w:t>.</w:t>
            </w:r>
          </w:p>
        </w:tc>
        <w:tc>
          <w:tcPr>
            <w:tcW w:w="2012" w:type="dxa"/>
          </w:tcPr>
          <w:p w14:paraId="2EC0A342" w14:textId="77777777" w:rsidR="00B21ECD" w:rsidRPr="00E4398A" w:rsidRDefault="00B21ECD" w:rsidP="00B21ECD">
            <w:pPr>
              <w:spacing w:line="360" w:lineRule="auto"/>
              <w:jc w:val="both"/>
              <w:rPr>
                <w:rFonts w:ascii="Arial" w:hAnsi="Arial" w:cs="Arial"/>
                <w:b/>
                <w:i/>
                <w:szCs w:val="24"/>
              </w:rPr>
            </w:pPr>
            <w:r w:rsidRPr="00E4398A">
              <w:rPr>
                <w:rFonts w:ascii="Arial" w:hAnsi="Arial" w:cs="Arial"/>
                <w:b/>
                <w:i/>
                <w:szCs w:val="24"/>
              </w:rPr>
              <w:t>176*40=7040</w:t>
            </w:r>
          </w:p>
        </w:tc>
        <w:tc>
          <w:tcPr>
            <w:tcW w:w="2160" w:type="dxa"/>
          </w:tcPr>
          <w:p w14:paraId="5D7B42F1" w14:textId="77777777" w:rsidR="00B21ECD" w:rsidRPr="00E4398A" w:rsidRDefault="00B21ECD" w:rsidP="00B21ECD">
            <w:pPr>
              <w:spacing w:line="360" w:lineRule="auto"/>
              <w:jc w:val="both"/>
              <w:rPr>
                <w:rFonts w:ascii="Arial" w:hAnsi="Arial" w:cs="Arial"/>
                <w:b/>
                <w:i/>
                <w:szCs w:val="24"/>
              </w:rPr>
            </w:pPr>
            <w:r w:rsidRPr="00E4398A">
              <w:rPr>
                <w:rFonts w:ascii="Arial" w:hAnsi="Arial" w:cs="Arial"/>
                <w:b/>
                <w:i/>
                <w:szCs w:val="24"/>
              </w:rPr>
              <w:t>3*77=231</w:t>
            </w:r>
          </w:p>
        </w:tc>
        <w:tc>
          <w:tcPr>
            <w:tcW w:w="1890" w:type="dxa"/>
          </w:tcPr>
          <w:p w14:paraId="5CC3F609" w14:textId="1BDB7E0E" w:rsidR="00B21ECD" w:rsidRPr="00E4398A" w:rsidRDefault="0065672A" w:rsidP="00B21ECD">
            <w:pPr>
              <w:spacing w:line="360" w:lineRule="auto"/>
              <w:jc w:val="both"/>
              <w:rPr>
                <w:rFonts w:ascii="Arial" w:hAnsi="Arial" w:cs="Arial"/>
                <w:b/>
                <w:i/>
                <w:szCs w:val="24"/>
              </w:rPr>
            </w:pPr>
            <w:r>
              <w:rPr>
                <w:rFonts w:ascii="Arial" w:hAnsi="Arial" w:cs="Arial"/>
                <w:b/>
                <w:i/>
                <w:szCs w:val="24"/>
              </w:rPr>
              <w:t>7254</w:t>
            </w:r>
          </w:p>
        </w:tc>
      </w:tr>
      <w:tr w:rsidR="00B21ECD" w14:paraId="2EA617FB" w14:textId="77777777" w:rsidTr="00B21ECD">
        <w:tc>
          <w:tcPr>
            <w:tcW w:w="3136" w:type="dxa"/>
          </w:tcPr>
          <w:p w14:paraId="178D8D9D" w14:textId="77777777" w:rsidR="00B21ECD" w:rsidRPr="003B306D" w:rsidRDefault="00B21ECD" w:rsidP="00B21ECD">
            <w:pPr>
              <w:spacing w:line="360" w:lineRule="auto"/>
              <w:jc w:val="both"/>
              <w:rPr>
                <w:rFonts w:ascii="Arial" w:hAnsi="Arial" w:cs="Arial"/>
                <w:szCs w:val="24"/>
              </w:rPr>
            </w:pPr>
            <w:r w:rsidRPr="003B306D">
              <w:rPr>
                <w:rFonts w:ascii="Arial" w:hAnsi="Arial" w:cs="Arial"/>
                <w:szCs w:val="24"/>
              </w:rPr>
              <w:t>Less; Fixed overheads (£)</w:t>
            </w:r>
          </w:p>
        </w:tc>
        <w:tc>
          <w:tcPr>
            <w:tcW w:w="2012" w:type="dxa"/>
          </w:tcPr>
          <w:p w14:paraId="2C7E7F20"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 xml:space="preserve">(6030) </w:t>
            </w:r>
          </w:p>
          <w:p w14:paraId="0BDFC638" w14:textId="77777777" w:rsidR="00B21ECD" w:rsidRPr="00E4398A" w:rsidRDefault="00B21ECD" w:rsidP="00B21ECD">
            <w:pPr>
              <w:spacing w:line="360" w:lineRule="auto"/>
              <w:jc w:val="both"/>
              <w:rPr>
                <w:rFonts w:ascii="Arial" w:hAnsi="Arial" w:cs="Arial"/>
                <w:szCs w:val="24"/>
              </w:rPr>
            </w:pPr>
          </w:p>
        </w:tc>
        <w:tc>
          <w:tcPr>
            <w:tcW w:w="2160" w:type="dxa"/>
          </w:tcPr>
          <w:p w14:paraId="514CB7D7" w14:textId="77777777" w:rsidR="00B21ECD" w:rsidRPr="00E4398A" w:rsidRDefault="00B21ECD" w:rsidP="00B21ECD">
            <w:pPr>
              <w:spacing w:line="360" w:lineRule="auto"/>
              <w:jc w:val="both"/>
              <w:rPr>
                <w:rFonts w:ascii="Arial" w:hAnsi="Arial" w:cs="Arial"/>
                <w:szCs w:val="24"/>
              </w:rPr>
            </w:pPr>
            <w:r w:rsidRPr="00E4398A">
              <w:rPr>
                <w:rFonts w:ascii="Arial" w:hAnsi="Arial" w:cs="Arial"/>
                <w:szCs w:val="24"/>
              </w:rPr>
              <w:t>(7334.76)</w:t>
            </w:r>
          </w:p>
        </w:tc>
        <w:tc>
          <w:tcPr>
            <w:tcW w:w="1890" w:type="dxa"/>
          </w:tcPr>
          <w:p w14:paraId="07359BC9" w14:textId="7212DB5E" w:rsidR="00B21ECD" w:rsidRPr="00E4398A" w:rsidRDefault="00B21ECD" w:rsidP="00B21ECD">
            <w:pPr>
              <w:spacing w:line="360" w:lineRule="auto"/>
              <w:jc w:val="both"/>
              <w:rPr>
                <w:rFonts w:ascii="Arial" w:hAnsi="Arial" w:cs="Arial"/>
                <w:b/>
                <w:i/>
                <w:szCs w:val="24"/>
              </w:rPr>
            </w:pPr>
            <w:r w:rsidRPr="00E4398A">
              <w:rPr>
                <w:rFonts w:ascii="Arial" w:hAnsi="Arial" w:cs="Arial"/>
                <w:b/>
                <w:i/>
                <w:szCs w:val="24"/>
              </w:rPr>
              <w:t>(</w:t>
            </w:r>
            <w:r w:rsidR="000D4993" w:rsidRPr="0065672A">
              <w:rPr>
                <w:rFonts w:ascii="Arial" w:hAnsi="Arial" w:cs="Arial"/>
                <w:b/>
                <w:i/>
              </w:rPr>
              <w:t>19326.36</w:t>
            </w:r>
            <w:r w:rsidRPr="00E4398A">
              <w:rPr>
                <w:rFonts w:ascii="Arial" w:hAnsi="Arial" w:cs="Arial"/>
                <w:b/>
                <w:i/>
                <w:szCs w:val="24"/>
              </w:rPr>
              <w:t>)</w:t>
            </w:r>
          </w:p>
        </w:tc>
      </w:tr>
      <w:tr w:rsidR="00B21ECD" w14:paraId="40F32A08" w14:textId="77777777" w:rsidTr="00B21ECD">
        <w:tc>
          <w:tcPr>
            <w:tcW w:w="3136" w:type="dxa"/>
          </w:tcPr>
          <w:p w14:paraId="34F2C73C" w14:textId="77777777" w:rsidR="00B21ECD" w:rsidRPr="003B306D" w:rsidRDefault="00B21ECD" w:rsidP="00B21ECD">
            <w:pPr>
              <w:spacing w:line="360" w:lineRule="auto"/>
              <w:jc w:val="both"/>
              <w:rPr>
                <w:rFonts w:ascii="Arial" w:hAnsi="Arial" w:cs="Arial"/>
                <w:b/>
                <w:i/>
                <w:szCs w:val="24"/>
              </w:rPr>
            </w:pPr>
            <w:r w:rsidRPr="003B306D">
              <w:rPr>
                <w:rFonts w:ascii="Arial" w:hAnsi="Arial" w:cs="Arial"/>
                <w:b/>
                <w:i/>
                <w:szCs w:val="24"/>
              </w:rPr>
              <w:t>Total profit</w:t>
            </w:r>
          </w:p>
        </w:tc>
        <w:tc>
          <w:tcPr>
            <w:tcW w:w="2012" w:type="dxa"/>
          </w:tcPr>
          <w:p w14:paraId="60D21479" w14:textId="77777777" w:rsidR="00B21ECD" w:rsidRPr="00E4398A" w:rsidRDefault="00B21ECD" w:rsidP="00B21ECD">
            <w:pPr>
              <w:spacing w:line="360" w:lineRule="auto"/>
              <w:jc w:val="both"/>
              <w:rPr>
                <w:rFonts w:ascii="Arial" w:hAnsi="Arial" w:cs="Arial"/>
                <w:b/>
                <w:i/>
                <w:szCs w:val="24"/>
              </w:rPr>
            </w:pPr>
            <w:r w:rsidRPr="00E4398A">
              <w:rPr>
                <w:rFonts w:ascii="Arial" w:hAnsi="Arial" w:cs="Arial"/>
                <w:b/>
                <w:i/>
                <w:szCs w:val="24"/>
              </w:rPr>
              <w:t>1010</w:t>
            </w:r>
          </w:p>
        </w:tc>
        <w:tc>
          <w:tcPr>
            <w:tcW w:w="2160" w:type="dxa"/>
          </w:tcPr>
          <w:p w14:paraId="1B04E886" w14:textId="77777777" w:rsidR="00B21ECD" w:rsidRPr="00E4398A" w:rsidRDefault="00B21ECD" w:rsidP="00B21ECD">
            <w:pPr>
              <w:spacing w:line="360" w:lineRule="auto"/>
              <w:jc w:val="both"/>
              <w:rPr>
                <w:rFonts w:ascii="Arial" w:hAnsi="Arial" w:cs="Arial"/>
                <w:b/>
                <w:i/>
                <w:szCs w:val="24"/>
              </w:rPr>
            </w:pPr>
            <w:r w:rsidRPr="00E4398A">
              <w:rPr>
                <w:rFonts w:ascii="Arial" w:hAnsi="Arial" w:cs="Arial"/>
                <w:b/>
                <w:i/>
                <w:szCs w:val="24"/>
              </w:rPr>
              <w:t>(7103.76)</w:t>
            </w:r>
          </w:p>
        </w:tc>
        <w:tc>
          <w:tcPr>
            <w:tcW w:w="1890" w:type="dxa"/>
          </w:tcPr>
          <w:p w14:paraId="26590A76" w14:textId="47601221" w:rsidR="00B21ECD" w:rsidRPr="00E4398A" w:rsidRDefault="0065672A" w:rsidP="00B21ECD">
            <w:pPr>
              <w:spacing w:line="360" w:lineRule="auto"/>
              <w:jc w:val="both"/>
              <w:rPr>
                <w:rFonts w:ascii="Arial" w:hAnsi="Arial" w:cs="Arial"/>
                <w:b/>
                <w:i/>
                <w:szCs w:val="24"/>
              </w:rPr>
            </w:pPr>
            <w:r>
              <w:rPr>
                <w:rFonts w:ascii="Arial" w:hAnsi="Arial" w:cs="Arial"/>
                <w:b/>
                <w:i/>
                <w:szCs w:val="24"/>
              </w:rPr>
              <w:t>(12072.3</w:t>
            </w:r>
            <w:r w:rsidR="00B21ECD" w:rsidRPr="00E4398A">
              <w:rPr>
                <w:rFonts w:ascii="Arial" w:hAnsi="Arial" w:cs="Arial"/>
                <w:b/>
                <w:i/>
                <w:szCs w:val="24"/>
              </w:rPr>
              <w:t>6)</w:t>
            </w:r>
          </w:p>
        </w:tc>
      </w:tr>
    </w:tbl>
    <w:p w14:paraId="2F206DCA" w14:textId="77777777" w:rsidR="00B21ECD" w:rsidRDefault="00B21ECD" w:rsidP="005F6BED">
      <w:pPr>
        <w:rPr>
          <w:rFonts w:ascii="Arial" w:hAnsi="Arial" w:cs="Arial"/>
          <w:sz w:val="24"/>
          <w:szCs w:val="24"/>
        </w:rPr>
      </w:pPr>
    </w:p>
    <w:p w14:paraId="5F8F7155" w14:textId="489DAEC1" w:rsidR="006E465C" w:rsidRDefault="006E465C" w:rsidP="006E465C">
      <w:pPr>
        <w:spacing w:line="360" w:lineRule="auto"/>
        <w:jc w:val="both"/>
        <w:rPr>
          <w:rFonts w:ascii="Arial" w:hAnsi="Arial" w:cs="Arial"/>
          <w:szCs w:val="24"/>
        </w:rPr>
      </w:pPr>
      <w:r w:rsidRPr="003B306D">
        <w:rPr>
          <w:rFonts w:ascii="Arial" w:hAnsi="Arial" w:cs="Arial"/>
          <w:szCs w:val="24"/>
        </w:rPr>
        <w:t>Based on the contribution calculated above, MSG should cease the production of Hoists. Because the contribution per unit is negative £8 which means it is making £8 loss producing per unit of Hoists and £744 loss by producing 93 units of Hoists</w:t>
      </w:r>
      <w:r w:rsidR="006051FF" w:rsidRPr="006051FF">
        <w:rPr>
          <w:rFonts w:ascii="Arial" w:hAnsi="Arial" w:cs="Arial"/>
        </w:rPr>
        <w:t xml:space="preserve"> </w:t>
      </w:r>
      <w:r w:rsidR="006051FF">
        <w:rPr>
          <w:rFonts w:ascii="Arial" w:hAnsi="Arial" w:cs="Arial"/>
        </w:rPr>
        <w:t xml:space="preserve">(Desai, and Mital, </w:t>
      </w:r>
      <w:r w:rsidR="006051FF" w:rsidRPr="006E465C">
        <w:rPr>
          <w:rFonts w:ascii="Arial" w:hAnsi="Arial" w:cs="Arial"/>
        </w:rPr>
        <w:t>2018)</w:t>
      </w:r>
      <w:r w:rsidRPr="003B306D">
        <w:rPr>
          <w:rFonts w:ascii="Arial" w:hAnsi="Arial" w:cs="Arial"/>
          <w:szCs w:val="24"/>
        </w:rPr>
        <w:t xml:space="preserve">. On the other hand by stopping producing this product it can avoid loss and improve its profit and its overall performance. </w:t>
      </w:r>
    </w:p>
    <w:p w14:paraId="58EBC7E9" w14:textId="6A124251" w:rsidR="003B306D" w:rsidRDefault="00B21ECD" w:rsidP="003B306D">
      <w:pPr>
        <w:spacing w:line="360" w:lineRule="auto"/>
        <w:jc w:val="both"/>
        <w:rPr>
          <w:rFonts w:ascii="Arial" w:hAnsi="Arial" w:cs="Arial"/>
          <w:szCs w:val="24"/>
        </w:rPr>
      </w:pPr>
      <w:r w:rsidRPr="003B306D">
        <w:rPr>
          <w:rFonts w:ascii="Arial" w:hAnsi="Arial" w:cs="Arial"/>
          <w:szCs w:val="24"/>
        </w:rPr>
        <w:t xml:space="preserve">If a comparison is made between the previous </w:t>
      </w:r>
      <w:r w:rsidR="00AC61D1" w:rsidRPr="003B306D">
        <w:rPr>
          <w:rFonts w:ascii="Arial" w:hAnsi="Arial" w:cs="Arial"/>
          <w:szCs w:val="24"/>
        </w:rPr>
        <w:t>calculations</w:t>
      </w:r>
      <w:r w:rsidRPr="003B306D">
        <w:rPr>
          <w:rFonts w:ascii="Arial" w:hAnsi="Arial" w:cs="Arial"/>
          <w:szCs w:val="24"/>
        </w:rPr>
        <w:t xml:space="preserve"> with the above calculation without considering Hoists or stopping the production of Hoists, then it is clear that the total loss for MSG has come down to almost half </w:t>
      </w:r>
      <w:r w:rsidR="003B306D" w:rsidRPr="003B306D">
        <w:rPr>
          <w:rFonts w:ascii="Arial" w:hAnsi="Arial" w:cs="Arial"/>
          <w:szCs w:val="24"/>
        </w:rPr>
        <w:t>of the loss incurred by producing Hoists along with the other three products</w:t>
      </w:r>
      <w:r w:rsidR="006051FF" w:rsidRPr="006051FF">
        <w:rPr>
          <w:rFonts w:ascii="Arial" w:hAnsi="Arial" w:cs="Arial"/>
        </w:rPr>
        <w:t xml:space="preserve"> </w:t>
      </w:r>
      <w:r w:rsidR="006051FF">
        <w:rPr>
          <w:rFonts w:ascii="Arial" w:hAnsi="Arial" w:cs="Arial"/>
        </w:rPr>
        <w:t xml:space="preserve">(Goel, </w:t>
      </w:r>
      <w:r w:rsidR="006051FF" w:rsidRPr="006E465C">
        <w:rPr>
          <w:rFonts w:ascii="Arial" w:hAnsi="Arial" w:cs="Arial"/>
        </w:rPr>
        <w:t>2019)</w:t>
      </w:r>
      <w:r w:rsidR="003B306D" w:rsidRPr="003B306D">
        <w:rPr>
          <w:rFonts w:ascii="Arial" w:hAnsi="Arial" w:cs="Arial"/>
          <w:szCs w:val="24"/>
        </w:rPr>
        <w:t>. Besides, MSG do</w:t>
      </w:r>
      <w:r w:rsidR="00AC61D1">
        <w:rPr>
          <w:rFonts w:ascii="Arial" w:hAnsi="Arial" w:cs="Arial"/>
          <w:szCs w:val="24"/>
        </w:rPr>
        <w:t>es</w:t>
      </w:r>
      <w:r w:rsidR="003B306D" w:rsidRPr="003B306D">
        <w:rPr>
          <w:rFonts w:ascii="Arial" w:hAnsi="Arial" w:cs="Arial"/>
          <w:szCs w:val="24"/>
        </w:rPr>
        <w:t xml:space="preserve"> not have any negative contribution an</w:t>
      </w:r>
      <w:r w:rsidR="0065672A">
        <w:rPr>
          <w:rFonts w:ascii="Arial" w:hAnsi="Arial" w:cs="Arial"/>
          <w:szCs w:val="24"/>
        </w:rPr>
        <w:t>d the total contribution is 7254</w:t>
      </w:r>
      <w:r w:rsidR="003B306D" w:rsidRPr="003B306D">
        <w:rPr>
          <w:rFonts w:ascii="Arial" w:hAnsi="Arial" w:cs="Arial"/>
          <w:szCs w:val="24"/>
        </w:rPr>
        <w:t>, high</w:t>
      </w:r>
      <w:r w:rsidR="0065672A">
        <w:rPr>
          <w:rFonts w:ascii="Arial" w:hAnsi="Arial" w:cs="Arial"/>
          <w:szCs w:val="24"/>
        </w:rPr>
        <w:t>er than the contribution of 6510</w:t>
      </w:r>
      <w:r w:rsidR="003B306D" w:rsidRPr="003B306D">
        <w:rPr>
          <w:rFonts w:ascii="Arial" w:hAnsi="Arial" w:cs="Arial"/>
          <w:szCs w:val="24"/>
        </w:rPr>
        <w:t xml:space="preserve"> in the previous calculation. Therefore, MSG should stop producing Hoists. </w:t>
      </w:r>
    </w:p>
    <w:p w14:paraId="7EDB4375" w14:textId="7D4092B5" w:rsidR="006E465C" w:rsidRPr="006E465C" w:rsidRDefault="003B306D" w:rsidP="006E465C">
      <w:pPr>
        <w:pStyle w:val="Titlu2"/>
        <w:spacing w:line="360" w:lineRule="auto"/>
        <w:rPr>
          <w:b/>
        </w:rPr>
      </w:pPr>
      <w:bookmarkStart w:id="7" w:name="_Toc127095688"/>
      <w:r w:rsidRPr="00CE7E92">
        <w:rPr>
          <w:b/>
        </w:rPr>
        <w:t xml:space="preserve">1.4 </w:t>
      </w:r>
      <w:r w:rsidR="006E465C" w:rsidRPr="003B306D">
        <w:rPr>
          <w:rFonts w:cs="Arial"/>
          <w:b/>
          <w:i/>
          <w:szCs w:val="24"/>
        </w:rPr>
        <w:t xml:space="preserve">Marginal Costing Statement showing the results if MSG stops making </w:t>
      </w:r>
      <w:r w:rsidR="006E465C">
        <w:rPr>
          <w:rFonts w:cs="Arial"/>
          <w:b/>
          <w:i/>
          <w:szCs w:val="24"/>
        </w:rPr>
        <w:t>Mobile Beds</w:t>
      </w:r>
      <w:bookmarkEnd w:id="7"/>
    </w:p>
    <w:p w14:paraId="169B2121" w14:textId="062161F0" w:rsidR="003B306D" w:rsidRDefault="003B306D" w:rsidP="003B306D">
      <w:pPr>
        <w:spacing w:line="360" w:lineRule="auto"/>
        <w:jc w:val="both"/>
        <w:rPr>
          <w:rFonts w:ascii="Arial" w:hAnsi="Arial" w:cs="Arial"/>
          <w:szCs w:val="24"/>
        </w:rPr>
      </w:pPr>
      <w:r>
        <w:rPr>
          <w:rFonts w:ascii="Arial" w:hAnsi="Arial" w:cs="Arial"/>
          <w:szCs w:val="24"/>
        </w:rPr>
        <w:t xml:space="preserve">The contribution calculated in part 1.2 </w:t>
      </w:r>
      <w:r w:rsidR="00633CAF">
        <w:rPr>
          <w:rFonts w:ascii="Arial" w:hAnsi="Arial" w:cs="Arial"/>
          <w:szCs w:val="24"/>
        </w:rPr>
        <w:t xml:space="preserve">shows that MSG is making £3 per Mobile Bed. The profit is very low but the company is not making </w:t>
      </w:r>
      <w:r w:rsidR="006E465C">
        <w:rPr>
          <w:rFonts w:ascii="Arial" w:hAnsi="Arial" w:cs="Arial"/>
          <w:szCs w:val="24"/>
        </w:rPr>
        <w:t xml:space="preserve">a </w:t>
      </w:r>
      <w:r w:rsidR="00633CAF">
        <w:rPr>
          <w:rFonts w:ascii="Arial" w:hAnsi="Arial" w:cs="Arial"/>
          <w:szCs w:val="24"/>
        </w:rPr>
        <w:t>loss. If MSG thinks that making £3 is good considering market condition</w:t>
      </w:r>
      <w:r w:rsidR="006E465C">
        <w:rPr>
          <w:rFonts w:ascii="Arial" w:hAnsi="Arial" w:cs="Arial"/>
          <w:szCs w:val="24"/>
        </w:rPr>
        <w:t>s</w:t>
      </w:r>
      <w:r w:rsidR="00633CAF">
        <w:rPr>
          <w:rFonts w:ascii="Arial" w:hAnsi="Arial" w:cs="Arial"/>
          <w:szCs w:val="24"/>
        </w:rPr>
        <w:t>, competitors’ price</w:t>
      </w:r>
      <w:r w:rsidR="006E465C">
        <w:rPr>
          <w:rFonts w:ascii="Arial" w:hAnsi="Arial" w:cs="Arial"/>
          <w:szCs w:val="24"/>
        </w:rPr>
        <w:t>s</w:t>
      </w:r>
      <w:r w:rsidR="00633CAF">
        <w:rPr>
          <w:rFonts w:ascii="Arial" w:hAnsi="Arial" w:cs="Arial"/>
          <w:szCs w:val="24"/>
        </w:rPr>
        <w:t>, customers’ demand and its position in the market then it can continue producing the product</w:t>
      </w:r>
      <w:r w:rsidR="006051FF" w:rsidRPr="006051FF">
        <w:rPr>
          <w:rFonts w:ascii="Arial" w:hAnsi="Arial" w:cs="Arial"/>
        </w:rPr>
        <w:t xml:space="preserve"> </w:t>
      </w:r>
      <w:r w:rsidR="006051FF">
        <w:rPr>
          <w:rFonts w:ascii="Arial" w:hAnsi="Arial" w:cs="Arial"/>
        </w:rPr>
        <w:t xml:space="preserve">(Drury, </w:t>
      </w:r>
      <w:r w:rsidR="006051FF" w:rsidRPr="006E465C">
        <w:rPr>
          <w:rFonts w:ascii="Arial" w:hAnsi="Arial" w:cs="Arial"/>
        </w:rPr>
        <w:t>2021)</w:t>
      </w:r>
      <w:r w:rsidR="00633CAF">
        <w:rPr>
          <w:rFonts w:ascii="Arial" w:hAnsi="Arial" w:cs="Arial"/>
          <w:szCs w:val="24"/>
        </w:rPr>
        <w:t xml:space="preserve">. Otherwise, the £3 profit is very low compared to its other product, </w:t>
      </w:r>
      <w:r w:rsidR="00633CAF" w:rsidRPr="00633CAF">
        <w:rPr>
          <w:rFonts w:ascii="Arial" w:hAnsi="Arial" w:cs="Arial"/>
          <w:szCs w:val="24"/>
        </w:rPr>
        <w:t>special personal mobility equipment</w:t>
      </w:r>
      <w:r w:rsidR="00633CAF">
        <w:rPr>
          <w:rFonts w:ascii="Arial" w:hAnsi="Arial" w:cs="Arial"/>
          <w:szCs w:val="24"/>
        </w:rPr>
        <w:t xml:space="preserve"> which is highly profitable. </w:t>
      </w:r>
      <w:r w:rsidR="00AC61D1">
        <w:rPr>
          <w:rFonts w:ascii="Arial" w:hAnsi="Arial" w:cs="Arial"/>
          <w:szCs w:val="24"/>
        </w:rPr>
        <w:t xml:space="preserve">Moreover, MSG follows </w:t>
      </w:r>
      <w:r w:rsidR="006E465C">
        <w:rPr>
          <w:rFonts w:ascii="Arial" w:hAnsi="Arial" w:cs="Arial"/>
          <w:szCs w:val="24"/>
        </w:rPr>
        <w:t xml:space="preserve">the </w:t>
      </w:r>
      <w:r w:rsidR="00AC61D1">
        <w:rPr>
          <w:rFonts w:ascii="Arial" w:hAnsi="Arial" w:cs="Arial"/>
          <w:szCs w:val="24"/>
        </w:rPr>
        <w:t xml:space="preserve">marginal costing method and in this method profit depends on sales price not </w:t>
      </w:r>
      <w:r w:rsidR="006E465C">
        <w:rPr>
          <w:rFonts w:ascii="Arial" w:hAnsi="Arial" w:cs="Arial"/>
          <w:szCs w:val="24"/>
        </w:rPr>
        <w:t xml:space="preserve">the </w:t>
      </w:r>
      <w:r w:rsidR="00AC61D1">
        <w:rPr>
          <w:rFonts w:ascii="Arial" w:hAnsi="Arial" w:cs="Arial"/>
          <w:szCs w:val="24"/>
        </w:rPr>
        <w:t xml:space="preserve">number of units. This means even if MSG increases </w:t>
      </w:r>
      <w:r w:rsidR="006E465C">
        <w:rPr>
          <w:rFonts w:ascii="Arial" w:hAnsi="Arial" w:cs="Arial"/>
          <w:szCs w:val="24"/>
        </w:rPr>
        <w:t xml:space="preserve">the </w:t>
      </w:r>
      <w:r w:rsidR="00AC61D1">
        <w:rPr>
          <w:rFonts w:ascii="Arial" w:hAnsi="Arial" w:cs="Arial"/>
          <w:szCs w:val="24"/>
        </w:rPr>
        <w:t xml:space="preserve">number of units produced and sold, it will not be able to increase profit sufficiently at the current unit price, £251. </w:t>
      </w:r>
      <w:r w:rsidR="00633CAF">
        <w:rPr>
          <w:rFonts w:ascii="Arial" w:hAnsi="Arial" w:cs="Arial"/>
          <w:szCs w:val="24"/>
        </w:rPr>
        <w:t>By producing this product, MSG makes £176 per unit of that product and £</w:t>
      </w:r>
      <w:r w:rsidR="00633CAF" w:rsidRPr="00633CAF">
        <w:rPr>
          <w:rFonts w:ascii="Arial" w:hAnsi="Arial" w:cs="Arial"/>
          <w:szCs w:val="24"/>
        </w:rPr>
        <w:t>7040</w:t>
      </w:r>
      <w:r w:rsidR="00633CAF">
        <w:rPr>
          <w:rFonts w:ascii="Arial" w:hAnsi="Arial" w:cs="Arial"/>
          <w:b/>
          <w:i/>
          <w:szCs w:val="24"/>
        </w:rPr>
        <w:t xml:space="preserve"> </w:t>
      </w:r>
      <w:r w:rsidR="00633CAF" w:rsidRPr="00633CAF">
        <w:rPr>
          <w:rFonts w:ascii="Arial" w:hAnsi="Arial" w:cs="Arial"/>
          <w:szCs w:val="24"/>
        </w:rPr>
        <w:t>in total.</w:t>
      </w:r>
      <w:r w:rsidR="00633CAF">
        <w:rPr>
          <w:rFonts w:ascii="Arial" w:hAnsi="Arial" w:cs="Arial"/>
          <w:b/>
          <w:i/>
          <w:szCs w:val="24"/>
        </w:rPr>
        <w:t xml:space="preserve"> </w:t>
      </w:r>
      <w:r w:rsidR="00633CAF" w:rsidRPr="00633CAF">
        <w:rPr>
          <w:rFonts w:ascii="Arial" w:hAnsi="Arial" w:cs="Arial"/>
          <w:szCs w:val="24"/>
        </w:rPr>
        <w:t xml:space="preserve">Considering this comparison, </w:t>
      </w:r>
      <w:r w:rsidR="00633CAF">
        <w:rPr>
          <w:rFonts w:ascii="Arial" w:hAnsi="Arial" w:cs="Arial"/>
          <w:szCs w:val="24"/>
        </w:rPr>
        <w:t xml:space="preserve">producing </w:t>
      </w:r>
      <w:r>
        <w:rPr>
          <w:rFonts w:ascii="Arial" w:hAnsi="Arial" w:cs="Arial"/>
          <w:szCs w:val="24"/>
        </w:rPr>
        <w:t>Mobile Beds</w:t>
      </w:r>
      <w:r w:rsidR="00633CAF">
        <w:rPr>
          <w:rFonts w:ascii="Arial" w:hAnsi="Arial" w:cs="Arial"/>
          <w:szCs w:val="24"/>
        </w:rPr>
        <w:t xml:space="preserve"> does not seem lucrative. If MSG decides t</w:t>
      </w:r>
      <w:r w:rsidR="00FF5137">
        <w:rPr>
          <w:rFonts w:ascii="Arial" w:hAnsi="Arial" w:cs="Arial"/>
          <w:szCs w:val="24"/>
        </w:rPr>
        <w:t>o cease producing Mobile Beds,</w:t>
      </w:r>
      <w:r w:rsidR="00633CAF">
        <w:rPr>
          <w:rFonts w:ascii="Arial" w:hAnsi="Arial" w:cs="Arial"/>
          <w:szCs w:val="24"/>
        </w:rPr>
        <w:t xml:space="preserve"> MSG should </w:t>
      </w:r>
      <w:r w:rsidR="00FF5137">
        <w:rPr>
          <w:rFonts w:ascii="Arial" w:hAnsi="Arial" w:cs="Arial"/>
          <w:szCs w:val="24"/>
        </w:rPr>
        <w:t>switch to</w:t>
      </w:r>
      <w:r w:rsidR="00633CAF">
        <w:rPr>
          <w:rFonts w:ascii="Arial" w:hAnsi="Arial" w:cs="Arial"/>
          <w:szCs w:val="24"/>
        </w:rPr>
        <w:t xml:space="preserve"> products </w:t>
      </w:r>
      <w:r w:rsidR="00FF5137">
        <w:rPr>
          <w:rFonts w:ascii="Arial" w:hAnsi="Arial" w:cs="Arial"/>
          <w:szCs w:val="24"/>
        </w:rPr>
        <w:t>on which it can charge high figure</w:t>
      </w:r>
      <w:r w:rsidR="006E465C">
        <w:rPr>
          <w:rFonts w:ascii="Arial" w:hAnsi="Arial" w:cs="Arial"/>
          <w:szCs w:val="24"/>
        </w:rPr>
        <w:t>s</w:t>
      </w:r>
      <w:r w:rsidR="00FF5137">
        <w:rPr>
          <w:rFonts w:ascii="Arial" w:hAnsi="Arial" w:cs="Arial"/>
          <w:szCs w:val="24"/>
        </w:rPr>
        <w:t xml:space="preserve"> and</w:t>
      </w:r>
      <w:r w:rsidR="00633CAF">
        <w:rPr>
          <w:rFonts w:ascii="Arial" w:hAnsi="Arial" w:cs="Arial"/>
          <w:szCs w:val="24"/>
        </w:rPr>
        <w:t xml:space="preserve"> make </w:t>
      </w:r>
      <w:r w:rsidR="006E465C">
        <w:rPr>
          <w:rFonts w:ascii="Arial" w:hAnsi="Arial" w:cs="Arial"/>
          <w:szCs w:val="24"/>
        </w:rPr>
        <w:t xml:space="preserve">a </w:t>
      </w:r>
      <w:r w:rsidR="00633CAF">
        <w:rPr>
          <w:rFonts w:ascii="Arial" w:hAnsi="Arial" w:cs="Arial"/>
          <w:szCs w:val="24"/>
        </w:rPr>
        <w:t>handsome profit</w:t>
      </w:r>
      <w:r w:rsidR="00FF5137">
        <w:rPr>
          <w:rFonts w:ascii="Arial" w:hAnsi="Arial" w:cs="Arial"/>
          <w:szCs w:val="24"/>
        </w:rPr>
        <w:t xml:space="preserve">. It will enable MSG to </w:t>
      </w:r>
      <w:r w:rsidRPr="003B306D">
        <w:rPr>
          <w:rFonts w:ascii="Arial" w:hAnsi="Arial" w:cs="Arial"/>
          <w:szCs w:val="24"/>
        </w:rPr>
        <w:t xml:space="preserve">avoid loss and improve its profit and its overall performance. </w:t>
      </w:r>
    </w:p>
    <w:tbl>
      <w:tblPr>
        <w:tblStyle w:val="Tabelgril"/>
        <w:tblW w:w="0" w:type="auto"/>
        <w:tblLook w:val="04A0" w:firstRow="1" w:lastRow="0" w:firstColumn="1" w:lastColumn="0" w:noHBand="0" w:noVBand="1"/>
      </w:tblPr>
      <w:tblGrid>
        <w:gridCol w:w="3136"/>
        <w:gridCol w:w="2372"/>
        <w:gridCol w:w="2070"/>
        <w:gridCol w:w="1530"/>
      </w:tblGrid>
      <w:tr w:rsidR="00FF5137" w:rsidRPr="003B306D" w14:paraId="63D1979C" w14:textId="77777777" w:rsidTr="00FF5137">
        <w:tc>
          <w:tcPr>
            <w:tcW w:w="3136" w:type="dxa"/>
          </w:tcPr>
          <w:p w14:paraId="0F5E442B" w14:textId="77777777" w:rsidR="00FF5137" w:rsidRPr="003B306D" w:rsidRDefault="00FF5137" w:rsidP="00273C21">
            <w:pPr>
              <w:spacing w:line="360" w:lineRule="auto"/>
              <w:jc w:val="both"/>
              <w:rPr>
                <w:rFonts w:ascii="Arial" w:hAnsi="Arial" w:cs="Arial"/>
                <w:b/>
                <w:i/>
              </w:rPr>
            </w:pPr>
            <w:r w:rsidRPr="003B306D">
              <w:rPr>
                <w:rFonts w:ascii="Arial" w:hAnsi="Arial" w:cs="Arial"/>
                <w:b/>
                <w:i/>
              </w:rPr>
              <w:t>Particulars</w:t>
            </w:r>
          </w:p>
        </w:tc>
        <w:tc>
          <w:tcPr>
            <w:tcW w:w="2372" w:type="dxa"/>
          </w:tcPr>
          <w:p w14:paraId="2E69E3F6" w14:textId="77777777" w:rsidR="00FF5137" w:rsidRPr="003B306D" w:rsidRDefault="00FF5137" w:rsidP="00273C21">
            <w:pPr>
              <w:spacing w:line="360" w:lineRule="auto"/>
              <w:jc w:val="both"/>
              <w:rPr>
                <w:rFonts w:ascii="Arial" w:hAnsi="Arial" w:cs="Arial"/>
                <w:b/>
                <w:i/>
              </w:rPr>
            </w:pPr>
            <w:r w:rsidRPr="003B306D">
              <w:rPr>
                <w:rFonts w:ascii="Arial" w:hAnsi="Arial" w:cs="Arial"/>
                <w:b/>
                <w:i/>
              </w:rPr>
              <w:t>Wheelchairs</w:t>
            </w:r>
          </w:p>
        </w:tc>
        <w:tc>
          <w:tcPr>
            <w:tcW w:w="2070" w:type="dxa"/>
          </w:tcPr>
          <w:p w14:paraId="2F5B3301" w14:textId="77777777" w:rsidR="00FF5137" w:rsidRPr="003B306D" w:rsidRDefault="00FF5137" w:rsidP="00273C21">
            <w:pPr>
              <w:spacing w:line="360" w:lineRule="auto"/>
              <w:jc w:val="both"/>
              <w:rPr>
                <w:rFonts w:ascii="Arial" w:hAnsi="Arial" w:cs="Arial"/>
                <w:b/>
                <w:i/>
              </w:rPr>
            </w:pPr>
            <w:r w:rsidRPr="003B306D">
              <w:rPr>
                <w:rFonts w:ascii="Arial" w:hAnsi="Arial" w:cs="Arial"/>
                <w:b/>
                <w:i/>
              </w:rPr>
              <w:t>Hoists</w:t>
            </w:r>
          </w:p>
        </w:tc>
        <w:tc>
          <w:tcPr>
            <w:tcW w:w="1530" w:type="dxa"/>
          </w:tcPr>
          <w:p w14:paraId="69AE6E7D" w14:textId="77777777" w:rsidR="00FF5137" w:rsidRPr="003B306D" w:rsidRDefault="00FF5137" w:rsidP="00273C21">
            <w:pPr>
              <w:spacing w:line="360" w:lineRule="auto"/>
              <w:jc w:val="both"/>
              <w:rPr>
                <w:rFonts w:ascii="Arial" w:hAnsi="Arial" w:cs="Arial"/>
                <w:b/>
                <w:i/>
              </w:rPr>
            </w:pPr>
            <w:r w:rsidRPr="003B306D">
              <w:rPr>
                <w:rFonts w:ascii="Arial" w:hAnsi="Arial" w:cs="Arial"/>
                <w:b/>
                <w:i/>
              </w:rPr>
              <w:t>Total</w:t>
            </w:r>
          </w:p>
        </w:tc>
      </w:tr>
      <w:tr w:rsidR="00FF5137" w:rsidRPr="003B306D" w14:paraId="590D7AFB" w14:textId="77777777" w:rsidTr="00FF5137">
        <w:tc>
          <w:tcPr>
            <w:tcW w:w="3136" w:type="dxa"/>
          </w:tcPr>
          <w:p w14:paraId="7AB23294" w14:textId="77777777" w:rsidR="00FF5137" w:rsidRPr="003B306D" w:rsidRDefault="00FF5137" w:rsidP="00273C21">
            <w:pPr>
              <w:spacing w:line="360" w:lineRule="auto"/>
              <w:jc w:val="both"/>
              <w:rPr>
                <w:rFonts w:ascii="Arial" w:hAnsi="Arial" w:cs="Arial"/>
              </w:rPr>
            </w:pPr>
            <w:r w:rsidRPr="003B306D">
              <w:rPr>
                <w:rFonts w:ascii="Arial" w:hAnsi="Arial" w:cs="Arial"/>
              </w:rPr>
              <w:t>Selling price</w:t>
            </w:r>
          </w:p>
        </w:tc>
        <w:tc>
          <w:tcPr>
            <w:tcW w:w="2372" w:type="dxa"/>
          </w:tcPr>
          <w:p w14:paraId="214B6216" w14:textId="77777777" w:rsidR="00FF5137" w:rsidRPr="003B306D" w:rsidRDefault="00FF5137" w:rsidP="00273C21">
            <w:pPr>
              <w:spacing w:line="360" w:lineRule="auto"/>
              <w:jc w:val="both"/>
              <w:rPr>
                <w:rFonts w:ascii="Arial" w:hAnsi="Arial" w:cs="Arial"/>
              </w:rPr>
            </w:pPr>
            <w:r w:rsidRPr="003B306D">
              <w:rPr>
                <w:rFonts w:ascii="Arial" w:hAnsi="Arial" w:cs="Arial"/>
              </w:rPr>
              <w:t>503</w:t>
            </w:r>
          </w:p>
        </w:tc>
        <w:tc>
          <w:tcPr>
            <w:tcW w:w="2070" w:type="dxa"/>
          </w:tcPr>
          <w:p w14:paraId="63FEA54E" w14:textId="77777777" w:rsidR="00FF5137" w:rsidRPr="003B306D" w:rsidRDefault="00FF5137" w:rsidP="00273C21">
            <w:pPr>
              <w:spacing w:line="360" w:lineRule="auto"/>
              <w:jc w:val="both"/>
              <w:rPr>
                <w:rFonts w:ascii="Arial" w:hAnsi="Arial" w:cs="Arial"/>
              </w:rPr>
            </w:pPr>
            <w:r w:rsidRPr="003B306D">
              <w:rPr>
                <w:rFonts w:ascii="Arial" w:hAnsi="Arial" w:cs="Arial"/>
              </w:rPr>
              <w:t>200</w:t>
            </w:r>
          </w:p>
        </w:tc>
        <w:tc>
          <w:tcPr>
            <w:tcW w:w="1530" w:type="dxa"/>
          </w:tcPr>
          <w:p w14:paraId="3805FED1" w14:textId="64DA6590" w:rsidR="00FF5137" w:rsidRPr="003B306D" w:rsidRDefault="0065672A" w:rsidP="00273C21">
            <w:pPr>
              <w:spacing w:line="360" w:lineRule="auto"/>
              <w:jc w:val="both"/>
              <w:rPr>
                <w:rFonts w:ascii="Arial" w:hAnsi="Arial" w:cs="Arial"/>
                <w:b/>
                <w:i/>
              </w:rPr>
            </w:pPr>
            <w:r>
              <w:rPr>
                <w:rFonts w:ascii="Arial" w:hAnsi="Arial" w:cs="Arial"/>
                <w:b/>
                <w:i/>
              </w:rPr>
              <w:t>291</w:t>
            </w:r>
          </w:p>
        </w:tc>
      </w:tr>
      <w:tr w:rsidR="00FF5137" w:rsidRPr="003B306D" w14:paraId="385EB763" w14:textId="77777777" w:rsidTr="00FF5137">
        <w:tc>
          <w:tcPr>
            <w:tcW w:w="3136" w:type="dxa"/>
          </w:tcPr>
          <w:p w14:paraId="7533CDF7" w14:textId="77777777" w:rsidR="00FF5137" w:rsidRPr="003B306D" w:rsidRDefault="00FF5137" w:rsidP="00273C21">
            <w:pPr>
              <w:spacing w:line="360" w:lineRule="auto"/>
              <w:jc w:val="both"/>
              <w:rPr>
                <w:rFonts w:ascii="Arial" w:hAnsi="Arial" w:cs="Arial"/>
              </w:rPr>
            </w:pPr>
            <w:r w:rsidRPr="003B306D">
              <w:rPr>
                <w:rFonts w:ascii="Arial" w:hAnsi="Arial" w:cs="Arial"/>
              </w:rPr>
              <w:t>Less: Direct Material (£)</w:t>
            </w:r>
          </w:p>
        </w:tc>
        <w:tc>
          <w:tcPr>
            <w:tcW w:w="2372" w:type="dxa"/>
          </w:tcPr>
          <w:p w14:paraId="5F717450" w14:textId="77777777" w:rsidR="00FF5137" w:rsidRPr="00E4398A" w:rsidRDefault="00FF5137" w:rsidP="00273C21">
            <w:pPr>
              <w:spacing w:line="360" w:lineRule="auto"/>
              <w:jc w:val="both"/>
              <w:rPr>
                <w:rFonts w:ascii="Arial" w:hAnsi="Arial" w:cs="Arial"/>
              </w:rPr>
            </w:pPr>
            <w:r w:rsidRPr="00E4398A">
              <w:rPr>
                <w:rFonts w:ascii="Arial" w:hAnsi="Arial" w:cs="Arial"/>
              </w:rPr>
              <w:t>(116)</w:t>
            </w:r>
          </w:p>
        </w:tc>
        <w:tc>
          <w:tcPr>
            <w:tcW w:w="2070" w:type="dxa"/>
          </w:tcPr>
          <w:p w14:paraId="1E881D5F" w14:textId="77777777" w:rsidR="00FF5137" w:rsidRPr="00E4398A" w:rsidRDefault="00FF5137" w:rsidP="00273C21">
            <w:pPr>
              <w:spacing w:line="360" w:lineRule="auto"/>
              <w:jc w:val="both"/>
              <w:rPr>
                <w:rFonts w:ascii="Arial" w:hAnsi="Arial" w:cs="Arial"/>
              </w:rPr>
            </w:pPr>
            <w:r w:rsidRPr="00E4398A">
              <w:rPr>
                <w:rFonts w:ascii="Arial" w:hAnsi="Arial" w:cs="Arial"/>
              </w:rPr>
              <w:t>(74)</w:t>
            </w:r>
          </w:p>
        </w:tc>
        <w:tc>
          <w:tcPr>
            <w:tcW w:w="1530" w:type="dxa"/>
          </w:tcPr>
          <w:p w14:paraId="0EB45CF4" w14:textId="5F21D5D8" w:rsidR="00FF5137" w:rsidRPr="00E4398A" w:rsidRDefault="0065672A" w:rsidP="00273C21">
            <w:pPr>
              <w:spacing w:line="360" w:lineRule="auto"/>
              <w:jc w:val="both"/>
              <w:rPr>
                <w:rFonts w:ascii="Arial" w:hAnsi="Arial" w:cs="Arial"/>
                <w:b/>
                <w:i/>
              </w:rPr>
            </w:pPr>
            <w:r>
              <w:rPr>
                <w:rFonts w:ascii="Arial" w:hAnsi="Arial" w:cs="Arial"/>
                <w:b/>
                <w:i/>
              </w:rPr>
              <w:t>(87</w:t>
            </w:r>
            <w:r w:rsidR="00FF5137" w:rsidRPr="00E4398A">
              <w:rPr>
                <w:rFonts w:ascii="Arial" w:hAnsi="Arial" w:cs="Arial"/>
                <w:b/>
                <w:i/>
              </w:rPr>
              <w:t>)</w:t>
            </w:r>
          </w:p>
        </w:tc>
      </w:tr>
      <w:tr w:rsidR="00FF5137" w:rsidRPr="003B306D" w14:paraId="269D6A29" w14:textId="77777777" w:rsidTr="00FF5137">
        <w:tc>
          <w:tcPr>
            <w:tcW w:w="3136" w:type="dxa"/>
          </w:tcPr>
          <w:p w14:paraId="24AE1407" w14:textId="77777777" w:rsidR="00FF5137" w:rsidRPr="003B306D" w:rsidRDefault="00FF5137" w:rsidP="00273C21">
            <w:pPr>
              <w:spacing w:line="360" w:lineRule="auto"/>
              <w:jc w:val="both"/>
              <w:rPr>
                <w:rFonts w:ascii="Arial" w:hAnsi="Arial" w:cs="Arial"/>
              </w:rPr>
            </w:pPr>
            <w:r w:rsidRPr="003B306D">
              <w:rPr>
                <w:rFonts w:ascii="Arial" w:hAnsi="Arial" w:cs="Arial"/>
              </w:rPr>
              <w:t>Less: Direct Labour (£)</w:t>
            </w:r>
          </w:p>
        </w:tc>
        <w:tc>
          <w:tcPr>
            <w:tcW w:w="2372" w:type="dxa"/>
          </w:tcPr>
          <w:p w14:paraId="454319D3" w14:textId="77777777" w:rsidR="00FF5137" w:rsidRPr="00E4398A" w:rsidRDefault="00FF5137" w:rsidP="00273C21">
            <w:pPr>
              <w:spacing w:line="360" w:lineRule="auto"/>
              <w:jc w:val="both"/>
              <w:rPr>
                <w:rFonts w:ascii="Arial" w:hAnsi="Arial" w:cs="Arial"/>
              </w:rPr>
            </w:pPr>
            <w:r w:rsidRPr="00E4398A">
              <w:rPr>
                <w:rFonts w:ascii="Arial" w:hAnsi="Arial" w:cs="Arial"/>
              </w:rPr>
              <w:t>(156)</w:t>
            </w:r>
          </w:p>
        </w:tc>
        <w:tc>
          <w:tcPr>
            <w:tcW w:w="2070" w:type="dxa"/>
          </w:tcPr>
          <w:p w14:paraId="3A427FDB" w14:textId="77777777" w:rsidR="00FF5137" w:rsidRPr="00E4398A" w:rsidRDefault="00FF5137" w:rsidP="00273C21">
            <w:pPr>
              <w:spacing w:line="360" w:lineRule="auto"/>
              <w:jc w:val="both"/>
              <w:rPr>
                <w:rFonts w:ascii="Arial" w:hAnsi="Arial" w:cs="Arial"/>
              </w:rPr>
            </w:pPr>
            <w:r w:rsidRPr="00E4398A">
              <w:rPr>
                <w:rFonts w:ascii="Arial" w:hAnsi="Arial" w:cs="Arial"/>
              </w:rPr>
              <w:t>(84)</w:t>
            </w:r>
          </w:p>
        </w:tc>
        <w:tc>
          <w:tcPr>
            <w:tcW w:w="1530" w:type="dxa"/>
          </w:tcPr>
          <w:p w14:paraId="577E62B4" w14:textId="5DF50DF3" w:rsidR="00FF5137" w:rsidRPr="00E4398A" w:rsidRDefault="0065672A" w:rsidP="00273C21">
            <w:pPr>
              <w:spacing w:line="360" w:lineRule="auto"/>
              <w:jc w:val="both"/>
              <w:rPr>
                <w:rFonts w:ascii="Arial" w:hAnsi="Arial" w:cs="Arial"/>
                <w:b/>
                <w:i/>
              </w:rPr>
            </w:pPr>
            <w:r>
              <w:rPr>
                <w:rFonts w:ascii="Arial" w:hAnsi="Arial" w:cs="Arial"/>
                <w:b/>
                <w:i/>
              </w:rPr>
              <w:t>(106</w:t>
            </w:r>
            <w:r w:rsidR="00FF5137" w:rsidRPr="00E4398A">
              <w:rPr>
                <w:rFonts w:ascii="Arial" w:hAnsi="Arial" w:cs="Arial"/>
                <w:b/>
                <w:i/>
              </w:rPr>
              <w:t>)</w:t>
            </w:r>
          </w:p>
        </w:tc>
      </w:tr>
      <w:tr w:rsidR="00FF5137" w:rsidRPr="003B306D" w14:paraId="6746DCAC" w14:textId="77777777" w:rsidTr="00FF5137">
        <w:tc>
          <w:tcPr>
            <w:tcW w:w="3136" w:type="dxa"/>
          </w:tcPr>
          <w:p w14:paraId="7FFE6767" w14:textId="77777777" w:rsidR="00FF5137" w:rsidRPr="003B306D" w:rsidRDefault="00FF5137" w:rsidP="00273C21">
            <w:pPr>
              <w:spacing w:line="360" w:lineRule="auto"/>
              <w:jc w:val="both"/>
              <w:rPr>
                <w:rFonts w:ascii="Arial" w:hAnsi="Arial" w:cs="Arial"/>
              </w:rPr>
            </w:pPr>
            <w:r w:rsidRPr="003B306D">
              <w:rPr>
                <w:rFonts w:ascii="Arial" w:hAnsi="Arial" w:cs="Arial"/>
              </w:rPr>
              <w:t>Less: Other variable expenses (£)</w:t>
            </w:r>
          </w:p>
        </w:tc>
        <w:tc>
          <w:tcPr>
            <w:tcW w:w="2372" w:type="dxa"/>
          </w:tcPr>
          <w:p w14:paraId="5DD1E9AE" w14:textId="77777777" w:rsidR="00FF5137" w:rsidRPr="00E4398A" w:rsidRDefault="00FF5137" w:rsidP="00273C21">
            <w:pPr>
              <w:spacing w:line="360" w:lineRule="auto"/>
              <w:jc w:val="both"/>
              <w:rPr>
                <w:rFonts w:ascii="Arial" w:hAnsi="Arial" w:cs="Arial"/>
              </w:rPr>
            </w:pPr>
            <w:r w:rsidRPr="00E4398A">
              <w:rPr>
                <w:rFonts w:ascii="Arial" w:hAnsi="Arial" w:cs="Arial"/>
              </w:rPr>
              <w:t>(55)</w:t>
            </w:r>
          </w:p>
        </w:tc>
        <w:tc>
          <w:tcPr>
            <w:tcW w:w="2070" w:type="dxa"/>
          </w:tcPr>
          <w:p w14:paraId="58FE9D70" w14:textId="77777777" w:rsidR="00FF5137" w:rsidRPr="00E4398A" w:rsidRDefault="00FF5137" w:rsidP="00273C21">
            <w:pPr>
              <w:spacing w:line="360" w:lineRule="auto"/>
              <w:jc w:val="both"/>
              <w:rPr>
                <w:rFonts w:ascii="Arial" w:hAnsi="Arial" w:cs="Arial"/>
              </w:rPr>
            </w:pPr>
            <w:r w:rsidRPr="00E4398A">
              <w:rPr>
                <w:rFonts w:ascii="Arial" w:hAnsi="Arial" w:cs="Arial"/>
              </w:rPr>
              <w:t>(50)</w:t>
            </w:r>
          </w:p>
        </w:tc>
        <w:tc>
          <w:tcPr>
            <w:tcW w:w="1530" w:type="dxa"/>
          </w:tcPr>
          <w:p w14:paraId="5A0AB176" w14:textId="4477BA67" w:rsidR="00FF5137" w:rsidRPr="00E4398A" w:rsidRDefault="00165CDB" w:rsidP="00273C21">
            <w:pPr>
              <w:spacing w:line="360" w:lineRule="auto"/>
              <w:jc w:val="both"/>
              <w:rPr>
                <w:rFonts w:ascii="Arial" w:hAnsi="Arial" w:cs="Arial"/>
                <w:b/>
                <w:i/>
              </w:rPr>
            </w:pPr>
            <w:r>
              <w:rPr>
                <w:rFonts w:ascii="Arial" w:hAnsi="Arial" w:cs="Arial"/>
                <w:b/>
                <w:i/>
              </w:rPr>
              <w:t>(52</w:t>
            </w:r>
            <w:r w:rsidR="00FF5137" w:rsidRPr="00E4398A">
              <w:rPr>
                <w:rFonts w:ascii="Arial" w:hAnsi="Arial" w:cs="Arial"/>
                <w:b/>
                <w:i/>
              </w:rPr>
              <w:t>)</w:t>
            </w:r>
          </w:p>
        </w:tc>
      </w:tr>
      <w:tr w:rsidR="00FF5137" w:rsidRPr="003B306D" w14:paraId="48F3C549" w14:textId="77777777" w:rsidTr="00FF5137">
        <w:tc>
          <w:tcPr>
            <w:tcW w:w="3136" w:type="dxa"/>
          </w:tcPr>
          <w:p w14:paraId="248CA667" w14:textId="77777777" w:rsidR="00FF5137" w:rsidRPr="003B306D" w:rsidRDefault="00FF5137" w:rsidP="00273C21">
            <w:pPr>
              <w:spacing w:line="360" w:lineRule="auto"/>
              <w:jc w:val="both"/>
              <w:rPr>
                <w:rFonts w:ascii="Arial" w:hAnsi="Arial" w:cs="Arial"/>
              </w:rPr>
            </w:pPr>
            <w:r w:rsidRPr="003B306D">
              <w:rPr>
                <w:rFonts w:ascii="Arial" w:hAnsi="Arial" w:cs="Arial"/>
              </w:rPr>
              <w:t>Contribution per unit (£)</w:t>
            </w:r>
          </w:p>
        </w:tc>
        <w:tc>
          <w:tcPr>
            <w:tcW w:w="2372" w:type="dxa"/>
          </w:tcPr>
          <w:p w14:paraId="42D870D2" w14:textId="77777777" w:rsidR="00FF5137" w:rsidRPr="00E4398A" w:rsidRDefault="00FF5137" w:rsidP="00273C21">
            <w:pPr>
              <w:spacing w:line="360" w:lineRule="auto"/>
              <w:jc w:val="both"/>
              <w:rPr>
                <w:rFonts w:ascii="Arial" w:hAnsi="Arial" w:cs="Arial"/>
                <w:b/>
                <w:i/>
              </w:rPr>
            </w:pPr>
            <w:r w:rsidRPr="00E4398A">
              <w:rPr>
                <w:rFonts w:ascii="Arial" w:hAnsi="Arial" w:cs="Arial"/>
                <w:b/>
                <w:i/>
              </w:rPr>
              <w:t>176</w:t>
            </w:r>
          </w:p>
        </w:tc>
        <w:tc>
          <w:tcPr>
            <w:tcW w:w="2070" w:type="dxa"/>
          </w:tcPr>
          <w:p w14:paraId="046CF2FF" w14:textId="77777777" w:rsidR="00FF5137" w:rsidRPr="00E4398A" w:rsidRDefault="00FF5137" w:rsidP="00273C21">
            <w:pPr>
              <w:spacing w:line="360" w:lineRule="auto"/>
              <w:jc w:val="both"/>
              <w:rPr>
                <w:rFonts w:ascii="Arial" w:hAnsi="Arial" w:cs="Arial"/>
                <w:b/>
                <w:i/>
              </w:rPr>
            </w:pPr>
            <w:r w:rsidRPr="00E4398A">
              <w:rPr>
                <w:rFonts w:ascii="Arial" w:hAnsi="Arial" w:cs="Arial"/>
                <w:b/>
                <w:i/>
              </w:rPr>
              <w:t>-8</w:t>
            </w:r>
          </w:p>
        </w:tc>
        <w:tc>
          <w:tcPr>
            <w:tcW w:w="1530" w:type="dxa"/>
          </w:tcPr>
          <w:p w14:paraId="020D07E0" w14:textId="5C4C6EC8" w:rsidR="00FF5137" w:rsidRPr="00E4398A" w:rsidRDefault="00165CDB" w:rsidP="00273C21">
            <w:pPr>
              <w:spacing w:line="360" w:lineRule="auto"/>
              <w:jc w:val="both"/>
              <w:rPr>
                <w:rFonts w:ascii="Arial" w:hAnsi="Arial" w:cs="Arial"/>
                <w:b/>
                <w:i/>
              </w:rPr>
            </w:pPr>
            <w:r>
              <w:rPr>
                <w:rFonts w:ascii="Arial" w:hAnsi="Arial" w:cs="Arial"/>
                <w:b/>
                <w:i/>
              </w:rPr>
              <w:t>46</w:t>
            </w:r>
          </w:p>
        </w:tc>
      </w:tr>
      <w:tr w:rsidR="00FF5137" w:rsidRPr="003B306D" w14:paraId="413CC4E9" w14:textId="77777777" w:rsidTr="00FF5137">
        <w:tc>
          <w:tcPr>
            <w:tcW w:w="3136" w:type="dxa"/>
          </w:tcPr>
          <w:p w14:paraId="4AE4621B" w14:textId="77777777" w:rsidR="00FF5137" w:rsidRPr="003B306D" w:rsidRDefault="00FF5137" w:rsidP="00273C21">
            <w:pPr>
              <w:spacing w:line="360" w:lineRule="auto"/>
              <w:jc w:val="both"/>
              <w:rPr>
                <w:rFonts w:ascii="Arial" w:hAnsi="Arial" w:cs="Arial"/>
                <w:b/>
                <w:i/>
              </w:rPr>
            </w:pPr>
            <w:r w:rsidRPr="003B306D">
              <w:rPr>
                <w:rFonts w:ascii="Arial" w:hAnsi="Arial" w:cs="Arial"/>
                <w:b/>
                <w:i/>
              </w:rPr>
              <w:t>Total contribution(Contribution per unit*units)</w:t>
            </w:r>
          </w:p>
        </w:tc>
        <w:tc>
          <w:tcPr>
            <w:tcW w:w="2372" w:type="dxa"/>
          </w:tcPr>
          <w:p w14:paraId="36947575" w14:textId="77777777" w:rsidR="00FF5137" w:rsidRPr="00E4398A" w:rsidRDefault="00FF5137" w:rsidP="00273C21">
            <w:pPr>
              <w:spacing w:line="360" w:lineRule="auto"/>
              <w:jc w:val="both"/>
              <w:rPr>
                <w:rFonts w:ascii="Arial" w:hAnsi="Arial" w:cs="Arial"/>
                <w:b/>
                <w:i/>
              </w:rPr>
            </w:pPr>
            <w:r w:rsidRPr="00E4398A">
              <w:rPr>
                <w:rFonts w:ascii="Arial" w:hAnsi="Arial" w:cs="Arial"/>
                <w:b/>
                <w:i/>
              </w:rPr>
              <w:t>176*40=7040</w:t>
            </w:r>
          </w:p>
        </w:tc>
        <w:tc>
          <w:tcPr>
            <w:tcW w:w="2070" w:type="dxa"/>
          </w:tcPr>
          <w:p w14:paraId="786AE690" w14:textId="77777777" w:rsidR="00FF5137" w:rsidRPr="00E4398A" w:rsidRDefault="00FF5137" w:rsidP="00273C21">
            <w:pPr>
              <w:spacing w:line="360" w:lineRule="auto"/>
              <w:jc w:val="both"/>
              <w:rPr>
                <w:rFonts w:ascii="Arial" w:hAnsi="Arial" w:cs="Arial"/>
                <w:b/>
                <w:i/>
              </w:rPr>
            </w:pPr>
            <w:r w:rsidRPr="00E4398A">
              <w:rPr>
                <w:rFonts w:ascii="Arial" w:hAnsi="Arial" w:cs="Arial"/>
                <w:b/>
                <w:i/>
              </w:rPr>
              <w:t>(8)*93=(744)</w:t>
            </w:r>
          </w:p>
        </w:tc>
        <w:tc>
          <w:tcPr>
            <w:tcW w:w="1530" w:type="dxa"/>
          </w:tcPr>
          <w:p w14:paraId="2814CE58" w14:textId="4FADE6D6" w:rsidR="00FF5137" w:rsidRPr="00E4398A" w:rsidRDefault="00165CDB" w:rsidP="00273C21">
            <w:pPr>
              <w:spacing w:line="360" w:lineRule="auto"/>
              <w:jc w:val="both"/>
              <w:rPr>
                <w:rFonts w:ascii="Arial" w:hAnsi="Arial" w:cs="Arial"/>
                <w:b/>
                <w:i/>
              </w:rPr>
            </w:pPr>
            <w:r>
              <w:rPr>
                <w:rFonts w:ascii="Arial" w:hAnsi="Arial" w:cs="Arial"/>
                <w:b/>
                <w:i/>
              </w:rPr>
              <w:t>6118</w:t>
            </w:r>
          </w:p>
        </w:tc>
      </w:tr>
      <w:tr w:rsidR="00FF5137" w:rsidRPr="003B306D" w14:paraId="07DAEC31" w14:textId="77777777" w:rsidTr="00FF5137">
        <w:tc>
          <w:tcPr>
            <w:tcW w:w="3136" w:type="dxa"/>
          </w:tcPr>
          <w:p w14:paraId="535AE84C" w14:textId="77777777" w:rsidR="00FF5137" w:rsidRPr="003B306D" w:rsidRDefault="00FF5137" w:rsidP="00273C21">
            <w:pPr>
              <w:spacing w:line="360" w:lineRule="auto"/>
              <w:jc w:val="both"/>
              <w:rPr>
                <w:rFonts w:ascii="Arial" w:hAnsi="Arial" w:cs="Arial"/>
              </w:rPr>
            </w:pPr>
            <w:r w:rsidRPr="003B306D">
              <w:rPr>
                <w:rFonts w:ascii="Arial" w:hAnsi="Arial" w:cs="Arial"/>
              </w:rPr>
              <w:t>Less; Fixed overheads (£)</w:t>
            </w:r>
          </w:p>
        </w:tc>
        <w:tc>
          <w:tcPr>
            <w:tcW w:w="2372" w:type="dxa"/>
          </w:tcPr>
          <w:p w14:paraId="618E9AA7" w14:textId="77777777" w:rsidR="00FF5137" w:rsidRPr="00E4398A" w:rsidRDefault="00FF5137" w:rsidP="00273C21">
            <w:pPr>
              <w:spacing w:line="360" w:lineRule="auto"/>
              <w:jc w:val="both"/>
              <w:rPr>
                <w:rFonts w:ascii="Arial" w:hAnsi="Arial" w:cs="Arial"/>
              </w:rPr>
            </w:pPr>
            <w:r w:rsidRPr="00E4398A">
              <w:rPr>
                <w:rFonts w:ascii="Arial" w:hAnsi="Arial" w:cs="Arial"/>
              </w:rPr>
              <w:t xml:space="preserve">(6030) </w:t>
            </w:r>
          </w:p>
          <w:p w14:paraId="36CFD9DA" w14:textId="77777777" w:rsidR="00FF5137" w:rsidRPr="00E4398A" w:rsidRDefault="00FF5137" w:rsidP="00273C21">
            <w:pPr>
              <w:spacing w:line="360" w:lineRule="auto"/>
              <w:jc w:val="both"/>
              <w:rPr>
                <w:rFonts w:ascii="Arial" w:hAnsi="Arial" w:cs="Arial"/>
              </w:rPr>
            </w:pPr>
          </w:p>
        </w:tc>
        <w:tc>
          <w:tcPr>
            <w:tcW w:w="2070" w:type="dxa"/>
          </w:tcPr>
          <w:p w14:paraId="5EE54A39" w14:textId="77777777" w:rsidR="00FF5137" w:rsidRPr="00E4398A" w:rsidRDefault="00FF5137" w:rsidP="00273C21">
            <w:pPr>
              <w:spacing w:line="360" w:lineRule="auto"/>
              <w:jc w:val="both"/>
              <w:rPr>
                <w:rFonts w:ascii="Arial" w:hAnsi="Arial" w:cs="Arial"/>
              </w:rPr>
            </w:pPr>
            <w:r w:rsidRPr="00E4398A">
              <w:rPr>
                <w:rFonts w:ascii="Arial" w:hAnsi="Arial" w:cs="Arial"/>
              </w:rPr>
              <w:t>(5961.6)</w:t>
            </w:r>
          </w:p>
          <w:p w14:paraId="1D5D583B" w14:textId="77777777" w:rsidR="00FF5137" w:rsidRPr="00E4398A" w:rsidRDefault="00FF5137" w:rsidP="00273C21">
            <w:pPr>
              <w:spacing w:line="360" w:lineRule="auto"/>
              <w:jc w:val="both"/>
              <w:rPr>
                <w:rFonts w:ascii="Arial" w:hAnsi="Arial" w:cs="Arial"/>
              </w:rPr>
            </w:pPr>
          </w:p>
        </w:tc>
        <w:tc>
          <w:tcPr>
            <w:tcW w:w="1530" w:type="dxa"/>
          </w:tcPr>
          <w:p w14:paraId="4883EAFE" w14:textId="50ED94D4" w:rsidR="00FF5137" w:rsidRPr="00E4398A" w:rsidRDefault="000D4993" w:rsidP="00273C21">
            <w:pPr>
              <w:spacing w:line="360" w:lineRule="auto"/>
              <w:jc w:val="both"/>
              <w:rPr>
                <w:rFonts w:ascii="Arial" w:hAnsi="Arial" w:cs="Arial"/>
                <w:b/>
                <w:i/>
              </w:rPr>
            </w:pPr>
            <w:r>
              <w:rPr>
                <w:rFonts w:ascii="Arial" w:hAnsi="Arial" w:cs="Arial"/>
                <w:b/>
                <w:i/>
              </w:rPr>
              <w:t>(</w:t>
            </w:r>
            <w:r w:rsidRPr="00DF122A">
              <w:rPr>
                <w:rFonts w:ascii="Arial" w:hAnsi="Arial" w:cs="Arial"/>
                <w:b/>
                <w:i/>
                <w:color w:val="1F3864" w:themeColor="accent1" w:themeShade="80"/>
              </w:rPr>
              <w:t>19326.36</w:t>
            </w:r>
            <w:r>
              <w:rPr>
                <w:rFonts w:ascii="Arial" w:hAnsi="Arial" w:cs="Arial"/>
                <w:b/>
                <w:i/>
                <w:color w:val="1F3864" w:themeColor="accent1" w:themeShade="80"/>
              </w:rPr>
              <w:t>)</w:t>
            </w:r>
          </w:p>
        </w:tc>
      </w:tr>
      <w:tr w:rsidR="00FF5137" w:rsidRPr="003B306D" w14:paraId="123172B3" w14:textId="77777777" w:rsidTr="00FF5137">
        <w:tc>
          <w:tcPr>
            <w:tcW w:w="3136" w:type="dxa"/>
          </w:tcPr>
          <w:p w14:paraId="74A3C613" w14:textId="77777777" w:rsidR="00FF5137" w:rsidRPr="003B306D" w:rsidRDefault="00FF5137" w:rsidP="00273C21">
            <w:pPr>
              <w:spacing w:line="360" w:lineRule="auto"/>
              <w:jc w:val="both"/>
              <w:rPr>
                <w:rFonts w:ascii="Arial" w:hAnsi="Arial" w:cs="Arial"/>
                <w:b/>
                <w:i/>
              </w:rPr>
            </w:pPr>
            <w:r w:rsidRPr="003B306D">
              <w:rPr>
                <w:rFonts w:ascii="Arial" w:hAnsi="Arial" w:cs="Arial"/>
                <w:b/>
                <w:i/>
              </w:rPr>
              <w:t>Total profit</w:t>
            </w:r>
          </w:p>
        </w:tc>
        <w:tc>
          <w:tcPr>
            <w:tcW w:w="2372" w:type="dxa"/>
          </w:tcPr>
          <w:p w14:paraId="49F2C289" w14:textId="77777777" w:rsidR="00FF5137" w:rsidRPr="00E4398A" w:rsidRDefault="00FF5137" w:rsidP="00273C21">
            <w:pPr>
              <w:spacing w:line="360" w:lineRule="auto"/>
              <w:jc w:val="both"/>
              <w:rPr>
                <w:rFonts w:ascii="Arial" w:hAnsi="Arial" w:cs="Arial"/>
                <w:b/>
                <w:i/>
              </w:rPr>
            </w:pPr>
            <w:r w:rsidRPr="00E4398A">
              <w:rPr>
                <w:rFonts w:ascii="Arial" w:hAnsi="Arial" w:cs="Arial"/>
                <w:b/>
                <w:i/>
              </w:rPr>
              <w:t>1010</w:t>
            </w:r>
          </w:p>
        </w:tc>
        <w:tc>
          <w:tcPr>
            <w:tcW w:w="2070" w:type="dxa"/>
          </w:tcPr>
          <w:p w14:paraId="011DD060" w14:textId="77777777" w:rsidR="00FF5137" w:rsidRPr="00E4398A" w:rsidRDefault="00FF5137" w:rsidP="00273C21">
            <w:pPr>
              <w:spacing w:line="360" w:lineRule="auto"/>
              <w:jc w:val="both"/>
              <w:rPr>
                <w:rFonts w:ascii="Arial" w:hAnsi="Arial" w:cs="Arial"/>
                <w:b/>
                <w:i/>
              </w:rPr>
            </w:pPr>
            <w:r w:rsidRPr="00E4398A">
              <w:rPr>
                <w:rFonts w:ascii="Arial" w:hAnsi="Arial" w:cs="Arial"/>
                <w:b/>
                <w:i/>
              </w:rPr>
              <w:t>(6705.6)</w:t>
            </w:r>
          </w:p>
        </w:tc>
        <w:tc>
          <w:tcPr>
            <w:tcW w:w="1530" w:type="dxa"/>
          </w:tcPr>
          <w:p w14:paraId="098A1AC3" w14:textId="22B19BAA" w:rsidR="00FF5137" w:rsidRPr="00E4398A" w:rsidRDefault="00165CDB" w:rsidP="00273C21">
            <w:pPr>
              <w:spacing w:line="360" w:lineRule="auto"/>
              <w:jc w:val="both"/>
              <w:rPr>
                <w:rFonts w:ascii="Arial" w:hAnsi="Arial" w:cs="Arial"/>
                <w:b/>
                <w:i/>
              </w:rPr>
            </w:pPr>
            <w:r>
              <w:rPr>
                <w:rFonts w:ascii="Arial" w:hAnsi="Arial" w:cs="Arial"/>
                <w:b/>
                <w:i/>
              </w:rPr>
              <w:t>(13208</w:t>
            </w:r>
            <w:r w:rsidR="00AD2E62" w:rsidRPr="00E4398A">
              <w:rPr>
                <w:rFonts w:ascii="Arial" w:hAnsi="Arial" w:cs="Arial"/>
                <w:b/>
                <w:i/>
              </w:rPr>
              <w:t>.</w:t>
            </w:r>
            <w:r>
              <w:rPr>
                <w:rFonts w:ascii="Arial" w:hAnsi="Arial" w:cs="Arial"/>
                <w:b/>
                <w:i/>
              </w:rPr>
              <w:t>3</w:t>
            </w:r>
            <w:r w:rsidR="00AD2E62" w:rsidRPr="00E4398A">
              <w:rPr>
                <w:rFonts w:ascii="Arial" w:hAnsi="Arial" w:cs="Arial"/>
                <w:b/>
                <w:i/>
              </w:rPr>
              <w:t>6</w:t>
            </w:r>
            <w:r w:rsidR="00FF5137" w:rsidRPr="00E4398A">
              <w:rPr>
                <w:rFonts w:ascii="Arial" w:hAnsi="Arial" w:cs="Arial"/>
                <w:b/>
                <w:i/>
              </w:rPr>
              <w:t>)</w:t>
            </w:r>
          </w:p>
        </w:tc>
      </w:tr>
    </w:tbl>
    <w:p w14:paraId="5A44758B" w14:textId="77777777" w:rsidR="00FF5137" w:rsidRDefault="00FF5137" w:rsidP="003B306D">
      <w:pPr>
        <w:spacing w:line="360" w:lineRule="auto"/>
        <w:jc w:val="both"/>
        <w:rPr>
          <w:rFonts w:ascii="Arial" w:hAnsi="Arial" w:cs="Arial"/>
          <w:szCs w:val="24"/>
        </w:rPr>
      </w:pPr>
    </w:p>
    <w:p w14:paraId="67355BED" w14:textId="3B10F38E" w:rsidR="003B306D" w:rsidRPr="00CC5186" w:rsidRDefault="00AD2E62" w:rsidP="003B306D">
      <w:pPr>
        <w:spacing w:line="360" w:lineRule="auto"/>
        <w:jc w:val="both"/>
        <w:rPr>
          <w:rFonts w:ascii="Arial" w:hAnsi="Arial" w:cs="Arial"/>
          <w:color w:val="1F3864" w:themeColor="accent1" w:themeShade="80"/>
          <w:szCs w:val="24"/>
        </w:rPr>
      </w:pPr>
      <w:r w:rsidRPr="00CC5186">
        <w:rPr>
          <w:rFonts w:ascii="Arial" w:hAnsi="Arial" w:cs="Arial"/>
          <w:color w:val="1F3864" w:themeColor="accent1" w:themeShade="80"/>
          <w:szCs w:val="24"/>
        </w:rPr>
        <w:t xml:space="preserve">The total loss made by MSG </w:t>
      </w:r>
      <w:r w:rsidR="00165CDB" w:rsidRPr="00CC5186">
        <w:rPr>
          <w:rFonts w:ascii="Arial" w:hAnsi="Arial" w:cs="Arial"/>
          <w:color w:val="1F3864" w:themeColor="accent1" w:themeShade="80"/>
          <w:szCs w:val="24"/>
        </w:rPr>
        <w:t>after stopping the production of</w:t>
      </w:r>
      <w:r w:rsidRPr="00CC5186">
        <w:rPr>
          <w:rFonts w:ascii="Arial" w:hAnsi="Arial" w:cs="Arial"/>
          <w:color w:val="1F3864" w:themeColor="accent1" w:themeShade="80"/>
          <w:szCs w:val="24"/>
        </w:rPr>
        <w:t xml:space="preserve"> Mobile Beds </w:t>
      </w:r>
      <w:r w:rsidR="00165CDB" w:rsidRPr="00CC5186">
        <w:rPr>
          <w:rFonts w:ascii="Arial" w:hAnsi="Arial" w:cs="Arial"/>
          <w:color w:val="1F3864" w:themeColor="accent1" w:themeShade="80"/>
          <w:szCs w:val="24"/>
        </w:rPr>
        <w:t>is £392 less in comparison to the profit in part 1.2 which is not substantial. Though</w:t>
      </w:r>
      <w:r w:rsidRPr="00CC5186">
        <w:rPr>
          <w:rFonts w:ascii="Arial" w:hAnsi="Arial" w:cs="Arial"/>
          <w:color w:val="1F3864" w:themeColor="accent1" w:themeShade="80"/>
          <w:szCs w:val="24"/>
        </w:rPr>
        <w:t xml:space="preserve"> MSG was incurring </w:t>
      </w:r>
      <w:r w:rsidR="006E465C" w:rsidRPr="00CC5186">
        <w:rPr>
          <w:rFonts w:ascii="Arial" w:hAnsi="Arial" w:cs="Arial"/>
          <w:color w:val="1F3864" w:themeColor="accent1" w:themeShade="80"/>
          <w:szCs w:val="24"/>
        </w:rPr>
        <w:t xml:space="preserve">a </w:t>
      </w:r>
      <w:r w:rsidRPr="00CC5186">
        <w:rPr>
          <w:rFonts w:ascii="Arial" w:hAnsi="Arial" w:cs="Arial"/>
          <w:color w:val="1F3864" w:themeColor="accent1" w:themeShade="80"/>
          <w:szCs w:val="24"/>
        </w:rPr>
        <w:t>substant</w:t>
      </w:r>
      <w:r w:rsidR="00165CDB" w:rsidRPr="00CC5186">
        <w:rPr>
          <w:rFonts w:ascii="Arial" w:hAnsi="Arial" w:cs="Arial"/>
          <w:color w:val="1F3864" w:themeColor="accent1" w:themeShade="80"/>
          <w:szCs w:val="24"/>
        </w:rPr>
        <w:t>ial amount of fixed overhead</w:t>
      </w:r>
      <w:r w:rsidRPr="00CC5186">
        <w:rPr>
          <w:rFonts w:ascii="Arial" w:hAnsi="Arial" w:cs="Arial"/>
          <w:color w:val="1F3864" w:themeColor="accent1" w:themeShade="80"/>
          <w:szCs w:val="24"/>
        </w:rPr>
        <w:t xml:space="preserve"> for producing Mobile Beds </w:t>
      </w:r>
      <w:r w:rsidR="00165CDB" w:rsidRPr="00CC5186">
        <w:rPr>
          <w:rFonts w:ascii="Arial" w:hAnsi="Arial" w:cs="Arial"/>
          <w:color w:val="1F3864" w:themeColor="accent1" w:themeShade="80"/>
          <w:szCs w:val="24"/>
        </w:rPr>
        <w:t>MSG still ha</w:t>
      </w:r>
      <w:r w:rsidR="00491B6C">
        <w:rPr>
          <w:rFonts w:ascii="Arial" w:hAnsi="Arial" w:cs="Arial"/>
          <w:color w:val="1F3864" w:themeColor="accent1" w:themeShade="80"/>
          <w:szCs w:val="24"/>
        </w:rPr>
        <w:t>s</w:t>
      </w:r>
      <w:r w:rsidR="00165CDB" w:rsidRPr="00CC5186">
        <w:rPr>
          <w:rFonts w:ascii="Arial" w:hAnsi="Arial" w:cs="Arial"/>
          <w:color w:val="1F3864" w:themeColor="accent1" w:themeShade="80"/>
          <w:szCs w:val="24"/>
        </w:rPr>
        <w:t xml:space="preserve"> </w:t>
      </w:r>
      <w:r w:rsidR="00491B6C">
        <w:rPr>
          <w:rFonts w:ascii="Arial" w:hAnsi="Arial" w:cs="Arial"/>
          <w:color w:val="1F3864" w:themeColor="accent1" w:themeShade="80"/>
          <w:szCs w:val="24"/>
        </w:rPr>
        <w:t xml:space="preserve">a </w:t>
      </w:r>
      <w:r w:rsidR="00165CDB" w:rsidRPr="00CC5186">
        <w:rPr>
          <w:rFonts w:ascii="Arial" w:hAnsi="Arial" w:cs="Arial"/>
          <w:color w:val="1F3864" w:themeColor="accent1" w:themeShade="80"/>
          <w:szCs w:val="24"/>
        </w:rPr>
        <w:t xml:space="preserve">positive contribution </w:t>
      </w:r>
      <w:r w:rsidR="006051FF" w:rsidRPr="00CC5186">
        <w:rPr>
          <w:rFonts w:ascii="Arial" w:hAnsi="Arial" w:cs="Arial"/>
          <w:color w:val="1F3864" w:themeColor="accent1" w:themeShade="80"/>
          <w:szCs w:val="24"/>
        </w:rPr>
        <w:t>(Seal, 2018)</w:t>
      </w:r>
      <w:r w:rsidRPr="00CC5186">
        <w:rPr>
          <w:rFonts w:ascii="Arial" w:hAnsi="Arial" w:cs="Arial"/>
          <w:color w:val="1F3864" w:themeColor="accent1" w:themeShade="80"/>
          <w:szCs w:val="24"/>
        </w:rPr>
        <w:t xml:space="preserve">. This is why </w:t>
      </w:r>
      <w:r w:rsidR="006E465C" w:rsidRPr="00CC5186">
        <w:rPr>
          <w:rFonts w:ascii="Arial" w:hAnsi="Arial" w:cs="Arial"/>
          <w:color w:val="1F3864" w:themeColor="accent1" w:themeShade="80"/>
          <w:szCs w:val="24"/>
        </w:rPr>
        <w:t>MSG</w:t>
      </w:r>
      <w:r w:rsidRPr="00CC5186">
        <w:rPr>
          <w:rFonts w:ascii="Arial" w:hAnsi="Arial" w:cs="Arial"/>
          <w:color w:val="1F3864" w:themeColor="accent1" w:themeShade="80"/>
          <w:szCs w:val="24"/>
        </w:rPr>
        <w:t xml:space="preserve"> </w:t>
      </w:r>
      <w:r w:rsidR="00165CDB" w:rsidRPr="00CC5186">
        <w:rPr>
          <w:rFonts w:ascii="Arial" w:hAnsi="Arial" w:cs="Arial"/>
          <w:color w:val="1F3864" w:themeColor="accent1" w:themeShade="80"/>
          <w:szCs w:val="24"/>
        </w:rPr>
        <w:t>can contribute the</w:t>
      </w:r>
      <w:r w:rsidRPr="00CC5186">
        <w:rPr>
          <w:rFonts w:ascii="Arial" w:hAnsi="Arial" w:cs="Arial"/>
          <w:color w:val="1F3864" w:themeColor="accent1" w:themeShade="80"/>
          <w:szCs w:val="24"/>
        </w:rPr>
        <w:t xml:space="preserve"> p</w:t>
      </w:r>
      <w:r w:rsidR="00165CDB" w:rsidRPr="00CC5186">
        <w:rPr>
          <w:rFonts w:ascii="Arial" w:hAnsi="Arial" w:cs="Arial"/>
          <w:color w:val="1F3864" w:themeColor="accent1" w:themeShade="80"/>
          <w:szCs w:val="24"/>
        </w:rPr>
        <w:t xml:space="preserve">roducing this product </w:t>
      </w:r>
      <w:r w:rsidR="00491B6C">
        <w:rPr>
          <w:rFonts w:ascii="Arial" w:hAnsi="Arial" w:cs="Arial"/>
          <w:color w:val="1F3864" w:themeColor="accent1" w:themeShade="80"/>
          <w:szCs w:val="24"/>
        </w:rPr>
        <w:t xml:space="preserve">by </w:t>
      </w:r>
      <w:r w:rsidR="00165CDB" w:rsidRPr="00CC5186">
        <w:rPr>
          <w:rFonts w:ascii="Arial" w:hAnsi="Arial" w:cs="Arial"/>
          <w:color w:val="1F3864" w:themeColor="accent1" w:themeShade="80"/>
          <w:szCs w:val="24"/>
        </w:rPr>
        <w:t xml:space="preserve">rethinking its fixed costs. </w:t>
      </w:r>
    </w:p>
    <w:p w14:paraId="41BC36D8" w14:textId="0595F423" w:rsidR="00CE7E92" w:rsidRPr="00CE7E92" w:rsidRDefault="00CE7E92" w:rsidP="006E465C">
      <w:pPr>
        <w:pStyle w:val="Titlu2"/>
        <w:spacing w:line="360" w:lineRule="auto"/>
        <w:rPr>
          <w:b/>
        </w:rPr>
      </w:pPr>
      <w:bookmarkStart w:id="8" w:name="_Toc127095689"/>
      <w:r w:rsidRPr="00CE7E92">
        <w:rPr>
          <w:b/>
        </w:rPr>
        <w:t xml:space="preserve">1.5 </w:t>
      </w:r>
      <w:r w:rsidR="006E465C">
        <w:rPr>
          <w:b/>
        </w:rPr>
        <w:t xml:space="preserve">Impact in terms of long-term business profitability </w:t>
      </w:r>
      <w:r w:rsidR="006E465C" w:rsidRPr="006E465C">
        <w:rPr>
          <w:b/>
        </w:rPr>
        <w:t xml:space="preserve">and sustainable growth </w:t>
      </w:r>
      <w:r w:rsidR="006E465C">
        <w:rPr>
          <w:b/>
        </w:rPr>
        <w:t>for</w:t>
      </w:r>
      <w:r w:rsidR="006E465C" w:rsidRPr="006E465C">
        <w:rPr>
          <w:b/>
        </w:rPr>
        <w:t xml:space="preserve"> ceasing production of Hoists and Mobile Beds</w:t>
      </w:r>
      <w:bookmarkEnd w:id="8"/>
    </w:p>
    <w:p w14:paraId="6C84DAEF" w14:textId="230B6F02" w:rsidR="00273C21" w:rsidRPr="00A1260B" w:rsidRDefault="000A2010" w:rsidP="00612B2C">
      <w:pPr>
        <w:spacing w:line="360" w:lineRule="auto"/>
        <w:jc w:val="both"/>
        <w:rPr>
          <w:rFonts w:ascii="Arial" w:hAnsi="Arial" w:cs="Arial"/>
          <w:color w:val="1F3864" w:themeColor="accent1" w:themeShade="80"/>
          <w:szCs w:val="24"/>
        </w:rPr>
      </w:pPr>
      <w:r w:rsidRPr="000A2010">
        <w:rPr>
          <w:rFonts w:ascii="Arial" w:hAnsi="Arial" w:cs="Arial"/>
          <w:szCs w:val="24"/>
        </w:rPr>
        <w:t xml:space="preserve">It is obvious from the above calculation of marginal profit that MSG should stop producing Hoists. </w:t>
      </w:r>
      <w:r w:rsidRPr="00A1260B">
        <w:rPr>
          <w:rFonts w:ascii="Arial" w:hAnsi="Arial" w:cs="Arial"/>
          <w:color w:val="1F3864" w:themeColor="accent1" w:themeShade="80"/>
          <w:szCs w:val="24"/>
        </w:rPr>
        <w:t xml:space="preserve">However, MSG should find out the reason why it is making </w:t>
      </w:r>
      <w:r w:rsidR="006E465C" w:rsidRPr="00A1260B">
        <w:rPr>
          <w:rFonts w:ascii="Arial" w:hAnsi="Arial" w:cs="Arial"/>
          <w:color w:val="1F3864" w:themeColor="accent1" w:themeShade="80"/>
          <w:szCs w:val="24"/>
        </w:rPr>
        <w:t xml:space="preserve">a </w:t>
      </w:r>
      <w:r w:rsidRPr="00A1260B">
        <w:rPr>
          <w:rFonts w:ascii="Arial" w:hAnsi="Arial" w:cs="Arial"/>
          <w:color w:val="1F3864" w:themeColor="accent1" w:themeShade="80"/>
          <w:szCs w:val="24"/>
        </w:rPr>
        <w:t xml:space="preserve">loss in </w:t>
      </w:r>
      <w:r w:rsidR="00CC5186" w:rsidRPr="00A1260B">
        <w:rPr>
          <w:rFonts w:ascii="Arial" w:hAnsi="Arial" w:cs="Arial"/>
          <w:color w:val="1F3864" w:themeColor="accent1" w:themeShade="80"/>
          <w:szCs w:val="24"/>
        </w:rPr>
        <w:t>the production of</w:t>
      </w:r>
      <w:r w:rsidRPr="00A1260B">
        <w:rPr>
          <w:rFonts w:ascii="Arial" w:hAnsi="Arial" w:cs="Arial"/>
          <w:color w:val="1F3864" w:themeColor="accent1" w:themeShade="80"/>
          <w:szCs w:val="24"/>
        </w:rPr>
        <w:t xml:space="preserve"> Hoists and explore opportunities or its future potential to increase the profit from producing </w:t>
      </w:r>
      <w:r w:rsidR="00CC5186" w:rsidRPr="00A1260B">
        <w:rPr>
          <w:rFonts w:ascii="Arial" w:hAnsi="Arial" w:cs="Arial"/>
          <w:color w:val="1F3864" w:themeColor="accent1" w:themeShade="80"/>
          <w:szCs w:val="24"/>
        </w:rPr>
        <w:t>Hoists</w:t>
      </w:r>
      <w:r w:rsidR="006051FF" w:rsidRPr="00A1260B">
        <w:rPr>
          <w:rFonts w:ascii="Arial" w:hAnsi="Arial" w:cs="Arial"/>
          <w:color w:val="1F3864" w:themeColor="accent1" w:themeShade="80"/>
        </w:rPr>
        <w:t xml:space="preserve"> (Bhimani, 2018)</w:t>
      </w:r>
      <w:r w:rsidRPr="00A1260B">
        <w:rPr>
          <w:rFonts w:ascii="Arial" w:hAnsi="Arial" w:cs="Arial"/>
          <w:color w:val="1F3864" w:themeColor="accent1" w:themeShade="80"/>
          <w:szCs w:val="24"/>
        </w:rPr>
        <w:t xml:space="preserve">. </w:t>
      </w:r>
      <w:r w:rsidR="00273C21" w:rsidRPr="00A1260B">
        <w:rPr>
          <w:rFonts w:ascii="Arial" w:hAnsi="Arial" w:cs="Arial"/>
          <w:color w:val="1F3864" w:themeColor="accent1" w:themeShade="80"/>
          <w:szCs w:val="24"/>
        </w:rPr>
        <w:t xml:space="preserve">By stopping </w:t>
      </w:r>
      <w:r w:rsidR="006E465C" w:rsidRPr="00A1260B">
        <w:rPr>
          <w:rFonts w:ascii="Arial" w:hAnsi="Arial" w:cs="Arial"/>
          <w:color w:val="1F3864" w:themeColor="accent1" w:themeShade="80"/>
          <w:szCs w:val="24"/>
        </w:rPr>
        <w:t xml:space="preserve">the </w:t>
      </w:r>
      <w:r w:rsidR="00273C21" w:rsidRPr="00A1260B">
        <w:rPr>
          <w:rFonts w:ascii="Arial" w:hAnsi="Arial" w:cs="Arial"/>
          <w:color w:val="1F3864" w:themeColor="accent1" w:themeShade="80"/>
          <w:szCs w:val="24"/>
        </w:rPr>
        <w:t xml:space="preserve">production of hoists at </w:t>
      </w:r>
      <w:r w:rsidR="006E465C" w:rsidRPr="00A1260B">
        <w:rPr>
          <w:rFonts w:ascii="Arial" w:hAnsi="Arial" w:cs="Arial"/>
          <w:color w:val="1F3864" w:themeColor="accent1" w:themeShade="80"/>
          <w:szCs w:val="24"/>
        </w:rPr>
        <w:t xml:space="preserve">the </w:t>
      </w:r>
      <w:r w:rsidR="00273C21" w:rsidRPr="00A1260B">
        <w:rPr>
          <w:rFonts w:ascii="Arial" w:hAnsi="Arial" w:cs="Arial"/>
          <w:color w:val="1F3864" w:themeColor="accent1" w:themeShade="80"/>
          <w:szCs w:val="24"/>
        </w:rPr>
        <w:t xml:space="preserve">current price, making </w:t>
      </w:r>
      <w:r w:rsidR="006E465C" w:rsidRPr="00A1260B">
        <w:rPr>
          <w:rFonts w:ascii="Arial" w:hAnsi="Arial" w:cs="Arial"/>
          <w:color w:val="1F3864" w:themeColor="accent1" w:themeShade="80"/>
          <w:szCs w:val="24"/>
        </w:rPr>
        <w:t xml:space="preserve">the </w:t>
      </w:r>
      <w:r w:rsidR="00CC5186" w:rsidRPr="00A1260B">
        <w:rPr>
          <w:rFonts w:ascii="Arial" w:hAnsi="Arial" w:cs="Arial"/>
          <w:color w:val="1F3864" w:themeColor="accent1" w:themeShade="80"/>
          <w:szCs w:val="24"/>
        </w:rPr>
        <w:t>loss of £8</w:t>
      </w:r>
      <w:r w:rsidR="00273C21" w:rsidRPr="00A1260B">
        <w:rPr>
          <w:rFonts w:ascii="Arial" w:hAnsi="Arial" w:cs="Arial"/>
          <w:color w:val="1F3864" w:themeColor="accent1" w:themeShade="80"/>
          <w:szCs w:val="24"/>
        </w:rPr>
        <w:t xml:space="preserve"> will make the financial performance of MSG better</w:t>
      </w:r>
      <w:r w:rsidR="00CC5186" w:rsidRPr="00A1260B">
        <w:rPr>
          <w:rFonts w:ascii="Arial" w:hAnsi="Arial" w:cs="Arial"/>
          <w:color w:val="1F3864" w:themeColor="accent1" w:themeShade="80"/>
          <w:szCs w:val="24"/>
        </w:rPr>
        <w:t xml:space="preserve"> in the short-</w:t>
      </w:r>
      <w:r w:rsidR="001E00A7" w:rsidRPr="00A1260B">
        <w:rPr>
          <w:rFonts w:ascii="Arial" w:hAnsi="Arial" w:cs="Arial"/>
          <w:color w:val="1F3864" w:themeColor="accent1" w:themeShade="80"/>
          <w:szCs w:val="24"/>
        </w:rPr>
        <w:t>t</w:t>
      </w:r>
      <w:r w:rsidR="00CC5186" w:rsidRPr="00A1260B">
        <w:rPr>
          <w:rFonts w:ascii="Arial" w:hAnsi="Arial" w:cs="Arial"/>
          <w:color w:val="1F3864" w:themeColor="accent1" w:themeShade="80"/>
          <w:szCs w:val="24"/>
        </w:rPr>
        <w:t xml:space="preserve">erm or from </w:t>
      </w:r>
      <w:r w:rsidR="00491B6C">
        <w:rPr>
          <w:rFonts w:ascii="Arial" w:hAnsi="Arial" w:cs="Arial"/>
          <w:color w:val="1F3864" w:themeColor="accent1" w:themeShade="80"/>
          <w:szCs w:val="24"/>
        </w:rPr>
        <w:t xml:space="preserve">the </w:t>
      </w:r>
      <w:r w:rsidR="00CC5186" w:rsidRPr="00A1260B">
        <w:rPr>
          <w:rFonts w:ascii="Arial" w:hAnsi="Arial" w:cs="Arial"/>
          <w:color w:val="1F3864" w:themeColor="accent1" w:themeShade="80"/>
          <w:szCs w:val="24"/>
        </w:rPr>
        <w:t>financial aspect. Before</w:t>
      </w:r>
      <w:r w:rsidR="00273C21" w:rsidRPr="00A1260B">
        <w:rPr>
          <w:rFonts w:ascii="Arial" w:hAnsi="Arial" w:cs="Arial"/>
          <w:color w:val="1F3864" w:themeColor="accent1" w:themeShade="80"/>
          <w:szCs w:val="24"/>
        </w:rPr>
        <w:t xml:space="preserve"> ceasing the production of </w:t>
      </w:r>
      <w:r w:rsidR="00CC5186" w:rsidRPr="00A1260B">
        <w:rPr>
          <w:rFonts w:ascii="Arial" w:hAnsi="Arial" w:cs="Arial"/>
          <w:color w:val="1F3864" w:themeColor="accent1" w:themeShade="80"/>
          <w:szCs w:val="24"/>
        </w:rPr>
        <w:t xml:space="preserve">Hoists, </w:t>
      </w:r>
      <w:r w:rsidR="00273C21" w:rsidRPr="00A1260B">
        <w:rPr>
          <w:rFonts w:ascii="Arial" w:hAnsi="Arial" w:cs="Arial"/>
          <w:color w:val="1F3864" w:themeColor="accent1" w:themeShade="80"/>
          <w:szCs w:val="24"/>
        </w:rPr>
        <w:t xml:space="preserve">MSG </w:t>
      </w:r>
      <w:r w:rsidR="00CC5186" w:rsidRPr="00A1260B">
        <w:rPr>
          <w:rFonts w:ascii="Arial" w:hAnsi="Arial" w:cs="Arial"/>
          <w:color w:val="1F3864" w:themeColor="accent1" w:themeShade="80"/>
          <w:szCs w:val="24"/>
        </w:rPr>
        <w:t>needs</w:t>
      </w:r>
      <w:r w:rsidR="00491B6C">
        <w:rPr>
          <w:rFonts w:ascii="Arial" w:hAnsi="Arial" w:cs="Arial"/>
          <w:color w:val="1F3864" w:themeColor="accent1" w:themeShade="80"/>
          <w:szCs w:val="24"/>
        </w:rPr>
        <w:t xml:space="preserve"> to consider the impact from</w:t>
      </w:r>
      <w:r w:rsidR="00CC5186" w:rsidRPr="00A1260B">
        <w:rPr>
          <w:rFonts w:ascii="Arial" w:hAnsi="Arial" w:cs="Arial"/>
          <w:color w:val="1F3864" w:themeColor="accent1" w:themeShade="80"/>
          <w:szCs w:val="24"/>
        </w:rPr>
        <w:t xml:space="preserve"> clients</w:t>
      </w:r>
      <w:r w:rsidR="00491B6C">
        <w:rPr>
          <w:rFonts w:ascii="Arial" w:hAnsi="Arial" w:cs="Arial"/>
          <w:color w:val="1F3864" w:themeColor="accent1" w:themeShade="80"/>
          <w:szCs w:val="24"/>
        </w:rPr>
        <w:t xml:space="preserve">’ viewpoint </w:t>
      </w:r>
      <w:r w:rsidR="001E00A7" w:rsidRPr="00A1260B">
        <w:rPr>
          <w:rFonts w:ascii="Arial" w:hAnsi="Arial" w:cs="Arial"/>
          <w:color w:val="1F3864" w:themeColor="accent1" w:themeShade="80"/>
          <w:szCs w:val="24"/>
        </w:rPr>
        <w:t xml:space="preserve">across the United Kingdom because Hoists </w:t>
      </w:r>
      <w:r w:rsidR="00491B6C">
        <w:rPr>
          <w:rFonts w:ascii="Arial" w:hAnsi="Arial" w:cs="Arial"/>
          <w:color w:val="1F3864" w:themeColor="accent1" w:themeShade="80"/>
          <w:szCs w:val="24"/>
        </w:rPr>
        <w:t>are</w:t>
      </w:r>
      <w:r w:rsidR="001E00A7" w:rsidRPr="00A1260B">
        <w:rPr>
          <w:rFonts w:ascii="Arial" w:hAnsi="Arial" w:cs="Arial"/>
          <w:color w:val="1F3864" w:themeColor="accent1" w:themeShade="80"/>
          <w:szCs w:val="24"/>
        </w:rPr>
        <w:t xml:space="preserve"> an essential product that such institutions need for their clients and they might switch to other sellers who sell Hoists along with other two or more products. MSG might have to face reputational issues and its image in the industry or to clients might deteriorate. Workers involved in the production and distribution of this product might be laid off </w:t>
      </w:r>
      <w:r w:rsidR="00491B6C">
        <w:rPr>
          <w:rFonts w:ascii="Arial" w:hAnsi="Arial" w:cs="Arial"/>
          <w:color w:val="1F3864" w:themeColor="accent1" w:themeShade="80"/>
          <w:szCs w:val="24"/>
        </w:rPr>
        <w:t>which</w:t>
      </w:r>
      <w:r w:rsidR="001E00A7" w:rsidRPr="00A1260B">
        <w:rPr>
          <w:rFonts w:ascii="Arial" w:hAnsi="Arial" w:cs="Arial"/>
          <w:color w:val="1F3864" w:themeColor="accent1" w:themeShade="80"/>
          <w:szCs w:val="24"/>
        </w:rPr>
        <w:t xml:space="preserve"> will further deteriorate their morale. MSG needs to think about</w:t>
      </w:r>
      <w:r w:rsidR="00273C21" w:rsidRPr="00A1260B">
        <w:rPr>
          <w:rFonts w:ascii="Arial" w:hAnsi="Arial" w:cs="Arial"/>
          <w:color w:val="1F3864" w:themeColor="accent1" w:themeShade="80"/>
          <w:szCs w:val="24"/>
        </w:rPr>
        <w:t xml:space="preserve"> sustainable growth. </w:t>
      </w:r>
      <w:r w:rsidR="001E00A7" w:rsidRPr="00A1260B">
        <w:rPr>
          <w:rFonts w:ascii="Arial" w:hAnsi="Arial" w:cs="Arial"/>
          <w:color w:val="1F3864" w:themeColor="accent1" w:themeShade="80"/>
          <w:szCs w:val="24"/>
        </w:rPr>
        <w:t>MSG can consider restructuring its capital and expenditure management. It can think about product price neg</w:t>
      </w:r>
      <w:r w:rsidR="00612B2C" w:rsidRPr="00A1260B">
        <w:rPr>
          <w:rFonts w:ascii="Arial" w:hAnsi="Arial" w:cs="Arial"/>
          <w:color w:val="1F3864" w:themeColor="accent1" w:themeShade="80"/>
          <w:szCs w:val="24"/>
        </w:rPr>
        <w:t>ot</w:t>
      </w:r>
      <w:r w:rsidR="001E00A7" w:rsidRPr="00A1260B">
        <w:rPr>
          <w:rFonts w:ascii="Arial" w:hAnsi="Arial" w:cs="Arial"/>
          <w:color w:val="1F3864" w:themeColor="accent1" w:themeShade="80"/>
          <w:szCs w:val="24"/>
        </w:rPr>
        <w:t xml:space="preserve">iation with NHS and </w:t>
      </w:r>
      <w:r w:rsidR="00A1260B" w:rsidRPr="00A1260B">
        <w:rPr>
          <w:rFonts w:ascii="Arial" w:hAnsi="Arial" w:cs="Arial"/>
          <w:color w:val="1F3864" w:themeColor="accent1" w:themeShade="80"/>
          <w:szCs w:val="24"/>
        </w:rPr>
        <w:t>Care Homes for selling whilst negotiati</w:t>
      </w:r>
      <w:r w:rsidR="00491B6C">
        <w:rPr>
          <w:rFonts w:ascii="Arial" w:hAnsi="Arial" w:cs="Arial"/>
          <w:color w:val="1F3864" w:themeColor="accent1" w:themeShade="80"/>
          <w:szCs w:val="24"/>
        </w:rPr>
        <w:t>ng</w:t>
      </w:r>
      <w:r w:rsidR="00A1260B" w:rsidRPr="00A1260B">
        <w:rPr>
          <w:rFonts w:ascii="Arial" w:hAnsi="Arial" w:cs="Arial"/>
          <w:color w:val="1F3864" w:themeColor="accent1" w:themeShade="80"/>
          <w:szCs w:val="24"/>
        </w:rPr>
        <w:t xml:space="preserve"> with suppliers of materials for the production of its products. </w:t>
      </w:r>
      <w:r w:rsidR="00612B2C" w:rsidRPr="00A1260B">
        <w:rPr>
          <w:rFonts w:ascii="Arial" w:hAnsi="Arial" w:cs="Arial"/>
          <w:color w:val="1F3864" w:themeColor="accent1" w:themeShade="80"/>
          <w:szCs w:val="24"/>
        </w:rPr>
        <w:t xml:space="preserve"> </w:t>
      </w:r>
      <w:r w:rsidR="00A1260B" w:rsidRPr="00A1260B">
        <w:rPr>
          <w:rFonts w:ascii="Arial" w:hAnsi="Arial" w:cs="Arial"/>
          <w:color w:val="1F3864" w:themeColor="accent1" w:themeShade="80"/>
          <w:szCs w:val="24"/>
        </w:rPr>
        <w:t xml:space="preserve">More research and effort should be given </w:t>
      </w:r>
      <w:r w:rsidR="00491B6C">
        <w:rPr>
          <w:rFonts w:ascii="Arial" w:hAnsi="Arial" w:cs="Arial"/>
          <w:color w:val="1F3864" w:themeColor="accent1" w:themeShade="80"/>
          <w:szCs w:val="24"/>
        </w:rPr>
        <w:t>to</w:t>
      </w:r>
      <w:r w:rsidR="00A1260B" w:rsidRPr="00A1260B">
        <w:rPr>
          <w:rFonts w:ascii="Arial" w:hAnsi="Arial" w:cs="Arial"/>
          <w:color w:val="1F3864" w:themeColor="accent1" w:themeShade="80"/>
          <w:szCs w:val="24"/>
        </w:rPr>
        <w:t xml:space="preserve"> these things before abandoning the production of Hoists</w:t>
      </w:r>
      <w:r w:rsidR="006051FF" w:rsidRPr="00A1260B">
        <w:rPr>
          <w:rFonts w:ascii="Arial" w:hAnsi="Arial" w:cs="Arial"/>
          <w:color w:val="1F3864" w:themeColor="accent1" w:themeShade="80"/>
        </w:rPr>
        <w:t xml:space="preserve"> (Blocher, 2019)</w:t>
      </w:r>
      <w:r w:rsidR="00612B2C" w:rsidRPr="00A1260B">
        <w:rPr>
          <w:rFonts w:ascii="Arial" w:hAnsi="Arial" w:cs="Arial"/>
          <w:color w:val="1F3864" w:themeColor="accent1" w:themeShade="80"/>
          <w:szCs w:val="24"/>
        </w:rPr>
        <w:t xml:space="preserve">. </w:t>
      </w:r>
      <w:r w:rsidR="00A1260B" w:rsidRPr="00A1260B">
        <w:rPr>
          <w:rFonts w:ascii="Arial" w:hAnsi="Arial" w:cs="Arial"/>
          <w:color w:val="1F3864" w:themeColor="accent1" w:themeShade="80"/>
          <w:szCs w:val="24"/>
        </w:rPr>
        <w:t xml:space="preserve">After doing extensive research on these aspects if things do not work out in favour of improving the performance of the organization, then it can think about easing the production of Hoists. </w:t>
      </w:r>
    </w:p>
    <w:p w14:paraId="51F1FAA7" w14:textId="77777777" w:rsidR="00A1260B" w:rsidRDefault="00A1260B" w:rsidP="00612B2C">
      <w:pPr>
        <w:spacing w:line="360" w:lineRule="auto"/>
        <w:jc w:val="both"/>
        <w:rPr>
          <w:rFonts w:ascii="Arial" w:hAnsi="Arial" w:cs="Arial"/>
          <w:szCs w:val="24"/>
        </w:rPr>
      </w:pPr>
    </w:p>
    <w:p w14:paraId="4B29A82B" w14:textId="77777777" w:rsidR="00A1260B" w:rsidRDefault="00A1260B" w:rsidP="00612B2C">
      <w:pPr>
        <w:spacing w:line="360" w:lineRule="auto"/>
        <w:jc w:val="both"/>
        <w:rPr>
          <w:rFonts w:ascii="Arial" w:hAnsi="Arial" w:cs="Arial"/>
          <w:szCs w:val="24"/>
        </w:rPr>
      </w:pPr>
    </w:p>
    <w:p w14:paraId="6672C4ED" w14:textId="5BF99EBF" w:rsidR="00170767" w:rsidRPr="00CE7E92" w:rsidRDefault="00170767" w:rsidP="00170767">
      <w:pPr>
        <w:pStyle w:val="Titlu1"/>
        <w:spacing w:line="360" w:lineRule="auto"/>
        <w:jc w:val="center"/>
        <w:rPr>
          <w:rFonts w:cs="Arial"/>
          <w:b/>
          <w:sz w:val="28"/>
        </w:rPr>
      </w:pPr>
      <w:bookmarkStart w:id="9" w:name="_Toc127095690"/>
      <w:r w:rsidRPr="00CE7E92">
        <w:rPr>
          <w:rFonts w:cs="Arial"/>
          <w:b/>
          <w:sz w:val="28"/>
        </w:rPr>
        <w:t>B</w:t>
      </w:r>
      <w:bookmarkEnd w:id="9"/>
    </w:p>
    <w:p w14:paraId="1EA93512" w14:textId="64C3A1BA" w:rsidR="00170767" w:rsidRDefault="00492308" w:rsidP="006E465C">
      <w:pPr>
        <w:pStyle w:val="Titlu2"/>
        <w:spacing w:line="360" w:lineRule="auto"/>
        <w:rPr>
          <w:rFonts w:cs="Arial"/>
          <w:b/>
        </w:rPr>
      </w:pPr>
      <w:bookmarkStart w:id="10" w:name="_Toc127095691"/>
      <w:r w:rsidRPr="00C34289">
        <w:rPr>
          <w:rFonts w:cs="Arial"/>
          <w:b/>
        </w:rPr>
        <w:t xml:space="preserve">2.1 </w:t>
      </w:r>
      <w:r w:rsidR="00170767" w:rsidRPr="00492308">
        <w:rPr>
          <w:rFonts w:cs="Arial"/>
          <w:b/>
        </w:rPr>
        <w:t>Break-even unit</w:t>
      </w:r>
      <w:bookmarkEnd w:id="10"/>
    </w:p>
    <w:p w14:paraId="0275099D" w14:textId="537D60BB" w:rsidR="00492308" w:rsidRDefault="00492308" w:rsidP="00492308">
      <w:pPr>
        <w:spacing w:line="360" w:lineRule="auto"/>
        <w:jc w:val="both"/>
        <w:rPr>
          <w:rFonts w:ascii="Arial" w:hAnsi="Arial" w:cs="Arial"/>
        </w:rPr>
      </w:pPr>
      <w:r w:rsidRPr="00492308">
        <w:rPr>
          <w:rFonts w:ascii="Arial" w:hAnsi="Arial" w:cs="Arial"/>
        </w:rPr>
        <w:t>Here, fixed cost =</w:t>
      </w:r>
      <w:r>
        <w:rPr>
          <w:rFonts w:ascii="Arial" w:hAnsi="Arial" w:cs="Arial"/>
        </w:rPr>
        <w:t>£11,500</w:t>
      </w:r>
    </w:p>
    <w:p w14:paraId="0BF4C0D3" w14:textId="03CF7D29" w:rsidR="00492308" w:rsidRDefault="00492308" w:rsidP="00492308">
      <w:pPr>
        <w:spacing w:line="360" w:lineRule="auto"/>
        <w:jc w:val="both"/>
        <w:rPr>
          <w:rFonts w:ascii="Arial" w:hAnsi="Arial" w:cs="Arial"/>
        </w:rPr>
      </w:pPr>
      <w:r>
        <w:rPr>
          <w:rFonts w:ascii="Arial" w:hAnsi="Arial" w:cs="Arial"/>
        </w:rPr>
        <w:t>Contribution per unit= £(65-40) or £25</w:t>
      </w:r>
    </w:p>
    <w:p w14:paraId="37D57BD4" w14:textId="38040B9D" w:rsidR="00492308" w:rsidRDefault="00A1260B" w:rsidP="00492308">
      <w:pPr>
        <w:spacing w:line="360" w:lineRule="auto"/>
        <w:jc w:val="both"/>
        <w:rPr>
          <w:rFonts w:ascii="Arial" w:hAnsi="Arial" w:cs="Arial"/>
        </w:rPr>
      </w:pPr>
      <w:r>
        <w:rPr>
          <w:rFonts w:ascii="Arial" w:hAnsi="Arial" w:cs="Arial"/>
        </w:rPr>
        <w:t>So, break-even unit=11,500/</w:t>
      </w:r>
      <w:r w:rsidR="00492308">
        <w:rPr>
          <w:rFonts w:ascii="Arial" w:hAnsi="Arial" w:cs="Arial"/>
        </w:rPr>
        <w:t>2</w:t>
      </w:r>
      <w:r>
        <w:rPr>
          <w:rFonts w:ascii="Arial" w:hAnsi="Arial" w:cs="Arial"/>
        </w:rPr>
        <w:t xml:space="preserve">5= </w:t>
      </w:r>
      <w:r w:rsidR="00492308">
        <w:rPr>
          <w:rFonts w:ascii="Arial" w:hAnsi="Arial" w:cs="Arial"/>
        </w:rPr>
        <w:t>460</w:t>
      </w:r>
      <w:r>
        <w:rPr>
          <w:rFonts w:ascii="Arial" w:hAnsi="Arial" w:cs="Arial"/>
        </w:rPr>
        <w:t xml:space="preserve"> plates</w:t>
      </w:r>
    </w:p>
    <w:p w14:paraId="315240E5" w14:textId="4020538F" w:rsidR="00C34289" w:rsidRPr="006E465C" w:rsidRDefault="00492308" w:rsidP="006E465C">
      <w:pPr>
        <w:pStyle w:val="Titlu2"/>
        <w:rPr>
          <w:b/>
        </w:rPr>
      </w:pPr>
      <w:bookmarkStart w:id="11" w:name="_Toc127095692"/>
      <w:r w:rsidRPr="00CE7E92">
        <w:rPr>
          <w:b/>
        </w:rPr>
        <w:t xml:space="preserve">2.2 </w:t>
      </w:r>
      <w:r w:rsidR="00C34289">
        <w:rPr>
          <w:rFonts w:cs="Arial"/>
          <w:b/>
        </w:rPr>
        <w:t>Sales volume to make a profit of £24,000</w:t>
      </w:r>
      <w:bookmarkEnd w:id="11"/>
    </w:p>
    <w:p w14:paraId="77C99A8B" w14:textId="3F9A9FDC" w:rsidR="00C34289" w:rsidRPr="00C34289" w:rsidRDefault="00C34289" w:rsidP="00492308">
      <w:pPr>
        <w:spacing w:line="360" w:lineRule="auto"/>
        <w:jc w:val="both"/>
        <w:rPr>
          <w:rFonts w:ascii="Arial" w:hAnsi="Arial" w:cs="Arial"/>
        </w:rPr>
      </w:pPr>
      <w:r w:rsidRPr="00C34289">
        <w:rPr>
          <w:rFonts w:ascii="Arial" w:hAnsi="Arial" w:cs="Arial"/>
        </w:rPr>
        <w:t xml:space="preserve">Here, </w:t>
      </w:r>
    </w:p>
    <w:p w14:paraId="4ED0597A" w14:textId="77777777" w:rsidR="00C34289" w:rsidRDefault="00C34289" w:rsidP="00C34289">
      <w:pPr>
        <w:spacing w:line="360" w:lineRule="auto"/>
        <w:jc w:val="both"/>
        <w:rPr>
          <w:rFonts w:ascii="Arial" w:hAnsi="Arial" w:cs="Arial"/>
        </w:rPr>
      </w:pPr>
      <w:r w:rsidRPr="00492308">
        <w:rPr>
          <w:rFonts w:ascii="Arial" w:hAnsi="Arial" w:cs="Arial"/>
        </w:rPr>
        <w:t>Here, fixed cost =</w:t>
      </w:r>
      <w:r>
        <w:rPr>
          <w:rFonts w:ascii="Arial" w:hAnsi="Arial" w:cs="Arial"/>
        </w:rPr>
        <w:t>£11,500</w:t>
      </w:r>
    </w:p>
    <w:p w14:paraId="2A056BB2" w14:textId="5DAA9B9F" w:rsidR="00C34289" w:rsidRDefault="00C34289" w:rsidP="00C34289">
      <w:pPr>
        <w:spacing w:line="360" w:lineRule="auto"/>
        <w:jc w:val="both"/>
        <w:rPr>
          <w:rFonts w:ascii="Arial" w:hAnsi="Arial" w:cs="Arial"/>
        </w:rPr>
      </w:pPr>
      <w:r>
        <w:rPr>
          <w:rFonts w:ascii="Arial" w:hAnsi="Arial" w:cs="Arial"/>
        </w:rPr>
        <w:t>Contribution per unit</w:t>
      </w:r>
      <w:r w:rsidR="006051FF" w:rsidRPr="006051FF">
        <w:rPr>
          <w:rFonts w:ascii="Arial" w:hAnsi="Arial" w:cs="Arial"/>
        </w:rPr>
        <w:t xml:space="preserve"> </w:t>
      </w:r>
      <w:r w:rsidR="006051FF">
        <w:rPr>
          <w:rFonts w:ascii="Arial" w:hAnsi="Arial" w:cs="Arial"/>
        </w:rPr>
        <w:t xml:space="preserve">(Cohen, </w:t>
      </w:r>
      <w:r w:rsidR="006051FF" w:rsidRPr="006E465C">
        <w:rPr>
          <w:rFonts w:ascii="Arial" w:hAnsi="Arial" w:cs="Arial"/>
        </w:rPr>
        <w:t xml:space="preserve">2020) </w:t>
      </w:r>
      <w:r>
        <w:rPr>
          <w:rFonts w:ascii="Arial" w:hAnsi="Arial" w:cs="Arial"/>
        </w:rPr>
        <w:t>= £(65-40) or £25</w:t>
      </w:r>
    </w:p>
    <w:p w14:paraId="078FE7BD" w14:textId="164B0203" w:rsidR="00C34289" w:rsidRDefault="00C34289" w:rsidP="00C34289">
      <w:pPr>
        <w:spacing w:line="360" w:lineRule="auto"/>
        <w:jc w:val="both"/>
        <w:rPr>
          <w:rFonts w:ascii="Arial" w:hAnsi="Arial" w:cs="Arial"/>
        </w:rPr>
      </w:pPr>
      <w:r>
        <w:rPr>
          <w:rFonts w:ascii="Arial" w:hAnsi="Arial" w:cs="Arial"/>
        </w:rPr>
        <w:t xml:space="preserve">So, </w:t>
      </w:r>
      <w:r w:rsidR="00491B6C">
        <w:rPr>
          <w:rFonts w:ascii="Arial" w:hAnsi="Arial" w:cs="Arial"/>
        </w:rPr>
        <w:t xml:space="preserve">the </w:t>
      </w:r>
      <w:r>
        <w:rPr>
          <w:rFonts w:ascii="Arial" w:hAnsi="Arial" w:cs="Arial"/>
        </w:rPr>
        <w:t xml:space="preserve">break-even unit for </w:t>
      </w:r>
      <w:r w:rsidRPr="00C34289">
        <w:rPr>
          <w:rFonts w:ascii="Arial" w:hAnsi="Arial" w:cs="Arial"/>
        </w:rPr>
        <w:t>a profit of £</w:t>
      </w:r>
      <w:r w:rsidR="00A1260B">
        <w:rPr>
          <w:rFonts w:ascii="Arial" w:hAnsi="Arial" w:cs="Arial"/>
        </w:rPr>
        <w:t>24,000=</w:t>
      </w:r>
      <w:r w:rsidRPr="00C34289">
        <w:rPr>
          <w:rFonts w:ascii="Arial" w:hAnsi="Arial" w:cs="Arial"/>
        </w:rPr>
        <w:t>24,000</w:t>
      </w:r>
      <w:r w:rsidR="00A1260B">
        <w:rPr>
          <w:rFonts w:ascii="Arial" w:hAnsi="Arial" w:cs="Arial"/>
        </w:rPr>
        <w:t xml:space="preserve">+11,500/25= </w:t>
      </w:r>
      <w:r>
        <w:rPr>
          <w:rFonts w:ascii="Arial" w:hAnsi="Arial" w:cs="Arial"/>
        </w:rPr>
        <w:t>1420</w:t>
      </w:r>
      <w:r w:rsidR="00A1260B">
        <w:rPr>
          <w:rFonts w:ascii="Arial" w:hAnsi="Arial" w:cs="Arial"/>
        </w:rPr>
        <w:t xml:space="preserve"> plates</w:t>
      </w:r>
    </w:p>
    <w:p w14:paraId="3DBF7FAD" w14:textId="2DA0B1C9" w:rsidR="00C34289" w:rsidRPr="006E465C" w:rsidRDefault="00C34289" w:rsidP="006E465C">
      <w:pPr>
        <w:pStyle w:val="Titlu2"/>
        <w:spacing w:line="360" w:lineRule="auto"/>
        <w:rPr>
          <w:b/>
        </w:rPr>
      </w:pPr>
      <w:bookmarkStart w:id="12" w:name="_Toc127095693"/>
      <w:r w:rsidRPr="00CE7E92">
        <w:rPr>
          <w:b/>
        </w:rPr>
        <w:t>2.3</w:t>
      </w:r>
      <w:r w:rsidR="006E465C">
        <w:rPr>
          <w:b/>
        </w:rPr>
        <w:t xml:space="preserve"> </w:t>
      </w:r>
      <w:r>
        <w:rPr>
          <w:rFonts w:cs="Arial"/>
          <w:b/>
        </w:rPr>
        <w:t>Sales volume to make a profit of</w:t>
      </w:r>
      <w:r w:rsidRPr="00C34289">
        <w:t xml:space="preserve"> </w:t>
      </w:r>
      <w:r>
        <w:rPr>
          <w:rFonts w:cs="Arial"/>
          <w:b/>
        </w:rPr>
        <w:t>£18,200</w:t>
      </w:r>
      <w:bookmarkEnd w:id="12"/>
    </w:p>
    <w:p w14:paraId="50E2BE60" w14:textId="5617CA63" w:rsidR="00C34289" w:rsidRPr="00335668" w:rsidRDefault="00C34289" w:rsidP="00C34289">
      <w:pPr>
        <w:spacing w:line="360" w:lineRule="auto"/>
        <w:jc w:val="both"/>
        <w:rPr>
          <w:rFonts w:ascii="Arial" w:hAnsi="Arial" w:cs="Arial"/>
          <w:highlight w:val="yellow"/>
        </w:rPr>
      </w:pPr>
      <w:r w:rsidRPr="00C34289">
        <w:rPr>
          <w:rFonts w:ascii="Arial" w:hAnsi="Arial" w:cs="Arial"/>
        </w:rPr>
        <w:t xml:space="preserve">Here, </w:t>
      </w:r>
      <w:r w:rsidR="006E465C">
        <w:rPr>
          <w:rFonts w:ascii="Arial" w:hAnsi="Arial" w:cs="Arial"/>
        </w:rPr>
        <w:t xml:space="preserve">the </w:t>
      </w:r>
      <w:r w:rsidRPr="00C34289">
        <w:rPr>
          <w:rFonts w:ascii="Arial" w:hAnsi="Arial" w:cs="Arial"/>
        </w:rPr>
        <w:t xml:space="preserve">fixed </w:t>
      </w:r>
      <w:r w:rsidRPr="00335668">
        <w:rPr>
          <w:rFonts w:ascii="Arial" w:hAnsi="Arial" w:cs="Arial"/>
          <w:highlight w:val="yellow"/>
        </w:rPr>
        <w:t xml:space="preserve">cost </w:t>
      </w:r>
      <w:r w:rsidR="006E465C" w:rsidRPr="00335668">
        <w:rPr>
          <w:rFonts w:ascii="Arial" w:hAnsi="Arial" w:cs="Arial"/>
          <w:highlight w:val="yellow"/>
        </w:rPr>
        <w:t xml:space="preserve">is </w:t>
      </w:r>
      <w:r w:rsidRPr="00335668">
        <w:rPr>
          <w:rFonts w:ascii="Arial" w:hAnsi="Arial" w:cs="Arial"/>
          <w:highlight w:val="yellow"/>
        </w:rPr>
        <w:t>£16500</w:t>
      </w:r>
    </w:p>
    <w:p w14:paraId="06BA8F41" w14:textId="77777777" w:rsidR="00C34289" w:rsidRPr="00335668" w:rsidRDefault="00C34289" w:rsidP="00C34289">
      <w:pPr>
        <w:spacing w:line="360" w:lineRule="auto"/>
        <w:jc w:val="both"/>
        <w:rPr>
          <w:rFonts w:ascii="Arial" w:hAnsi="Arial" w:cs="Arial"/>
          <w:highlight w:val="yellow"/>
        </w:rPr>
      </w:pPr>
      <w:r w:rsidRPr="00335668">
        <w:rPr>
          <w:rFonts w:ascii="Arial" w:hAnsi="Arial" w:cs="Arial"/>
          <w:highlight w:val="yellow"/>
        </w:rPr>
        <w:t>Contribution per unit= £(65-40) or £25</w:t>
      </w:r>
    </w:p>
    <w:p w14:paraId="5C0ED248" w14:textId="139A8BAD" w:rsidR="00A1260B" w:rsidRDefault="00C34289" w:rsidP="00A1260B">
      <w:pPr>
        <w:spacing w:line="360" w:lineRule="auto"/>
        <w:jc w:val="both"/>
        <w:rPr>
          <w:rFonts w:ascii="Arial" w:hAnsi="Arial" w:cs="Arial"/>
          <w:color w:val="1F3864" w:themeColor="accent1" w:themeShade="80"/>
        </w:rPr>
      </w:pPr>
      <w:r w:rsidRPr="00335668">
        <w:rPr>
          <w:rFonts w:ascii="Arial" w:hAnsi="Arial" w:cs="Arial"/>
          <w:highlight w:val="yellow"/>
        </w:rPr>
        <w:t xml:space="preserve">So, break-even unit for </w:t>
      </w:r>
      <w:r w:rsidR="00A1260B">
        <w:rPr>
          <w:rFonts w:ascii="Arial" w:hAnsi="Arial" w:cs="Arial"/>
          <w:highlight w:val="yellow"/>
        </w:rPr>
        <w:t>a profit of £18,200=(£18,200+£16</w:t>
      </w:r>
      <w:r w:rsidRPr="00335668">
        <w:rPr>
          <w:rFonts w:ascii="Arial" w:hAnsi="Arial" w:cs="Arial"/>
          <w:highlight w:val="yellow"/>
        </w:rPr>
        <w:t>,500)/£25=</w:t>
      </w:r>
      <w:r w:rsidRPr="00A1260B">
        <w:rPr>
          <w:rFonts w:ascii="Arial" w:hAnsi="Arial" w:cs="Arial"/>
          <w:color w:val="1F3864" w:themeColor="accent1" w:themeShade="80"/>
          <w:highlight w:val="yellow"/>
        </w:rPr>
        <w:t>£</w:t>
      </w:r>
      <w:r w:rsidR="00A1260B" w:rsidRPr="00A1260B">
        <w:rPr>
          <w:rFonts w:ascii="Arial" w:hAnsi="Arial" w:cs="Arial"/>
          <w:color w:val="1F3864" w:themeColor="accent1" w:themeShade="80"/>
          <w:highlight w:val="yellow"/>
        </w:rPr>
        <w:t xml:space="preserve">1388      </w:t>
      </w:r>
      <w:bookmarkStart w:id="13" w:name="_Toc127095694"/>
    </w:p>
    <w:p w14:paraId="2D01655B" w14:textId="3FA60A52" w:rsidR="00C34289" w:rsidRPr="006E465C" w:rsidRDefault="00C34289" w:rsidP="00A1260B">
      <w:pPr>
        <w:spacing w:line="360" w:lineRule="auto"/>
        <w:jc w:val="both"/>
        <w:rPr>
          <w:b/>
        </w:rPr>
      </w:pPr>
      <w:r w:rsidRPr="00CE7E92">
        <w:rPr>
          <w:b/>
        </w:rPr>
        <w:t>2.4</w:t>
      </w:r>
      <w:r w:rsidR="006E465C">
        <w:rPr>
          <w:b/>
        </w:rPr>
        <w:t xml:space="preserve"> </w:t>
      </w:r>
      <w:r w:rsidRPr="00C34289">
        <w:rPr>
          <w:rFonts w:cs="Arial"/>
          <w:b/>
        </w:rPr>
        <w:t>Critical discussion on the limitations of the Break-Even/ Cost</w:t>
      </w:r>
      <w:r>
        <w:rPr>
          <w:rFonts w:cs="Arial"/>
          <w:b/>
        </w:rPr>
        <w:t xml:space="preserve">-Volume-Profit Analysis and its </w:t>
      </w:r>
      <w:r w:rsidRPr="00C34289">
        <w:rPr>
          <w:rFonts w:cs="Arial"/>
          <w:b/>
        </w:rPr>
        <w:t>practical applicability in DelhiCorner</w:t>
      </w:r>
      <w:bookmarkEnd w:id="13"/>
    </w:p>
    <w:p w14:paraId="39011CE5" w14:textId="4225835E" w:rsidR="00271641" w:rsidRPr="0099253C" w:rsidRDefault="00CE7E92" w:rsidP="00C34289">
      <w:pPr>
        <w:spacing w:line="360" w:lineRule="auto"/>
        <w:jc w:val="both"/>
        <w:rPr>
          <w:rFonts w:ascii="Arial" w:hAnsi="Arial" w:cs="Arial"/>
          <w:color w:val="1F3864" w:themeColor="accent1" w:themeShade="80"/>
        </w:rPr>
      </w:pPr>
      <w:r w:rsidRPr="00CE7E92">
        <w:rPr>
          <w:rFonts w:ascii="Arial" w:hAnsi="Arial" w:cs="Arial"/>
        </w:rPr>
        <w:t xml:space="preserve">Everything on this earth has its limitation, </w:t>
      </w:r>
      <w:r w:rsidR="006E465C">
        <w:rPr>
          <w:rFonts w:ascii="Arial" w:hAnsi="Arial" w:cs="Arial"/>
        </w:rPr>
        <w:t xml:space="preserve">and </w:t>
      </w:r>
      <w:r w:rsidRPr="00CE7E92">
        <w:rPr>
          <w:rFonts w:ascii="Arial" w:hAnsi="Arial" w:cs="Arial"/>
        </w:rPr>
        <w:t>so does Break-even or CVP analysis</w:t>
      </w:r>
      <w:r w:rsidR="006051FF" w:rsidRPr="006051FF">
        <w:rPr>
          <w:rFonts w:ascii="Arial" w:hAnsi="Arial" w:cs="Arial"/>
        </w:rPr>
        <w:t xml:space="preserve"> </w:t>
      </w:r>
      <w:r w:rsidR="006051FF">
        <w:rPr>
          <w:rFonts w:ascii="Arial" w:hAnsi="Arial" w:cs="Arial"/>
        </w:rPr>
        <w:t xml:space="preserve">(Desai, and Mital, </w:t>
      </w:r>
      <w:r w:rsidR="006051FF" w:rsidRPr="006E465C">
        <w:rPr>
          <w:rFonts w:ascii="Arial" w:hAnsi="Arial" w:cs="Arial"/>
        </w:rPr>
        <w:t>2018)</w:t>
      </w:r>
      <w:r w:rsidRPr="00CE7E92">
        <w:rPr>
          <w:rFonts w:ascii="Arial" w:hAnsi="Arial" w:cs="Arial"/>
        </w:rPr>
        <w:t xml:space="preserve">. </w:t>
      </w:r>
      <w:r w:rsidR="00271641" w:rsidRPr="0099253C">
        <w:rPr>
          <w:rFonts w:ascii="Arial" w:hAnsi="Arial" w:cs="Arial"/>
          <w:color w:val="1F3864" w:themeColor="accent1" w:themeShade="80"/>
        </w:rPr>
        <w:t xml:space="preserve">This tool helps in finding out at what point </w:t>
      </w:r>
      <w:r w:rsidR="00491B6C">
        <w:rPr>
          <w:rFonts w:ascii="Arial" w:hAnsi="Arial" w:cs="Arial"/>
          <w:color w:val="1F3864" w:themeColor="accent1" w:themeShade="80"/>
        </w:rPr>
        <w:t xml:space="preserve">a </w:t>
      </w:r>
      <w:r w:rsidR="00271641" w:rsidRPr="0099253C">
        <w:rPr>
          <w:rFonts w:ascii="Arial" w:hAnsi="Arial" w:cs="Arial"/>
          <w:color w:val="1F3864" w:themeColor="accent1" w:themeShade="80"/>
        </w:rPr>
        <w:t xml:space="preserve">unit of production will enable an organization to cover its costs associated with the production. </w:t>
      </w:r>
      <w:r w:rsidR="00491B6C">
        <w:rPr>
          <w:rFonts w:ascii="Arial" w:hAnsi="Arial" w:cs="Arial"/>
          <w:color w:val="1F3864" w:themeColor="accent1" w:themeShade="80"/>
        </w:rPr>
        <w:t>C</w:t>
      </w:r>
      <w:r w:rsidR="00271641" w:rsidRPr="0099253C">
        <w:rPr>
          <w:rFonts w:ascii="Arial" w:hAnsi="Arial" w:cs="Arial"/>
          <w:color w:val="1F3864" w:themeColor="accent1" w:themeShade="80"/>
        </w:rPr>
        <w:t>hanging the number of unit</w:t>
      </w:r>
      <w:r w:rsidR="00491B6C">
        <w:rPr>
          <w:rFonts w:ascii="Arial" w:hAnsi="Arial" w:cs="Arial"/>
          <w:color w:val="1F3864" w:themeColor="accent1" w:themeShade="80"/>
        </w:rPr>
        <w:t>s</w:t>
      </w:r>
      <w:r w:rsidR="00271641" w:rsidRPr="0099253C">
        <w:rPr>
          <w:rFonts w:ascii="Arial" w:hAnsi="Arial" w:cs="Arial"/>
          <w:color w:val="1F3864" w:themeColor="accent1" w:themeShade="80"/>
        </w:rPr>
        <w:t xml:space="preserve"> produced, price of unit et cetera helps an organization to analyse </w:t>
      </w:r>
      <w:r w:rsidR="00491B6C">
        <w:rPr>
          <w:rFonts w:ascii="Arial" w:hAnsi="Arial" w:cs="Arial"/>
          <w:color w:val="1F3864" w:themeColor="accent1" w:themeShade="80"/>
        </w:rPr>
        <w:t xml:space="preserve">the </w:t>
      </w:r>
      <w:r w:rsidR="00271641" w:rsidRPr="0099253C">
        <w:rPr>
          <w:rFonts w:ascii="Arial" w:hAnsi="Arial" w:cs="Arial"/>
          <w:color w:val="1F3864" w:themeColor="accent1" w:themeShade="80"/>
        </w:rPr>
        <w:t xml:space="preserve">optimal point of production which is another beauty of this tool. However, this tool is not useful in every business situation. </w:t>
      </w:r>
    </w:p>
    <w:p w14:paraId="7C6B180F" w14:textId="77777777" w:rsidR="00271641" w:rsidRPr="0099253C" w:rsidRDefault="00CE7E92" w:rsidP="00271641">
      <w:pPr>
        <w:pStyle w:val="Listparagraf"/>
        <w:numPr>
          <w:ilvl w:val="0"/>
          <w:numId w:val="3"/>
        </w:numPr>
        <w:spacing w:line="360" w:lineRule="auto"/>
        <w:jc w:val="both"/>
        <w:rPr>
          <w:rFonts w:ascii="Arial" w:hAnsi="Arial" w:cs="Arial"/>
          <w:color w:val="1F3864" w:themeColor="accent1" w:themeShade="80"/>
        </w:rPr>
      </w:pPr>
      <w:r w:rsidRPr="0099253C">
        <w:rPr>
          <w:rFonts w:ascii="Arial" w:hAnsi="Arial" w:cs="Arial"/>
          <w:color w:val="1F3864" w:themeColor="accent1" w:themeShade="80"/>
        </w:rPr>
        <w:t xml:space="preserve">This is not useful for </w:t>
      </w:r>
      <w:r w:rsidR="006E465C" w:rsidRPr="0099253C">
        <w:rPr>
          <w:rFonts w:ascii="Arial" w:hAnsi="Arial" w:cs="Arial"/>
          <w:color w:val="1F3864" w:themeColor="accent1" w:themeShade="80"/>
        </w:rPr>
        <w:t xml:space="preserve">the </w:t>
      </w:r>
      <w:r w:rsidRPr="0099253C">
        <w:rPr>
          <w:rFonts w:ascii="Arial" w:hAnsi="Arial" w:cs="Arial"/>
          <w:color w:val="1F3864" w:themeColor="accent1" w:themeShade="80"/>
        </w:rPr>
        <w:t>long</w:t>
      </w:r>
      <w:r w:rsidR="006E465C" w:rsidRPr="0099253C">
        <w:rPr>
          <w:rFonts w:ascii="Arial" w:hAnsi="Arial" w:cs="Arial"/>
          <w:color w:val="1F3864" w:themeColor="accent1" w:themeShade="80"/>
        </w:rPr>
        <w:t xml:space="preserve"> </w:t>
      </w:r>
      <w:r w:rsidRPr="0099253C">
        <w:rPr>
          <w:rFonts w:ascii="Arial" w:hAnsi="Arial" w:cs="Arial"/>
          <w:color w:val="1F3864" w:themeColor="accent1" w:themeShade="80"/>
        </w:rPr>
        <w:t xml:space="preserve">term as it uses unit variable cost and the unit variable cost is changed from time to time. </w:t>
      </w:r>
    </w:p>
    <w:p w14:paraId="5A172797" w14:textId="77777777" w:rsidR="00271641" w:rsidRPr="0099253C" w:rsidRDefault="00AB306D" w:rsidP="00271641">
      <w:pPr>
        <w:pStyle w:val="Listparagraf"/>
        <w:numPr>
          <w:ilvl w:val="0"/>
          <w:numId w:val="3"/>
        </w:numPr>
        <w:spacing w:line="360" w:lineRule="auto"/>
        <w:jc w:val="both"/>
        <w:rPr>
          <w:rFonts w:ascii="Arial" w:hAnsi="Arial" w:cs="Arial"/>
          <w:color w:val="1F3864" w:themeColor="accent1" w:themeShade="80"/>
        </w:rPr>
      </w:pPr>
      <w:r w:rsidRPr="0099253C">
        <w:rPr>
          <w:rFonts w:ascii="Arial" w:hAnsi="Arial" w:cs="Arial"/>
          <w:color w:val="1F3864" w:themeColor="accent1" w:themeShade="80"/>
        </w:rPr>
        <w:t xml:space="preserve">It assumes that unit revenue and costs are fixed which in reality is not true as they </w:t>
      </w:r>
      <w:r w:rsidR="006E465C" w:rsidRPr="0099253C">
        <w:rPr>
          <w:rFonts w:ascii="Arial" w:hAnsi="Arial" w:cs="Arial"/>
          <w:color w:val="1F3864" w:themeColor="accent1" w:themeShade="80"/>
        </w:rPr>
        <w:t>w</w:t>
      </w:r>
      <w:r w:rsidRPr="0099253C">
        <w:rPr>
          <w:rFonts w:ascii="Arial" w:hAnsi="Arial" w:cs="Arial"/>
          <w:color w:val="1F3864" w:themeColor="accent1" w:themeShade="80"/>
        </w:rPr>
        <w:t>ill change. Market condition</w:t>
      </w:r>
      <w:r w:rsidR="006E465C" w:rsidRPr="0099253C">
        <w:rPr>
          <w:rFonts w:ascii="Arial" w:hAnsi="Arial" w:cs="Arial"/>
          <w:color w:val="1F3864" w:themeColor="accent1" w:themeShade="80"/>
        </w:rPr>
        <w:t>s</w:t>
      </w:r>
      <w:r w:rsidRPr="0099253C">
        <w:rPr>
          <w:rFonts w:ascii="Arial" w:hAnsi="Arial" w:cs="Arial"/>
          <w:color w:val="1F3864" w:themeColor="accent1" w:themeShade="80"/>
        </w:rPr>
        <w:t xml:space="preserve"> or any external or internal factor might affect these variables, resulting in changes to estimates and making the previous estimate pointless. </w:t>
      </w:r>
    </w:p>
    <w:p w14:paraId="27B5141F" w14:textId="77777777" w:rsidR="00271641" w:rsidRPr="0099253C" w:rsidRDefault="00AB306D" w:rsidP="00271641">
      <w:pPr>
        <w:pStyle w:val="Listparagraf"/>
        <w:numPr>
          <w:ilvl w:val="0"/>
          <w:numId w:val="3"/>
        </w:numPr>
        <w:spacing w:line="360" w:lineRule="auto"/>
        <w:jc w:val="both"/>
        <w:rPr>
          <w:rFonts w:ascii="Arial" w:hAnsi="Arial" w:cs="Arial"/>
          <w:color w:val="1F3864" w:themeColor="accent1" w:themeShade="80"/>
        </w:rPr>
      </w:pPr>
      <w:r w:rsidRPr="0099253C">
        <w:rPr>
          <w:rFonts w:ascii="Arial" w:hAnsi="Arial" w:cs="Arial"/>
          <w:color w:val="1F3864" w:themeColor="accent1" w:themeShade="80"/>
        </w:rPr>
        <w:t xml:space="preserve">This tool holds inventory levels </w:t>
      </w:r>
      <w:r w:rsidR="006E465C" w:rsidRPr="0099253C">
        <w:rPr>
          <w:rFonts w:ascii="Arial" w:hAnsi="Arial" w:cs="Arial"/>
          <w:color w:val="1F3864" w:themeColor="accent1" w:themeShade="80"/>
        </w:rPr>
        <w:t xml:space="preserve">the </w:t>
      </w:r>
      <w:r w:rsidRPr="0099253C">
        <w:rPr>
          <w:rFonts w:ascii="Arial" w:hAnsi="Arial" w:cs="Arial"/>
          <w:color w:val="1F3864" w:themeColor="accent1" w:themeShade="80"/>
        </w:rPr>
        <w:t xml:space="preserve">same </w:t>
      </w:r>
      <w:r w:rsidR="006E465C" w:rsidRPr="0099253C">
        <w:rPr>
          <w:rFonts w:ascii="Arial" w:hAnsi="Arial" w:cs="Arial"/>
          <w:color w:val="1F3864" w:themeColor="accent1" w:themeShade="80"/>
        </w:rPr>
        <w:t>at</w:t>
      </w:r>
      <w:r w:rsidRPr="0099253C">
        <w:rPr>
          <w:rFonts w:ascii="Arial" w:hAnsi="Arial" w:cs="Arial"/>
          <w:color w:val="1F3864" w:themeColor="accent1" w:themeShade="80"/>
        </w:rPr>
        <w:t xml:space="preserve"> the beginning and end of a period which does not hold in reality.</w:t>
      </w:r>
      <w:r w:rsidR="004A2290" w:rsidRPr="0099253C">
        <w:rPr>
          <w:rFonts w:ascii="Arial" w:hAnsi="Arial" w:cs="Arial"/>
          <w:color w:val="1F3864" w:themeColor="accent1" w:themeShade="80"/>
        </w:rPr>
        <w:t xml:space="preserve"> The fixed costs are fixed up to a point and will not remain fixed always. </w:t>
      </w:r>
    </w:p>
    <w:p w14:paraId="4B35E9EC" w14:textId="77777777" w:rsidR="0099253C" w:rsidRPr="0099253C" w:rsidRDefault="00271641" w:rsidP="00492308">
      <w:pPr>
        <w:pStyle w:val="Listparagraf"/>
        <w:numPr>
          <w:ilvl w:val="0"/>
          <w:numId w:val="3"/>
        </w:numPr>
        <w:spacing w:line="360" w:lineRule="auto"/>
        <w:jc w:val="both"/>
        <w:rPr>
          <w:rFonts w:ascii="Arial" w:hAnsi="Arial" w:cs="Arial"/>
          <w:b/>
          <w:color w:val="1F3864" w:themeColor="accent1" w:themeShade="80"/>
        </w:rPr>
      </w:pPr>
      <w:r w:rsidRPr="0099253C">
        <w:rPr>
          <w:rFonts w:ascii="Arial" w:hAnsi="Arial" w:cs="Arial"/>
          <w:color w:val="1F3864" w:themeColor="accent1" w:themeShade="80"/>
        </w:rPr>
        <w:t xml:space="preserve">Break-even analysis is carried out based on past information available to the organization </w:t>
      </w:r>
      <w:r w:rsidR="0099253C" w:rsidRPr="0099253C">
        <w:rPr>
          <w:rFonts w:ascii="Arial" w:hAnsi="Arial" w:cs="Arial"/>
          <w:color w:val="1F3864" w:themeColor="accent1" w:themeShade="80"/>
        </w:rPr>
        <w:t xml:space="preserve">and things might change in future making the analysis based on past information useless. </w:t>
      </w:r>
      <w:r w:rsidRPr="0099253C">
        <w:rPr>
          <w:rFonts w:ascii="Arial" w:hAnsi="Arial" w:cs="Arial"/>
          <w:color w:val="1F3864" w:themeColor="accent1" w:themeShade="80"/>
        </w:rPr>
        <w:t xml:space="preserve">In the long term, this tool cannot serve the purpose it is used for. </w:t>
      </w:r>
    </w:p>
    <w:p w14:paraId="3D8426B6" w14:textId="690867FF" w:rsidR="00271641" w:rsidRPr="0099253C" w:rsidRDefault="00271641" w:rsidP="00492308">
      <w:pPr>
        <w:pStyle w:val="Listparagraf"/>
        <w:numPr>
          <w:ilvl w:val="0"/>
          <w:numId w:val="3"/>
        </w:numPr>
        <w:spacing w:line="360" w:lineRule="auto"/>
        <w:jc w:val="both"/>
        <w:rPr>
          <w:rFonts w:ascii="Arial" w:hAnsi="Arial" w:cs="Arial"/>
          <w:b/>
          <w:color w:val="1F3864" w:themeColor="accent1" w:themeShade="80"/>
        </w:rPr>
      </w:pPr>
      <w:r w:rsidRPr="0099253C">
        <w:rPr>
          <w:rFonts w:ascii="Arial" w:hAnsi="Arial" w:cs="Arial"/>
          <w:color w:val="1F3864" w:themeColor="accent1" w:themeShade="80"/>
        </w:rPr>
        <w:t>This tool does not take into account capital</w:t>
      </w:r>
      <w:r w:rsidR="0099253C" w:rsidRPr="0099253C">
        <w:rPr>
          <w:rFonts w:ascii="Arial" w:hAnsi="Arial" w:cs="Arial"/>
          <w:color w:val="1F3864" w:themeColor="accent1" w:themeShade="80"/>
        </w:rPr>
        <w:t xml:space="preserve"> whilst capital is a crucial business component and production capacity depends on </w:t>
      </w:r>
      <w:r w:rsidR="00491B6C">
        <w:rPr>
          <w:rFonts w:ascii="Arial" w:hAnsi="Arial" w:cs="Arial"/>
          <w:color w:val="1F3864" w:themeColor="accent1" w:themeShade="80"/>
        </w:rPr>
        <w:t xml:space="preserve">the </w:t>
      </w:r>
      <w:r w:rsidR="0099253C" w:rsidRPr="0099253C">
        <w:rPr>
          <w:rFonts w:ascii="Arial" w:hAnsi="Arial" w:cs="Arial"/>
          <w:color w:val="1F3864" w:themeColor="accent1" w:themeShade="80"/>
        </w:rPr>
        <w:t xml:space="preserve">availability of capital too. </w:t>
      </w:r>
    </w:p>
    <w:p w14:paraId="075799B5" w14:textId="4F532418" w:rsidR="00C34289" w:rsidRPr="0099253C" w:rsidRDefault="00CE7E92" w:rsidP="00492308">
      <w:pPr>
        <w:pStyle w:val="Listparagraf"/>
        <w:numPr>
          <w:ilvl w:val="0"/>
          <w:numId w:val="3"/>
        </w:numPr>
        <w:spacing w:line="360" w:lineRule="auto"/>
        <w:jc w:val="both"/>
        <w:rPr>
          <w:rFonts w:ascii="Arial" w:hAnsi="Arial" w:cs="Arial"/>
          <w:b/>
          <w:color w:val="1F3864" w:themeColor="accent1" w:themeShade="80"/>
        </w:rPr>
      </w:pPr>
      <w:r w:rsidRPr="0099253C">
        <w:rPr>
          <w:rFonts w:ascii="Arial" w:hAnsi="Arial" w:cs="Arial"/>
          <w:color w:val="1F3864" w:themeColor="accent1" w:themeShade="80"/>
        </w:rPr>
        <w:t xml:space="preserve">Delhicorner serves Indian Cuisines in Birmingham </w:t>
      </w:r>
      <w:r w:rsidR="006E465C" w:rsidRPr="0099253C">
        <w:rPr>
          <w:rFonts w:ascii="Arial" w:hAnsi="Arial" w:cs="Arial"/>
          <w:color w:val="1F3864" w:themeColor="accent1" w:themeShade="80"/>
        </w:rPr>
        <w:t>which</w:t>
      </w:r>
      <w:r w:rsidRPr="0099253C">
        <w:rPr>
          <w:rFonts w:ascii="Arial" w:hAnsi="Arial" w:cs="Arial"/>
          <w:color w:val="1F3864" w:themeColor="accent1" w:themeShade="80"/>
        </w:rPr>
        <w:t xml:space="preserve"> indicates it has multiple products to serve</w:t>
      </w:r>
      <w:r w:rsidR="00271641" w:rsidRPr="0099253C">
        <w:rPr>
          <w:rFonts w:ascii="Arial" w:hAnsi="Arial" w:cs="Arial"/>
          <w:color w:val="1F3864" w:themeColor="accent1" w:themeShade="80"/>
        </w:rPr>
        <w:t xml:space="preserve"> and from the above discussion it is clear that</w:t>
      </w:r>
      <w:r w:rsidR="00AB306D" w:rsidRPr="0099253C">
        <w:rPr>
          <w:rFonts w:ascii="Arial" w:hAnsi="Arial" w:cs="Arial"/>
          <w:color w:val="1F3864" w:themeColor="accent1" w:themeShade="80"/>
        </w:rPr>
        <w:t xml:space="preserve"> CVP analysis </w:t>
      </w:r>
      <w:r w:rsidR="00271641" w:rsidRPr="0099253C">
        <w:rPr>
          <w:rFonts w:ascii="Arial" w:hAnsi="Arial" w:cs="Arial"/>
          <w:color w:val="1F3864" w:themeColor="accent1" w:themeShade="80"/>
        </w:rPr>
        <w:t>is hard</w:t>
      </w:r>
      <w:r w:rsidR="00AB306D" w:rsidRPr="0099253C">
        <w:rPr>
          <w:rFonts w:ascii="Arial" w:hAnsi="Arial" w:cs="Arial"/>
          <w:color w:val="1F3864" w:themeColor="accent1" w:themeShade="80"/>
        </w:rPr>
        <w:t xml:space="preserve"> to </w:t>
      </w:r>
      <w:r w:rsidR="00271641" w:rsidRPr="0099253C">
        <w:rPr>
          <w:rFonts w:ascii="Arial" w:hAnsi="Arial" w:cs="Arial"/>
          <w:color w:val="1F3864" w:themeColor="accent1" w:themeShade="80"/>
        </w:rPr>
        <w:t xml:space="preserve">apply when there </w:t>
      </w:r>
      <w:r w:rsidR="00491B6C">
        <w:rPr>
          <w:rFonts w:ascii="Arial" w:hAnsi="Arial" w:cs="Arial"/>
          <w:color w:val="1F3864" w:themeColor="accent1" w:themeShade="80"/>
        </w:rPr>
        <w:t>is</w:t>
      </w:r>
      <w:r w:rsidR="00271641" w:rsidRPr="0099253C">
        <w:rPr>
          <w:rFonts w:ascii="Arial" w:hAnsi="Arial" w:cs="Arial"/>
          <w:color w:val="1F3864" w:themeColor="accent1" w:themeShade="80"/>
        </w:rPr>
        <w:t xml:space="preserve"> more than one product </w:t>
      </w:r>
      <w:r w:rsidR="006051FF" w:rsidRPr="0099253C">
        <w:rPr>
          <w:rFonts w:ascii="Arial" w:hAnsi="Arial" w:cs="Arial"/>
          <w:color w:val="1F3864" w:themeColor="accent1" w:themeShade="80"/>
        </w:rPr>
        <w:t>(Drury, 2021)</w:t>
      </w:r>
      <w:r w:rsidR="00AB306D" w:rsidRPr="0099253C">
        <w:rPr>
          <w:rFonts w:ascii="Arial" w:hAnsi="Arial" w:cs="Arial"/>
          <w:color w:val="1F3864" w:themeColor="accent1" w:themeShade="80"/>
        </w:rPr>
        <w:t xml:space="preserve">. </w:t>
      </w:r>
    </w:p>
    <w:p w14:paraId="14825B3F" w14:textId="5222D79B" w:rsidR="0099253C" w:rsidRPr="0099253C" w:rsidRDefault="0099253C" w:rsidP="00492308">
      <w:pPr>
        <w:pStyle w:val="Listparagraf"/>
        <w:numPr>
          <w:ilvl w:val="0"/>
          <w:numId w:val="3"/>
        </w:numPr>
        <w:spacing w:line="360" w:lineRule="auto"/>
        <w:jc w:val="both"/>
        <w:rPr>
          <w:rFonts w:ascii="Arial" w:hAnsi="Arial" w:cs="Arial"/>
          <w:b/>
          <w:color w:val="1F3864" w:themeColor="accent1" w:themeShade="80"/>
        </w:rPr>
      </w:pPr>
      <w:r w:rsidRPr="0099253C">
        <w:rPr>
          <w:rFonts w:ascii="Arial" w:hAnsi="Arial" w:cs="Arial"/>
          <w:color w:val="1F3864" w:themeColor="accent1" w:themeShade="80"/>
        </w:rPr>
        <w:t xml:space="preserve">If MG uses </w:t>
      </w:r>
      <w:r w:rsidR="00491B6C">
        <w:rPr>
          <w:rFonts w:ascii="Arial" w:hAnsi="Arial" w:cs="Arial"/>
          <w:color w:val="1F3864" w:themeColor="accent1" w:themeShade="80"/>
        </w:rPr>
        <w:t xml:space="preserve">the </w:t>
      </w:r>
      <w:r w:rsidRPr="0099253C">
        <w:rPr>
          <w:rFonts w:ascii="Arial" w:hAnsi="Arial" w:cs="Arial"/>
          <w:color w:val="1F3864" w:themeColor="accent1" w:themeShade="80"/>
        </w:rPr>
        <w:t xml:space="preserve">marginal costing method, it will break down costs as fixed and variable costs. </w:t>
      </w:r>
      <w:r w:rsidR="00491B6C">
        <w:rPr>
          <w:rFonts w:ascii="Arial" w:hAnsi="Arial" w:cs="Arial"/>
          <w:color w:val="1F3864" w:themeColor="accent1" w:themeShade="80"/>
        </w:rPr>
        <w:t>Some costs</w:t>
      </w:r>
      <w:r w:rsidRPr="0099253C">
        <w:rPr>
          <w:rFonts w:ascii="Arial" w:hAnsi="Arial" w:cs="Arial"/>
          <w:color w:val="1F3864" w:themeColor="accent1" w:themeShade="80"/>
        </w:rPr>
        <w:t xml:space="preserve"> cannot be classified as either variable or fixed and they are mixed in nature. CVP analysis is not useful as mixed costs are not considered. </w:t>
      </w:r>
    </w:p>
    <w:p w14:paraId="379F5049" w14:textId="626D3F14" w:rsidR="00492308" w:rsidRPr="00491B6C" w:rsidRDefault="00491B6C" w:rsidP="00492308">
      <w:pPr>
        <w:spacing w:line="360" w:lineRule="auto"/>
        <w:jc w:val="both"/>
        <w:rPr>
          <w:rFonts w:ascii="Arial" w:hAnsi="Arial" w:cs="Arial"/>
          <w:color w:val="1F3864" w:themeColor="accent1" w:themeShade="80"/>
        </w:rPr>
      </w:pPr>
      <w:r w:rsidRPr="00491B6C">
        <w:rPr>
          <w:rFonts w:ascii="Arial" w:hAnsi="Arial" w:cs="Arial"/>
          <w:color w:val="1F3864" w:themeColor="accent1" w:themeShade="80"/>
        </w:rPr>
        <w:t>The discuss</w:t>
      </w:r>
      <w:r w:rsidR="0099253C" w:rsidRPr="00491B6C">
        <w:rPr>
          <w:rFonts w:ascii="Arial" w:hAnsi="Arial" w:cs="Arial"/>
          <w:color w:val="1F3864" w:themeColor="accent1" w:themeShade="80"/>
        </w:rPr>
        <w:t xml:space="preserve">ion of </w:t>
      </w:r>
      <w:r w:rsidRPr="00491B6C">
        <w:rPr>
          <w:rFonts w:ascii="Arial" w:hAnsi="Arial" w:cs="Arial"/>
          <w:color w:val="1F3864" w:themeColor="accent1" w:themeShade="80"/>
        </w:rPr>
        <w:t>limitation</w:t>
      </w:r>
      <w:r>
        <w:rPr>
          <w:rFonts w:ascii="Arial" w:hAnsi="Arial" w:cs="Arial"/>
          <w:color w:val="1F3864" w:themeColor="accent1" w:themeShade="80"/>
        </w:rPr>
        <w:t>s</w:t>
      </w:r>
      <w:r w:rsidRPr="00491B6C">
        <w:rPr>
          <w:rFonts w:ascii="Arial" w:hAnsi="Arial" w:cs="Arial"/>
          <w:color w:val="1F3864" w:themeColor="accent1" w:themeShade="80"/>
        </w:rPr>
        <w:t xml:space="preserve"> does not suggest that business organizations like MG and Delhicorner should not use CVP or break-even analysis. The point is while using these tools a user should keep these limitations in mind and apply </w:t>
      </w:r>
      <w:r>
        <w:rPr>
          <w:rFonts w:ascii="Arial" w:hAnsi="Arial" w:cs="Arial"/>
          <w:color w:val="1F3864" w:themeColor="accent1" w:themeShade="80"/>
        </w:rPr>
        <w:t xml:space="preserve">his/her </w:t>
      </w:r>
      <w:r w:rsidRPr="00491B6C">
        <w:rPr>
          <w:rFonts w:ascii="Arial" w:hAnsi="Arial" w:cs="Arial"/>
          <w:color w:val="1F3864" w:themeColor="accent1" w:themeShade="80"/>
        </w:rPr>
        <w:t xml:space="preserve">judgement considering the unique business situation. </w:t>
      </w:r>
    </w:p>
    <w:p w14:paraId="43B37FBF" w14:textId="5AA9FFCB" w:rsidR="005F6BED" w:rsidRPr="006051FF" w:rsidRDefault="00A36AC1" w:rsidP="006051FF">
      <w:pPr>
        <w:pStyle w:val="Titlu1"/>
        <w:spacing w:line="360" w:lineRule="auto"/>
        <w:rPr>
          <w:b/>
          <w:sz w:val="28"/>
        </w:rPr>
      </w:pPr>
      <w:bookmarkStart w:id="14" w:name="_Toc127095695"/>
      <w:r w:rsidRPr="006051FF">
        <w:rPr>
          <w:b/>
          <w:sz w:val="28"/>
        </w:rPr>
        <w:t>Conclusion</w:t>
      </w:r>
      <w:bookmarkEnd w:id="14"/>
    </w:p>
    <w:p w14:paraId="64E8912A" w14:textId="4564CB6B" w:rsidR="001C2CA9" w:rsidRPr="00170767" w:rsidRDefault="00170767" w:rsidP="00170767">
      <w:pPr>
        <w:spacing w:line="360" w:lineRule="auto"/>
        <w:jc w:val="both"/>
        <w:rPr>
          <w:rFonts w:ascii="Arial" w:hAnsi="Arial" w:cs="Arial"/>
          <w:szCs w:val="24"/>
        </w:rPr>
      </w:pPr>
      <w:r w:rsidRPr="00170767">
        <w:rPr>
          <w:rFonts w:ascii="Arial" w:hAnsi="Arial" w:cs="Arial"/>
          <w:szCs w:val="24"/>
        </w:rPr>
        <w:t>Marginal costing,</w:t>
      </w:r>
      <w:r w:rsidR="00E4398A">
        <w:rPr>
          <w:rFonts w:ascii="Arial" w:hAnsi="Arial" w:cs="Arial"/>
          <w:szCs w:val="24"/>
        </w:rPr>
        <w:t xml:space="preserve"> absorption costing break-even analysis and</w:t>
      </w:r>
      <w:r w:rsidRPr="00170767">
        <w:rPr>
          <w:rFonts w:ascii="Arial" w:hAnsi="Arial" w:cs="Arial"/>
          <w:szCs w:val="24"/>
        </w:rPr>
        <w:t xml:space="preserve"> cost-volume-profit are tools popularly used by business people to understand various business or organizational </w:t>
      </w:r>
      <w:r w:rsidR="00E4398A" w:rsidRPr="00170767">
        <w:rPr>
          <w:rFonts w:ascii="Arial" w:hAnsi="Arial" w:cs="Arial"/>
          <w:szCs w:val="24"/>
        </w:rPr>
        <w:t>situation</w:t>
      </w:r>
      <w:r w:rsidR="00E4398A">
        <w:rPr>
          <w:rFonts w:ascii="Arial" w:hAnsi="Arial" w:cs="Arial"/>
          <w:szCs w:val="24"/>
        </w:rPr>
        <w:t xml:space="preserve">s, to </w:t>
      </w:r>
      <w:r w:rsidRPr="00170767">
        <w:rPr>
          <w:rFonts w:ascii="Arial" w:hAnsi="Arial" w:cs="Arial"/>
          <w:szCs w:val="24"/>
        </w:rPr>
        <w:t xml:space="preserve">evaluate and make </w:t>
      </w:r>
      <w:r w:rsidR="006E465C">
        <w:rPr>
          <w:rFonts w:ascii="Arial" w:hAnsi="Arial" w:cs="Arial"/>
          <w:szCs w:val="24"/>
        </w:rPr>
        <w:t xml:space="preserve">the </w:t>
      </w:r>
      <w:r w:rsidRPr="00170767">
        <w:rPr>
          <w:rFonts w:ascii="Arial" w:hAnsi="Arial" w:cs="Arial"/>
          <w:szCs w:val="24"/>
        </w:rPr>
        <w:t xml:space="preserve">decision. </w:t>
      </w:r>
      <w:r w:rsidR="00E4398A">
        <w:rPr>
          <w:rFonts w:ascii="Arial" w:hAnsi="Arial" w:cs="Arial"/>
          <w:szCs w:val="24"/>
        </w:rPr>
        <w:t xml:space="preserve">The marginal costing method enables a user to make a decision, for example, the marginal costing method can assist one in deciding on ceasing production of a particular product or products. </w:t>
      </w:r>
      <w:r>
        <w:rPr>
          <w:rFonts w:ascii="Arial" w:hAnsi="Arial" w:cs="Arial"/>
          <w:szCs w:val="24"/>
        </w:rPr>
        <w:t xml:space="preserve">However, </w:t>
      </w:r>
      <w:r w:rsidR="006E465C">
        <w:rPr>
          <w:rFonts w:ascii="Arial" w:hAnsi="Arial" w:cs="Arial"/>
          <w:szCs w:val="24"/>
        </w:rPr>
        <w:t xml:space="preserve">the </w:t>
      </w:r>
      <w:r>
        <w:rPr>
          <w:rFonts w:ascii="Arial" w:hAnsi="Arial" w:cs="Arial"/>
          <w:szCs w:val="24"/>
        </w:rPr>
        <w:t xml:space="preserve">analysis should be based on </w:t>
      </w:r>
      <w:r w:rsidR="006E465C">
        <w:rPr>
          <w:rFonts w:ascii="Arial" w:hAnsi="Arial" w:cs="Arial"/>
          <w:szCs w:val="24"/>
        </w:rPr>
        <w:t xml:space="preserve">a </w:t>
      </w:r>
      <w:r>
        <w:rPr>
          <w:rFonts w:ascii="Arial" w:hAnsi="Arial" w:cs="Arial"/>
          <w:szCs w:val="24"/>
        </w:rPr>
        <w:t xml:space="preserve">holistic approach because these tools have their limitations. </w:t>
      </w:r>
      <w:r w:rsidR="00E4398A">
        <w:rPr>
          <w:rFonts w:ascii="Arial" w:hAnsi="Arial" w:cs="Arial"/>
          <w:szCs w:val="24"/>
        </w:rPr>
        <w:t xml:space="preserve">A manager needs to have sound cost and management accounting knowledge for it will enable him/her to choose the right methods and techniques and apply them appropriately. </w:t>
      </w:r>
    </w:p>
    <w:p w14:paraId="67350337" w14:textId="77C93F9A" w:rsidR="001C2CA9" w:rsidRPr="00A36AC1" w:rsidRDefault="001C2CA9" w:rsidP="001C2CA9">
      <w:pPr>
        <w:rPr>
          <w:rFonts w:ascii="Arial" w:hAnsi="Arial" w:cs="Arial"/>
          <w:sz w:val="24"/>
          <w:szCs w:val="24"/>
        </w:rPr>
      </w:pPr>
    </w:p>
    <w:p w14:paraId="7E99E2FD" w14:textId="77777777" w:rsidR="001C2CA9" w:rsidRPr="00A36AC1" w:rsidRDefault="001C2CA9" w:rsidP="001C2CA9">
      <w:pPr>
        <w:rPr>
          <w:rFonts w:ascii="Arial" w:hAnsi="Arial" w:cs="Arial"/>
          <w:sz w:val="24"/>
          <w:szCs w:val="24"/>
        </w:rPr>
      </w:pPr>
    </w:p>
    <w:p w14:paraId="1171B05B" w14:textId="77777777" w:rsidR="005F6BED" w:rsidRPr="00A36AC1" w:rsidRDefault="005F6BED" w:rsidP="005F6BED">
      <w:pPr>
        <w:rPr>
          <w:rFonts w:ascii="Arial" w:hAnsi="Arial" w:cs="Arial"/>
          <w:sz w:val="24"/>
          <w:szCs w:val="24"/>
        </w:rPr>
      </w:pPr>
    </w:p>
    <w:p w14:paraId="21B0CE1C" w14:textId="77777777" w:rsidR="006E465C" w:rsidRDefault="006E465C">
      <w:pPr>
        <w:rPr>
          <w:rStyle w:val="Titlu1Caracter"/>
          <w:rFonts w:cs="Arial"/>
          <w:b/>
          <w:bCs/>
          <w:sz w:val="28"/>
          <w:szCs w:val="24"/>
        </w:rPr>
      </w:pPr>
      <w:r>
        <w:rPr>
          <w:rStyle w:val="Titlu1Caracter"/>
          <w:rFonts w:cs="Arial"/>
          <w:b/>
          <w:bCs/>
          <w:sz w:val="28"/>
          <w:szCs w:val="24"/>
        </w:rPr>
        <w:br w:type="page"/>
      </w:r>
    </w:p>
    <w:p w14:paraId="574C3F19" w14:textId="1242A496" w:rsidR="00AD3672" w:rsidRDefault="00AD3672" w:rsidP="006E465C">
      <w:pPr>
        <w:jc w:val="both"/>
        <w:rPr>
          <w:rStyle w:val="Titlu1Caracter"/>
          <w:rFonts w:cs="Arial"/>
          <w:b/>
          <w:bCs/>
          <w:sz w:val="28"/>
          <w:szCs w:val="24"/>
        </w:rPr>
      </w:pPr>
      <w:bookmarkStart w:id="15" w:name="_Toc127095696"/>
      <w:r w:rsidRPr="006E465C">
        <w:rPr>
          <w:rStyle w:val="Titlu1Caracter"/>
          <w:rFonts w:cs="Arial"/>
          <w:b/>
          <w:bCs/>
          <w:sz w:val="28"/>
          <w:szCs w:val="24"/>
        </w:rPr>
        <w:t>Reference List</w:t>
      </w:r>
      <w:bookmarkEnd w:id="15"/>
    </w:p>
    <w:p w14:paraId="65F0BE66" w14:textId="77777777" w:rsidR="006E465C" w:rsidRPr="006E465C" w:rsidRDefault="006E465C" w:rsidP="006E465C">
      <w:pPr>
        <w:spacing w:line="360" w:lineRule="auto"/>
        <w:jc w:val="both"/>
        <w:rPr>
          <w:rFonts w:ascii="Arial" w:hAnsi="Arial" w:cs="Arial"/>
        </w:rPr>
      </w:pPr>
      <w:r w:rsidRPr="006E465C">
        <w:rPr>
          <w:rFonts w:ascii="Arial" w:hAnsi="Arial" w:cs="Arial"/>
        </w:rPr>
        <w:t xml:space="preserve">Bhimani, A. </w:t>
      </w:r>
      <w:r w:rsidRPr="006E465C">
        <w:rPr>
          <w:rFonts w:ascii="Arial" w:hAnsi="Arial" w:cs="Arial"/>
          <w:i/>
          <w:iCs/>
        </w:rPr>
        <w:t>et al.</w:t>
      </w:r>
      <w:r w:rsidRPr="006E465C">
        <w:rPr>
          <w:rFonts w:ascii="Arial" w:hAnsi="Arial" w:cs="Arial"/>
        </w:rPr>
        <w:t xml:space="preserve"> (2018) </w:t>
      </w:r>
      <w:r w:rsidRPr="006E465C">
        <w:rPr>
          <w:rFonts w:ascii="Arial" w:hAnsi="Arial" w:cs="Arial"/>
          <w:i/>
          <w:iCs/>
        </w:rPr>
        <w:t>Management and cost accounting</w:t>
      </w:r>
      <w:r w:rsidRPr="006E465C">
        <w:rPr>
          <w:rFonts w:ascii="Arial" w:hAnsi="Arial" w:cs="Arial"/>
        </w:rPr>
        <w:t xml:space="preserve">. Harlow, United Kingdom: Pearson Education, Limited. </w:t>
      </w:r>
    </w:p>
    <w:p w14:paraId="5FC53FE5" w14:textId="77777777" w:rsidR="006E465C" w:rsidRPr="006E465C" w:rsidRDefault="006E465C" w:rsidP="006E465C">
      <w:pPr>
        <w:spacing w:line="360" w:lineRule="auto"/>
        <w:jc w:val="both"/>
        <w:rPr>
          <w:rFonts w:ascii="Arial" w:hAnsi="Arial" w:cs="Arial"/>
        </w:rPr>
      </w:pPr>
      <w:r w:rsidRPr="006E465C">
        <w:rPr>
          <w:rFonts w:ascii="Arial" w:hAnsi="Arial" w:cs="Arial"/>
        </w:rPr>
        <w:t xml:space="preserve">Blocher, E.J. </w:t>
      </w:r>
      <w:r w:rsidRPr="006E465C">
        <w:rPr>
          <w:rFonts w:ascii="Arial" w:hAnsi="Arial" w:cs="Arial"/>
          <w:i/>
          <w:iCs/>
        </w:rPr>
        <w:t>et al.</w:t>
      </w:r>
      <w:r w:rsidRPr="006E465C">
        <w:rPr>
          <w:rFonts w:ascii="Arial" w:hAnsi="Arial" w:cs="Arial"/>
        </w:rPr>
        <w:t xml:space="preserve"> (2019) </w:t>
      </w:r>
      <w:r w:rsidRPr="006E465C">
        <w:rPr>
          <w:rFonts w:ascii="Arial" w:hAnsi="Arial" w:cs="Arial"/>
          <w:i/>
          <w:iCs/>
        </w:rPr>
        <w:t>Cost management: A strategic emphasis</w:t>
      </w:r>
      <w:r w:rsidRPr="006E465C">
        <w:rPr>
          <w:rFonts w:ascii="Arial" w:hAnsi="Arial" w:cs="Arial"/>
        </w:rPr>
        <w:t xml:space="preserve">. New York, NY: McGraw-Hill. </w:t>
      </w:r>
    </w:p>
    <w:p w14:paraId="2D312329" w14:textId="77777777" w:rsidR="006E465C" w:rsidRPr="006E465C" w:rsidRDefault="006E465C" w:rsidP="006E465C">
      <w:pPr>
        <w:spacing w:line="360" w:lineRule="auto"/>
        <w:jc w:val="both"/>
        <w:rPr>
          <w:rFonts w:ascii="Arial" w:hAnsi="Arial" w:cs="Arial"/>
        </w:rPr>
      </w:pPr>
      <w:r w:rsidRPr="006E465C">
        <w:rPr>
          <w:rFonts w:ascii="Arial" w:hAnsi="Arial" w:cs="Arial"/>
        </w:rPr>
        <w:t xml:space="preserve">Cohen, M.A. (2020) “Cost-effectiveness and break-even analysis,” </w:t>
      </w:r>
      <w:r w:rsidRPr="006E465C">
        <w:rPr>
          <w:rFonts w:ascii="Arial" w:hAnsi="Arial" w:cs="Arial"/>
          <w:i/>
          <w:iCs/>
        </w:rPr>
        <w:t>The Costs of Crime and Justice</w:t>
      </w:r>
      <w:r w:rsidRPr="006E465C">
        <w:rPr>
          <w:rFonts w:ascii="Arial" w:hAnsi="Arial" w:cs="Arial"/>
        </w:rPr>
        <w:t xml:space="preserve">, pp. 181–192. Available at: https://doi.org/10.4324/9780429431562-13. </w:t>
      </w:r>
    </w:p>
    <w:p w14:paraId="511EB61C" w14:textId="385FEF18" w:rsidR="006E465C" w:rsidRPr="006E465C" w:rsidRDefault="006E465C" w:rsidP="006E465C">
      <w:pPr>
        <w:spacing w:line="360" w:lineRule="auto"/>
        <w:jc w:val="both"/>
        <w:rPr>
          <w:rFonts w:ascii="Arial" w:hAnsi="Arial" w:cs="Arial"/>
        </w:rPr>
      </w:pPr>
      <w:r w:rsidRPr="006E465C">
        <w:rPr>
          <w:rFonts w:ascii="Arial" w:hAnsi="Arial" w:cs="Arial"/>
        </w:rPr>
        <w:t>Desai, A. and Mital, A.</w:t>
      </w:r>
      <w:r w:rsidR="00E4398A">
        <w:rPr>
          <w:rFonts w:ascii="Arial" w:hAnsi="Arial" w:cs="Arial"/>
        </w:rPr>
        <w:t xml:space="preserve"> (2018) “Break even and benefit </w:t>
      </w:r>
      <w:r w:rsidRPr="006E465C">
        <w:rPr>
          <w:rFonts w:ascii="Arial" w:hAnsi="Arial" w:cs="Arial"/>
        </w:rPr>
        <w:t xml:space="preserve">cost analysis,” </w:t>
      </w:r>
      <w:r w:rsidRPr="006E465C">
        <w:rPr>
          <w:rFonts w:ascii="Arial" w:hAnsi="Arial" w:cs="Arial"/>
          <w:i/>
          <w:iCs/>
        </w:rPr>
        <w:t>Production Economics</w:t>
      </w:r>
      <w:r w:rsidRPr="006E465C">
        <w:rPr>
          <w:rFonts w:ascii="Arial" w:hAnsi="Arial" w:cs="Arial"/>
        </w:rPr>
        <w:t xml:space="preserve">, pp. 341–368. Available at: https://doi.org/10.1201/9780429487040-12. </w:t>
      </w:r>
    </w:p>
    <w:p w14:paraId="223D1E53" w14:textId="77777777" w:rsidR="006E465C" w:rsidRPr="006E465C" w:rsidRDefault="006E465C" w:rsidP="006E465C">
      <w:pPr>
        <w:spacing w:line="360" w:lineRule="auto"/>
        <w:jc w:val="both"/>
        <w:rPr>
          <w:rFonts w:ascii="Arial" w:hAnsi="Arial" w:cs="Arial"/>
        </w:rPr>
      </w:pPr>
      <w:r w:rsidRPr="006E465C">
        <w:rPr>
          <w:rFonts w:ascii="Arial" w:hAnsi="Arial" w:cs="Arial"/>
        </w:rPr>
        <w:t xml:space="preserve">Drury, C. (2021) </w:t>
      </w:r>
      <w:r w:rsidRPr="006E465C">
        <w:rPr>
          <w:rFonts w:ascii="Arial" w:hAnsi="Arial" w:cs="Arial"/>
          <w:i/>
          <w:iCs/>
        </w:rPr>
        <w:t>Management and cost accounting</w:t>
      </w:r>
      <w:r w:rsidRPr="006E465C">
        <w:rPr>
          <w:rFonts w:ascii="Arial" w:hAnsi="Arial" w:cs="Arial"/>
        </w:rPr>
        <w:t xml:space="preserve">. Andover, Hampshire: Cengage Learning. </w:t>
      </w:r>
    </w:p>
    <w:p w14:paraId="1DC11AF0" w14:textId="77777777" w:rsidR="006E465C" w:rsidRPr="006E465C" w:rsidRDefault="006E465C" w:rsidP="006E465C">
      <w:pPr>
        <w:spacing w:line="360" w:lineRule="auto"/>
        <w:jc w:val="both"/>
        <w:rPr>
          <w:rFonts w:ascii="Arial" w:hAnsi="Arial" w:cs="Arial"/>
        </w:rPr>
      </w:pPr>
      <w:r w:rsidRPr="006E465C">
        <w:rPr>
          <w:rFonts w:ascii="Arial" w:hAnsi="Arial" w:cs="Arial"/>
        </w:rPr>
        <w:t xml:space="preserve">Goel, S. (2019) “Marginal costing and managerial decision-making,” </w:t>
      </w:r>
      <w:r w:rsidRPr="006E465C">
        <w:rPr>
          <w:rFonts w:ascii="Arial" w:hAnsi="Arial" w:cs="Arial"/>
          <w:i/>
          <w:iCs/>
        </w:rPr>
        <w:t>Finance for Non-Finance People</w:t>
      </w:r>
      <w:r w:rsidRPr="006E465C">
        <w:rPr>
          <w:rFonts w:ascii="Arial" w:hAnsi="Arial" w:cs="Arial"/>
        </w:rPr>
        <w:t xml:space="preserve">, pp. 140–157. Available at: https://doi.org/10.4324/9780429196669-8. </w:t>
      </w:r>
    </w:p>
    <w:p w14:paraId="1433394A" w14:textId="77777777" w:rsidR="006E465C" w:rsidRPr="006E465C" w:rsidRDefault="006E465C" w:rsidP="006E465C">
      <w:pPr>
        <w:spacing w:line="360" w:lineRule="auto"/>
        <w:jc w:val="both"/>
        <w:rPr>
          <w:rFonts w:ascii="Arial" w:hAnsi="Arial" w:cs="Arial"/>
        </w:rPr>
      </w:pPr>
      <w:r w:rsidRPr="006E465C">
        <w:rPr>
          <w:rFonts w:ascii="Arial" w:hAnsi="Arial" w:cs="Arial"/>
        </w:rPr>
        <w:t xml:space="preserve">Seal, W. (2018) </w:t>
      </w:r>
      <w:r w:rsidRPr="006E465C">
        <w:rPr>
          <w:rFonts w:ascii="Arial" w:hAnsi="Arial" w:cs="Arial"/>
          <w:i/>
          <w:iCs/>
        </w:rPr>
        <w:t>Management accounting</w:t>
      </w:r>
      <w:r w:rsidRPr="006E465C">
        <w:rPr>
          <w:rFonts w:ascii="Arial" w:hAnsi="Arial" w:cs="Arial"/>
        </w:rPr>
        <w:t xml:space="preserve">. London: McGraw-Hill Education. </w:t>
      </w:r>
    </w:p>
    <w:p w14:paraId="16DFC3D1" w14:textId="77777777" w:rsidR="006E465C" w:rsidRPr="006E465C" w:rsidRDefault="006E465C" w:rsidP="006E465C">
      <w:pPr>
        <w:jc w:val="both"/>
        <w:rPr>
          <w:rStyle w:val="Titlu1Caracter"/>
          <w:rFonts w:cs="Arial"/>
          <w:b/>
          <w:bCs/>
          <w:sz w:val="28"/>
          <w:szCs w:val="24"/>
        </w:rPr>
      </w:pPr>
    </w:p>
    <w:p w14:paraId="1A4610C5" w14:textId="088443D7" w:rsidR="005F6BED" w:rsidRPr="00A36AC1" w:rsidRDefault="005F6BED" w:rsidP="00FB719F">
      <w:pPr>
        <w:rPr>
          <w:rStyle w:val="Titlu1Caracter"/>
          <w:rFonts w:cs="Arial"/>
          <w:sz w:val="24"/>
          <w:szCs w:val="24"/>
        </w:rPr>
      </w:pPr>
    </w:p>
    <w:p w14:paraId="552B3FE2" w14:textId="77777777" w:rsidR="00F15E9E" w:rsidRPr="00A36AC1" w:rsidRDefault="00F15E9E" w:rsidP="005F6BED">
      <w:pPr>
        <w:jc w:val="center"/>
        <w:rPr>
          <w:rStyle w:val="Titlu1Caracter"/>
          <w:rFonts w:cs="Arial"/>
          <w:sz w:val="24"/>
          <w:szCs w:val="24"/>
        </w:rPr>
      </w:pPr>
    </w:p>
    <w:p w14:paraId="713982C8" w14:textId="0AE51AD2" w:rsidR="00AD3672" w:rsidRPr="00DC6ABE" w:rsidRDefault="00AD3672" w:rsidP="00DC6ABE">
      <w:pPr>
        <w:rPr>
          <w:rFonts w:ascii="Arial" w:hAnsi="Arial" w:cs="Arial"/>
          <w:sz w:val="24"/>
          <w:szCs w:val="24"/>
        </w:rPr>
      </w:pPr>
    </w:p>
    <w:sectPr w:rsidR="00AD3672" w:rsidRPr="00DC6ABE" w:rsidSect="006E465C">
      <w:footerReference w:type="default" r:id="rId12"/>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odzinesa Zuwirai" w:date="2023-03-01T05:58:00Z" w:initials="MZ">
    <w:p w14:paraId="4F0279AA" w14:textId="055A5F74" w:rsidR="0099253C" w:rsidRDefault="0099253C">
      <w:pPr>
        <w:pStyle w:val="Textcomentariu"/>
      </w:pPr>
      <w:r>
        <w:rPr>
          <w:rStyle w:val="Referincomentariu"/>
        </w:rPr>
        <w:annotationRef/>
      </w:r>
      <w:r>
        <w:t xml:space="preserve">Complete this </w:t>
      </w:r>
    </w:p>
  </w:comment>
  <w:comment w:id="4" w:author="Munodzinesa Zuwirai" w:date="2023-03-02T16:05:00Z" w:initials="MZ">
    <w:p w14:paraId="502AAD49" w14:textId="3A13F074" w:rsidR="0099253C" w:rsidRDefault="0099253C">
      <w:pPr>
        <w:pStyle w:val="Textcomentariu"/>
      </w:pPr>
      <w:r>
        <w:rPr>
          <w:rStyle w:val="Referincomentariu"/>
        </w:rPr>
        <w:annotationRef/>
      </w:r>
      <w:r w:rsidR="00491B6C">
        <w:t xml:space="preserve">Theorised </w:t>
      </w:r>
      <w:r w:rsidR="00491B6C">
        <w:t>differences.</w:t>
      </w:r>
      <w:r>
        <w:t xml:space="preserve">Consider a point per paragraph and apply to the context, MG.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0279AA" w15:done="0"/>
  <w15:commentEx w15:paraId="502AAD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96818" w16cex:dateUtc="2023-03-01T05:58:00Z"/>
  <w16cex:commentExtensible w16cex:durableId="27A96842" w16cex:dateUtc="2023-03-01T05: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0279AA" w16cid:durableId="27A96818"/>
  <w16cid:commentId w16cid:paraId="502AAD49" w16cid:durableId="27A968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A8E40" w14:textId="77777777" w:rsidR="00A16E26" w:rsidRDefault="00A16E26" w:rsidP="00C1554D">
      <w:pPr>
        <w:spacing w:after="0" w:line="240" w:lineRule="auto"/>
      </w:pPr>
      <w:r>
        <w:separator/>
      </w:r>
    </w:p>
  </w:endnote>
  <w:endnote w:type="continuationSeparator" w:id="0">
    <w:p w14:paraId="63374532" w14:textId="77777777" w:rsidR="00A16E26" w:rsidRDefault="00A16E26"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722564"/>
      <w:docPartObj>
        <w:docPartGallery w:val="Page Numbers (Bottom of Page)"/>
        <w:docPartUnique/>
      </w:docPartObj>
    </w:sdtPr>
    <w:sdtEndPr>
      <w:rPr>
        <w:noProof/>
      </w:rPr>
    </w:sdtEndPr>
    <w:sdtContent>
      <w:p w14:paraId="47A3B6F0" w14:textId="77777777" w:rsidR="0099253C" w:rsidRDefault="0099253C">
        <w:pPr>
          <w:pStyle w:val="Subsol"/>
          <w:jc w:val="center"/>
        </w:pPr>
        <w:r>
          <w:fldChar w:fldCharType="begin"/>
        </w:r>
        <w:r>
          <w:instrText xml:space="preserve"> PAGE   \* MERGEFORMAT </w:instrText>
        </w:r>
        <w:r>
          <w:fldChar w:fldCharType="separate"/>
        </w:r>
        <w:r w:rsidR="00491B6C">
          <w:rPr>
            <w:noProof/>
          </w:rPr>
          <w:t>1</w:t>
        </w:r>
        <w:r>
          <w:rPr>
            <w:noProof/>
          </w:rPr>
          <w:fldChar w:fldCharType="end"/>
        </w:r>
      </w:p>
    </w:sdtContent>
  </w:sdt>
  <w:p w14:paraId="6EAE0175" w14:textId="77777777" w:rsidR="0099253C" w:rsidRDefault="0099253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B797A" w14:textId="77777777" w:rsidR="00A16E26" w:rsidRDefault="00A16E26" w:rsidP="00C1554D">
      <w:pPr>
        <w:spacing w:after="0" w:line="240" w:lineRule="auto"/>
      </w:pPr>
      <w:r>
        <w:separator/>
      </w:r>
    </w:p>
  </w:footnote>
  <w:footnote w:type="continuationSeparator" w:id="0">
    <w:p w14:paraId="449FCC10" w14:textId="77777777" w:rsidR="00A16E26" w:rsidRDefault="00A16E26" w:rsidP="00C15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3A5B4D"/>
    <w:multiLevelType w:val="multilevel"/>
    <w:tmpl w:val="B7E4279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E9A6096"/>
    <w:multiLevelType w:val="hybridMultilevel"/>
    <w:tmpl w:val="F6688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790049">
    <w:abstractNumId w:val="0"/>
  </w:num>
  <w:num w:numId="2" w16cid:durableId="151718377">
    <w:abstractNumId w:val="1"/>
  </w:num>
  <w:num w:numId="3" w16cid:durableId="124060358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odzinesa Zuwirai">
    <w15:presenceInfo w15:providerId="None" w15:userId="Munodzinesa Zuwira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zNbQ0szAzNjYxM7JQ0lEKTi0uzszPAykwrgUA+A9UeSwAAAA="/>
  </w:docVars>
  <w:rsids>
    <w:rsidRoot w:val="000B31CA"/>
    <w:rsid w:val="00003037"/>
    <w:rsid w:val="00016C1C"/>
    <w:rsid w:val="00052901"/>
    <w:rsid w:val="00064B91"/>
    <w:rsid w:val="000A2010"/>
    <w:rsid w:val="000B31CA"/>
    <w:rsid w:val="000C4B08"/>
    <w:rsid w:val="000D4993"/>
    <w:rsid w:val="00103047"/>
    <w:rsid w:val="00152D8E"/>
    <w:rsid w:val="00164B3B"/>
    <w:rsid w:val="00165CDB"/>
    <w:rsid w:val="00170767"/>
    <w:rsid w:val="0018385E"/>
    <w:rsid w:val="001A3FF2"/>
    <w:rsid w:val="001C2CA9"/>
    <w:rsid w:val="001E00A7"/>
    <w:rsid w:val="001E30CE"/>
    <w:rsid w:val="00223B25"/>
    <w:rsid w:val="00232757"/>
    <w:rsid w:val="00271641"/>
    <w:rsid w:val="00273C21"/>
    <w:rsid w:val="002F1AA3"/>
    <w:rsid w:val="00316792"/>
    <w:rsid w:val="00335668"/>
    <w:rsid w:val="003410F8"/>
    <w:rsid w:val="00365E4C"/>
    <w:rsid w:val="003924F9"/>
    <w:rsid w:val="003B306D"/>
    <w:rsid w:val="003F01FF"/>
    <w:rsid w:val="00491B6C"/>
    <w:rsid w:val="00492308"/>
    <w:rsid w:val="004A2290"/>
    <w:rsid w:val="004C5017"/>
    <w:rsid w:val="004C6602"/>
    <w:rsid w:val="005F6BED"/>
    <w:rsid w:val="006051FF"/>
    <w:rsid w:val="00612B2C"/>
    <w:rsid w:val="00615A09"/>
    <w:rsid w:val="00633CAF"/>
    <w:rsid w:val="00646D0F"/>
    <w:rsid w:val="0065672A"/>
    <w:rsid w:val="00693ED1"/>
    <w:rsid w:val="006E465C"/>
    <w:rsid w:val="00781BE9"/>
    <w:rsid w:val="007A0544"/>
    <w:rsid w:val="00812EB2"/>
    <w:rsid w:val="008402C2"/>
    <w:rsid w:val="008D2F97"/>
    <w:rsid w:val="009146C9"/>
    <w:rsid w:val="0099253C"/>
    <w:rsid w:val="009B1095"/>
    <w:rsid w:val="009E3AAF"/>
    <w:rsid w:val="009F2984"/>
    <w:rsid w:val="00A1260B"/>
    <w:rsid w:val="00A16E26"/>
    <w:rsid w:val="00A306E2"/>
    <w:rsid w:val="00A36821"/>
    <w:rsid w:val="00A36AC1"/>
    <w:rsid w:val="00A81E9B"/>
    <w:rsid w:val="00A879D0"/>
    <w:rsid w:val="00AB306D"/>
    <w:rsid w:val="00AC59BE"/>
    <w:rsid w:val="00AC61D1"/>
    <w:rsid w:val="00AD2E62"/>
    <w:rsid w:val="00AD3672"/>
    <w:rsid w:val="00B06990"/>
    <w:rsid w:val="00B21ECD"/>
    <w:rsid w:val="00B232DD"/>
    <w:rsid w:val="00C01C6A"/>
    <w:rsid w:val="00C1554D"/>
    <w:rsid w:val="00C34289"/>
    <w:rsid w:val="00C506FB"/>
    <w:rsid w:val="00CC5186"/>
    <w:rsid w:val="00CE7E92"/>
    <w:rsid w:val="00D11D1D"/>
    <w:rsid w:val="00D17D8B"/>
    <w:rsid w:val="00D43A57"/>
    <w:rsid w:val="00D7333A"/>
    <w:rsid w:val="00DB3A7A"/>
    <w:rsid w:val="00DC6ABE"/>
    <w:rsid w:val="00DF122A"/>
    <w:rsid w:val="00DF5D12"/>
    <w:rsid w:val="00E4398A"/>
    <w:rsid w:val="00E8428C"/>
    <w:rsid w:val="00E86C95"/>
    <w:rsid w:val="00EA29E8"/>
    <w:rsid w:val="00ED58FE"/>
    <w:rsid w:val="00EF38ED"/>
    <w:rsid w:val="00F15E9E"/>
    <w:rsid w:val="00FB4374"/>
    <w:rsid w:val="00FB719F"/>
    <w:rsid w:val="00FD5729"/>
    <w:rsid w:val="00FF40CA"/>
    <w:rsid w:val="00FF51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36D23E"/>
  <w15:docId w15:val="{B90C873C-1A6E-F846-99BC-6B31551EA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E7E92"/>
    <w:pPr>
      <w:keepNext/>
      <w:keepLines/>
      <w:spacing w:before="240" w:after="0"/>
      <w:jc w:val="both"/>
      <w:outlineLvl w:val="0"/>
    </w:pPr>
    <w:rPr>
      <w:rFonts w:ascii="Arial" w:eastAsiaTheme="majorEastAsia" w:hAnsi="Arial" w:cstheme="majorBidi"/>
      <w:sz w:val="32"/>
      <w:szCs w:val="32"/>
    </w:rPr>
  </w:style>
  <w:style w:type="paragraph" w:styleId="Titlu2">
    <w:name w:val="heading 2"/>
    <w:basedOn w:val="Normal"/>
    <w:next w:val="Normal"/>
    <w:link w:val="Titlu2Caracter"/>
    <w:uiPriority w:val="9"/>
    <w:unhideWhenUsed/>
    <w:qFormat/>
    <w:rsid w:val="00CE7E92"/>
    <w:pPr>
      <w:keepNext/>
      <w:keepLines/>
      <w:spacing w:before="40" w:after="0"/>
      <w:jc w:val="both"/>
      <w:outlineLvl w:val="1"/>
    </w:pPr>
    <w:rPr>
      <w:rFonts w:ascii="Arial" w:eastAsiaTheme="majorEastAsia" w:hAnsi="Arial" w:cstheme="majorBidi"/>
      <w:color w:val="2F5496" w:themeColor="accent1" w:themeShade="BF"/>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1554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1554D"/>
  </w:style>
  <w:style w:type="paragraph" w:styleId="Subsol">
    <w:name w:val="footer"/>
    <w:basedOn w:val="Normal"/>
    <w:link w:val="SubsolCaracter"/>
    <w:uiPriority w:val="99"/>
    <w:unhideWhenUsed/>
    <w:rsid w:val="00C1554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1554D"/>
  </w:style>
  <w:style w:type="character" w:customStyle="1" w:styleId="Titlu1Caracter">
    <w:name w:val="Titlu 1 Caracter"/>
    <w:basedOn w:val="Fontdeparagrafimplicit"/>
    <w:link w:val="Titlu1"/>
    <w:uiPriority w:val="9"/>
    <w:rsid w:val="00CE7E92"/>
    <w:rPr>
      <w:rFonts w:ascii="Arial" w:eastAsiaTheme="majorEastAsia" w:hAnsi="Arial" w:cstheme="majorBidi"/>
      <w:sz w:val="32"/>
      <w:szCs w:val="32"/>
    </w:rPr>
  </w:style>
  <w:style w:type="paragraph" w:styleId="Titlucuprins">
    <w:name w:val="TOC Heading"/>
    <w:basedOn w:val="Titlu1"/>
    <w:next w:val="Normal"/>
    <w:uiPriority w:val="39"/>
    <w:unhideWhenUsed/>
    <w:qFormat/>
    <w:rsid w:val="00164B3B"/>
    <w:pPr>
      <w:outlineLvl w:val="9"/>
    </w:pPr>
    <w:rPr>
      <w:lang w:val="en-US"/>
    </w:rPr>
  </w:style>
  <w:style w:type="paragraph" w:styleId="Cuprins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Fontdeparagrafimplicit"/>
    <w:uiPriority w:val="99"/>
    <w:unhideWhenUsed/>
    <w:rsid w:val="00164B3B"/>
    <w:rPr>
      <w:color w:val="0563C1" w:themeColor="hyperlink"/>
      <w:u w:val="single"/>
    </w:rPr>
  </w:style>
  <w:style w:type="character" w:customStyle="1" w:styleId="Titlu2Caracter">
    <w:name w:val="Titlu 2 Caracter"/>
    <w:basedOn w:val="Fontdeparagrafimplicit"/>
    <w:link w:val="Titlu2"/>
    <w:uiPriority w:val="9"/>
    <w:rsid w:val="00CE7E92"/>
    <w:rPr>
      <w:rFonts w:ascii="Arial" w:eastAsiaTheme="majorEastAsia" w:hAnsi="Arial" w:cstheme="majorBidi"/>
      <w:color w:val="2F5496" w:themeColor="accent1" w:themeShade="BF"/>
      <w:sz w:val="24"/>
      <w:szCs w:val="26"/>
    </w:rPr>
  </w:style>
  <w:style w:type="paragraph" w:styleId="Cuprins2">
    <w:name w:val="toc 2"/>
    <w:basedOn w:val="Normal"/>
    <w:next w:val="Normal"/>
    <w:autoRedefine/>
    <w:uiPriority w:val="39"/>
    <w:unhideWhenUsed/>
    <w:rsid w:val="00EF38ED"/>
    <w:pPr>
      <w:spacing w:after="100"/>
      <w:ind w:left="220"/>
    </w:pPr>
  </w:style>
  <w:style w:type="paragraph" w:styleId="Cuprins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f">
    <w:name w:val="List Paragraph"/>
    <w:basedOn w:val="Normal"/>
    <w:uiPriority w:val="34"/>
    <w:qFormat/>
    <w:rsid w:val="001C2CA9"/>
    <w:pPr>
      <w:ind w:left="720"/>
      <w:contextualSpacing/>
    </w:pPr>
  </w:style>
  <w:style w:type="paragraph" w:styleId="TextnBalon">
    <w:name w:val="Balloon Text"/>
    <w:basedOn w:val="Normal"/>
    <w:link w:val="TextnBalonCaracter"/>
    <w:uiPriority w:val="99"/>
    <w:semiHidden/>
    <w:unhideWhenUsed/>
    <w:rsid w:val="002F1AA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F1AA3"/>
    <w:rPr>
      <w:rFonts w:ascii="Tahoma" w:hAnsi="Tahoma" w:cs="Tahoma"/>
      <w:sz w:val="16"/>
      <w:szCs w:val="16"/>
    </w:rPr>
  </w:style>
  <w:style w:type="table" w:styleId="Tabelgril">
    <w:name w:val="Table Grid"/>
    <w:basedOn w:val="TabelNormal"/>
    <w:uiPriority w:val="39"/>
    <w:rsid w:val="00052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465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Referincomentariu">
    <w:name w:val="annotation reference"/>
    <w:basedOn w:val="Fontdeparagrafimplicit"/>
    <w:uiPriority w:val="99"/>
    <w:semiHidden/>
    <w:unhideWhenUsed/>
    <w:rsid w:val="00335668"/>
    <w:rPr>
      <w:sz w:val="16"/>
      <w:szCs w:val="16"/>
    </w:rPr>
  </w:style>
  <w:style w:type="paragraph" w:styleId="Textcomentariu">
    <w:name w:val="annotation text"/>
    <w:basedOn w:val="Normal"/>
    <w:link w:val="TextcomentariuCaracter"/>
    <w:uiPriority w:val="99"/>
    <w:semiHidden/>
    <w:unhideWhenUsed/>
    <w:rsid w:val="0033566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335668"/>
    <w:rPr>
      <w:sz w:val="20"/>
      <w:szCs w:val="20"/>
    </w:rPr>
  </w:style>
  <w:style w:type="paragraph" w:styleId="SubiectComentariu">
    <w:name w:val="annotation subject"/>
    <w:basedOn w:val="Textcomentariu"/>
    <w:next w:val="Textcomentariu"/>
    <w:link w:val="SubiectComentariuCaracter"/>
    <w:uiPriority w:val="99"/>
    <w:semiHidden/>
    <w:unhideWhenUsed/>
    <w:rsid w:val="00335668"/>
    <w:rPr>
      <w:b/>
      <w:bCs/>
    </w:rPr>
  </w:style>
  <w:style w:type="character" w:customStyle="1" w:styleId="SubiectComentariuCaracter">
    <w:name w:val="Subiect Comentariu Caracter"/>
    <w:basedOn w:val="TextcomentariuCaracter"/>
    <w:link w:val="SubiectComentariu"/>
    <w:uiPriority w:val="99"/>
    <w:semiHidden/>
    <w:rsid w:val="003356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04691">
      <w:bodyDiv w:val="1"/>
      <w:marLeft w:val="0"/>
      <w:marRight w:val="0"/>
      <w:marTop w:val="0"/>
      <w:marBottom w:val="0"/>
      <w:divBdr>
        <w:top w:val="none" w:sz="0" w:space="0" w:color="auto"/>
        <w:left w:val="none" w:sz="0" w:space="0" w:color="auto"/>
        <w:bottom w:val="none" w:sz="0" w:space="0" w:color="auto"/>
        <w:right w:val="none" w:sz="0" w:space="0" w:color="auto"/>
      </w:divBdr>
    </w:div>
    <w:div w:id="430467474">
      <w:bodyDiv w:val="1"/>
      <w:marLeft w:val="0"/>
      <w:marRight w:val="0"/>
      <w:marTop w:val="0"/>
      <w:marBottom w:val="0"/>
      <w:divBdr>
        <w:top w:val="none" w:sz="0" w:space="0" w:color="auto"/>
        <w:left w:val="none" w:sz="0" w:space="0" w:color="auto"/>
        <w:bottom w:val="none" w:sz="0" w:space="0" w:color="auto"/>
        <w:right w:val="none" w:sz="0" w:space="0" w:color="auto"/>
      </w:divBdr>
    </w:div>
    <w:div w:id="576674939">
      <w:bodyDiv w:val="1"/>
      <w:marLeft w:val="0"/>
      <w:marRight w:val="0"/>
      <w:marTop w:val="0"/>
      <w:marBottom w:val="0"/>
      <w:divBdr>
        <w:top w:val="none" w:sz="0" w:space="0" w:color="auto"/>
        <w:left w:val="none" w:sz="0" w:space="0" w:color="auto"/>
        <w:bottom w:val="none" w:sz="0" w:space="0" w:color="auto"/>
        <w:right w:val="none" w:sz="0" w:space="0" w:color="auto"/>
      </w:divBdr>
    </w:div>
    <w:div w:id="629361054">
      <w:bodyDiv w:val="1"/>
      <w:marLeft w:val="0"/>
      <w:marRight w:val="0"/>
      <w:marTop w:val="0"/>
      <w:marBottom w:val="0"/>
      <w:divBdr>
        <w:top w:val="none" w:sz="0" w:space="0" w:color="auto"/>
        <w:left w:val="none" w:sz="0" w:space="0" w:color="auto"/>
        <w:bottom w:val="none" w:sz="0" w:space="0" w:color="auto"/>
        <w:right w:val="none" w:sz="0" w:space="0" w:color="auto"/>
      </w:divBdr>
    </w:div>
    <w:div w:id="1568108341">
      <w:bodyDiv w:val="1"/>
      <w:marLeft w:val="0"/>
      <w:marRight w:val="0"/>
      <w:marTop w:val="0"/>
      <w:marBottom w:val="0"/>
      <w:divBdr>
        <w:top w:val="none" w:sz="0" w:space="0" w:color="auto"/>
        <w:left w:val="none" w:sz="0" w:space="0" w:color="auto"/>
        <w:bottom w:val="none" w:sz="0" w:space="0" w:color="auto"/>
        <w:right w:val="none" w:sz="0" w:space="0" w:color="auto"/>
      </w:divBdr>
    </w:div>
    <w:div w:id="1771199789">
      <w:bodyDiv w:val="1"/>
      <w:marLeft w:val="0"/>
      <w:marRight w:val="0"/>
      <w:marTop w:val="0"/>
      <w:marBottom w:val="0"/>
      <w:divBdr>
        <w:top w:val="none" w:sz="0" w:space="0" w:color="auto"/>
        <w:left w:val="none" w:sz="0" w:space="0" w:color="auto"/>
        <w:bottom w:val="none" w:sz="0" w:space="0" w:color="auto"/>
        <w:right w:val="none" w:sz="0" w:space="0" w:color="auto"/>
      </w:divBdr>
    </w:div>
    <w:div w:id="1819573176">
      <w:bodyDiv w:val="1"/>
      <w:marLeft w:val="0"/>
      <w:marRight w:val="0"/>
      <w:marTop w:val="0"/>
      <w:marBottom w:val="0"/>
      <w:divBdr>
        <w:top w:val="none" w:sz="0" w:space="0" w:color="auto"/>
        <w:left w:val="none" w:sz="0" w:space="0" w:color="auto"/>
        <w:bottom w:val="none" w:sz="0" w:space="0" w:color="auto"/>
        <w:right w:val="none" w:sz="0" w:space="0" w:color="auto"/>
      </w:divBdr>
    </w:div>
    <w:div w:id="209061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8/08/relationships/commentsExtensible" Target="commentsExtensible.xml" /><Relationship Id="rId5" Type="http://schemas.openxmlformats.org/officeDocument/2006/relationships/webSettings" Target="webSettings.xml" /><Relationship Id="rId15" Type="http://schemas.openxmlformats.org/officeDocument/2006/relationships/theme" Target="theme/theme1.xml" /><Relationship Id="rId10" Type="http://schemas.microsoft.com/office/2016/09/relationships/commentsIds" Target="commentsIds.xml" /><Relationship Id="rId4" Type="http://schemas.openxmlformats.org/officeDocument/2006/relationships/settings" Target="settings.xml" /><Relationship Id="rId9" Type="http://schemas.microsoft.com/office/2011/relationships/commentsExtended" Target="commentsExtended.xml" /><Relationship Id="rId14" Type="http://schemas.microsoft.com/office/2011/relationships/people" Target="peop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8DD89-0978-49B6-B336-5F9DC9C879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2543</Words>
  <Characters>14751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Apostol</cp:lastModifiedBy>
  <cp:revision>2</cp:revision>
  <dcterms:created xsi:type="dcterms:W3CDTF">2023-03-04T09:01:00Z</dcterms:created>
  <dcterms:modified xsi:type="dcterms:W3CDTF">2023-03-04T09:01:00Z</dcterms:modified>
</cp:coreProperties>
</file>