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72948" w14:textId="77777777" w:rsidR="00A2046E" w:rsidRPr="00A2046E" w:rsidRDefault="00A2046E" w:rsidP="00A2046E">
      <w:pPr>
        <w:spacing w:line="276" w:lineRule="auto"/>
        <w:rPr>
          <w:b/>
          <w:bCs/>
        </w:rPr>
      </w:pPr>
      <w:r w:rsidRPr="00A2046E">
        <w:rPr>
          <w:b/>
          <w:bCs/>
        </w:rPr>
        <w:t>Amna Hussain - ID number 2319523</w:t>
      </w:r>
    </w:p>
    <w:p w14:paraId="3DAB66F4" w14:textId="77EF0D41" w:rsidR="00A85AE0" w:rsidRDefault="00A62976">
      <w:pPr>
        <w:rPr>
          <w:rStyle w:val="Strong"/>
          <w:rFonts w:ascii="Aptos" w:eastAsia="Times New Roman" w:hAnsi="Aptos"/>
          <w:color w:val="000000"/>
          <w:sz w:val="22"/>
          <w:szCs w:val="22"/>
        </w:rPr>
      </w:pPr>
      <w:r>
        <w:rPr>
          <w:rStyle w:val="Strong"/>
          <w:rFonts w:ascii="Aptos" w:eastAsia="Times New Roman" w:hAnsi="Aptos"/>
          <w:color w:val="000000"/>
          <w:sz w:val="22"/>
          <w:szCs w:val="22"/>
        </w:rPr>
        <w:t xml:space="preserve">Module – </w:t>
      </w:r>
      <w:r w:rsidR="00A85AE0">
        <w:rPr>
          <w:rStyle w:val="Strong"/>
          <w:rFonts w:ascii="Aptos" w:eastAsia="Times New Roman" w:hAnsi="Aptos"/>
          <w:color w:val="000000"/>
          <w:sz w:val="22"/>
          <w:szCs w:val="22"/>
        </w:rPr>
        <w:t>Digital Transformation in the Health and Care Professions</w:t>
      </w:r>
      <w:r w:rsidR="007C343C" w:rsidRPr="007C343C">
        <w:rPr>
          <w:rStyle w:val="Strong"/>
          <w:rFonts w:ascii="Aptos" w:eastAsia="Times New Roman" w:hAnsi="Aptos"/>
          <w:color w:val="000000"/>
          <w:sz w:val="22"/>
          <w:szCs w:val="22"/>
        </w:rPr>
        <w:t xml:space="preserve"> </w:t>
      </w:r>
    </w:p>
    <w:p w14:paraId="3137C9F6" w14:textId="1BD33B5F" w:rsidR="00083BA8" w:rsidRDefault="007C343C">
      <w:pPr>
        <w:rPr>
          <w:rStyle w:val="Strong"/>
          <w:rFonts w:ascii="Aptos" w:eastAsia="Times New Roman" w:hAnsi="Aptos"/>
          <w:color w:val="000000"/>
          <w:sz w:val="22"/>
          <w:szCs w:val="22"/>
        </w:rPr>
      </w:pPr>
      <w:r>
        <w:rPr>
          <w:rStyle w:val="Strong"/>
          <w:rFonts w:ascii="Aptos" w:eastAsia="Times New Roman" w:hAnsi="Aptos"/>
          <w:color w:val="000000"/>
          <w:sz w:val="22"/>
          <w:szCs w:val="22"/>
        </w:rPr>
        <w:t xml:space="preserve">Lecturer – Martin </w:t>
      </w:r>
      <w:proofErr w:type="spellStart"/>
      <w:r w:rsidR="00DA3E94">
        <w:rPr>
          <w:rStyle w:val="Strong"/>
          <w:rFonts w:ascii="Aptos" w:eastAsia="Times New Roman" w:hAnsi="Aptos"/>
          <w:color w:val="000000"/>
          <w:sz w:val="22"/>
          <w:szCs w:val="22"/>
        </w:rPr>
        <w:t>Svejda</w:t>
      </w:r>
      <w:proofErr w:type="spellEnd"/>
      <w:r w:rsidR="00DA3E94">
        <w:rPr>
          <w:rStyle w:val="Strong"/>
          <w:rFonts w:ascii="Aptos" w:eastAsia="Times New Roman" w:hAnsi="Aptos"/>
          <w:color w:val="000000"/>
          <w:sz w:val="22"/>
          <w:szCs w:val="22"/>
        </w:rPr>
        <w:t xml:space="preserve"> </w:t>
      </w:r>
      <w:r w:rsidR="00B30D52">
        <w:rPr>
          <w:rStyle w:val="Strong"/>
          <w:rFonts w:ascii="Aptos" w:eastAsia="Times New Roman" w:hAnsi="Aptos"/>
          <w:color w:val="000000"/>
          <w:sz w:val="22"/>
          <w:szCs w:val="22"/>
        </w:rPr>
        <w:t>(</w:t>
      </w:r>
      <w:r w:rsidR="00DA3E94">
        <w:rPr>
          <w:rStyle w:val="Strong"/>
          <w:rFonts w:ascii="Aptos" w:eastAsia="Times New Roman" w:hAnsi="Aptos"/>
          <w:color w:val="000000"/>
          <w:sz w:val="22"/>
          <w:szCs w:val="22"/>
        </w:rPr>
        <w:t>BMHP6026</w:t>
      </w:r>
      <w:r w:rsidR="00B30D52">
        <w:rPr>
          <w:rStyle w:val="Strong"/>
          <w:rFonts w:ascii="Aptos" w:eastAsia="Times New Roman" w:hAnsi="Aptos"/>
          <w:color w:val="000000"/>
          <w:sz w:val="22"/>
          <w:szCs w:val="22"/>
        </w:rPr>
        <w:t>)</w:t>
      </w:r>
      <w:r w:rsidR="00083BA8">
        <w:rPr>
          <w:rStyle w:val="Strong"/>
          <w:rFonts w:ascii="Aptos" w:eastAsia="Times New Roman" w:hAnsi="Aptos"/>
          <w:color w:val="000000"/>
          <w:sz w:val="22"/>
          <w:szCs w:val="22"/>
        </w:rPr>
        <w:t xml:space="preserve"> </w:t>
      </w:r>
    </w:p>
    <w:p w14:paraId="43F7C06B" w14:textId="10C1EE49" w:rsidR="00083BA8" w:rsidRDefault="00083BA8">
      <w:pPr>
        <w:rPr>
          <w:rStyle w:val="Strong"/>
          <w:rFonts w:ascii="Aptos" w:eastAsia="Times New Roman" w:hAnsi="Aptos"/>
          <w:color w:val="000000"/>
          <w:sz w:val="22"/>
          <w:szCs w:val="22"/>
          <w:u w:val="single"/>
        </w:rPr>
      </w:pPr>
      <w:r w:rsidRPr="00083BA8">
        <w:rPr>
          <w:rStyle w:val="Strong"/>
          <w:rFonts w:ascii="Aptos" w:eastAsia="Times New Roman" w:hAnsi="Aptos"/>
          <w:color w:val="000000"/>
          <w:sz w:val="22"/>
          <w:szCs w:val="22"/>
          <w:u w:val="single"/>
        </w:rPr>
        <w:t xml:space="preserve">Written reports </w:t>
      </w:r>
      <w:r w:rsidR="00246E64">
        <w:rPr>
          <w:rStyle w:val="Strong"/>
          <w:rFonts w:ascii="Aptos" w:eastAsia="Times New Roman" w:hAnsi="Aptos"/>
          <w:color w:val="000000"/>
          <w:sz w:val="22"/>
          <w:szCs w:val="22"/>
          <w:u w:val="single"/>
        </w:rPr>
        <w:t>– electronic health record (EHRs).</w:t>
      </w:r>
    </w:p>
    <w:p w14:paraId="17B53FE1" w14:textId="6C9A74CD" w:rsidR="00E32544" w:rsidRPr="00E32544" w:rsidRDefault="00E32544">
      <w:pPr>
        <w:rPr>
          <w:rStyle w:val="Strong"/>
          <w:rFonts w:ascii="Aptos" w:eastAsia="Times New Roman" w:hAnsi="Aptos"/>
          <w:color w:val="000000"/>
          <w:sz w:val="22"/>
          <w:szCs w:val="22"/>
        </w:rPr>
      </w:pPr>
    </w:p>
    <w:p w14:paraId="12014E32" w14:textId="5F907725" w:rsidR="00DA7100" w:rsidRPr="00B34636" w:rsidRDefault="00B34636">
      <w:pPr>
        <w:rPr>
          <w:rStyle w:val="Strong"/>
          <w:rFonts w:ascii="Aptos" w:eastAsia="Times New Roman" w:hAnsi="Aptos"/>
          <w:color w:val="000000"/>
          <w:sz w:val="22"/>
          <w:szCs w:val="22"/>
        </w:rPr>
      </w:pPr>
      <w:r w:rsidRPr="00B34636">
        <w:rPr>
          <w:rStyle w:val="Strong"/>
          <w:rFonts w:ascii="Aptos" w:eastAsia="Times New Roman" w:hAnsi="Aptos"/>
          <w:color w:val="000000"/>
          <w:sz w:val="22"/>
          <w:szCs w:val="22"/>
        </w:rPr>
        <w:t>An electronic health record, or EHR, is a safe digital representation of a patient's medical data that is accessible and kept electronically rather than on paper. It contains information on things like test results, prescription drugs, diagnoses, medical histories, and treatment plans. EHR systems, including those created by businesses like Epic Systems, have been widely adopted by institutions like the National Health Service (NHS) in an effort to increase patient safety, efficiency, and communication. EHRs facilitate better decision-making and more coordinated treatment across health and social care services by giving medical personnel fast, secure access to current information.</w:t>
      </w:r>
    </w:p>
    <w:p w14:paraId="59D67AF1" w14:textId="59C6417E" w:rsidR="00AE12EF" w:rsidRPr="00AE12EF" w:rsidRDefault="00AE12EF" w:rsidP="00AE12EF">
      <w:pPr>
        <w:rPr>
          <w:rFonts w:ascii="Aptos" w:eastAsia="Times New Roman" w:hAnsi="Aptos"/>
          <w:b/>
          <w:bCs/>
          <w:color w:val="000000"/>
          <w:sz w:val="22"/>
          <w:szCs w:val="22"/>
        </w:rPr>
      </w:pPr>
      <w:r w:rsidRPr="00AE12EF">
        <w:rPr>
          <w:rFonts w:ascii="Aptos" w:eastAsia="Times New Roman" w:hAnsi="Aptos"/>
          <w:b/>
          <w:bCs/>
          <w:color w:val="000000"/>
          <w:sz w:val="22"/>
          <w:szCs w:val="22"/>
        </w:rPr>
        <w:t>A major impact on the health and social care profession has been brought about by the introduction of Electronic Health Records (EHRs), such as those created by Epic Systems and used by companies like the National Health Service (NHS).</w:t>
      </w:r>
    </w:p>
    <w:p w14:paraId="6D3E73A1" w14:textId="14374F16" w:rsidR="007104AB" w:rsidRDefault="00AE12EF">
      <w:pPr>
        <w:rPr>
          <w:rFonts w:ascii="Aptos" w:eastAsia="Times New Roman" w:hAnsi="Aptos"/>
          <w:b/>
          <w:bCs/>
          <w:color w:val="000000"/>
          <w:sz w:val="22"/>
          <w:szCs w:val="22"/>
        </w:rPr>
      </w:pPr>
      <w:r w:rsidRPr="00AE12EF">
        <w:rPr>
          <w:rFonts w:ascii="Aptos" w:eastAsia="Times New Roman" w:hAnsi="Aptos"/>
          <w:b/>
          <w:bCs/>
          <w:color w:val="000000"/>
          <w:sz w:val="22"/>
          <w:szCs w:val="22"/>
        </w:rPr>
        <w:t>Roles and responsibilities in the workplace have changed significantly. Instead of depending on paper records, healthcare personnel like nurses, doctors, and social workers are now accountable for precisely inputting and updating patient data electronically. Due to the fact that digital systems keep track of who has accessed or modified records, accountability has improved. Administrative positions have also changed; in order to handle appointments, referrals, and digital paperwork, employees now need to have more advanced IT abilities.</w:t>
      </w:r>
    </w:p>
    <w:p w14:paraId="7F4D4A84" w14:textId="6929C8F7" w:rsidR="001B0152" w:rsidRPr="001B0152" w:rsidRDefault="001B0152" w:rsidP="001B0152">
      <w:pPr>
        <w:rPr>
          <w:rFonts w:ascii="Aptos" w:eastAsia="Times New Roman" w:hAnsi="Aptos"/>
          <w:b/>
          <w:bCs/>
          <w:color w:val="000000"/>
          <w:sz w:val="22"/>
          <w:szCs w:val="22"/>
        </w:rPr>
      </w:pPr>
      <w:r w:rsidRPr="001B0152">
        <w:rPr>
          <w:rFonts w:ascii="Aptos" w:eastAsia="Times New Roman" w:hAnsi="Aptos"/>
          <w:b/>
          <w:bCs/>
          <w:color w:val="000000"/>
          <w:sz w:val="22"/>
          <w:szCs w:val="22"/>
        </w:rPr>
        <w:t>Improved role expertise has also been necessary for EHR deployment. Employees today need to be proficient with software and digitally literate. To guarantee that professionals comprehend data protection regulations, cybersecurity awareness, and how to employ system features like electronic prescription or care planning tools safely and effectively, ongoing training is crucial. To handle and maintain these technologies, several businesses have established new specialised positions including IT support technicians, clinical informatics officers, and digital health leads.</w:t>
      </w:r>
    </w:p>
    <w:p w14:paraId="6BF77EBF" w14:textId="5330AD9A" w:rsidR="00AE12EF" w:rsidRDefault="001B0152">
      <w:pPr>
        <w:rPr>
          <w:rFonts w:ascii="Aptos" w:eastAsia="Times New Roman" w:hAnsi="Aptos"/>
          <w:b/>
          <w:bCs/>
          <w:color w:val="000000"/>
          <w:sz w:val="22"/>
          <w:szCs w:val="22"/>
        </w:rPr>
      </w:pPr>
      <w:r w:rsidRPr="001B0152">
        <w:rPr>
          <w:rFonts w:ascii="Aptos" w:eastAsia="Times New Roman" w:hAnsi="Aptos"/>
          <w:b/>
          <w:bCs/>
          <w:color w:val="000000"/>
          <w:sz w:val="22"/>
          <w:szCs w:val="22"/>
        </w:rPr>
        <w:t>All things considered, EHRs have modernised the workforce by promoting the development of digital skills, enhancing multidisciplinary communication, and opening up new career paths in the health and social care sectors.</w:t>
      </w:r>
    </w:p>
    <w:p w14:paraId="19D167DA" w14:textId="77777777" w:rsidR="00C25CF0" w:rsidRPr="00C25CF0" w:rsidRDefault="00C25CF0" w:rsidP="00C25CF0">
      <w:pPr>
        <w:rPr>
          <w:rFonts w:ascii="Aptos" w:eastAsia="Times New Roman" w:hAnsi="Aptos"/>
          <w:b/>
          <w:bCs/>
          <w:color w:val="000000"/>
          <w:sz w:val="22"/>
          <w:szCs w:val="22"/>
        </w:rPr>
      </w:pPr>
      <w:r w:rsidRPr="00C25CF0">
        <w:rPr>
          <w:rFonts w:ascii="Aptos" w:eastAsia="Times New Roman" w:hAnsi="Aptos"/>
          <w:b/>
          <w:bCs/>
          <w:color w:val="000000"/>
          <w:sz w:val="22"/>
          <w:szCs w:val="22"/>
        </w:rPr>
        <w:t>The implementation of Electronic Health Records (EHRs) has profoundly altered the daily provision of services in health and social care environments. Professionals may securely and immediately access patient data thanks to systems created by businesses like Epic Systems and used by institutions like the National Health Service (NHS).</w:t>
      </w:r>
    </w:p>
    <w:p w14:paraId="1189D703" w14:textId="77777777" w:rsidR="00C25CF0" w:rsidRPr="00C25CF0" w:rsidRDefault="00C25CF0" w:rsidP="00C25CF0">
      <w:pPr>
        <w:rPr>
          <w:rFonts w:ascii="Aptos" w:eastAsia="Times New Roman" w:hAnsi="Aptos"/>
          <w:b/>
          <w:bCs/>
          <w:color w:val="000000"/>
          <w:sz w:val="22"/>
          <w:szCs w:val="22"/>
        </w:rPr>
      </w:pPr>
    </w:p>
    <w:p w14:paraId="501258A5" w14:textId="7FAEF813" w:rsidR="0043357C" w:rsidRPr="0043357C" w:rsidRDefault="00C25CF0" w:rsidP="0043357C">
      <w:pPr>
        <w:pStyle w:val="p1"/>
      </w:pPr>
      <w:r w:rsidRPr="00C25CF0">
        <w:rPr>
          <w:rFonts w:ascii="Aptos" w:eastAsia="Times New Roman" w:hAnsi="Aptos"/>
          <w:b/>
          <w:bCs/>
          <w:color w:val="000000"/>
          <w:sz w:val="22"/>
          <w:szCs w:val="22"/>
        </w:rPr>
        <w:lastRenderedPageBreak/>
        <w:t>Healthcare workers no longer use paper files in their day-to-day work. Doctors and nurses may instantly evaluate test results, medications, allergies, and medical histories during appointments. This lessens the possibility of mistakes like improper prescribing, cuts down on delays, and avoids duplicate testing. Departmental and external agency communication can be accelerated by using electronic referrals to other services</w:t>
      </w:r>
      <w:r w:rsidR="00467B7E">
        <w:rPr>
          <w:rFonts w:ascii="Aptos" w:eastAsia="Times New Roman" w:hAnsi="Aptos"/>
          <w:b/>
          <w:bCs/>
          <w:color w:val="000000"/>
          <w:sz w:val="22"/>
          <w:szCs w:val="22"/>
        </w:rPr>
        <w:t xml:space="preserve"> </w:t>
      </w:r>
      <w:r w:rsidR="00DB2020">
        <w:rPr>
          <w:rFonts w:ascii="Aptos" w:eastAsia="Times New Roman" w:hAnsi="Aptos"/>
          <w:b/>
          <w:bCs/>
          <w:color w:val="000000"/>
          <w:sz w:val="22"/>
          <w:szCs w:val="22"/>
        </w:rPr>
        <w:t>(Health</w:t>
      </w:r>
      <w:r w:rsidR="00467B7E">
        <w:rPr>
          <w:rFonts w:ascii="Aptos" w:eastAsia="Times New Roman" w:hAnsi="Aptos"/>
          <w:b/>
          <w:bCs/>
          <w:color w:val="000000"/>
          <w:sz w:val="22"/>
          <w:szCs w:val="22"/>
        </w:rPr>
        <w:t xml:space="preserve"> information and manger </w:t>
      </w:r>
      <w:r w:rsidR="00AD327E">
        <w:rPr>
          <w:rFonts w:ascii="Aptos" w:eastAsia="Times New Roman" w:hAnsi="Aptos"/>
          <w:b/>
          <w:bCs/>
          <w:color w:val="000000"/>
          <w:sz w:val="22"/>
          <w:szCs w:val="22"/>
        </w:rPr>
        <w:t>systems society 2020, electronic health records overview</w:t>
      </w:r>
      <w:r w:rsidR="0043357C">
        <w:rPr>
          <w:rFonts w:ascii="Aptos" w:eastAsia="Times New Roman" w:hAnsi="Aptos"/>
          <w:b/>
          <w:bCs/>
          <w:color w:val="000000"/>
          <w:sz w:val="22"/>
          <w:szCs w:val="22"/>
        </w:rPr>
        <w:t xml:space="preserve">. </w:t>
      </w:r>
      <w:hyperlink r:id="rId4" w:history="1">
        <w:r w:rsidR="0043357C" w:rsidRPr="00285FB9">
          <w:rPr>
            <w:rStyle w:val="Hyperlink"/>
          </w:rPr>
          <w:t>https://www.himss.org/</w:t>
        </w:r>
      </w:hyperlink>
      <w:r w:rsidR="0043357C">
        <w:rPr>
          <w:rStyle w:val="s1"/>
        </w:rPr>
        <w:t xml:space="preserve"> . )</w:t>
      </w:r>
    </w:p>
    <w:p w14:paraId="11A831D7" w14:textId="4D7D0414" w:rsidR="003478A4" w:rsidRPr="003478A4" w:rsidRDefault="003478A4" w:rsidP="003478A4">
      <w:pPr>
        <w:rPr>
          <w:rFonts w:ascii="Aptos" w:eastAsia="Times New Roman" w:hAnsi="Aptos"/>
          <w:b/>
          <w:bCs/>
          <w:color w:val="000000"/>
          <w:sz w:val="22"/>
          <w:szCs w:val="22"/>
        </w:rPr>
      </w:pPr>
      <w:r w:rsidRPr="003478A4">
        <w:rPr>
          <w:rFonts w:ascii="Aptos" w:eastAsia="Times New Roman" w:hAnsi="Aptos"/>
          <w:b/>
          <w:bCs/>
          <w:color w:val="000000"/>
          <w:sz w:val="22"/>
          <w:szCs w:val="22"/>
        </w:rPr>
        <w:t xml:space="preserve">More coordinated treatment is another benefit of EHRs. For instance, a patient's records can be promptly transferred when they transfer from a hospital to community care or a care facility, guaranteeing treatment continuity. </w:t>
      </w:r>
      <w:proofErr w:type="spellStart"/>
      <w:r w:rsidRPr="003478A4">
        <w:rPr>
          <w:rFonts w:ascii="Aptos" w:eastAsia="Times New Roman" w:hAnsi="Aptos"/>
          <w:b/>
          <w:bCs/>
          <w:color w:val="000000"/>
          <w:sz w:val="22"/>
          <w:szCs w:val="22"/>
        </w:rPr>
        <w:t>Organization</w:t>
      </w:r>
      <w:proofErr w:type="spellEnd"/>
      <w:r w:rsidRPr="003478A4">
        <w:rPr>
          <w:rFonts w:ascii="Aptos" w:eastAsia="Times New Roman" w:hAnsi="Aptos"/>
          <w:b/>
          <w:bCs/>
          <w:color w:val="000000"/>
          <w:sz w:val="22"/>
          <w:szCs w:val="22"/>
        </w:rPr>
        <w:t xml:space="preserve"> and patient participation are enhanced with automated appointment, immunisation, and follow-up reminders.</w:t>
      </w:r>
    </w:p>
    <w:p w14:paraId="125E5383" w14:textId="271A5624" w:rsidR="00B6693C" w:rsidRDefault="003478A4" w:rsidP="00B26F4F">
      <w:pPr>
        <w:pStyle w:val="p1"/>
        <w:rPr>
          <w:rFonts w:ascii="Aptos" w:eastAsia="Times New Roman" w:hAnsi="Aptos"/>
          <w:b/>
          <w:bCs/>
          <w:color w:val="000000"/>
          <w:sz w:val="22"/>
          <w:szCs w:val="22"/>
        </w:rPr>
      </w:pPr>
      <w:r w:rsidRPr="003478A4">
        <w:rPr>
          <w:rFonts w:ascii="Aptos" w:eastAsia="Times New Roman" w:hAnsi="Aptos"/>
          <w:b/>
          <w:bCs/>
          <w:color w:val="000000"/>
          <w:sz w:val="22"/>
          <w:szCs w:val="22"/>
        </w:rPr>
        <w:t xml:space="preserve">By enhancing communication, cutting down on paperwork, and facilitating quicker decision-making, EHRs have generally improved the efficiency, accuracy, and </w:t>
      </w:r>
      <w:proofErr w:type="spellStart"/>
      <w:r w:rsidRPr="003478A4">
        <w:rPr>
          <w:rFonts w:ascii="Aptos" w:eastAsia="Times New Roman" w:hAnsi="Aptos"/>
          <w:b/>
          <w:bCs/>
          <w:color w:val="000000"/>
          <w:sz w:val="22"/>
          <w:szCs w:val="22"/>
        </w:rPr>
        <w:t>patient-centeredness</w:t>
      </w:r>
      <w:proofErr w:type="spellEnd"/>
      <w:r w:rsidRPr="003478A4">
        <w:rPr>
          <w:rFonts w:ascii="Aptos" w:eastAsia="Times New Roman" w:hAnsi="Aptos"/>
          <w:b/>
          <w:bCs/>
          <w:color w:val="000000"/>
          <w:sz w:val="22"/>
          <w:szCs w:val="22"/>
        </w:rPr>
        <w:t xml:space="preserve"> of service delivery</w:t>
      </w:r>
      <w:r w:rsidR="00B26F4F">
        <w:rPr>
          <w:rFonts w:ascii="Aptos" w:eastAsia="Times New Roman" w:hAnsi="Aptos"/>
          <w:b/>
          <w:bCs/>
          <w:color w:val="000000"/>
          <w:sz w:val="22"/>
          <w:szCs w:val="22"/>
        </w:rPr>
        <w:t xml:space="preserve"> </w:t>
      </w:r>
      <w:r w:rsidR="0073220B">
        <w:rPr>
          <w:rFonts w:ascii="Aptos" w:eastAsia="Times New Roman" w:hAnsi="Aptos"/>
          <w:b/>
          <w:bCs/>
          <w:color w:val="000000"/>
          <w:sz w:val="22"/>
          <w:szCs w:val="22"/>
        </w:rPr>
        <w:t>(National</w:t>
      </w:r>
      <w:r w:rsidR="00BF5968">
        <w:rPr>
          <w:rFonts w:ascii="Aptos" w:eastAsia="Times New Roman" w:hAnsi="Aptos"/>
          <w:b/>
          <w:bCs/>
          <w:color w:val="000000"/>
          <w:sz w:val="22"/>
          <w:szCs w:val="22"/>
        </w:rPr>
        <w:t xml:space="preserve"> health service NHS 2019</w:t>
      </w:r>
      <w:r w:rsidR="00850CEE">
        <w:rPr>
          <w:rFonts w:ascii="Aptos" w:eastAsia="Times New Roman" w:hAnsi="Aptos"/>
          <w:b/>
          <w:bCs/>
          <w:color w:val="000000"/>
          <w:sz w:val="22"/>
          <w:szCs w:val="22"/>
        </w:rPr>
        <w:t>,</w:t>
      </w:r>
      <w:r w:rsidR="00BF5968">
        <w:rPr>
          <w:rFonts w:ascii="Aptos" w:eastAsia="Times New Roman" w:hAnsi="Aptos"/>
          <w:b/>
          <w:bCs/>
          <w:color w:val="000000"/>
          <w:sz w:val="22"/>
          <w:szCs w:val="22"/>
        </w:rPr>
        <w:t xml:space="preserve"> The NHS long term plan</w:t>
      </w:r>
      <w:r w:rsidR="000E2AA8">
        <w:rPr>
          <w:rFonts w:ascii="Aptos" w:eastAsia="Times New Roman" w:hAnsi="Aptos"/>
          <w:b/>
          <w:bCs/>
          <w:color w:val="000000"/>
          <w:sz w:val="22"/>
          <w:szCs w:val="22"/>
        </w:rPr>
        <w:t xml:space="preserve">. </w:t>
      </w:r>
      <w:hyperlink r:id="rId5" w:history="1">
        <w:r w:rsidR="0043357C" w:rsidRPr="00285FB9">
          <w:rPr>
            <w:rStyle w:val="Hyperlink"/>
          </w:rPr>
          <w:t>https://www.longtermplan.nhs.uk/</w:t>
        </w:r>
      </w:hyperlink>
      <w:r w:rsidR="0043357C">
        <w:rPr>
          <w:rStyle w:val="s1"/>
        </w:rPr>
        <w:t xml:space="preserve"> </w:t>
      </w:r>
      <w:r w:rsidR="00DB2020">
        <w:rPr>
          <w:rStyle w:val="s1"/>
        </w:rPr>
        <w:t>).</w:t>
      </w:r>
    </w:p>
    <w:p w14:paraId="2688D957" w14:textId="3D0D4141" w:rsidR="003B0E76" w:rsidRPr="00F00A23" w:rsidRDefault="00C3246C" w:rsidP="00B26F4F">
      <w:pPr>
        <w:pStyle w:val="p1"/>
        <w:rPr>
          <w:rFonts w:asciiTheme="minorHAnsi" w:hAnsiTheme="minorHAnsi"/>
          <w:b/>
          <w:bCs/>
          <w:sz w:val="22"/>
          <w:szCs w:val="22"/>
        </w:rPr>
      </w:pPr>
      <w:r w:rsidRPr="003B0E76">
        <w:rPr>
          <w:rFonts w:asciiTheme="minorHAnsi" w:hAnsiTheme="minorHAnsi"/>
          <w:b/>
          <w:bCs/>
          <w:sz w:val="22"/>
          <w:szCs w:val="22"/>
        </w:rPr>
        <w:t xml:space="preserve">Electronic Health Records (EHRs) are one example of a technology that has significantly changed how patients and service users view and interact with their care. Systems created by businesses like Epic Systems and utilised by institutions like the National Health Service (NHS) enable the safe storage and exchange of patient data between healthcare providers, which can boost trust in the standard and security of treatment. Positively, many patients are comforted by the knowledge that the various medical personnel involved in their care have access to correct and current information. This can result in quicker diagnosis and safer prescriptions by reducing the need to continuously </w:t>
      </w:r>
      <w:proofErr w:type="spellStart"/>
      <w:r w:rsidRPr="003B0E76">
        <w:rPr>
          <w:rFonts w:asciiTheme="minorHAnsi" w:hAnsiTheme="minorHAnsi"/>
          <w:b/>
          <w:bCs/>
          <w:sz w:val="22"/>
          <w:szCs w:val="22"/>
        </w:rPr>
        <w:t>describe their medical history</w:t>
      </w:r>
      <w:r w:rsidR="00C3197A">
        <w:rPr>
          <w:rFonts w:asciiTheme="minorHAnsi" w:hAnsiTheme="minorHAnsi"/>
          <w:b/>
          <w:bCs/>
          <w:sz w:val="22"/>
          <w:szCs w:val="22"/>
        </w:rPr>
        <w:t xml:space="preserve"> (</w:t>
      </w:r>
      <w:r w:rsidR="00F00A23">
        <w:rPr>
          <w:rFonts w:asciiTheme="minorHAnsi" w:hAnsiTheme="minorHAnsi"/>
          <w:b/>
          <w:bCs/>
          <w:sz w:val="22"/>
          <w:szCs w:val="22"/>
        </w:rPr>
        <w:t>Alrazaa,2021).</w:t>
      </w:r>
      <w:proofErr w:type="spellEnd"/>
    </w:p>
    <w:p w14:paraId="752602F8" w14:textId="2ACE42DF" w:rsidR="008A490D" w:rsidRDefault="008A490D" w:rsidP="00B26F4F">
      <w:pPr>
        <w:pStyle w:val="p1"/>
        <w:rPr>
          <w:rFonts w:asciiTheme="minorHAnsi" w:hAnsiTheme="minorHAnsi"/>
          <w:b/>
          <w:bCs/>
          <w:sz w:val="22"/>
          <w:szCs w:val="22"/>
        </w:rPr>
      </w:pPr>
      <w:r w:rsidRPr="008A490D">
        <w:rPr>
          <w:rFonts w:asciiTheme="minorHAnsi" w:hAnsiTheme="minorHAnsi"/>
          <w:b/>
          <w:bCs/>
          <w:sz w:val="22"/>
          <w:szCs w:val="22"/>
        </w:rPr>
        <w:t>In order to encourage autonomy and decision-making participation, patient portals connected to EHR systems also enable users to check test results, schedule appointments, and access portions of their information. Trust in services and a sense of empowerment may rise as a result.</w:t>
      </w:r>
      <w:r>
        <w:rPr>
          <w:rFonts w:asciiTheme="minorHAnsi" w:hAnsiTheme="minorHAnsi"/>
          <w:b/>
          <w:bCs/>
          <w:sz w:val="22"/>
          <w:szCs w:val="22"/>
        </w:rPr>
        <w:t xml:space="preserve"> </w:t>
      </w:r>
      <w:r w:rsidRPr="008A490D">
        <w:rPr>
          <w:rFonts w:asciiTheme="minorHAnsi" w:hAnsiTheme="minorHAnsi"/>
          <w:b/>
          <w:bCs/>
          <w:sz w:val="22"/>
          <w:szCs w:val="22"/>
        </w:rPr>
        <w:t xml:space="preserve">However, some patients could be worried about the confidentiality and privacy of their data. Their sense of safety may be impacted by concerns about who can access their records or the possibility of cyberattacks. Furthermore, some service users believe that when experts concentrate on computer screens instead of making direct eye contact during consultations, the human connection is </w:t>
      </w:r>
      <w:r w:rsidR="0073220B" w:rsidRPr="008A490D">
        <w:rPr>
          <w:rFonts w:asciiTheme="minorHAnsi" w:hAnsiTheme="minorHAnsi"/>
          <w:b/>
          <w:bCs/>
          <w:sz w:val="22"/>
          <w:szCs w:val="22"/>
        </w:rPr>
        <w:t>diminished,</w:t>
      </w:r>
      <w:r w:rsidRPr="008A490D">
        <w:rPr>
          <w:rFonts w:asciiTheme="minorHAnsi" w:hAnsiTheme="minorHAnsi"/>
          <w:b/>
          <w:bCs/>
          <w:sz w:val="22"/>
          <w:szCs w:val="22"/>
        </w:rPr>
        <w:t xml:space="preserve"> and the care feels less intimate.</w:t>
      </w:r>
      <w:r>
        <w:rPr>
          <w:rFonts w:asciiTheme="minorHAnsi" w:hAnsiTheme="minorHAnsi"/>
          <w:b/>
          <w:bCs/>
          <w:sz w:val="22"/>
          <w:szCs w:val="22"/>
        </w:rPr>
        <w:t xml:space="preserve"> </w:t>
      </w:r>
      <w:r w:rsidRPr="008A490D">
        <w:rPr>
          <w:rFonts w:asciiTheme="minorHAnsi" w:hAnsiTheme="minorHAnsi"/>
          <w:b/>
          <w:bCs/>
          <w:sz w:val="22"/>
          <w:szCs w:val="22"/>
        </w:rPr>
        <w:t>Given the circumstances, EHR technology can improve patient experience by increasing safety, transparency, and involvement in care; nevertheless, in order to sustain patient trust, organisations must provide robust data protection measures and effective communication</w:t>
      </w:r>
      <w:r w:rsidR="00C3197A">
        <w:rPr>
          <w:rFonts w:asciiTheme="minorHAnsi" w:hAnsiTheme="minorHAnsi"/>
          <w:b/>
          <w:bCs/>
          <w:sz w:val="22"/>
          <w:szCs w:val="22"/>
        </w:rPr>
        <w:t xml:space="preserve"> </w:t>
      </w:r>
      <w:r w:rsidR="004C673B">
        <w:rPr>
          <w:rFonts w:asciiTheme="minorHAnsi" w:hAnsiTheme="minorHAnsi"/>
          <w:b/>
          <w:bCs/>
          <w:sz w:val="22"/>
          <w:szCs w:val="22"/>
        </w:rPr>
        <w:t>(Li</w:t>
      </w:r>
      <w:r w:rsidR="00C3197A">
        <w:rPr>
          <w:rFonts w:asciiTheme="minorHAnsi" w:hAnsiTheme="minorHAnsi"/>
          <w:b/>
          <w:bCs/>
          <w:sz w:val="22"/>
          <w:szCs w:val="22"/>
        </w:rPr>
        <w:t>,20</w:t>
      </w:r>
      <w:r w:rsidR="00291127">
        <w:rPr>
          <w:rFonts w:asciiTheme="minorHAnsi" w:hAnsiTheme="minorHAnsi"/>
          <w:b/>
          <w:bCs/>
          <w:sz w:val="22"/>
          <w:szCs w:val="22"/>
        </w:rPr>
        <w:t>24).</w:t>
      </w:r>
    </w:p>
    <w:p w14:paraId="2C0E7BB9" w14:textId="77777777" w:rsidR="00AA7679" w:rsidRPr="00AA7679" w:rsidRDefault="00AA7679" w:rsidP="00AA7679">
      <w:pPr>
        <w:pStyle w:val="p1"/>
        <w:rPr>
          <w:rFonts w:asciiTheme="minorHAnsi" w:hAnsiTheme="minorHAnsi"/>
          <w:b/>
          <w:bCs/>
          <w:sz w:val="22"/>
          <w:szCs w:val="22"/>
        </w:rPr>
      </w:pPr>
      <w:r w:rsidRPr="00AA7679">
        <w:rPr>
          <w:rFonts w:asciiTheme="minorHAnsi" w:hAnsiTheme="minorHAnsi"/>
          <w:b/>
          <w:bCs/>
          <w:sz w:val="22"/>
          <w:szCs w:val="22"/>
        </w:rPr>
        <w:t>Electronic Health Records (EHRs) have improved the delivery of services across various sites and supported broader public health planning, which has had an impact on community health and social care. Digital record systems allow safe access to patient data in hospitals, GP offices, assisted living facilities, and home visits within agencies like the National Health Service (NHS). For people with long-term diseases who receive support from several services in several settings, this enhances continuity of care.</w:t>
      </w:r>
    </w:p>
    <w:p w14:paraId="42AD21D4" w14:textId="77777777" w:rsidR="00AA7679" w:rsidRPr="00AA7679" w:rsidRDefault="00AA7679" w:rsidP="00AA7679">
      <w:pPr>
        <w:pStyle w:val="p1"/>
        <w:rPr>
          <w:rFonts w:asciiTheme="minorHAnsi" w:hAnsiTheme="minorHAnsi"/>
          <w:b/>
          <w:bCs/>
          <w:sz w:val="22"/>
          <w:szCs w:val="22"/>
        </w:rPr>
      </w:pPr>
    </w:p>
    <w:p w14:paraId="37A33D9F" w14:textId="39CA8172" w:rsidR="0052446A" w:rsidRPr="00B840C9" w:rsidRDefault="00AA7679" w:rsidP="0052446A">
      <w:pPr>
        <w:pStyle w:val="p1"/>
        <w:rPr>
          <w:rFonts w:asciiTheme="minorHAnsi" w:hAnsiTheme="minorHAnsi"/>
          <w:b/>
          <w:bCs/>
          <w:sz w:val="22"/>
          <w:szCs w:val="22"/>
        </w:rPr>
      </w:pPr>
      <w:r w:rsidRPr="00AA7679">
        <w:rPr>
          <w:rFonts w:asciiTheme="minorHAnsi" w:hAnsiTheme="minorHAnsi"/>
          <w:b/>
          <w:bCs/>
          <w:sz w:val="22"/>
          <w:szCs w:val="22"/>
        </w:rPr>
        <w:lastRenderedPageBreak/>
        <w:t>EHRs enable community-based workers to remotely update patient and service location data utilising secure devices. No matter where the patient is, this promotes safer and better-coordinated care by minimising redundant evaluations and guaranteeing that the patient is always receiving the most recent information.</w:t>
      </w:r>
      <w:r w:rsidR="00B840C9">
        <w:rPr>
          <w:rFonts w:asciiTheme="minorHAnsi" w:hAnsiTheme="minorHAnsi"/>
          <w:b/>
          <w:bCs/>
          <w:sz w:val="22"/>
          <w:szCs w:val="22"/>
        </w:rPr>
        <w:t xml:space="preserve"> </w:t>
      </w:r>
      <w:r w:rsidR="0052446A" w:rsidRPr="0052446A">
        <w:rPr>
          <w:rFonts w:asciiTheme="minorHAnsi" w:hAnsiTheme="minorHAnsi"/>
          <w:b/>
          <w:bCs/>
          <w:sz w:val="22"/>
          <w:szCs w:val="22"/>
        </w:rPr>
        <w:t>EHR-linked patient portals can give carers and family members access to test results, care plans, and appointment information (with patient approval). This can boost co-production—the process by which families and professionals collaborate to plan and manage care—and increase participation in decision-making. But it also highlights the necessity of robust data protection and transparent consent procedures to preserve confidentiality</w:t>
      </w:r>
      <w:r w:rsidR="00B840C9">
        <w:rPr>
          <w:rFonts w:asciiTheme="minorHAnsi" w:hAnsiTheme="minorHAnsi"/>
          <w:b/>
          <w:bCs/>
          <w:sz w:val="22"/>
          <w:szCs w:val="22"/>
        </w:rPr>
        <w:t xml:space="preserve"> (</w:t>
      </w:r>
      <w:proofErr w:type="spellStart"/>
      <w:r w:rsidR="00B840C9">
        <w:rPr>
          <w:rFonts w:asciiTheme="minorHAnsi" w:hAnsiTheme="minorHAnsi"/>
          <w:b/>
          <w:bCs/>
          <w:sz w:val="22"/>
          <w:szCs w:val="22"/>
        </w:rPr>
        <w:t>Cowie,2024</w:t>
      </w:r>
      <w:proofErr w:type="spellEnd"/>
      <w:r w:rsidR="00B840C9">
        <w:rPr>
          <w:rFonts w:asciiTheme="minorHAnsi" w:hAnsiTheme="minorHAnsi"/>
          <w:b/>
          <w:bCs/>
          <w:sz w:val="23"/>
          <w:szCs w:val="23"/>
        </w:rPr>
        <w:t>).</w:t>
      </w:r>
    </w:p>
    <w:p w14:paraId="715167A5" w14:textId="04DFC99B" w:rsidR="0052446A" w:rsidRDefault="0052446A" w:rsidP="00B26F4F">
      <w:pPr>
        <w:pStyle w:val="p1"/>
        <w:rPr>
          <w:rFonts w:asciiTheme="minorHAnsi" w:hAnsiTheme="minorHAnsi"/>
          <w:b/>
          <w:bCs/>
          <w:sz w:val="22"/>
          <w:szCs w:val="22"/>
        </w:rPr>
      </w:pPr>
      <w:r w:rsidRPr="0052446A">
        <w:rPr>
          <w:rFonts w:asciiTheme="minorHAnsi" w:hAnsiTheme="minorHAnsi"/>
          <w:b/>
          <w:bCs/>
          <w:sz w:val="22"/>
          <w:szCs w:val="22"/>
        </w:rPr>
        <w:t>From the standpoint of public health, anonymised data from EHR systems can be utilised to track vaccination uptake, spot sickness trends, and better organise community health services. Inequalities are lessened as a result of this support for early intervention techniques and resource distribution to regions with higher health needs.</w:t>
      </w:r>
      <w:r w:rsidR="003C15A1">
        <w:rPr>
          <w:rFonts w:asciiTheme="minorHAnsi" w:hAnsiTheme="minorHAnsi"/>
          <w:b/>
          <w:bCs/>
          <w:sz w:val="22"/>
          <w:szCs w:val="22"/>
        </w:rPr>
        <w:t xml:space="preserve"> </w:t>
      </w:r>
      <w:r w:rsidRPr="0052446A">
        <w:rPr>
          <w:rFonts w:asciiTheme="minorHAnsi" w:hAnsiTheme="minorHAnsi"/>
          <w:b/>
          <w:bCs/>
          <w:sz w:val="22"/>
          <w:szCs w:val="22"/>
        </w:rPr>
        <w:t xml:space="preserve">Although strong governance is necessary to preserve public confidence, EHRs often lead to better integrated, accessible, </w:t>
      </w:r>
      <w:proofErr w:type="spellStart"/>
      <w:r w:rsidRPr="0052446A">
        <w:rPr>
          <w:rFonts w:asciiTheme="minorHAnsi" w:hAnsiTheme="minorHAnsi"/>
          <w:b/>
          <w:bCs/>
          <w:sz w:val="22"/>
          <w:szCs w:val="22"/>
        </w:rPr>
        <w:t xml:space="preserve">and data-informed </w:t>
      </w:r>
      <w:proofErr w:type="spellEnd"/>
      <w:r w:rsidRPr="0052446A">
        <w:rPr>
          <w:rFonts w:asciiTheme="minorHAnsi" w:hAnsiTheme="minorHAnsi"/>
          <w:b/>
          <w:bCs/>
          <w:sz w:val="22"/>
          <w:szCs w:val="22"/>
        </w:rPr>
        <w:t>community care</w:t>
      </w:r>
      <w:r w:rsidR="00ED3BBF">
        <w:rPr>
          <w:rFonts w:asciiTheme="minorHAnsi" w:hAnsiTheme="minorHAnsi"/>
          <w:b/>
          <w:bCs/>
          <w:sz w:val="22"/>
          <w:szCs w:val="22"/>
        </w:rPr>
        <w:t xml:space="preserve"> </w:t>
      </w:r>
      <w:r w:rsidR="008523BB">
        <w:rPr>
          <w:rFonts w:asciiTheme="minorHAnsi" w:hAnsiTheme="minorHAnsi"/>
          <w:b/>
          <w:bCs/>
          <w:sz w:val="22"/>
          <w:szCs w:val="22"/>
        </w:rPr>
        <w:t>(</w:t>
      </w:r>
      <w:proofErr w:type="spellStart"/>
      <w:r w:rsidR="00001C10">
        <w:rPr>
          <w:rFonts w:asciiTheme="minorHAnsi" w:hAnsiTheme="minorHAnsi"/>
          <w:b/>
          <w:bCs/>
          <w:sz w:val="22"/>
          <w:szCs w:val="22"/>
        </w:rPr>
        <w:t>Wass</w:t>
      </w:r>
      <w:r w:rsidR="008523BB">
        <w:rPr>
          <w:rFonts w:asciiTheme="minorHAnsi" w:hAnsiTheme="minorHAnsi"/>
          <w:b/>
          <w:bCs/>
          <w:sz w:val="22"/>
          <w:szCs w:val="22"/>
        </w:rPr>
        <w:t>,2021</w:t>
      </w:r>
      <w:proofErr w:type="spellEnd"/>
      <w:r w:rsidR="008523BB">
        <w:rPr>
          <w:rFonts w:asciiTheme="minorHAnsi" w:hAnsiTheme="minorHAnsi"/>
          <w:b/>
          <w:bCs/>
          <w:sz w:val="22"/>
          <w:szCs w:val="22"/>
        </w:rPr>
        <w:t>)</w:t>
      </w:r>
    </w:p>
    <w:p w14:paraId="4C09E797" w14:textId="2AE568D2" w:rsidR="007E14DF" w:rsidRDefault="003C15A1" w:rsidP="00B26F4F">
      <w:pPr>
        <w:pStyle w:val="p1"/>
        <w:rPr>
          <w:rFonts w:asciiTheme="minorHAnsi" w:hAnsiTheme="minorHAnsi"/>
          <w:b/>
          <w:bCs/>
          <w:sz w:val="22"/>
          <w:szCs w:val="22"/>
        </w:rPr>
      </w:pPr>
      <w:r w:rsidRPr="003C15A1">
        <w:rPr>
          <w:rFonts w:asciiTheme="minorHAnsi" w:hAnsiTheme="minorHAnsi"/>
          <w:b/>
          <w:bCs/>
          <w:sz w:val="22"/>
          <w:szCs w:val="22"/>
        </w:rPr>
        <w:t>Electronic Health Records, or EHRs, enhance community partnership work and service integration, as well as coordination and public health planning. Electronic Health Records (EHRs) facilitate the exchange of real-time information between general practitioners, hospitals, social workers, mental health teams, and nonprofit organisations, thereby reducing care fragmentation in the community. For vulnerable groups including older persons, those with impairments, and people with complex health needs, in particular, this encourages a more comprehensive approach. Additionally, digital records can help safeguarding procedures by guaranteeing that pertinent experts have prompt access to correct information in the event that worries are raised. All things considered, EHRs help build a more responsive and person-centred health and social care system by improving individual patient care as well as fostering greater collaboration among community agencies</w:t>
      </w:r>
      <w:r w:rsidR="00271D98">
        <w:rPr>
          <w:rFonts w:asciiTheme="minorHAnsi" w:hAnsiTheme="minorHAnsi"/>
          <w:b/>
          <w:bCs/>
          <w:sz w:val="22"/>
          <w:szCs w:val="22"/>
        </w:rPr>
        <w:t xml:space="preserve"> (</w:t>
      </w:r>
      <w:proofErr w:type="spellStart"/>
      <w:r w:rsidR="00271D98">
        <w:rPr>
          <w:rFonts w:asciiTheme="minorHAnsi" w:hAnsiTheme="minorHAnsi"/>
          <w:b/>
          <w:bCs/>
          <w:sz w:val="22"/>
          <w:szCs w:val="22"/>
        </w:rPr>
        <w:t>Brady,2024</w:t>
      </w:r>
      <w:proofErr w:type="spellEnd"/>
      <w:r w:rsidR="00271D98">
        <w:rPr>
          <w:rFonts w:asciiTheme="minorHAnsi" w:hAnsiTheme="minorHAnsi"/>
          <w:b/>
          <w:bCs/>
          <w:sz w:val="22"/>
          <w:szCs w:val="22"/>
        </w:rPr>
        <w:t>).</w:t>
      </w:r>
    </w:p>
    <w:p w14:paraId="327D72D1" w14:textId="17EF2BF6" w:rsidR="00271D98" w:rsidRDefault="00786077" w:rsidP="00B26F4F">
      <w:pPr>
        <w:pStyle w:val="p1"/>
        <w:rPr>
          <w:rFonts w:asciiTheme="minorHAnsi" w:hAnsiTheme="minorHAnsi"/>
          <w:b/>
          <w:bCs/>
          <w:sz w:val="22"/>
          <w:szCs w:val="22"/>
        </w:rPr>
      </w:pPr>
      <w:r w:rsidRPr="00786077">
        <w:rPr>
          <w:rFonts w:asciiTheme="minorHAnsi" w:hAnsiTheme="minorHAnsi"/>
          <w:b/>
          <w:bCs/>
          <w:sz w:val="22"/>
          <w:szCs w:val="22"/>
        </w:rPr>
        <w:t>The effect of Electronic Health Records (EHRs) on digital inclusion and health disparities in the community is another crucial point to make. Not everyone has equal access to digital devices, internet connectivity, or the necessary skills to utilise them, even if EHR systems and online patient portals can improve access and convenience. If alternative help is not offered, obstacles that older persons, low-income families, and some rural communities may face could exacerbate already-existing disparities. To guarantee that services continue to be inclusive, health and social care providers must provide extra help, such as support for digital literacy, translated materials, or in-person options.</w:t>
      </w:r>
    </w:p>
    <w:p w14:paraId="6C488666" w14:textId="471DAA5D" w:rsidR="00CE7664" w:rsidRDefault="00CE7664" w:rsidP="00B26F4F">
      <w:pPr>
        <w:pStyle w:val="p1"/>
        <w:rPr>
          <w:rFonts w:asciiTheme="minorHAnsi" w:hAnsiTheme="minorHAnsi"/>
          <w:b/>
          <w:bCs/>
          <w:sz w:val="22"/>
          <w:szCs w:val="22"/>
        </w:rPr>
      </w:pPr>
      <w:r w:rsidRPr="00CE7664">
        <w:rPr>
          <w:rFonts w:asciiTheme="minorHAnsi" w:hAnsiTheme="minorHAnsi"/>
          <w:b/>
          <w:bCs/>
          <w:sz w:val="22"/>
          <w:szCs w:val="22"/>
        </w:rPr>
        <w:t>Furthermore, electronic health records can improve community emergency and crisis response. For instance, shared digital data enable experts to promptly identify at-risk individuals, plan vaccination campaigns, and track community health trends during outbreaks or public health emergencies. In addition to protecting the general welfare, this enhances responsiveness</w:t>
      </w:r>
      <w:r w:rsidR="005451AF">
        <w:rPr>
          <w:rFonts w:asciiTheme="minorHAnsi" w:hAnsiTheme="minorHAnsi"/>
          <w:b/>
          <w:bCs/>
          <w:sz w:val="22"/>
          <w:szCs w:val="22"/>
        </w:rPr>
        <w:t xml:space="preserve">. </w:t>
      </w:r>
      <w:r w:rsidRPr="00CE7664">
        <w:rPr>
          <w:rFonts w:asciiTheme="minorHAnsi" w:hAnsiTheme="minorHAnsi"/>
          <w:b/>
          <w:bCs/>
          <w:sz w:val="22"/>
          <w:szCs w:val="22"/>
        </w:rPr>
        <w:t>EHRs are an important digital innovation in contemporary health and social care because, in addition to enhancing coordination and collaboration, they also impact community care through inclusion, equality, crisis management, and long-term health planning</w:t>
      </w:r>
      <w:r w:rsidR="005451AF">
        <w:rPr>
          <w:rFonts w:asciiTheme="minorHAnsi" w:hAnsiTheme="minorHAnsi"/>
          <w:b/>
          <w:bCs/>
          <w:sz w:val="22"/>
          <w:szCs w:val="22"/>
        </w:rPr>
        <w:t xml:space="preserve"> </w:t>
      </w:r>
      <w:r w:rsidR="00C14598">
        <w:rPr>
          <w:rFonts w:asciiTheme="minorHAnsi" w:hAnsiTheme="minorHAnsi"/>
          <w:b/>
          <w:bCs/>
          <w:sz w:val="22"/>
          <w:szCs w:val="22"/>
        </w:rPr>
        <w:t>(</w:t>
      </w:r>
      <w:proofErr w:type="spellStart"/>
      <w:r w:rsidR="00C14598">
        <w:rPr>
          <w:rFonts w:asciiTheme="minorHAnsi" w:hAnsiTheme="minorHAnsi"/>
          <w:b/>
          <w:bCs/>
          <w:sz w:val="22"/>
          <w:szCs w:val="22"/>
        </w:rPr>
        <w:t>Häyrinen,2008</w:t>
      </w:r>
      <w:proofErr w:type="spellEnd"/>
      <w:r w:rsidR="00C14598">
        <w:rPr>
          <w:rFonts w:asciiTheme="minorHAnsi" w:hAnsiTheme="minorHAnsi"/>
          <w:b/>
          <w:bCs/>
          <w:sz w:val="22"/>
          <w:szCs w:val="22"/>
        </w:rPr>
        <w:t>).</w:t>
      </w:r>
    </w:p>
    <w:p w14:paraId="6805C9ED" w14:textId="469FB59D" w:rsidR="00C14598" w:rsidRPr="00903B8B" w:rsidRDefault="00600A64" w:rsidP="00B26F4F">
      <w:pPr>
        <w:pStyle w:val="p1"/>
        <w:rPr>
          <w:rFonts w:ascii=".AppleSystemUIFont" w:hAnsi=".AppleSystemUIFont"/>
          <w:sz w:val="23"/>
          <w:szCs w:val="23"/>
        </w:rPr>
      </w:pPr>
      <w:r w:rsidRPr="00600A64">
        <w:rPr>
          <w:rFonts w:asciiTheme="minorHAnsi" w:hAnsiTheme="minorHAnsi"/>
          <w:b/>
          <w:bCs/>
          <w:sz w:val="22"/>
          <w:szCs w:val="22"/>
        </w:rPr>
        <w:t xml:space="preserve">on social care and community health by facilitating better access to services across geographical boundaries and fostering greater cooperation between healthcare providers, patients, and families. In institutions like the National Health Service (NHS), electronic </w:t>
      </w:r>
      <w:r w:rsidRPr="00600A64">
        <w:rPr>
          <w:rFonts w:asciiTheme="minorHAnsi" w:hAnsiTheme="minorHAnsi"/>
          <w:b/>
          <w:bCs/>
          <w:sz w:val="22"/>
          <w:szCs w:val="22"/>
        </w:rPr>
        <w:lastRenderedPageBreak/>
        <w:t>health record (EHR) systems enable safe access to patient data in hospitals, general practitioners' offices, assisted living facilities, and during home visits. This guarantees that the patient will receive care no matter where they receive assistance.</w:t>
      </w:r>
      <w:r>
        <w:rPr>
          <w:rFonts w:asciiTheme="minorHAnsi" w:hAnsiTheme="minorHAnsi"/>
          <w:b/>
          <w:bCs/>
          <w:sz w:val="22"/>
          <w:szCs w:val="22"/>
        </w:rPr>
        <w:t xml:space="preserve"> </w:t>
      </w:r>
      <w:r w:rsidR="00AF6D86" w:rsidRPr="00AF6D86">
        <w:rPr>
          <w:rFonts w:asciiTheme="minorHAnsi" w:hAnsiTheme="minorHAnsi"/>
          <w:b/>
          <w:bCs/>
          <w:sz w:val="22"/>
          <w:szCs w:val="22"/>
        </w:rPr>
        <w:t>Co-production, in which patients and professionals collaborate to plan and manage care, is supported by patient portals connected to electronic health records (EHRs) that allow family members and carers to participate in care planning, appointment scheduling, and treatment monitoring (with consent). Anonymised data from EHR systems can also be utilised for public health monitoring, assisting in the tracking of vaccination uptake, the identification of disease patterns, and the more efficient planning of community services. In general, EHRs improve integration, the delivery of treatment in the community, and well-informed public health decision-making; nonetheless, they necessitate robust governance to preserve confidentiality and confidence</w:t>
      </w:r>
      <w:r w:rsidR="000C0469">
        <w:rPr>
          <w:rFonts w:asciiTheme="minorHAnsi" w:hAnsiTheme="minorHAnsi"/>
          <w:b/>
          <w:bCs/>
          <w:sz w:val="22"/>
          <w:szCs w:val="22"/>
        </w:rPr>
        <w:t xml:space="preserve"> </w:t>
      </w:r>
      <w:r w:rsidR="00903B8B">
        <w:rPr>
          <w:rFonts w:asciiTheme="minorHAnsi" w:hAnsiTheme="minorHAnsi"/>
          <w:b/>
          <w:bCs/>
          <w:sz w:val="22"/>
          <w:szCs w:val="22"/>
        </w:rPr>
        <w:t>(</w:t>
      </w:r>
      <w:proofErr w:type="spellStart"/>
      <w:r w:rsidR="00903B8B">
        <w:rPr>
          <w:rFonts w:asciiTheme="minorHAnsi" w:hAnsiTheme="minorHAnsi"/>
          <w:b/>
          <w:bCs/>
          <w:sz w:val="22"/>
          <w:szCs w:val="22"/>
        </w:rPr>
        <w:t>Nadarajah</w:t>
      </w:r>
      <w:r w:rsidR="000C0469">
        <w:rPr>
          <w:rFonts w:asciiTheme="minorHAnsi" w:hAnsiTheme="minorHAnsi"/>
          <w:b/>
          <w:bCs/>
          <w:sz w:val="22"/>
          <w:szCs w:val="22"/>
        </w:rPr>
        <w:t>,2022</w:t>
      </w:r>
      <w:proofErr w:type="spellEnd"/>
      <w:r w:rsidR="000C0469">
        <w:rPr>
          <w:rFonts w:asciiTheme="minorHAnsi" w:hAnsiTheme="minorHAnsi"/>
          <w:b/>
          <w:bCs/>
          <w:sz w:val="22"/>
          <w:szCs w:val="22"/>
        </w:rPr>
        <w:t>).</w:t>
      </w:r>
    </w:p>
    <w:p w14:paraId="67D9D11B" w14:textId="77777777" w:rsidR="001C4909" w:rsidRDefault="00E37B33" w:rsidP="00B26F4F">
      <w:pPr>
        <w:pStyle w:val="p1"/>
        <w:rPr>
          <w:rFonts w:asciiTheme="minorHAnsi" w:hAnsiTheme="minorHAnsi"/>
          <w:b/>
          <w:bCs/>
          <w:sz w:val="22"/>
          <w:szCs w:val="22"/>
        </w:rPr>
      </w:pPr>
      <w:r w:rsidRPr="00E37B33">
        <w:rPr>
          <w:rFonts w:asciiTheme="minorHAnsi" w:hAnsiTheme="minorHAnsi"/>
          <w:b/>
          <w:bCs/>
          <w:sz w:val="22"/>
          <w:szCs w:val="22"/>
        </w:rPr>
        <w:t>Additionally, by decreasing the division between health and social care providers, Electronic Health Records (EHRs) promote improved service coordination within local communities. To avoid delays or gaps in care, for instance, a patient's digital record can be quickly shared with social workers, community nurses, and care home staff upon their discharge from the hospital. Hospital readmissions are decreased and patient safety is enhanced. Early intervention techniques are also supported by EHRs since shared information can draw attention to long-term condition management requirements, mental health hazards, or safeguarding concerns, enabling agencies to take proactive measures.</w:t>
      </w:r>
    </w:p>
    <w:p w14:paraId="370559C6" w14:textId="5898D60D" w:rsidR="00CF1F07" w:rsidRDefault="00CF1F07" w:rsidP="00B26F4F">
      <w:pPr>
        <w:pStyle w:val="p1"/>
        <w:rPr>
          <w:rFonts w:asciiTheme="minorHAnsi" w:hAnsiTheme="minorHAnsi"/>
          <w:b/>
          <w:bCs/>
          <w:sz w:val="22"/>
          <w:szCs w:val="22"/>
        </w:rPr>
      </w:pPr>
      <w:r>
        <w:rPr>
          <w:rFonts w:asciiTheme="minorHAnsi" w:hAnsiTheme="minorHAnsi"/>
          <w:b/>
          <w:bCs/>
          <w:sz w:val="22"/>
          <w:szCs w:val="22"/>
        </w:rPr>
        <w:t xml:space="preserve"> </w:t>
      </w:r>
      <w:r w:rsidRPr="00CF1F07">
        <w:rPr>
          <w:rFonts w:asciiTheme="minorHAnsi" w:hAnsiTheme="minorHAnsi"/>
          <w:b/>
          <w:bCs/>
          <w:sz w:val="22"/>
          <w:szCs w:val="22"/>
        </w:rPr>
        <w:t>Aggregated (anonymised) EHR data supports health institutions in monitoring the incidence of chronic diseases, identifying disparities in service access, and more efficiently allocating resources from the standpoint of the larger population. However, in order to guarantee equitable access, services must address digital exclusion by offering assistance to those who might have trouble using technology. The delivery of community-based care is often strengthened by EHRs, which also promote teamwork and lead to better population health outcomes</w:t>
      </w:r>
      <w:r w:rsidR="0059334E">
        <w:rPr>
          <w:rFonts w:asciiTheme="minorHAnsi" w:hAnsiTheme="minorHAnsi"/>
          <w:b/>
          <w:bCs/>
          <w:sz w:val="22"/>
          <w:szCs w:val="22"/>
        </w:rPr>
        <w:t xml:space="preserve"> (Howard,2012).</w:t>
      </w:r>
    </w:p>
    <w:p w14:paraId="33553623" w14:textId="12D4EF5F" w:rsidR="0059334E" w:rsidRDefault="00956D28" w:rsidP="00B26F4F">
      <w:pPr>
        <w:pStyle w:val="p1"/>
        <w:rPr>
          <w:rFonts w:asciiTheme="minorHAnsi" w:hAnsiTheme="minorHAnsi"/>
          <w:b/>
          <w:bCs/>
          <w:sz w:val="22"/>
          <w:szCs w:val="22"/>
        </w:rPr>
      </w:pPr>
      <w:r w:rsidRPr="00956D28">
        <w:rPr>
          <w:rFonts w:asciiTheme="minorHAnsi" w:hAnsiTheme="minorHAnsi"/>
          <w:b/>
          <w:bCs/>
          <w:sz w:val="22"/>
          <w:szCs w:val="22"/>
        </w:rPr>
        <w:t>An important technical advancement in health and social care is the widespread use of electronic health records (EHRs) in institutions like the National Health Service (NHS) in the United Kingdom. By decreasing prescription errors, providing immediate access to medical histories, and facilitating improved communication between healthcare providers in hospitals, general practitioners' offices, and community agencies, electronic health records (EHRs) promote patient safety. They increase productivity by minimising paperwork, expediting referrals, and avoiding test duplication. Through online portals, EHR systems also enable patients to participate more actively in decision-making and receive better treatment transparency.</w:t>
      </w:r>
      <w:r w:rsidR="003638AD">
        <w:rPr>
          <w:rFonts w:asciiTheme="minorHAnsi" w:hAnsiTheme="minorHAnsi"/>
          <w:b/>
          <w:bCs/>
          <w:sz w:val="22"/>
          <w:szCs w:val="22"/>
        </w:rPr>
        <w:t xml:space="preserve"> </w:t>
      </w:r>
      <w:r w:rsidR="003638AD" w:rsidRPr="003638AD">
        <w:rPr>
          <w:rFonts w:asciiTheme="minorHAnsi" w:hAnsiTheme="minorHAnsi"/>
          <w:b/>
          <w:bCs/>
          <w:sz w:val="22"/>
          <w:szCs w:val="22"/>
        </w:rPr>
        <w:t>Negative effects must be taken into account, though. The deployment of EHR systems necessitates substantial staff training and might be expensive. Care can be delayed and services disrupted by system outages or technical issues. Additionally, there are worries about cybersecurity threats, data privacy, and possible compromises of private data. More screen time during consultations, according to some patients, diminishes face-to-face communication with medical staff. Overall, even if EHRs greatly enhance patient safety and service delivery, cautious management, robust data protection, and continual training are necessary to reduce risks and guarantee successful results</w:t>
      </w:r>
      <w:r w:rsidR="00F14389">
        <w:rPr>
          <w:rFonts w:asciiTheme="minorHAnsi" w:hAnsiTheme="minorHAnsi"/>
          <w:b/>
          <w:bCs/>
          <w:sz w:val="22"/>
          <w:szCs w:val="22"/>
        </w:rPr>
        <w:t xml:space="preserve"> </w:t>
      </w:r>
      <w:r w:rsidR="00CB1DFA">
        <w:rPr>
          <w:rFonts w:asciiTheme="minorHAnsi" w:hAnsiTheme="minorHAnsi"/>
          <w:b/>
          <w:bCs/>
          <w:sz w:val="22"/>
          <w:szCs w:val="22"/>
        </w:rPr>
        <w:t>(</w:t>
      </w:r>
      <w:proofErr w:type="spellStart"/>
      <w:r w:rsidR="00CB1DFA">
        <w:rPr>
          <w:rFonts w:asciiTheme="minorHAnsi" w:hAnsiTheme="minorHAnsi"/>
          <w:b/>
          <w:bCs/>
          <w:sz w:val="22"/>
          <w:szCs w:val="22"/>
        </w:rPr>
        <w:t>Ventura,2011</w:t>
      </w:r>
      <w:proofErr w:type="spellEnd"/>
      <w:r w:rsidR="00CB1DFA">
        <w:rPr>
          <w:rFonts w:asciiTheme="minorHAnsi" w:hAnsiTheme="minorHAnsi"/>
          <w:b/>
          <w:bCs/>
          <w:sz w:val="22"/>
          <w:szCs w:val="22"/>
        </w:rPr>
        <w:t>)</w:t>
      </w:r>
    </w:p>
    <w:p w14:paraId="4C4A58F7" w14:textId="77777777" w:rsidR="005D5861" w:rsidRPr="005D5861" w:rsidRDefault="005D5861" w:rsidP="005D5861">
      <w:pPr>
        <w:pStyle w:val="p1"/>
        <w:rPr>
          <w:rFonts w:asciiTheme="minorHAnsi" w:hAnsiTheme="minorHAnsi"/>
          <w:b/>
          <w:bCs/>
          <w:sz w:val="22"/>
          <w:szCs w:val="22"/>
        </w:rPr>
      </w:pPr>
      <w:r w:rsidRPr="005D5861">
        <w:rPr>
          <w:rFonts w:asciiTheme="minorHAnsi" w:hAnsiTheme="minorHAnsi"/>
          <w:b/>
          <w:bCs/>
          <w:sz w:val="22"/>
          <w:szCs w:val="22"/>
        </w:rPr>
        <w:t xml:space="preserve">To sum up, the National Health Service (NHS) and other health and social care services throughout the United Kingdom have seen a transformation because to the important digital breakthrough known as Electronic Health Records (EHRs). They have increased </w:t>
      </w:r>
      <w:r w:rsidRPr="005D5861">
        <w:rPr>
          <w:rFonts w:asciiTheme="minorHAnsi" w:hAnsiTheme="minorHAnsi"/>
          <w:b/>
          <w:bCs/>
          <w:sz w:val="22"/>
          <w:szCs w:val="22"/>
        </w:rPr>
        <w:lastRenderedPageBreak/>
        <w:t>service efficiency, bolstered professional communication, improved patient safety, and facilitated better continuity of treatment across several sites. Additionally, EHRs encourage increased patient and family participation and provide useful information for service development and public health planning.</w:t>
      </w:r>
    </w:p>
    <w:p w14:paraId="5B43D9FD" w14:textId="77777777" w:rsidR="005D5861" w:rsidRPr="005D5861" w:rsidRDefault="005D5861" w:rsidP="005D5861">
      <w:pPr>
        <w:pStyle w:val="p1"/>
        <w:rPr>
          <w:rFonts w:asciiTheme="minorHAnsi" w:hAnsiTheme="minorHAnsi"/>
          <w:b/>
          <w:bCs/>
          <w:sz w:val="22"/>
          <w:szCs w:val="22"/>
        </w:rPr>
      </w:pPr>
    </w:p>
    <w:p w14:paraId="4625E6E5" w14:textId="550EAC14" w:rsidR="00CB1DFA" w:rsidRDefault="005D5861" w:rsidP="00B26F4F">
      <w:pPr>
        <w:pStyle w:val="p1"/>
        <w:rPr>
          <w:rFonts w:asciiTheme="minorHAnsi" w:hAnsiTheme="minorHAnsi"/>
          <w:b/>
          <w:bCs/>
          <w:sz w:val="22"/>
          <w:szCs w:val="22"/>
        </w:rPr>
      </w:pPr>
      <w:r w:rsidRPr="005D5861">
        <w:rPr>
          <w:rFonts w:asciiTheme="minorHAnsi" w:hAnsiTheme="minorHAnsi"/>
          <w:b/>
          <w:bCs/>
          <w:sz w:val="22"/>
          <w:szCs w:val="22"/>
        </w:rPr>
        <w:t>Notwithstanding these advantages, however, there are still issues that need to be properly addressed, including high installation costs, the requirement for worker training, cybersecurity threats, and worries about less in-person interaction.</w:t>
      </w:r>
    </w:p>
    <w:p w14:paraId="2A21DABC" w14:textId="14C453F8" w:rsidR="005D5861" w:rsidRDefault="005D5861" w:rsidP="00B26F4F">
      <w:pPr>
        <w:pStyle w:val="p1"/>
        <w:rPr>
          <w:rFonts w:asciiTheme="minorHAnsi" w:hAnsiTheme="minorHAnsi"/>
          <w:b/>
          <w:bCs/>
          <w:sz w:val="22"/>
          <w:szCs w:val="22"/>
          <w:u w:val="single"/>
        </w:rPr>
      </w:pPr>
      <w:r w:rsidRPr="005D5861">
        <w:rPr>
          <w:rFonts w:asciiTheme="minorHAnsi" w:hAnsiTheme="minorHAnsi"/>
          <w:b/>
          <w:bCs/>
          <w:sz w:val="22"/>
          <w:szCs w:val="22"/>
          <w:u w:val="single"/>
        </w:rPr>
        <w:t>Reference</w:t>
      </w:r>
      <w:r>
        <w:rPr>
          <w:rFonts w:asciiTheme="minorHAnsi" w:hAnsiTheme="minorHAnsi"/>
          <w:b/>
          <w:bCs/>
          <w:sz w:val="22"/>
          <w:szCs w:val="22"/>
          <w:u w:val="single"/>
        </w:rPr>
        <w:t xml:space="preserve"> list</w:t>
      </w:r>
    </w:p>
    <w:p w14:paraId="4C59E8C9" w14:textId="2A19DE49" w:rsidR="00096A4F" w:rsidRPr="003D1E90" w:rsidRDefault="00096A4F" w:rsidP="00096A4F">
      <w:pPr>
        <w:spacing w:after="0" w:line="240" w:lineRule="auto"/>
        <w:rPr>
          <w:rFonts w:cs="Times New Roman"/>
          <w:b/>
          <w:bCs/>
          <w:kern w:val="0"/>
          <w:sz w:val="22"/>
          <w:szCs w:val="22"/>
          <w14:ligatures w14:val="none"/>
        </w:rPr>
      </w:pPr>
      <w:r w:rsidRPr="00096A4F">
        <w:rPr>
          <w:rFonts w:cs="Times New Roman"/>
          <w:b/>
          <w:bCs/>
          <w:kern w:val="0"/>
          <w:sz w:val="22"/>
          <w:szCs w:val="22"/>
          <w14:ligatures w14:val="none"/>
        </w:rPr>
        <w:t xml:space="preserve">Definition, structure, content, use and impacts of electronic health records </w:t>
      </w:r>
      <w:proofErr w:type="spellStart"/>
      <w:r w:rsidRPr="00096A4F">
        <w:rPr>
          <w:rFonts w:cs="Times New Roman"/>
          <w:b/>
          <w:bCs/>
          <w:kern w:val="0"/>
          <w:sz w:val="22"/>
          <w:szCs w:val="22"/>
          <w14:ligatures w14:val="none"/>
        </w:rPr>
        <w:t>Kristiina</w:t>
      </w:r>
      <w:proofErr w:type="spellEnd"/>
      <w:r w:rsidRPr="00096A4F">
        <w:rPr>
          <w:rFonts w:cs="Times New Roman"/>
          <w:b/>
          <w:bCs/>
          <w:kern w:val="0"/>
          <w:sz w:val="22"/>
          <w:szCs w:val="22"/>
          <w14:ligatures w14:val="none"/>
        </w:rPr>
        <w:t xml:space="preserve"> </w:t>
      </w:r>
      <w:proofErr w:type="spellStart"/>
      <w:r w:rsidRPr="00096A4F">
        <w:rPr>
          <w:rFonts w:cs="Times New Roman"/>
          <w:b/>
          <w:bCs/>
          <w:kern w:val="0"/>
          <w:sz w:val="22"/>
          <w:szCs w:val="22"/>
          <w14:ligatures w14:val="none"/>
        </w:rPr>
        <w:t>Häyrinen</w:t>
      </w:r>
      <w:r w:rsidR="002716B7" w:rsidRPr="003D1E90">
        <w:rPr>
          <w:rFonts w:cs="Times New Roman"/>
          <w:b/>
          <w:bCs/>
          <w:kern w:val="0"/>
          <w:sz w:val="22"/>
          <w:szCs w:val="22"/>
          <w14:ligatures w14:val="none"/>
        </w:rPr>
        <w:t>,</w:t>
      </w:r>
      <w:r w:rsidRPr="00096A4F">
        <w:rPr>
          <w:rFonts w:cs="Times New Roman"/>
          <w:b/>
          <w:bCs/>
          <w:kern w:val="0"/>
          <w:sz w:val="22"/>
          <w:szCs w:val="22"/>
          <w14:ligatures w14:val="none"/>
        </w:rPr>
        <w:t>2008</w:t>
      </w:r>
      <w:proofErr w:type="spellEnd"/>
      <w:r w:rsidRPr="00096A4F">
        <w:rPr>
          <w:rFonts w:cs="Times New Roman"/>
          <w:b/>
          <w:bCs/>
          <w:kern w:val="0"/>
          <w:sz w:val="22"/>
          <w:szCs w:val="22"/>
          <w14:ligatures w14:val="none"/>
        </w:rPr>
        <w:t> </w:t>
      </w:r>
    </w:p>
    <w:p w14:paraId="50E6CBDF" w14:textId="77777777" w:rsidR="002B0A3E" w:rsidRPr="00096A4F" w:rsidRDefault="002B0A3E" w:rsidP="00096A4F">
      <w:pPr>
        <w:spacing w:after="0" w:line="240" w:lineRule="auto"/>
        <w:rPr>
          <w:rFonts w:cs="Times New Roman"/>
          <w:b/>
          <w:bCs/>
          <w:kern w:val="0"/>
          <w:sz w:val="22"/>
          <w:szCs w:val="22"/>
          <w14:ligatures w14:val="none"/>
        </w:rPr>
      </w:pPr>
    </w:p>
    <w:p w14:paraId="5DDB2189" w14:textId="6216E239" w:rsidR="002B0A3E" w:rsidRPr="002B0A3E" w:rsidRDefault="002B0A3E" w:rsidP="002B0A3E">
      <w:pPr>
        <w:spacing w:after="0" w:line="240" w:lineRule="auto"/>
        <w:rPr>
          <w:rFonts w:cs="Times New Roman"/>
          <w:b/>
          <w:bCs/>
          <w:kern w:val="0"/>
          <w:sz w:val="22"/>
          <w:szCs w:val="22"/>
          <w14:ligatures w14:val="none"/>
        </w:rPr>
      </w:pPr>
      <w:r w:rsidRPr="002B0A3E">
        <w:rPr>
          <w:rFonts w:cs="Times New Roman"/>
          <w:b/>
          <w:bCs/>
          <w:kern w:val="0"/>
          <w:sz w:val="22"/>
          <w:szCs w:val="22"/>
          <w14:ligatures w14:val="none"/>
        </w:rPr>
        <w:t>Electronic Health Record (EHR)-Based Community Health Measures: An Exploratory Assessment of Perceived Usefulness by Local Health Departments Comer,2018</w:t>
      </w:r>
    </w:p>
    <w:p w14:paraId="3AA25E16" w14:textId="77777777" w:rsidR="002B0A3E" w:rsidRPr="002B0A3E" w:rsidRDefault="002B0A3E" w:rsidP="002B0A3E">
      <w:pPr>
        <w:spacing w:after="0" w:line="240" w:lineRule="auto"/>
        <w:rPr>
          <w:rFonts w:cs="Times New Roman"/>
          <w:b/>
          <w:bCs/>
          <w:kern w:val="0"/>
          <w:sz w:val="22"/>
          <w:szCs w:val="22"/>
          <w14:ligatures w14:val="none"/>
        </w:rPr>
      </w:pPr>
    </w:p>
    <w:p w14:paraId="5DA11C1F" w14:textId="3A4325C4" w:rsidR="002B0A3E" w:rsidRPr="003D1E90" w:rsidRDefault="002B0A3E" w:rsidP="002B0A3E">
      <w:pPr>
        <w:spacing w:after="0" w:line="240" w:lineRule="auto"/>
        <w:rPr>
          <w:rFonts w:cs="Times New Roman"/>
          <w:b/>
          <w:bCs/>
          <w:kern w:val="0"/>
          <w:sz w:val="22"/>
          <w:szCs w:val="22"/>
          <w14:ligatures w14:val="none"/>
        </w:rPr>
      </w:pPr>
      <w:r w:rsidRPr="002B0A3E">
        <w:rPr>
          <w:rFonts w:cs="Times New Roman"/>
          <w:b/>
          <w:bCs/>
          <w:kern w:val="0"/>
          <w:sz w:val="22"/>
          <w:szCs w:val="22"/>
          <w14:ligatures w14:val="none"/>
        </w:rPr>
        <w:t>Electronic Health Record Impact on Work Burden in Small, Unaffiliated, Community-Based Primary Care Practices</w:t>
      </w:r>
      <w:r w:rsidR="002716B7" w:rsidRPr="003D1E90">
        <w:rPr>
          <w:rFonts w:cs="Times New Roman"/>
          <w:b/>
          <w:bCs/>
          <w:kern w:val="0"/>
          <w:sz w:val="22"/>
          <w:szCs w:val="22"/>
          <w14:ligatures w14:val="none"/>
        </w:rPr>
        <w:t xml:space="preserve"> </w:t>
      </w:r>
      <w:r w:rsidRPr="002B0A3E">
        <w:rPr>
          <w:rFonts w:cs="Times New Roman"/>
          <w:b/>
          <w:bCs/>
          <w:kern w:val="0"/>
          <w:sz w:val="22"/>
          <w:szCs w:val="22"/>
          <w14:ligatures w14:val="none"/>
        </w:rPr>
        <w:t>Howard</w:t>
      </w:r>
      <w:r w:rsidR="002716B7" w:rsidRPr="003D1E90">
        <w:rPr>
          <w:rFonts w:cs="Times New Roman"/>
          <w:b/>
          <w:bCs/>
          <w:kern w:val="0"/>
          <w:sz w:val="22"/>
          <w:szCs w:val="22"/>
          <w14:ligatures w14:val="none"/>
        </w:rPr>
        <w:t>,2012</w:t>
      </w:r>
    </w:p>
    <w:p w14:paraId="5977A288" w14:textId="77777777" w:rsidR="002716B7" w:rsidRPr="002B0A3E" w:rsidRDefault="002716B7" w:rsidP="002B0A3E">
      <w:pPr>
        <w:spacing w:after="0" w:line="240" w:lineRule="auto"/>
        <w:rPr>
          <w:rFonts w:cs="Times New Roman"/>
          <w:b/>
          <w:bCs/>
          <w:kern w:val="0"/>
          <w:sz w:val="22"/>
          <w:szCs w:val="22"/>
          <w14:ligatures w14:val="none"/>
        </w:rPr>
      </w:pPr>
    </w:p>
    <w:p w14:paraId="4C0C5220" w14:textId="77777777" w:rsidR="00296C97" w:rsidRPr="00296C97" w:rsidRDefault="00296C97" w:rsidP="00296C97">
      <w:pPr>
        <w:spacing w:after="0" w:line="240" w:lineRule="auto"/>
        <w:rPr>
          <w:rFonts w:cs="Times New Roman"/>
          <w:b/>
          <w:bCs/>
          <w:kern w:val="0"/>
          <w:sz w:val="22"/>
          <w:szCs w:val="22"/>
          <w14:ligatures w14:val="none"/>
        </w:rPr>
      </w:pPr>
      <w:r w:rsidRPr="00296C97">
        <w:rPr>
          <w:rFonts w:cs="Times New Roman"/>
          <w:b/>
          <w:bCs/>
          <w:kern w:val="0"/>
          <w:sz w:val="22"/>
          <w:szCs w:val="22"/>
          <w14:ligatures w14:val="none"/>
        </w:rPr>
        <w:t>Electronic health records to facilitate clinical research</w:t>
      </w:r>
    </w:p>
    <w:p w14:paraId="0FB7650D" w14:textId="77777777" w:rsidR="00296C97" w:rsidRPr="00296C97" w:rsidRDefault="00296C97" w:rsidP="00296C97">
      <w:pPr>
        <w:spacing w:after="0" w:line="240" w:lineRule="auto"/>
        <w:rPr>
          <w:rFonts w:cs="Times New Roman"/>
          <w:b/>
          <w:bCs/>
          <w:kern w:val="0"/>
          <w:sz w:val="22"/>
          <w:szCs w:val="22"/>
          <w14:ligatures w14:val="none"/>
        </w:rPr>
      </w:pPr>
      <w:r w:rsidRPr="00296C97">
        <w:rPr>
          <w:rFonts w:cs="Times New Roman"/>
          <w:b/>
          <w:bCs/>
          <w:kern w:val="0"/>
          <w:sz w:val="22"/>
          <w:szCs w:val="22"/>
          <w:u w:val="single"/>
          <w14:ligatures w14:val="none"/>
        </w:rPr>
        <w:t xml:space="preserve">Martin R. </w:t>
      </w:r>
      <w:proofErr w:type="spellStart"/>
      <w:r w:rsidRPr="00296C97">
        <w:rPr>
          <w:rFonts w:cs="Times New Roman"/>
          <w:b/>
          <w:bCs/>
          <w:kern w:val="0"/>
          <w:sz w:val="22"/>
          <w:szCs w:val="22"/>
          <w:u w:val="single"/>
          <w14:ligatures w14:val="none"/>
        </w:rPr>
        <w:t>Cowie</w:t>
      </w:r>
      <w:proofErr w:type="spellEnd"/>
      <w:r w:rsidRPr="00296C97">
        <w:rPr>
          <w:rFonts w:cs="Times New Roman"/>
          <w:b/>
          <w:bCs/>
          <w:kern w:val="0"/>
          <w:sz w:val="22"/>
          <w:szCs w:val="22"/>
          <w:u w:val="single"/>
          <w14:ligatures w14:val="none"/>
        </w:rPr>
        <w:t> </w:t>
      </w:r>
    </w:p>
    <w:p w14:paraId="678A1622" w14:textId="13E08AD2" w:rsidR="00143222" w:rsidRPr="003D1E90" w:rsidRDefault="00143222" w:rsidP="00143222">
      <w:pPr>
        <w:spacing w:after="0" w:line="240" w:lineRule="auto"/>
        <w:rPr>
          <w:rFonts w:cs="Times New Roman"/>
          <w:b/>
          <w:bCs/>
          <w:kern w:val="0"/>
          <w:sz w:val="22"/>
          <w:szCs w:val="22"/>
          <w14:ligatures w14:val="none"/>
        </w:rPr>
      </w:pPr>
      <w:r w:rsidRPr="00143222">
        <w:rPr>
          <w:rFonts w:cs="Times New Roman"/>
          <w:b/>
          <w:bCs/>
          <w:kern w:val="0"/>
          <w:sz w:val="22"/>
          <w:szCs w:val="22"/>
          <w14:ligatures w14:val="none"/>
        </w:rPr>
        <w:t>Exploring patients’ perceptions of accessing electronic health records: Innovation in healthcare</w:t>
      </w:r>
      <w:r w:rsidRPr="003D1E90">
        <w:rPr>
          <w:rFonts w:cs="Times New Roman"/>
          <w:b/>
          <w:bCs/>
          <w:kern w:val="0"/>
          <w:sz w:val="22"/>
          <w:szCs w:val="22"/>
          <w14:ligatures w14:val="none"/>
        </w:rPr>
        <w:t xml:space="preserve"> </w:t>
      </w:r>
      <w:r w:rsidRPr="00143222">
        <w:rPr>
          <w:rFonts w:cs="Times New Roman"/>
          <w:b/>
          <w:bCs/>
          <w:kern w:val="0"/>
          <w:sz w:val="22"/>
          <w:szCs w:val="22"/>
          <w:u w:val="single"/>
          <w14:ligatures w14:val="none"/>
        </w:rPr>
        <w:t>Sofie Wass</w:t>
      </w:r>
      <w:r w:rsidRPr="00143222">
        <w:rPr>
          <w:rFonts w:cs="Times New Roman"/>
          <w:b/>
          <w:bCs/>
          <w:kern w:val="0"/>
          <w:sz w:val="22"/>
          <w:szCs w:val="22"/>
          <w14:ligatures w14:val="none"/>
        </w:rPr>
        <w:t> </w:t>
      </w:r>
      <w:r w:rsidR="00001C10" w:rsidRPr="003D1E90">
        <w:rPr>
          <w:rFonts w:cs="Times New Roman"/>
          <w:b/>
          <w:bCs/>
          <w:kern w:val="0"/>
          <w:sz w:val="22"/>
          <w:szCs w:val="22"/>
          <w14:ligatures w14:val="none"/>
        </w:rPr>
        <w:t>,2021</w:t>
      </w:r>
    </w:p>
    <w:p w14:paraId="34738D5A" w14:textId="77777777" w:rsidR="00082BBE" w:rsidRPr="00143222" w:rsidRDefault="00082BBE" w:rsidP="00143222">
      <w:pPr>
        <w:spacing w:after="0" w:line="240" w:lineRule="auto"/>
        <w:rPr>
          <w:rFonts w:cs="Times New Roman"/>
          <w:b/>
          <w:bCs/>
          <w:kern w:val="0"/>
          <w:sz w:val="22"/>
          <w:szCs w:val="22"/>
          <w14:ligatures w14:val="none"/>
        </w:rPr>
      </w:pPr>
    </w:p>
    <w:p w14:paraId="155BB222" w14:textId="1065AC81" w:rsidR="00082BBE" w:rsidRPr="003D1E90" w:rsidRDefault="00082BBE" w:rsidP="00082BBE">
      <w:pPr>
        <w:spacing w:after="0" w:line="240" w:lineRule="auto"/>
        <w:rPr>
          <w:rFonts w:cs="Times New Roman"/>
          <w:b/>
          <w:bCs/>
          <w:kern w:val="0"/>
          <w:sz w:val="22"/>
          <w:szCs w:val="22"/>
          <w14:ligatures w14:val="none"/>
        </w:rPr>
      </w:pPr>
      <w:r w:rsidRPr="00082BBE">
        <w:rPr>
          <w:rFonts w:cs="Times New Roman"/>
          <w:b/>
          <w:bCs/>
          <w:kern w:val="0"/>
          <w:sz w:val="22"/>
          <w:szCs w:val="22"/>
          <w14:ligatures w14:val="none"/>
        </w:rPr>
        <w:t>Health Information and Management Systems Society (HIMSS) (2020). Electronic Health Records Overview. Available at:</w:t>
      </w:r>
      <w:r w:rsidRPr="003D1E90">
        <w:rPr>
          <w:rFonts w:cs="Times New Roman"/>
          <w:b/>
          <w:bCs/>
          <w:kern w:val="0"/>
          <w:sz w:val="22"/>
          <w:szCs w:val="22"/>
          <w14:ligatures w14:val="none"/>
        </w:rPr>
        <w:t xml:space="preserve"> </w:t>
      </w:r>
      <w:hyperlink r:id="rId6" w:history="1">
        <w:r w:rsidRPr="00082BBE">
          <w:rPr>
            <w:rStyle w:val="Hyperlink"/>
            <w:rFonts w:cs="Times New Roman"/>
            <w:b/>
            <w:bCs/>
            <w:kern w:val="0"/>
            <w:sz w:val="22"/>
            <w:szCs w:val="22"/>
            <w14:ligatures w14:val="none"/>
          </w:rPr>
          <w:t>https://www.himss.org/</w:t>
        </w:r>
      </w:hyperlink>
    </w:p>
    <w:p w14:paraId="08F97E1B" w14:textId="77777777" w:rsidR="00082BBE" w:rsidRPr="003D1E90" w:rsidRDefault="00082BBE" w:rsidP="00082BBE">
      <w:pPr>
        <w:spacing w:after="0" w:line="240" w:lineRule="auto"/>
        <w:rPr>
          <w:rFonts w:cs="Times New Roman"/>
          <w:b/>
          <w:bCs/>
          <w:kern w:val="0"/>
          <w:sz w:val="22"/>
          <w:szCs w:val="22"/>
          <w14:ligatures w14:val="none"/>
        </w:rPr>
      </w:pPr>
    </w:p>
    <w:p w14:paraId="2DCFC36A" w14:textId="77777777" w:rsidR="00082BBE" w:rsidRPr="003D1E90" w:rsidRDefault="00082BBE" w:rsidP="00082BBE">
      <w:pPr>
        <w:spacing w:after="0" w:line="240" w:lineRule="auto"/>
        <w:rPr>
          <w:rFonts w:cs="Times New Roman"/>
          <w:b/>
          <w:bCs/>
          <w:kern w:val="0"/>
          <w:sz w:val="22"/>
          <w:szCs w:val="22"/>
          <w14:ligatures w14:val="none"/>
        </w:rPr>
      </w:pPr>
    </w:p>
    <w:p w14:paraId="16AD7B92" w14:textId="77777777" w:rsidR="00877740" w:rsidRPr="00877740" w:rsidRDefault="00877740" w:rsidP="00877740">
      <w:pPr>
        <w:spacing w:after="0" w:line="240" w:lineRule="auto"/>
        <w:rPr>
          <w:rFonts w:cs="Times New Roman"/>
          <w:b/>
          <w:bCs/>
          <w:kern w:val="0"/>
          <w:sz w:val="22"/>
          <w:szCs w:val="22"/>
          <w14:ligatures w14:val="none"/>
        </w:rPr>
      </w:pPr>
      <w:r w:rsidRPr="00877740">
        <w:rPr>
          <w:rFonts w:cs="Times New Roman"/>
          <w:b/>
          <w:bCs/>
          <w:kern w:val="0"/>
          <w:sz w:val="22"/>
          <w:szCs w:val="22"/>
          <w14:ligatures w14:val="none"/>
        </w:rPr>
        <w:t>Multidisciplinary user experience of a newly implemented electronic patient record in Ireland: An exploratory qualitative study</w:t>
      </w:r>
    </w:p>
    <w:p w14:paraId="186A4AF0" w14:textId="77777777" w:rsidR="00877740" w:rsidRPr="00877740" w:rsidRDefault="00877740" w:rsidP="00877740">
      <w:pPr>
        <w:spacing w:after="0" w:line="240" w:lineRule="auto"/>
        <w:rPr>
          <w:rFonts w:cs="Times New Roman"/>
          <w:b/>
          <w:bCs/>
          <w:kern w:val="0"/>
          <w:sz w:val="22"/>
          <w:szCs w:val="22"/>
          <w14:ligatures w14:val="none"/>
        </w:rPr>
      </w:pPr>
      <w:hyperlink r:id="rId7" w:history="1">
        <w:r w:rsidRPr="00877740">
          <w:rPr>
            <w:rFonts w:cs="Times New Roman"/>
            <w:b/>
            <w:bCs/>
            <w:color w:val="0000FF"/>
            <w:kern w:val="0"/>
            <w:sz w:val="22"/>
            <w:szCs w:val="22"/>
            <w:u w:val="single"/>
            <w14:ligatures w14:val="none"/>
          </w:rPr>
          <w:t xml:space="preserve">Anne-Marie Brady </w:t>
        </w:r>
      </w:hyperlink>
      <w:r w:rsidRPr="00877740">
        <w:rPr>
          <w:rFonts w:cs="Times New Roman"/>
          <w:b/>
          <w:bCs/>
          <w:kern w:val="0"/>
          <w:sz w:val="22"/>
          <w:szCs w:val="22"/>
          <w14:ligatures w14:val="none"/>
        </w:rPr>
        <w:t>2024</w:t>
      </w:r>
    </w:p>
    <w:p w14:paraId="6CA075AA" w14:textId="77777777" w:rsidR="00877740" w:rsidRPr="003D1E90" w:rsidRDefault="00877740" w:rsidP="00082BBE">
      <w:pPr>
        <w:spacing w:after="0" w:line="240" w:lineRule="auto"/>
        <w:rPr>
          <w:rFonts w:cs="Times New Roman"/>
          <w:b/>
          <w:bCs/>
          <w:kern w:val="0"/>
          <w:sz w:val="22"/>
          <w:szCs w:val="22"/>
          <w14:ligatures w14:val="none"/>
        </w:rPr>
      </w:pPr>
    </w:p>
    <w:p w14:paraId="5EEE26E5" w14:textId="77777777" w:rsidR="00082BBE" w:rsidRPr="00082BBE" w:rsidRDefault="00082BBE" w:rsidP="00082BBE">
      <w:pPr>
        <w:spacing w:after="0" w:line="240" w:lineRule="auto"/>
        <w:rPr>
          <w:rFonts w:cs="Times New Roman"/>
          <w:b/>
          <w:bCs/>
          <w:kern w:val="0"/>
          <w:sz w:val="22"/>
          <w:szCs w:val="22"/>
          <w14:ligatures w14:val="none"/>
        </w:rPr>
      </w:pPr>
    </w:p>
    <w:p w14:paraId="11EFAA64" w14:textId="59DDA3DC" w:rsidR="005D5861" w:rsidRPr="003D1E90" w:rsidRDefault="00DC3CBE" w:rsidP="00DC3CBE">
      <w:pPr>
        <w:spacing w:after="0" w:line="240" w:lineRule="auto"/>
        <w:rPr>
          <w:rFonts w:cs="Times New Roman"/>
          <w:b/>
          <w:bCs/>
          <w:kern w:val="0"/>
          <w:sz w:val="22"/>
          <w:szCs w:val="22"/>
          <w14:ligatures w14:val="none"/>
        </w:rPr>
      </w:pPr>
      <w:r w:rsidRPr="00DC3CBE">
        <w:rPr>
          <w:rFonts w:cs="Times New Roman"/>
          <w:b/>
          <w:bCs/>
          <w:kern w:val="0"/>
          <w:sz w:val="22"/>
          <w:szCs w:val="22"/>
          <w14:ligatures w14:val="none"/>
        </w:rPr>
        <w:t xml:space="preserve">National Health Service (NHS) (2019). The NHS Long Term Plan. Available at: </w:t>
      </w:r>
      <w:hyperlink r:id="rId8" w:history="1">
        <w:r w:rsidRPr="00DC3CBE">
          <w:rPr>
            <w:rStyle w:val="Hyperlink"/>
            <w:rFonts w:cs="Times New Roman"/>
            <w:b/>
            <w:bCs/>
            <w:kern w:val="0"/>
            <w:sz w:val="22"/>
            <w:szCs w:val="22"/>
            <w14:ligatures w14:val="none"/>
          </w:rPr>
          <w:t>https://www.longtermplan.nhs.uk/</w:t>
        </w:r>
      </w:hyperlink>
    </w:p>
    <w:p w14:paraId="21952877" w14:textId="77777777" w:rsidR="00DC3CBE" w:rsidRPr="003D1E90" w:rsidRDefault="00DC3CBE" w:rsidP="00DC3CBE">
      <w:pPr>
        <w:spacing w:after="0" w:line="240" w:lineRule="auto"/>
        <w:rPr>
          <w:rFonts w:cs="Times New Roman"/>
          <w:b/>
          <w:bCs/>
          <w:kern w:val="0"/>
          <w:sz w:val="22"/>
          <w:szCs w:val="22"/>
          <w14:ligatures w14:val="none"/>
        </w:rPr>
      </w:pPr>
    </w:p>
    <w:p w14:paraId="128DA434" w14:textId="77777777" w:rsidR="004243F7" w:rsidRPr="004243F7" w:rsidRDefault="004243F7" w:rsidP="004243F7">
      <w:pPr>
        <w:spacing w:after="0" w:line="240" w:lineRule="auto"/>
        <w:rPr>
          <w:rFonts w:cs="Times New Roman"/>
          <w:b/>
          <w:bCs/>
          <w:kern w:val="0"/>
          <w:sz w:val="22"/>
          <w:szCs w:val="22"/>
          <w14:ligatures w14:val="none"/>
        </w:rPr>
      </w:pPr>
      <w:r w:rsidRPr="004243F7">
        <w:rPr>
          <w:rFonts w:cs="Times New Roman"/>
          <w:b/>
          <w:bCs/>
          <w:kern w:val="0"/>
          <w:sz w:val="22"/>
          <w:szCs w:val="22"/>
          <w14:ligatures w14:val="none"/>
        </w:rPr>
        <w:t>Patient and caregiver perceptions of electronic health records interoperability in the NHS and its impact on care quality: a focus group study (</w:t>
      </w:r>
      <w:r w:rsidRPr="004243F7">
        <w:rPr>
          <w:rFonts w:cs="Times New Roman"/>
          <w:b/>
          <w:bCs/>
          <w:kern w:val="0"/>
          <w:sz w:val="22"/>
          <w:szCs w:val="22"/>
          <w:u w:val="single"/>
          <w14:ligatures w14:val="none"/>
        </w:rPr>
        <w:t xml:space="preserve"> Li , 2024).</w:t>
      </w:r>
    </w:p>
    <w:p w14:paraId="5EE10DCB" w14:textId="77777777" w:rsidR="004243F7" w:rsidRPr="004243F7" w:rsidRDefault="004243F7" w:rsidP="004243F7">
      <w:pPr>
        <w:spacing w:after="0" w:line="240" w:lineRule="auto"/>
        <w:rPr>
          <w:rFonts w:cs="Times New Roman"/>
          <w:b/>
          <w:bCs/>
          <w:kern w:val="0"/>
          <w:sz w:val="22"/>
          <w:szCs w:val="22"/>
          <w14:ligatures w14:val="none"/>
        </w:rPr>
      </w:pPr>
    </w:p>
    <w:p w14:paraId="7ADB19B5" w14:textId="77777777" w:rsidR="004243F7" w:rsidRPr="004243F7" w:rsidRDefault="004243F7" w:rsidP="004243F7">
      <w:pPr>
        <w:spacing w:after="0" w:line="240" w:lineRule="auto"/>
        <w:rPr>
          <w:rFonts w:cs="Times New Roman"/>
          <w:b/>
          <w:bCs/>
          <w:kern w:val="0"/>
          <w:sz w:val="22"/>
          <w:szCs w:val="22"/>
          <w14:ligatures w14:val="none"/>
        </w:rPr>
      </w:pPr>
      <w:r w:rsidRPr="004243F7">
        <w:rPr>
          <w:rFonts w:cs="Times New Roman"/>
          <w:b/>
          <w:bCs/>
          <w:kern w:val="0"/>
          <w:sz w:val="22"/>
          <w:szCs w:val="22"/>
          <w14:ligatures w14:val="none"/>
        </w:rPr>
        <w:t>Patients’ Perspectives About Factors Affecting Their Use of Electronic Personal Health Records in England: Qualitative Analysis (</w:t>
      </w:r>
      <w:proofErr w:type="spellStart"/>
      <w:r w:rsidRPr="004243F7">
        <w:rPr>
          <w:rFonts w:cs="Times New Roman"/>
          <w:b/>
          <w:bCs/>
          <w:kern w:val="0"/>
          <w:sz w:val="22"/>
          <w:szCs w:val="22"/>
          <w14:ligatures w14:val="none"/>
        </w:rPr>
        <w:fldChar w:fldCharType="begin"/>
      </w:r>
      <w:r w:rsidRPr="004243F7">
        <w:rPr>
          <w:rFonts w:cs="Times New Roman"/>
          <w:b/>
          <w:bCs/>
          <w:kern w:val="0"/>
          <w:sz w:val="22"/>
          <w:szCs w:val="22"/>
          <w14:ligatures w14:val="none"/>
        </w:rPr>
        <w:instrText>HYPERLINK "https://scholar.google.com/citations?user=kRY3hkUAAAAJ&amp;hl=en&amp;oi=sra"</w:instrText>
      </w:r>
      <w:r w:rsidRPr="004243F7">
        <w:rPr>
          <w:rFonts w:cs="Times New Roman"/>
          <w:b/>
          <w:bCs/>
          <w:kern w:val="0"/>
          <w:sz w:val="22"/>
          <w:szCs w:val="22"/>
          <w14:ligatures w14:val="none"/>
        </w:rPr>
      </w:r>
      <w:r w:rsidRPr="004243F7">
        <w:rPr>
          <w:rFonts w:cs="Times New Roman"/>
          <w:b/>
          <w:bCs/>
          <w:kern w:val="0"/>
          <w:sz w:val="22"/>
          <w:szCs w:val="22"/>
          <w14:ligatures w14:val="none"/>
        </w:rPr>
        <w:fldChar w:fldCharType="separate"/>
      </w:r>
      <w:r w:rsidRPr="004243F7">
        <w:rPr>
          <w:rFonts w:cs="Times New Roman"/>
          <w:b/>
          <w:bCs/>
          <w:color w:val="0000FF"/>
          <w:kern w:val="0"/>
          <w:sz w:val="22"/>
          <w:szCs w:val="22"/>
          <w:u w:val="single"/>
          <w14:ligatures w14:val="none"/>
        </w:rPr>
        <w:t>Alrazaq</w:t>
      </w:r>
      <w:r w:rsidRPr="004243F7">
        <w:rPr>
          <w:rFonts w:cs="Times New Roman"/>
          <w:b/>
          <w:bCs/>
          <w:kern w:val="0"/>
          <w:sz w:val="22"/>
          <w:szCs w:val="22"/>
          <w14:ligatures w14:val="none"/>
        </w:rPr>
        <w:fldChar w:fldCharType="end"/>
      </w:r>
      <w:r w:rsidRPr="004243F7">
        <w:rPr>
          <w:rFonts w:cs="Times New Roman"/>
          <w:b/>
          <w:bCs/>
          <w:kern w:val="0"/>
          <w:sz w:val="22"/>
          <w:szCs w:val="22"/>
          <w:u w:val="single"/>
          <w14:ligatures w14:val="none"/>
        </w:rPr>
        <w:t>,2021</w:t>
      </w:r>
      <w:proofErr w:type="spellEnd"/>
      <w:r w:rsidRPr="004243F7">
        <w:rPr>
          <w:rFonts w:cs="Times New Roman"/>
          <w:b/>
          <w:bCs/>
          <w:kern w:val="0"/>
          <w:sz w:val="22"/>
          <w:szCs w:val="22"/>
          <w:u w:val="single"/>
          <w14:ligatures w14:val="none"/>
        </w:rPr>
        <w:t>)</w:t>
      </w:r>
    </w:p>
    <w:p w14:paraId="42762359" w14:textId="77777777" w:rsidR="004243F7" w:rsidRPr="004243F7" w:rsidRDefault="004243F7" w:rsidP="004243F7">
      <w:pPr>
        <w:spacing w:after="0" w:line="240" w:lineRule="auto"/>
        <w:rPr>
          <w:rFonts w:cs="Times New Roman"/>
          <w:b/>
          <w:bCs/>
          <w:kern w:val="0"/>
          <w:sz w:val="22"/>
          <w:szCs w:val="22"/>
          <w14:ligatures w14:val="none"/>
        </w:rPr>
      </w:pPr>
    </w:p>
    <w:p w14:paraId="4936EB11" w14:textId="77777777" w:rsidR="004243F7" w:rsidRPr="004243F7" w:rsidRDefault="004243F7" w:rsidP="004243F7">
      <w:pPr>
        <w:spacing w:after="0" w:line="240" w:lineRule="auto"/>
        <w:rPr>
          <w:rFonts w:cs="Times New Roman"/>
          <w:b/>
          <w:bCs/>
          <w:kern w:val="0"/>
          <w:sz w:val="22"/>
          <w:szCs w:val="22"/>
          <w14:ligatures w14:val="none"/>
        </w:rPr>
      </w:pPr>
    </w:p>
    <w:p w14:paraId="5AE4CDEE" w14:textId="77777777" w:rsidR="004243F7" w:rsidRPr="004243F7" w:rsidRDefault="004243F7" w:rsidP="004243F7">
      <w:pPr>
        <w:spacing w:after="60" w:line="240" w:lineRule="auto"/>
        <w:rPr>
          <w:rFonts w:cs="Times New Roman"/>
          <w:b/>
          <w:bCs/>
          <w:kern w:val="0"/>
          <w:sz w:val="22"/>
          <w:szCs w:val="22"/>
          <w14:ligatures w14:val="none"/>
        </w:rPr>
      </w:pPr>
      <w:r w:rsidRPr="004243F7">
        <w:rPr>
          <w:rFonts w:cs="Times New Roman"/>
          <w:b/>
          <w:bCs/>
          <w:kern w:val="0"/>
          <w:sz w:val="22"/>
          <w:szCs w:val="22"/>
          <w14:ligatures w14:val="none"/>
        </w:rPr>
        <w:t>Prediction of incident atrial fibrillation in community-based electronic health records: a systematic review with meta-analysis </w:t>
      </w:r>
    </w:p>
    <w:p w14:paraId="24E150C0" w14:textId="54015ECF" w:rsidR="00082BBE" w:rsidRPr="003D1E90" w:rsidRDefault="004243F7" w:rsidP="003D1E90">
      <w:pPr>
        <w:spacing w:after="0" w:line="240" w:lineRule="auto"/>
        <w:rPr>
          <w:rFonts w:cs="Times New Roman"/>
          <w:b/>
          <w:bCs/>
          <w:kern w:val="0"/>
          <w:sz w:val="22"/>
          <w:szCs w:val="22"/>
          <w14:ligatures w14:val="none"/>
        </w:rPr>
      </w:pPr>
      <w:r w:rsidRPr="004243F7">
        <w:rPr>
          <w:rFonts w:cs="Times New Roman"/>
          <w:b/>
          <w:bCs/>
          <w:kern w:val="0"/>
          <w:sz w:val="22"/>
          <w:szCs w:val="22"/>
          <w14:ligatures w14:val="none"/>
        </w:rPr>
        <w:t xml:space="preserve">Ramesh </w:t>
      </w:r>
      <w:proofErr w:type="spellStart"/>
      <w:r w:rsidRPr="004243F7">
        <w:rPr>
          <w:rFonts w:cs="Times New Roman"/>
          <w:b/>
          <w:bCs/>
          <w:kern w:val="0"/>
          <w:sz w:val="22"/>
          <w:szCs w:val="22"/>
          <w14:ligatures w14:val="none"/>
        </w:rPr>
        <w:t>Nadarajah</w:t>
      </w:r>
      <w:proofErr w:type="spellEnd"/>
    </w:p>
    <w:p w14:paraId="21B7CE62" w14:textId="77777777" w:rsidR="003D1E90" w:rsidRPr="003D1E90" w:rsidRDefault="003D1E90" w:rsidP="003D1E90">
      <w:pPr>
        <w:spacing w:after="0" w:line="240" w:lineRule="auto"/>
        <w:rPr>
          <w:rFonts w:cs="Times New Roman"/>
          <w:b/>
          <w:bCs/>
          <w:kern w:val="0"/>
          <w:sz w:val="22"/>
          <w:szCs w:val="22"/>
          <w14:ligatures w14:val="none"/>
        </w:rPr>
      </w:pPr>
    </w:p>
    <w:p w14:paraId="007E019F" w14:textId="0617EC7B" w:rsidR="003D1E90" w:rsidRPr="003D1E90" w:rsidRDefault="003D1E90" w:rsidP="003D1E90">
      <w:pPr>
        <w:spacing w:after="0" w:line="240" w:lineRule="auto"/>
        <w:rPr>
          <w:rFonts w:ascii=".AppleSystemUIFont" w:hAnsi=".AppleSystemUIFont" w:cs="Times New Roman"/>
          <w:kern w:val="0"/>
          <w:sz w:val="23"/>
          <w:szCs w:val="23"/>
          <w14:ligatures w14:val="none"/>
        </w:rPr>
      </w:pPr>
      <w:r w:rsidRPr="003D1E90">
        <w:rPr>
          <w:rFonts w:ascii="UICTFontTextStyleEmphasizedBody" w:hAnsi="UICTFontTextStyleEmphasizedBody" w:cs="Times New Roman"/>
          <w:b/>
          <w:bCs/>
          <w:kern w:val="0"/>
          <w:sz w:val="23"/>
          <w:szCs w:val="23"/>
          <w14:ligatures w14:val="none"/>
        </w:rPr>
        <w:t>The electronic medical record: pros and cons</w:t>
      </w:r>
      <w:r w:rsidR="00D532A2">
        <w:rPr>
          <w:rFonts w:ascii=".AppleSystemUIFont" w:hAnsi=".AppleSystemUIFont" w:cs="Times New Roman"/>
          <w:kern w:val="0"/>
          <w:sz w:val="23"/>
          <w:szCs w:val="23"/>
          <w14:ligatures w14:val="none"/>
        </w:rPr>
        <w:t xml:space="preserve"> (</w:t>
      </w:r>
      <w:hyperlink r:id="rId9" w:history="1">
        <w:r w:rsidRPr="003D1E90">
          <w:rPr>
            <w:rFonts w:cs="Times New Roman"/>
            <w:color w:val="0000FF"/>
            <w:kern w:val="0"/>
            <w:sz w:val="22"/>
            <w:szCs w:val="22"/>
            <w:u w:val="single"/>
            <w14:ligatures w14:val="none"/>
          </w:rPr>
          <w:t>Maria Luisa Ventura</w:t>
        </w:r>
      </w:hyperlink>
      <w:r w:rsidR="00D532A2">
        <w:rPr>
          <w:rFonts w:cs="Times New Roman"/>
          <w:kern w:val="0"/>
          <w:sz w:val="22"/>
          <w:szCs w:val="22"/>
          <w14:ligatures w14:val="none"/>
        </w:rPr>
        <w:t>)</w:t>
      </w:r>
    </w:p>
    <w:p w14:paraId="6620C326" w14:textId="77777777" w:rsidR="003D1E90" w:rsidRPr="003D1E90" w:rsidRDefault="003D1E90" w:rsidP="003D1E90">
      <w:pPr>
        <w:spacing w:after="0" w:line="240" w:lineRule="auto"/>
        <w:rPr>
          <w:rFonts w:ascii="UICTFontTextStyleBody" w:hAnsi="UICTFontTextStyleBody" w:cs="Times New Roman"/>
          <w:kern w:val="0"/>
          <w:sz w:val="23"/>
          <w:szCs w:val="23"/>
          <w14:ligatures w14:val="none"/>
        </w:rPr>
      </w:pPr>
    </w:p>
    <w:sectPr w:rsidR="003D1E90" w:rsidRPr="003D1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E0"/>
    <w:rsid w:val="00001C10"/>
    <w:rsid w:val="00062048"/>
    <w:rsid w:val="000659FC"/>
    <w:rsid w:val="00082BBE"/>
    <w:rsid w:val="00083BA8"/>
    <w:rsid w:val="00096A4F"/>
    <w:rsid w:val="000C0469"/>
    <w:rsid w:val="000E2AA8"/>
    <w:rsid w:val="00143222"/>
    <w:rsid w:val="001B0152"/>
    <w:rsid w:val="001C0848"/>
    <w:rsid w:val="001C4909"/>
    <w:rsid w:val="002036E9"/>
    <w:rsid w:val="00246E64"/>
    <w:rsid w:val="002716B7"/>
    <w:rsid w:val="00271D98"/>
    <w:rsid w:val="00291127"/>
    <w:rsid w:val="00296C97"/>
    <w:rsid w:val="002B0A3E"/>
    <w:rsid w:val="003478A4"/>
    <w:rsid w:val="003638AD"/>
    <w:rsid w:val="003B0E76"/>
    <w:rsid w:val="003C15A1"/>
    <w:rsid w:val="003D1E90"/>
    <w:rsid w:val="003F5D53"/>
    <w:rsid w:val="004243F7"/>
    <w:rsid w:val="0043357C"/>
    <w:rsid w:val="00467B7E"/>
    <w:rsid w:val="004C4787"/>
    <w:rsid w:val="004C673B"/>
    <w:rsid w:val="004D19EA"/>
    <w:rsid w:val="0052446A"/>
    <w:rsid w:val="005451AF"/>
    <w:rsid w:val="0059334E"/>
    <w:rsid w:val="005D5861"/>
    <w:rsid w:val="005F291B"/>
    <w:rsid w:val="00600A64"/>
    <w:rsid w:val="006C041F"/>
    <w:rsid w:val="007104AB"/>
    <w:rsid w:val="0073220B"/>
    <w:rsid w:val="00737DB2"/>
    <w:rsid w:val="00786077"/>
    <w:rsid w:val="007C343C"/>
    <w:rsid w:val="007E14DF"/>
    <w:rsid w:val="00850CEE"/>
    <w:rsid w:val="008523BB"/>
    <w:rsid w:val="00861C80"/>
    <w:rsid w:val="00877740"/>
    <w:rsid w:val="008A490D"/>
    <w:rsid w:val="008D5695"/>
    <w:rsid w:val="00902DE6"/>
    <w:rsid w:val="00903B8B"/>
    <w:rsid w:val="00956D28"/>
    <w:rsid w:val="00A2046E"/>
    <w:rsid w:val="00A62976"/>
    <w:rsid w:val="00A85AE0"/>
    <w:rsid w:val="00AA7679"/>
    <w:rsid w:val="00AD327E"/>
    <w:rsid w:val="00AE12EF"/>
    <w:rsid w:val="00AF6D86"/>
    <w:rsid w:val="00B26F4F"/>
    <w:rsid w:val="00B30D52"/>
    <w:rsid w:val="00B34636"/>
    <w:rsid w:val="00B65418"/>
    <w:rsid w:val="00B6693C"/>
    <w:rsid w:val="00B840C9"/>
    <w:rsid w:val="00BD5B60"/>
    <w:rsid w:val="00BF5968"/>
    <w:rsid w:val="00C12D33"/>
    <w:rsid w:val="00C14598"/>
    <w:rsid w:val="00C25CF0"/>
    <w:rsid w:val="00C25FE0"/>
    <w:rsid w:val="00C3197A"/>
    <w:rsid w:val="00C3246C"/>
    <w:rsid w:val="00C54D9C"/>
    <w:rsid w:val="00CB1DFA"/>
    <w:rsid w:val="00CE7664"/>
    <w:rsid w:val="00CF1F07"/>
    <w:rsid w:val="00D420C7"/>
    <w:rsid w:val="00D532A2"/>
    <w:rsid w:val="00DA3E94"/>
    <w:rsid w:val="00DA7100"/>
    <w:rsid w:val="00DB2020"/>
    <w:rsid w:val="00DC3CBE"/>
    <w:rsid w:val="00E01FCE"/>
    <w:rsid w:val="00E10134"/>
    <w:rsid w:val="00E2529F"/>
    <w:rsid w:val="00E32544"/>
    <w:rsid w:val="00E37B33"/>
    <w:rsid w:val="00ED3BBF"/>
    <w:rsid w:val="00ED3E2F"/>
    <w:rsid w:val="00F00A23"/>
    <w:rsid w:val="00F14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1055F8"/>
  <w15:chartTrackingRefBased/>
  <w15:docId w15:val="{D06096CF-708E-C245-BD8E-24E39BC2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5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A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A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A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A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A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A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A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A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A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A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A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A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A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A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AE0"/>
    <w:rPr>
      <w:rFonts w:eastAsiaTheme="majorEastAsia" w:cstheme="majorBidi"/>
      <w:color w:val="272727" w:themeColor="text1" w:themeTint="D8"/>
    </w:rPr>
  </w:style>
  <w:style w:type="paragraph" w:styleId="Title">
    <w:name w:val="Title"/>
    <w:basedOn w:val="Normal"/>
    <w:next w:val="Normal"/>
    <w:link w:val="TitleChar"/>
    <w:uiPriority w:val="10"/>
    <w:qFormat/>
    <w:rsid w:val="00A85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A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A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A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AE0"/>
    <w:pPr>
      <w:spacing w:before="160"/>
      <w:jc w:val="center"/>
    </w:pPr>
    <w:rPr>
      <w:i/>
      <w:iCs/>
      <w:color w:val="404040" w:themeColor="text1" w:themeTint="BF"/>
    </w:rPr>
  </w:style>
  <w:style w:type="character" w:customStyle="1" w:styleId="QuoteChar">
    <w:name w:val="Quote Char"/>
    <w:basedOn w:val="DefaultParagraphFont"/>
    <w:link w:val="Quote"/>
    <w:uiPriority w:val="29"/>
    <w:rsid w:val="00A85AE0"/>
    <w:rPr>
      <w:i/>
      <w:iCs/>
      <w:color w:val="404040" w:themeColor="text1" w:themeTint="BF"/>
    </w:rPr>
  </w:style>
  <w:style w:type="paragraph" w:styleId="ListParagraph">
    <w:name w:val="List Paragraph"/>
    <w:basedOn w:val="Normal"/>
    <w:uiPriority w:val="34"/>
    <w:qFormat/>
    <w:rsid w:val="00A85AE0"/>
    <w:pPr>
      <w:ind w:left="720"/>
      <w:contextualSpacing/>
    </w:pPr>
  </w:style>
  <w:style w:type="character" w:styleId="IntenseEmphasis">
    <w:name w:val="Intense Emphasis"/>
    <w:basedOn w:val="DefaultParagraphFont"/>
    <w:uiPriority w:val="21"/>
    <w:qFormat/>
    <w:rsid w:val="00A85AE0"/>
    <w:rPr>
      <w:i/>
      <w:iCs/>
      <w:color w:val="0F4761" w:themeColor="accent1" w:themeShade="BF"/>
    </w:rPr>
  </w:style>
  <w:style w:type="paragraph" w:styleId="IntenseQuote">
    <w:name w:val="Intense Quote"/>
    <w:basedOn w:val="Normal"/>
    <w:next w:val="Normal"/>
    <w:link w:val="IntenseQuoteChar"/>
    <w:uiPriority w:val="30"/>
    <w:qFormat/>
    <w:rsid w:val="00A85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AE0"/>
    <w:rPr>
      <w:i/>
      <w:iCs/>
      <w:color w:val="0F4761" w:themeColor="accent1" w:themeShade="BF"/>
    </w:rPr>
  </w:style>
  <w:style w:type="character" w:styleId="IntenseReference">
    <w:name w:val="Intense Reference"/>
    <w:basedOn w:val="DefaultParagraphFont"/>
    <w:uiPriority w:val="32"/>
    <w:qFormat/>
    <w:rsid w:val="00A85AE0"/>
    <w:rPr>
      <w:b/>
      <w:bCs/>
      <w:smallCaps/>
      <w:color w:val="0F4761" w:themeColor="accent1" w:themeShade="BF"/>
      <w:spacing w:val="5"/>
    </w:rPr>
  </w:style>
  <w:style w:type="character" w:styleId="Strong">
    <w:name w:val="Strong"/>
    <w:basedOn w:val="DefaultParagraphFont"/>
    <w:uiPriority w:val="22"/>
    <w:qFormat/>
    <w:rsid w:val="00A85AE0"/>
    <w:rPr>
      <w:b/>
      <w:bCs/>
    </w:rPr>
  </w:style>
  <w:style w:type="character" w:customStyle="1" w:styleId="s1">
    <w:name w:val="s1"/>
    <w:basedOn w:val="DefaultParagraphFont"/>
    <w:rsid w:val="004C4787"/>
  </w:style>
  <w:style w:type="character" w:customStyle="1" w:styleId="apple-converted-space">
    <w:name w:val="apple-converted-space"/>
    <w:basedOn w:val="DefaultParagraphFont"/>
    <w:rsid w:val="004C4787"/>
  </w:style>
  <w:style w:type="paragraph" w:customStyle="1" w:styleId="p1">
    <w:name w:val="p1"/>
    <w:basedOn w:val="Normal"/>
    <w:rsid w:val="00E2529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2529F"/>
  </w:style>
  <w:style w:type="paragraph" w:customStyle="1" w:styleId="p2">
    <w:name w:val="p2"/>
    <w:basedOn w:val="Normal"/>
    <w:rsid w:val="00E2529F"/>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43357C"/>
    <w:rPr>
      <w:color w:val="467886" w:themeColor="hyperlink"/>
      <w:u w:val="single"/>
    </w:rPr>
  </w:style>
  <w:style w:type="character" w:styleId="UnresolvedMention">
    <w:name w:val="Unresolved Mention"/>
    <w:basedOn w:val="DefaultParagraphFont"/>
    <w:uiPriority w:val="99"/>
    <w:semiHidden/>
    <w:unhideWhenUsed/>
    <w:rsid w:val="0043357C"/>
    <w:rPr>
      <w:color w:val="605E5C"/>
      <w:shd w:val="clear" w:color="auto" w:fill="E1DFDD"/>
    </w:rPr>
  </w:style>
  <w:style w:type="paragraph" w:customStyle="1" w:styleId="p3">
    <w:name w:val="p3"/>
    <w:basedOn w:val="Normal"/>
    <w:rsid w:val="004243F7"/>
    <w:pPr>
      <w:spacing w:after="60" w:line="240" w:lineRule="auto"/>
    </w:pPr>
    <w:rPr>
      <w:rFonts w:ascii=".AppleSystemUIFont" w:hAnsi=".AppleSystemUIFont" w:cs="Times New Roman"/>
      <w:kern w:val="0"/>
      <w:sz w:val="29"/>
      <w:szCs w:val="29"/>
      <w14:ligatures w14:val="none"/>
    </w:rPr>
  </w:style>
  <w:style w:type="character" w:customStyle="1" w:styleId="s3">
    <w:name w:val="s3"/>
    <w:basedOn w:val="DefaultParagraphFont"/>
    <w:rsid w:val="004243F7"/>
    <w:rPr>
      <w:rFonts w:ascii="UICTFontTextStyleBody" w:hAnsi="UICTFontTextStyleBody" w:hint="default"/>
      <w:b w:val="0"/>
      <w:bCs w:val="0"/>
      <w:i w:val="0"/>
      <w:iCs w:val="0"/>
      <w:sz w:val="23"/>
      <w:szCs w:val="23"/>
      <w:u w:val="single"/>
    </w:rPr>
  </w:style>
  <w:style w:type="character" w:customStyle="1" w:styleId="s4">
    <w:name w:val="s4"/>
    <w:basedOn w:val="DefaultParagraphFont"/>
    <w:rsid w:val="004243F7"/>
    <w:rPr>
      <w:rFonts w:ascii="UICTFontTextStyleBody" w:hAnsi="UICTFontTextStyleBody" w:hint="default"/>
      <w:b/>
      <w:bCs/>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3" Type="http://schemas.openxmlformats.org/officeDocument/2006/relationships/webSettings" Target="webSettings.xml"/><Relationship Id="rId7" Type="http://schemas.openxmlformats.org/officeDocument/2006/relationships/hyperlink" Target="https://www.sciencedirect.com/author/14063044700/anne-marie-brad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mss.org/" TargetMode="External"/><Relationship Id="rId11" Type="http://schemas.openxmlformats.org/officeDocument/2006/relationships/theme" Target="theme/theme1.xml"/><Relationship Id="rId5" Type="http://schemas.openxmlformats.org/officeDocument/2006/relationships/hyperlink" Target="https://www.longtermplan.nhs.uk/" TargetMode="External"/><Relationship Id="rId10" Type="http://schemas.openxmlformats.org/officeDocument/2006/relationships/fontTable" Target="fontTable.xml"/><Relationship Id="rId4" Type="http://schemas.openxmlformats.org/officeDocument/2006/relationships/hyperlink" Target="https://www.himss.org/" TargetMode="External"/><Relationship Id="rId9" Type="http://schemas.openxmlformats.org/officeDocument/2006/relationships/hyperlink" Target="https://www.tandfonline.com/author/Ventura%2C+Maria+Lui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758</TotalTime>
  <Pages>6</Pages>
  <Words>2457</Words>
  <Characters>14011</Characters>
  <Application>Microsoft Office Word</Application>
  <DocSecurity>0</DocSecurity>
  <Lines>116</Lines>
  <Paragraphs>32</Paragraphs>
  <ScaleCrop>false</ScaleCrop>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Amna Hussain (2319523)</dc:creator>
  <cp:keywords/>
  <dc:description/>
  <cp:lastModifiedBy>Amna Hussain (2319523)</cp:lastModifiedBy>
  <cp:revision>88</cp:revision>
  <dcterms:created xsi:type="dcterms:W3CDTF">2026-02-23T01:38:00Z</dcterms:created>
  <dcterms:modified xsi:type="dcterms:W3CDTF">2026-03-01T03:52:00Z</dcterms:modified>
</cp:coreProperties>
</file>