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cs="Arial"/>
          <w:b/>
          <w:bCs/>
          <w:sz w:val="32"/>
          <w:szCs w:val="32"/>
        </w:rPr>
      </w:pPr>
      <w:r>
        <w:rPr/>
        <w:fldChar w:fldCharType="begin"/>
      </w:r>
      <w:r>
        <w:instrText xml:space="preserve"> INCLUDEPICTURE "https://emedia1.nhs.wales/NWISWalesNHSUK/cache/file/D50B00C7-6D28-4675-BBCC5435147EF6A2_carouselimage.png" \* MERGEFORMATINET </w:instrText>
      </w:r>
      <w:r>
        <w:rPr/>
        <w:fldChar w:fldCharType="separate"/>
      </w:r>
      <w:r>
        <w:rPr>
          <w:noProof/>
        </w:rPr>
        <w:drawing>
          <wp:inline distL="0" distT="0" distB="0" distR="0">
            <wp:extent cx="4270917" cy="1783198"/>
            <wp:effectExtent l="0" t="0" r="0" b="0"/>
            <wp:docPr id="1026" name="Picture 1" descr="University of Wales Trinity Saint David launches new digital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4270917" cy="1783198"/>
                    </a:xfrm>
                    <a:prstGeom prst="rect"/>
                    <a:ln>
                      <a:noFill/>
                    </a:ln>
                  </pic:spPr>
                </pic:pic>
              </a:graphicData>
            </a:graphic>
          </wp:inline>
        </w:drawing>
      </w:r>
      <w:r>
        <w:rPr/>
        <w:fldChar w:fldCharType="end"/>
      </w:r>
    </w:p>
    <w:p>
      <w:pPr>
        <w:pStyle w:val="style0"/>
        <w:jc w:val="center"/>
        <w:rPr>
          <w:rFonts w:cs="Arial"/>
          <w:b/>
          <w:bCs/>
          <w:sz w:val="32"/>
          <w:szCs w:val="32"/>
        </w:rPr>
      </w:pPr>
      <w:r>
        <w:rPr>
          <w:rFonts w:cs="Arial"/>
          <w:b/>
          <w:bCs/>
          <w:sz w:val="32"/>
          <w:szCs w:val="32"/>
        </w:rPr>
        <w:t>Programme: MSc Public Health and Social Care in Practice</w:t>
      </w:r>
    </w:p>
    <w:p>
      <w:pPr>
        <w:pStyle w:val="style0"/>
        <w:jc w:val="center"/>
        <w:rPr>
          <w:rFonts w:cs="Arial"/>
          <w:b/>
          <w:bCs/>
          <w:sz w:val="32"/>
          <w:szCs w:val="32"/>
        </w:rPr>
      </w:pPr>
    </w:p>
    <w:p>
      <w:pPr>
        <w:pStyle w:val="style0"/>
        <w:jc w:val="center"/>
        <w:rPr>
          <w:rFonts w:cs="Arial"/>
          <w:b/>
          <w:bCs/>
          <w:sz w:val="28"/>
          <w:szCs w:val="28"/>
        </w:rPr>
      </w:pPr>
      <w:r>
        <w:rPr>
          <w:rFonts w:cs="Arial"/>
          <w:b/>
          <w:bCs/>
          <w:sz w:val="28"/>
          <w:szCs w:val="28"/>
        </w:rPr>
        <w:t>Module: Practice-Based Research</w:t>
      </w:r>
    </w:p>
    <w:p>
      <w:pPr>
        <w:pStyle w:val="style0"/>
        <w:jc w:val="center"/>
        <w:rPr>
          <w:rFonts w:cs="Arial"/>
          <w:b/>
          <w:bCs/>
          <w:sz w:val="28"/>
          <w:szCs w:val="28"/>
        </w:rPr>
      </w:pPr>
      <w:r>
        <w:rPr>
          <w:rFonts w:cs="Arial"/>
          <w:b/>
          <w:bCs/>
          <w:sz w:val="28"/>
          <w:szCs w:val="28"/>
        </w:rPr>
        <w:t>Module code: LCHS7008</w:t>
      </w:r>
    </w:p>
    <w:p>
      <w:pPr>
        <w:pStyle w:val="style0"/>
        <w:jc w:val="center"/>
        <w:rPr>
          <w:rFonts w:cs="Arial"/>
          <w:b/>
          <w:bCs/>
          <w:sz w:val="28"/>
          <w:szCs w:val="28"/>
        </w:rPr>
      </w:pPr>
    </w:p>
    <w:p>
      <w:pPr>
        <w:pStyle w:val="style0"/>
        <w:jc w:val="center"/>
        <w:rPr>
          <w:rFonts w:cs="Arial"/>
          <w:b/>
          <w:bCs/>
          <w:sz w:val="28"/>
          <w:szCs w:val="28"/>
        </w:rPr>
      </w:pPr>
      <w:r>
        <w:rPr>
          <w:rFonts w:cs="Arial"/>
          <w:b/>
          <w:bCs/>
          <w:sz w:val="28"/>
          <w:szCs w:val="28"/>
        </w:rPr>
        <w:t>Assignment Title: Component 2</w:t>
      </w:r>
    </w:p>
    <w:p>
      <w:pPr>
        <w:pStyle w:val="style0"/>
        <w:jc w:val="center"/>
        <w:rPr>
          <w:rFonts w:cs="Arial"/>
          <w:b/>
          <w:bCs/>
          <w:sz w:val="28"/>
          <w:szCs w:val="28"/>
        </w:rPr>
      </w:pPr>
      <w:r>
        <w:rPr>
          <w:rFonts w:cs="Arial"/>
          <w:b/>
          <w:bCs/>
          <w:sz w:val="28"/>
          <w:szCs w:val="28"/>
        </w:rPr>
        <w:t>Written Research Proposal</w:t>
      </w:r>
    </w:p>
    <w:p>
      <w:pPr>
        <w:pStyle w:val="style0"/>
        <w:jc w:val="center"/>
        <w:rPr>
          <w:rFonts w:cs="Arial"/>
          <w:b/>
          <w:bCs/>
          <w:sz w:val="28"/>
          <w:szCs w:val="28"/>
        </w:rPr>
      </w:pPr>
    </w:p>
    <w:p>
      <w:pPr>
        <w:pStyle w:val="style0"/>
        <w:jc w:val="center"/>
        <w:rPr>
          <w:rFonts w:cs="Arial"/>
          <w:b/>
          <w:bCs/>
          <w:sz w:val="28"/>
          <w:szCs w:val="28"/>
        </w:rPr>
      </w:pPr>
      <w:r>
        <w:rPr>
          <w:rFonts w:cs="Arial"/>
          <w:b/>
          <w:bCs/>
          <w:sz w:val="28"/>
          <w:szCs w:val="28"/>
        </w:rPr>
        <w:t>Title: An Evaluation of the United Kingdom’s Public Health Preparedness for a Smallpox-like Pathogen among Children and Adolescents: A Systematic Literature Review</w:t>
      </w:r>
    </w:p>
    <w:p>
      <w:pPr>
        <w:pStyle w:val="style0"/>
        <w:jc w:val="center"/>
        <w:rPr>
          <w:rFonts w:cs="Arial"/>
          <w:b/>
          <w:bCs/>
          <w:sz w:val="28"/>
          <w:szCs w:val="28"/>
        </w:rPr>
      </w:pPr>
    </w:p>
    <w:p>
      <w:pPr>
        <w:pStyle w:val="style0"/>
        <w:jc w:val="center"/>
        <w:rPr>
          <w:rFonts w:cs="Arial"/>
          <w:b/>
          <w:bCs/>
          <w:sz w:val="28"/>
          <w:szCs w:val="28"/>
        </w:rPr>
      </w:pPr>
      <w:r>
        <w:rPr>
          <w:rFonts w:cs="Arial"/>
          <w:b/>
          <w:bCs/>
          <w:sz w:val="28"/>
          <w:szCs w:val="28"/>
        </w:rPr>
        <w:t xml:space="preserve">Lecturer: Dr Diola </w:t>
      </w:r>
      <w:r>
        <w:rPr>
          <w:rFonts w:cs="Arial"/>
          <w:b/>
          <w:bCs/>
          <w:sz w:val="28"/>
          <w:szCs w:val="28"/>
        </w:rPr>
        <w:t>Bijlhout</w:t>
      </w:r>
    </w:p>
    <w:p>
      <w:pPr>
        <w:pStyle w:val="style0"/>
        <w:jc w:val="center"/>
        <w:rPr>
          <w:rFonts w:cs="Arial"/>
          <w:b/>
          <w:bCs/>
          <w:sz w:val="28"/>
          <w:szCs w:val="28"/>
        </w:rPr>
      </w:pPr>
    </w:p>
    <w:p>
      <w:pPr>
        <w:pStyle w:val="style0"/>
        <w:jc w:val="center"/>
        <w:rPr>
          <w:rFonts w:cs="Arial"/>
          <w:b/>
          <w:bCs/>
          <w:sz w:val="28"/>
          <w:szCs w:val="28"/>
        </w:rPr>
      </w:pPr>
      <w:r>
        <w:rPr>
          <w:rFonts w:cs="Arial"/>
          <w:b/>
          <w:bCs/>
          <w:sz w:val="28"/>
          <w:szCs w:val="28"/>
        </w:rPr>
        <w:t>Student name: Prashant Gajera</w:t>
      </w:r>
    </w:p>
    <w:p>
      <w:pPr>
        <w:pStyle w:val="style0"/>
        <w:jc w:val="center"/>
        <w:rPr>
          <w:rFonts w:cs="Arial"/>
        </w:rPr>
      </w:pPr>
      <w:r>
        <w:rPr>
          <w:rFonts w:cs="Arial"/>
          <w:b/>
          <w:bCs/>
          <w:sz w:val="28"/>
          <w:szCs w:val="28"/>
        </w:rPr>
        <w:t>Student ID: 2428140</w:t>
      </w:r>
      <w:r>
        <w:rPr>
          <w:rFonts w:cs="Arial"/>
        </w:rPr>
        <w:br w:type="page"/>
      </w:r>
    </w:p>
    <w:p>
      <w:pPr>
        <w:pStyle w:val="style0"/>
        <w:jc w:val="center"/>
        <w:rPr>
          <w:rFonts w:cs="Arial"/>
          <w:b/>
          <w:bCs/>
          <w:sz w:val="32"/>
          <w:szCs w:val="32"/>
        </w:rPr>
      </w:pPr>
      <w:r>
        <w:rPr>
          <w:rFonts w:cs="Arial"/>
          <w:b/>
          <w:bCs/>
          <w:sz w:val="32"/>
          <w:szCs w:val="32"/>
        </w:rPr>
        <w:t>Table of Contents</w:t>
      </w:r>
    </w:p>
    <w:p>
      <w:pPr>
        <w:pStyle w:val="style19"/>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rFonts w:cs="Arial"/>
          <w:sz w:val="24"/>
          <w:szCs w:val="32"/>
        </w:rPr>
        <w:fldChar w:fldCharType="begin"/>
      </w:r>
      <w:r>
        <w:rPr>
          <w:rFonts w:cs="Arial"/>
          <w:sz w:val="24"/>
          <w:szCs w:val="32"/>
        </w:rPr>
        <w:instrText xml:space="preserve"> TOC \h \u \z \t "Heading 1,1,Heading 2,2,Heading 3,3,Heading 4,4,Heading 5,5,Heading 6,6,"</w:instrText>
      </w:r>
      <w:r>
        <w:rPr>
          <w:rFonts w:cs="Arial"/>
          <w:sz w:val="24"/>
          <w:szCs w:val="32"/>
        </w:rPr>
        <w:fldChar w:fldCharType="separate"/>
      </w:r>
      <w:r>
        <w:rPr/>
        <w:fldChar w:fldCharType="begin"/>
      </w:r>
      <w:r>
        <w:instrText xml:space="preserve"> HYPERLINK \l "_Toc227401252" </w:instrText>
      </w:r>
      <w:r>
        <w:rPr/>
        <w:fldChar w:fldCharType="separate"/>
      </w:r>
      <w:r>
        <w:rPr>
          <w:rStyle w:val="style85"/>
          <w:rFonts w:cs="Arial"/>
          <w:noProof/>
          <w:sz w:val="24"/>
          <w:szCs w:val="32"/>
        </w:rPr>
        <w:t>Introduction</w:t>
      </w:r>
      <w:r>
        <w:rPr>
          <w:noProof/>
          <w:webHidden/>
          <w:sz w:val="24"/>
          <w:szCs w:val="32"/>
        </w:rPr>
        <w:tab/>
      </w:r>
      <w:r>
        <w:rPr>
          <w:noProof/>
          <w:webHidden/>
          <w:sz w:val="24"/>
          <w:szCs w:val="32"/>
        </w:rPr>
        <w:fldChar w:fldCharType="begin"/>
      </w:r>
      <w:r>
        <w:rPr>
          <w:noProof/>
          <w:webHidden/>
          <w:sz w:val="24"/>
          <w:szCs w:val="32"/>
        </w:rPr>
        <w:instrText xml:space="preserve"> PAGEREF _Toc227401252 \h </w:instrText>
      </w:r>
      <w:r>
        <w:rPr>
          <w:noProof/>
          <w:webHidden/>
          <w:sz w:val="24"/>
          <w:szCs w:val="32"/>
        </w:rPr>
        <w:fldChar w:fldCharType="separate"/>
      </w:r>
      <w:r>
        <w:rPr>
          <w:noProof/>
          <w:webHidden/>
          <w:sz w:val="24"/>
          <w:szCs w:val="32"/>
        </w:rPr>
        <w:t>2</w:t>
      </w:r>
      <w:r>
        <w:rPr>
          <w:noProof/>
          <w:webHidden/>
          <w:sz w:val="24"/>
          <w:szCs w:val="32"/>
        </w:rPr>
        <w:fldChar w:fldCharType="end"/>
      </w:r>
      <w:r>
        <w:rPr/>
        <w:fldChar w:fldCharType="end"/>
      </w:r>
    </w:p>
    <w:p>
      <w:pPr>
        <w:pStyle w:val="style20"/>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"_Toc227401253" </w:instrText>
      </w:r>
      <w:r>
        <w:rPr/>
        <w:fldChar w:fldCharType="separate"/>
      </w:r>
      <w:r>
        <w:rPr>
          <w:rStyle w:val="style85"/>
          <w:rFonts w:cs="Arial"/>
          <w:noProof/>
          <w:sz w:val="24"/>
          <w:szCs w:val="32"/>
        </w:rPr>
        <w:t>Background to the Study</w:t>
      </w:r>
      <w:r>
        <w:rPr>
          <w:noProof/>
          <w:webHidden/>
          <w:sz w:val="24"/>
          <w:szCs w:val="32"/>
        </w:rPr>
        <w:tab/>
      </w:r>
      <w:r>
        <w:rPr>
          <w:noProof/>
          <w:webHidden/>
          <w:sz w:val="24"/>
          <w:szCs w:val="32"/>
        </w:rPr>
        <w:fldChar w:fldCharType="begin"/>
      </w:r>
      <w:r>
        <w:rPr>
          <w:noProof/>
          <w:webHidden/>
          <w:sz w:val="24"/>
          <w:szCs w:val="32"/>
        </w:rPr>
        <w:instrText xml:space="preserve"> PAGEREF _Toc227401253 \h </w:instrText>
      </w:r>
      <w:r>
        <w:rPr>
          <w:noProof/>
          <w:webHidden/>
          <w:sz w:val="24"/>
          <w:szCs w:val="32"/>
        </w:rPr>
        <w:fldChar w:fldCharType="separate"/>
      </w:r>
      <w:r>
        <w:rPr>
          <w:noProof/>
          <w:webHidden/>
          <w:sz w:val="24"/>
          <w:szCs w:val="32"/>
        </w:rPr>
        <w:t>2</w:t>
      </w:r>
      <w:r>
        <w:rPr>
          <w:noProof/>
          <w:webHidden/>
          <w:sz w:val="24"/>
          <w:szCs w:val="32"/>
        </w:rPr>
        <w:fldChar w:fldCharType="end"/>
      </w:r>
      <w:r>
        <w:rPr/>
        <w:fldChar w:fldCharType="end"/>
      </w:r>
    </w:p>
    <w:p>
      <w:pPr>
        <w:pStyle w:val="style20"/>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"_Toc227401254" </w:instrText>
      </w:r>
      <w:r>
        <w:rPr/>
        <w:fldChar w:fldCharType="separate"/>
      </w:r>
      <w:r>
        <w:rPr>
          <w:rStyle w:val="style85"/>
          <w:rFonts w:cs="Arial"/>
          <w:noProof/>
          <w:sz w:val="24"/>
          <w:szCs w:val="32"/>
        </w:rPr>
        <w:t>Research problem(s) identified</w:t>
      </w:r>
      <w:r>
        <w:rPr>
          <w:noProof/>
          <w:webHidden/>
          <w:sz w:val="24"/>
          <w:szCs w:val="32"/>
        </w:rPr>
        <w:tab/>
      </w:r>
      <w:r>
        <w:rPr>
          <w:noProof/>
          <w:webHidden/>
          <w:sz w:val="24"/>
          <w:szCs w:val="32"/>
        </w:rPr>
        <w:fldChar w:fldCharType="begin"/>
      </w:r>
      <w:r>
        <w:rPr>
          <w:noProof/>
          <w:webHidden/>
          <w:sz w:val="24"/>
          <w:szCs w:val="32"/>
        </w:rPr>
        <w:instrText xml:space="preserve"> PAGEREF _Toc227401254 \h </w:instrText>
      </w:r>
      <w:r>
        <w:rPr>
          <w:noProof/>
          <w:webHidden/>
          <w:sz w:val="24"/>
          <w:szCs w:val="32"/>
        </w:rPr>
        <w:fldChar w:fldCharType="separate"/>
      </w:r>
      <w:r>
        <w:rPr>
          <w:noProof/>
          <w:webHidden/>
          <w:sz w:val="24"/>
          <w:szCs w:val="32"/>
        </w:rPr>
        <w:t>2</w:t>
      </w:r>
      <w:r>
        <w:rPr>
          <w:noProof/>
          <w:webHidden/>
          <w:sz w:val="24"/>
          <w:szCs w:val="32"/>
        </w:rPr>
        <w:fldChar w:fldCharType="end"/>
      </w:r>
      <w:r>
        <w:rPr/>
        <w:fldChar w:fldCharType="end"/>
      </w:r>
    </w:p>
    <w:p>
      <w:pPr>
        <w:pStyle w:val="style20"/>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"_Toc227401255" </w:instrText>
      </w:r>
      <w:r>
        <w:rPr/>
        <w:fldChar w:fldCharType="separate"/>
      </w:r>
      <w:r>
        <w:rPr>
          <w:rStyle w:val="style85"/>
          <w:rFonts w:cs="Arial"/>
          <w:noProof/>
          <w:sz w:val="24"/>
          <w:szCs w:val="32"/>
        </w:rPr>
        <w:t>Rationale</w:t>
      </w:r>
      <w:r>
        <w:rPr>
          <w:noProof/>
          <w:webHidden/>
          <w:sz w:val="24"/>
          <w:szCs w:val="32"/>
        </w:rPr>
        <w:tab/>
      </w:r>
      <w:r>
        <w:rPr>
          <w:noProof/>
          <w:webHidden/>
          <w:sz w:val="24"/>
          <w:szCs w:val="32"/>
        </w:rPr>
        <w:fldChar w:fldCharType="begin"/>
      </w:r>
      <w:r>
        <w:rPr>
          <w:noProof/>
          <w:webHidden/>
          <w:sz w:val="24"/>
          <w:szCs w:val="32"/>
        </w:rPr>
        <w:instrText xml:space="preserve"> PAGEREF _Toc227401255 \h </w:instrText>
      </w:r>
      <w:r>
        <w:rPr>
          <w:noProof/>
          <w:webHidden/>
          <w:sz w:val="24"/>
          <w:szCs w:val="32"/>
        </w:rPr>
        <w:fldChar w:fldCharType="separate"/>
      </w:r>
      <w:r>
        <w:rPr>
          <w:noProof/>
          <w:webHidden/>
          <w:sz w:val="24"/>
          <w:szCs w:val="32"/>
        </w:rPr>
        <w:t>3</w:t>
      </w:r>
      <w:r>
        <w:rPr>
          <w:noProof/>
          <w:webHidden/>
          <w:sz w:val="24"/>
          <w:szCs w:val="32"/>
        </w:rPr>
        <w:fldChar w:fldCharType="end"/>
      </w:r>
      <w:r>
        <w:rPr/>
        <w:fldChar w:fldCharType="end"/>
      </w:r>
    </w:p>
    <w:p>
      <w:pPr>
        <w:pStyle w:val="style20"/>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"_Toc227401256" </w:instrText>
      </w:r>
      <w:r>
        <w:rPr/>
        <w:fldChar w:fldCharType="separate"/>
      </w:r>
      <w:r>
        <w:rPr>
          <w:rStyle w:val="style85"/>
          <w:rFonts w:cs="Arial"/>
          <w:noProof/>
          <w:sz w:val="24"/>
          <w:szCs w:val="32"/>
        </w:rPr>
        <w:t>Research Question/Aims</w:t>
      </w:r>
      <w:r>
        <w:rPr>
          <w:noProof/>
          <w:webHidden/>
          <w:sz w:val="24"/>
          <w:szCs w:val="32"/>
        </w:rPr>
        <w:tab/>
      </w:r>
      <w:r>
        <w:rPr>
          <w:noProof/>
          <w:webHidden/>
          <w:sz w:val="24"/>
          <w:szCs w:val="32"/>
        </w:rPr>
        <w:fldChar w:fldCharType="begin"/>
      </w:r>
      <w:r>
        <w:rPr>
          <w:noProof/>
          <w:webHidden/>
          <w:sz w:val="24"/>
          <w:szCs w:val="32"/>
        </w:rPr>
        <w:instrText xml:space="preserve"> PAGEREF _Toc227401256 \h </w:instrText>
      </w:r>
      <w:r>
        <w:rPr>
          <w:noProof/>
          <w:webHidden/>
          <w:sz w:val="24"/>
          <w:szCs w:val="32"/>
        </w:rPr>
        <w:fldChar w:fldCharType="separate"/>
      </w:r>
      <w:r>
        <w:rPr>
          <w:noProof/>
          <w:webHidden/>
          <w:sz w:val="24"/>
          <w:szCs w:val="32"/>
        </w:rPr>
        <w:t>3</w:t>
      </w:r>
      <w:r>
        <w:rPr>
          <w:noProof/>
          <w:webHidden/>
          <w:sz w:val="24"/>
          <w:szCs w:val="32"/>
        </w:rPr>
        <w:fldChar w:fldCharType="end"/>
      </w:r>
      <w:r>
        <w:rPr/>
        <w:fldChar w:fldCharType="end"/>
      </w:r>
    </w:p>
    <w:p>
      <w:pPr>
        <w:pStyle w:val="style19"/>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"_Toc227401257" </w:instrText>
      </w:r>
      <w:r>
        <w:rPr/>
        <w:fldChar w:fldCharType="separate"/>
      </w:r>
      <w:r>
        <w:rPr>
          <w:rStyle w:val="style85"/>
          <w:rFonts w:cs="Arial"/>
          <w:noProof/>
          <w:sz w:val="24"/>
          <w:szCs w:val="32"/>
        </w:rPr>
        <w:t>Research methodology</w:t>
      </w:r>
      <w:r>
        <w:rPr>
          <w:noProof/>
          <w:webHidden/>
          <w:sz w:val="24"/>
          <w:szCs w:val="32"/>
        </w:rPr>
        <w:tab/>
      </w:r>
      <w:r>
        <w:rPr>
          <w:noProof/>
          <w:webHidden/>
          <w:sz w:val="24"/>
          <w:szCs w:val="32"/>
        </w:rPr>
        <w:fldChar w:fldCharType="begin"/>
      </w:r>
      <w:r>
        <w:rPr>
          <w:noProof/>
          <w:webHidden/>
          <w:sz w:val="24"/>
          <w:szCs w:val="32"/>
        </w:rPr>
        <w:instrText xml:space="preserve"> PAGEREF _Toc227401257 \h </w:instrText>
      </w:r>
      <w:r>
        <w:rPr>
          <w:noProof/>
          <w:webHidden/>
          <w:sz w:val="24"/>
          <w:szCs w:val="32"/>
        </w:rPr>
        <w:fldChar w:fldCharType="separate"/>
      </w:r>
      <w:r>
        <w:rPr>
          <w:noProof/>
          <w:webHidden/>
          <w:sz w:val="24"/>
          <w:szCs w:val="32"/>
        </w:rPr>
        <w:t>4</w:t>
      </w:r>
      <w:r>
        <w:rPr>
          <w:noProof/>
          <w:webHidden/>
          <w:sz w:val="24"/>
          <w:szCs w:val="32"/>
        </w:rPr>
        <w:fldChar w:fldCharType="end"/>
      </w:r>
      <w:r>
        <w:rPr/>
        <w:fldChar w:fldCharType="end"/>
      </w:r>
    </w:p>
    <w:p>
      <w:pPr>
        <w:pStyle w:val="style20"/>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"_Toc227401258" </w:instrText>
      </w:r>
      <w:r>
        <w:rPr/>
        <w:fldChar w:fldCharType="separate"/>
      </w:r>
      <w:r>
        <w:rPr>
          <w:rStyle w:val="style85"/>
          <w:rFonts w:cs="Arial"/>
          <w:noProof/>
          <w:sz w:val="24"/>
          <w:szCs w:val="32"/>
        </w:rPr>
        <w:t>Research Design</w:t>
      </w:r>
      <w:r>
        <w:rPr>
          <w:noProof/>
          <w:webHidden/>
          <w:sz w:val="24"/>
          <w:szCs w:val="32"/>
        </w:rPr>
        <w:tab/>
      </w:r>
      <w:r>
        <w:rPr>
          <w:noProof/>
          <w:webHidden/>
          <w:sz w:val="24"/>
          <w:szCs w:val="32"/>
        </w:rPr>
        <w:fldChar w:fldCharType="begin"/>
      </w:r>
      <w:r>
        <w:rPr>
          <w:noProof/>
          <w:webHidden/>
          <w:sz w:val="24"/>
          <w:szCs w:val="32"/>
        </w:rPr>
        <w:instrText xml:space="preserve"> PAGEREF _Toc227401258 \h </w:instrText>
      </w:r>
      <w:r>
        <w:rPr>
          <w:noProof/>
          <w:webHidden/>
          <w:sz w:val="24"/>
          <w:szCs w:val="32"/>
        </w:rPr>
        <w:fldChar w:fldCharType="separate"/>
      </w:r>
      <w:r>
        <w:rPr>
          <w:noProof/>
          <w:webHidden/>
          <w:sz w:val="24"/>
          <w:szCs w:val="32"/>
        </w:rPr>
        <w:t>4</w:t>
      </w:r>
      <w:r>
        <w:rPr>
          <w:noProof/>
          <w:webHidden/>
          <w:sz w:val="24"/>
          <w:szCs w:val="32"/>
        </w:rPr>
        <w:fldChar w:fldCharType="end"/>
      </w:r>
      <w:r>
        <w:rPr/>
        <w:fldChar w:fldCharType="end"/>
      </w:r>
    </w:p>
    <w:p>
      <w:pPr>
        <w:pStyle w:val="style20"/>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"_Toc227401259" </w:instrText>
      </w:r>
      <w:r>
        <w:rPr/>
        <w:fldChar w:fldCharType="separate"/>
      </w:r>
      <w:r>
        <w:rPr>
          <w:rStyle w:val="style85"/>
          <w:rFonts w:cs="Arial"/>
          <w:noProof/>
          <w:sz w:val="24"/>
          <w:szCs w:val="32"/>
        </w:rPr>
        <w:t>Data Collection Method</w:t>
      </w:r>
      <w:r>
        <w:rPr>
          <w:noProof/>
          <w:webHidden/>
          <w:sz w:val="24"/>
          <w:szCs w:val="32"/>
        </w:rPr>
        <w:tab/>
      </w:r>
      <w:r>
        <w:rPr>
          <w:noProof/>
          <w:webHidden/>
          <w:sz w:val="24"/>
          <w:szCs w:val="32"/>
        </w:rPr>
        <w:fldChar w:fldCharType="begin"/>
      </w:r>
      <w:r>
        <w:rPr>
          <w:noProof/>
          <w:webHidden/>
          <w:sz w:val="24"/>
          <w:szCs w:val="32"/>
        </w:rPr>
        <w:instrText xml:space="preserve"> PAGEREF _Toc227401259 \h </w:instrText>
      </w:r>
      <w:r>
        <w:rPr>
          <w:noProof/>
          <w:webHidden/>
          <w:sz w:val="24"/>
          <w:szCs w:val="32"/>
        </w:rPr>
        <w:fldChar w:fldCharType="separate"/>
      </w:r>
      <w:r>
        <w:rPr>
          <w:noProof/>
          <w:webHidden/>
          <w:sz w:val="24"/>
          <w:szCs w:val="32"/>
        </w:rPr>
        <w:t>5</w:t>
      </w:r>
      <w:r>
        <w:rPr>
          <w:noProof/>
          <w:webHidden/>
          <w:sz w:val="24"/>
          <w:szCs w:val="32"/>
        </w:rPr>
        <w:fldChar w:fldCharType="end"/>
      </w:r>
      <w:r>
        <w:rPr/>
        <w:fldChar w:fldCharType="end"/>
      </w:r>
    </w:p>
    <w:p>
      <w:pPr>
        <w:pStyle w:val="style20"/>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"_Toc227401260" </w:instrText>
      </w:r>
      <w:r>
        <w:rPr/>
        <w:fldChar w:fldCharType="separate"/>
      </w:r>
      <w:r>
        <w:rPr>
          <w:rStyle w:val="style85"/>
          <w:rFonts w:cs="Arial"/>
          <w:noProof/>
          <w:sz w:val="24"/>
          <w:szCs w:val="32"/>
        </w:rPr>
        <w:t>Proposed data analysis technique</w:t>
      </w:r>
      <w:r>
        <w:rPr>
          <w:noProof/>
          <w:webHidden/>
          <w:sz w:val="24"/>
          <w:szCs w:val="32"/>
        </w:rPr>
        <w:tab/>
      </w:r>
      <w:r>
        <w:rPr>
          <w:noProof/>
          <w:webHidden/>
          <w:sz w:val="24"/>
          <w:szCs w:val="32"/>
        </w:rPr>
        <w:fldChar w:fldCharType="begin"/>
      </w:r>
      <w:r>
        <w:rPr>
          <w:noProof/>
          <w:webHidden/>
          <w:sz w:val="24"/>
          <w:szCs w:val="32"/>
        </w:rPr>
        <w:instrText xml:space="preserve"> PAGEREF _Toc227401260 \h </w:instrText>
      </w:r>
      <w:r>
        <w:rPr>
          <w:noProof/>
          <w:webHidden/>
          <w:sz w:val="24"/>
          <w:szCs w:val="32"/>
        </w:rPr>
        <w:fldChar w:fldCharType="separate"/>
      </w:r>
      <w:r>
        <w:rPr>
          <w:noProof/>
          <w:webHidden/>
          <w:sz w:val="24"/>
          <w:szCs w:val="32"/>
        </w:rPr>
        <w:t>7</w:t>
      </w:r>
      <w:r>
        <w:rPr>
          <w:noProof/>
          <w:webHidden/>
          <w:sz w:val="24"/>
          <w:szCs w:val="32"/>
        </w:rPr>
        <w:fldChar w:fldCharType="end"/>
      </w:r>
      <w:r>
        <w:rPr/>
        <w:fldChar w:fldCharType="end"/>
      </w:r>
    </w:p>
    <w:p>
      <w:pPr>
        <w:pStyle w:val="style20"/>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"_Toc227401261" </w:instrText>
      </w:r>
      <w:r>
        <w:rPr/>
        <w:fldChar w:fldCharType="separate"/>
      </w:r>
      <w:r>
        <w:rPr>
          <w:rStyle w:val="style85"/>
          <w:rFonts w:cs="Arial"/>
          <w:noProof/>
          <w:sz w:val="24"/>
          <w:szCs w:val="32"/>
        </w:rPr>
        <w:t>Ethical considerations</w:t>
      </w:r>
      <w:r>
        <w:rPr>
          <w:noProof/>
          <w:webHidden/>
          <w:sz w:val="24"/>
          <w:szCs w:val="32"/>
        </w:rPr>
        <w:tab/>
      </w:r>
      <w:r>
        <w:rPr>
          <w:noProof/>
          <w:webHidden/>
          <w:sz w:val="24"/>
          <w:szCs w:val="32"/>
        </w:rPr>
        <w:fldChar w:fldCharType="begin"/>
      </w:r>
      <w:r>
        <w:rPr>
          <w:noProof/>
          <w:webHidden/>
          <w:sz w:val="24"/>
          <w:szCs w:val="32"/>
        </w:rPr>
        <w:instrText xml:space="preserve"> PAGEREF _Toc227401261 \h </w:instrText>
      </w:r>
      <w:r>
        <w:rPr>
          <w:noProof/>
          <w:webHidden/>
          <w:sz w:val="24"/>
          <w:szCs w:val="32"/>
        </w:rPr>
        <w:fldChar w:fldCharType="separate"/>
      </w:r>
      <w:r>
        <w:rPr>
          <w:noProof/>
          <w:webHidden/>
          <w:sz w:val="24"/>
          <w:szCs w:val="32"/>
        </w:rPr>
        <w:t>8</w:t>
      </w:r>
      <w:r>
        <w:rPr>
          <w:noProof/>
          <w:webHidden/>
          <w:sz w:val="24"/>
          <w:szCs w:val="32"/>
        </w:rPr>
        <w:fldChar w:fldCharType="end"/>
      </w:r>
      <w:r>
        <w:rPr/>
        <w:fldChar w:fldCharType="end"/>
      </w:r>
    </w:p>
    <w:p>
      <w:pPr>
        <w:pStyle w:val="style19"/>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"_Toc227401262" </w:instrText>
      </w:r>
      <w:r>
        <w:rPr/>
        <w:fldChar w:fldCharType="separate"/>
      </w:r>
      <w:r>
        <w:rPr>
          <w:rStyle w:val="style85"/>
          <w:rFonts w:cs="Arial"/>
          <w:noProof/>
          <w:sz w:val="24"/>
          <w:szCs w:val="32"/>
        </w:rPr>
        <w:t>Implication of research</w:t>
      </w:r>
      <w:r>
        <w:rPr>
          <w:noProof/>
          <w:webHidden/>
          <w:sz w:val="24"/>
          <w:szCs w:val="32"/>
        </w:rPr>
        <w:tab/>
      </w:r>
      <w:r>
        <w:rPr>
          <w:noProof/>
          <w:webHidden/>
          <w:sz w:val="24"/>
          <w:szCs w:val="32"/>
        </w:rPr>
        <w:fldChar w:fldCharType="begin"/>
      </w:r>
      <w:r>
        <w:rPr>
          <w:noProof/>
          <w:webHidden/>
          <w:sz w:val="24"/>
          <w:szCs w:val="32"/>
        </w:rPr>
        <w:instrText xml:space="preserve"> PAGEREF _Toc227401262 \h </w:instrText>
      </w:r>
      <w:r>
        <w:rPr>
          <w:noProof/>
          <w:webHidden/>
          <w:sz w:val="24"/>
          <w:szCs w:val="32"/>
        </w:rPr>
        <w:fldChar w:fldCharType="separate"/>
      </w:r>
      <w:r>
        <w:rPr>
          <w:noProof/>
          <w:webHidden/>
          <w:sz w:val="24"/>
          <w:szCs w:val="32"/>
        </w:rPr>
        <w:t>8</w:t>
      </w:r>
      <w:r>
        <w:rPr>
          <w:noProof/>
          <w:webHidden/>
          <w:sz w:val="24"/>
          <w:szCs w:val="32"/>
        </w:rPr>
        <w:fldChar w:fldCharType="end"/>
      </w:r>
      <w:r>
        <w:rPr/>
        <w:fldChar w:fldCharType="end"/>
      </w:r>
    </w:p>
    <w:p>
      <w:pPr>
        <w:pStyle w:val="style19"/>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"_Toc227401263" </w:instrText>
      </w:r>
      <w:r>
        <w:rPr/>
        <w:fldChar w:fldCharType="separate"/>
      </w:r>
      <w:r>
        <w:rPr>
          <w:rStyle w:val="style85"/>
          <w:rFonts w:cs="Arial"/>
          <w:noProof/>
          <w:sz w:val="24"/>
          <w:szCs w:val="32"/>
        </w:rPr>
        <w:t>Time Schedule</w:t>
      </w:r>
      <w:r>
        <w:rPr>
          <w:noProof/>
          <w:webHidden/>
          <w:sz w:val="24"/>
          <w:szCs w:val="32"/>
        </w:rPr>
        <w:tab/>
      </w:r>
      <w:r>
        <w:rPr>
          <w:noProof/>
          <w:webHidden/>
          <w:sz w:val="24"/>
          <w:szCs w:val="32"/>
        </w:rPr>
        <w:fldChar w:fldCharType="begin"/>
      </w:r>
      <w:r>
        <w:rPr>
          <w:noProof/>
          <w:webHidden/>
          <w:sz w:val="24"/>
          <w:szCs w:val="32"/>
        </w:rPr>
        <w:instrText xml:space="preserve"> PAGEREF _Toc227401263 \h </w:instrText>
      </w:r>
      <w:r>
        <w:rPr>
          <w:noProof/>
          <w:webHidden/>
          <w:sz w:val="24"/>
          <w:szCs w:val="32"/>
        </w:rPr>
        <w:fldChar w:fldCharType="separate"/>
      </w:r>
      <w:r>
        <w:rPr>
          <w:noProof/>
          <w:webHidden/>
          <w:sz w:val="24"/>
          <w:szCs w:val="32"/>
        </w:rPr>
        <w:t>9</w:t>
      </w:r>
      <w:r>
        <w:rPr>
          <w:noProof/>
          <w:webHidden/>
          <w:sz w:val="24"/>
          <w:szCs w:val="32"/>
        </w:rPr>
        <w:fldChar w:fldCharType="end"/>
      </w:r>
      <w:r>
        <w:rPr/>
        <w:fldChar w:fldCharType="end"/>
      </w:r>
    </w:p>
    <w:p>
      <w:pPr>
        <w:pStyle w:val="style19"/>
        <w:tabs>
          <w:tab w:val="right" w:leader="dot" w:pos="9350"/>
        </w:tabs>
        <w:rPr>
          <w:rFonts w:ascii="Cambria" w:cs="Vrinda" w:eastAsia="宋体" w:hAnsi="Cambria"/>
          <w:noProof/>
          <w:kern w:val="2"/>
          <w:sz w:val="28"/>
          <w:szCs w:val="28"/>
          <w:lang w:bidi="ar-SA"/>
          <w14:ligatures xmlns:w14="http://schemas.microsoft.com/office/word/2010/wordml" w14:val="standardContextual"/>
        </w:rPr>
      </w:pPr>
      <w:r>
        <w:rPr/>
        <w:fldChar w:fldCharType="begin"/>
      </w:r>
      <w:r>
        <w:instrText xml:space="preserve"> HYPERLINK \l "_Toc227401264" </w:instrText>
      </w:r>
      <w:r>
        <w:rPr/>
        <w:fldChar w:fldCharType="separate"/>
      </w:r>
      <w:r>
        <w:rPr>
          <w:rStyle w:val="style85"/>
          <w:rFonts w:cs="Arial"/>
          <w:noProof/>
          <w:sz w:val="24"/>
          <w:szCs w:val="32"/>
        </w:rPr>
        <w:t>References</w:t>
      </w:r>
      <w:r>
        <w:rPr>
          <w:noProof/>
          <w:webHidden/>
          <w:sz w:val="24"/>
          <w:szCs w:val="32"/>
        </w:rPr>
        <w:tab/>
      </w:r>
      <w:r>
        <w:rPr>
          <w:noProof/>
          <w:webHidden/>
          <w:sz w:val="24"/>
          <w:szCs w:val="32"/>
        </w:rPr>
        <w:fldChar w:fldCharType="begin"/>
      </w:r>
      <w:r>
        <w:rPr>
          <w:noProof/>
          <w:webHidden/>
          <w:sz w:val="24"/>
          <w:szCs w:val="32"/>
        </w:rPr>
        <w:instrText xml:space="preserve"> PAGEREF _Toc227401264 \h </w:instrText>
      </w:r>
      <w:r>
        <w:rPr>
          <w:noProof/>
          <w:webHidden/>
          <w:sz w:val="24"/>
          <w:szCs w:val="32"/>
        </w:rPr>
        <w:fldChar w:fldCharType="separate"/>
      </w:r>
      <w:r>
        <w:rPr>
          <w:noProof/>
          <w:webHidden/>
          <w:sz w:val="24"/>
          <w:szCs w:val="32"/>
        </w:rPr>
        <w:t>11</w:t>
      </w:r>
      <w:r>
        <w:rPr>
          <w:noProof/>
          <w:webHidden/>
          <w:sz w:val="24"/>
          <w:szCs w:val="32"/>
        </w:rPr>
        <w:fldChar w:fldCharType="end"/>
      </w:r>
      <w:r>
        <w:rPr/>
        <w:fldChar w:fldCharType="end"/>
      </w:r>
    </w:p>
    <w:p>
      <w:pPr>
        <w:pStyle w:val="style0"/>
        <w:widowControl w:val="false"/>
        <w:tabs>
          <w:tab w:val="right" w:leader="dot" w:pos="9360"/>
        </w:tabs>
        <w:spacing w:before="60"/>
        <w:jc w:val="left"/>
        <w:rPr>
          <w:rFonts w:cs="Arial"/>
          <w:b/>
          <w:bCs/>
          <w:color w:val="000000"/>
          <w:sz w:val="24"/>
          <w:szCs w:val="28"/>
        </w:rPr>
      </w:pPr>
      <w:r>
        <w:rPr>
          <w:rFonts w:cs="Arial"/>
          <w:sz w:val="24"/>
          <w:szCs w:val="28"/>
        </w:rPr>
        <w:fldChar w:fldCharType="end"/>
      </w:r>
    </w:p>
    <w:p>
      <w:pPr>
        <w:pStyle w:val="style0"/>
        <w:rPr>
          <w:rFonts w:cs="Arial"/>
          <w:sz w:val="24"/>
          <w:szCs w:val="28"/>
        </w:rPr>
      </w:pPr>
    </w:p>
    <w:bookmarkStart w:id="0" w:name="_isckrswvjayi" w:colFirst="0" w:colLast="0"/>
    <w:bookmarkEnd w:id="0"/>
    <w:p>
      <w:pPr>
        <w:pStyle w:val="style1"/>
        <w:rPr>
          <w:rFonts w:cs="Arial"/>
          <w:sz w:val="32"/>
          <w:szCs w:val="32"/>
        </w:rPr>
      </w:pPr>
      <w:r>
        <w:rPr>
          <w:rFonts w:cs="Arial"/>
          <w:sz w:val="32"/>
          <w:szCs w:val="32"/>
        </w:rPr>
        <w:br w:type="page"/>
      </w:r>
    </w:p>
    <w:bookmarkStart w:id="1" w:name="_Toc227401252"/>
    <w:p>
      <w:pPr>
        <w:pStyle w:val="style1"/>
        <w:rPr>
          <w:rFonts w:cs="Arial"/>
          <w:color w:val="000000"/>
        </w:rPr>
      </w:pPr>
      <w:r>
        <w:rPr>
          <w:rFonts w:cs="Arial"/>
          <w:color w:val="000000"/>
        </w:rPr>
        <w:t>Introduction</w:t>
      </w:r>
      <w:bookmarkEnd w:id="1"/>
    </w:p>
    <w:bookmarkStart w:id="2" w:name="_Toc227401253"/>
    <w:p>
      <w:pPr>
        <w:pStyle w:val="style2"/>
        <w:rPr>
          <w:rFonts w:cs="Arial"/>
          <w:color w:val="000000"/>
        </w:rPr>
      </w:pPr>
      <w:r>
        <w:rPr>
          <w:rFonts w:cs="Arial"/>
          <w:color w:val="000000"/>
        </w:rPr>
        <w:t>Background to the Study</w:t>
      </w:r>
      <w:bookmarkEnd w:id="2"/>
    </w:p>
    <w:p>
      <w:pPr>
        <w:pStyle w:val="style0"/>
        <w:rPr>
          <w:rFonts w:cs="Arial"/>
          <w:color w:val="000000"/>
        </w:rPr>
      </w:pPr>
      <w:r>
        <w:rPr>
          <w:rFonts w:cs="Arial"/>
          <w:color w:val="000000"/>
        </w:rPr>
        <w:t>Smallpox, caused by the variola virus, is an infectious disease. Since 1977, smallpox diseases have been spreading among children and adolescents, and even adults have been affected</w:t>
      </w:r>
      <w:r>
        <w:rPr>
          <w:rFonts w:cs="Arial"/>
          <w:color w:val="000000"/>
        </w:rPr>
        <w:t xml:space="preserve"> (Schneider and Davenport, 2026)</w:t>
      </w:r>
      <w:r>
        <w:rPr>
          <w:rFonts w:cs="Arial"/>
          <w:color w:val="000000"/>
        </w:rPr>
        <w:t>. Smallpox was a highly contagious disease with a 30% of fatality rate (WHO, 2025). Smallpox is a highly transmissible disease affecting humans</w:t>
      </w:r>
      <w:r>
        <w:rPr>
          <w:rFonts w:cs="Arial"/>
          <w:color w:val="000000"/>
        </w:rPr>
        <w:t xml:space="preserve"> (Berche, 2022)</w:t>
      </w:r>
      <w:r>
        <w:rPr>
          <w:rFonts w:cs="Arial"/>
          <w:color w:val="000000"/>
        </w:rPr>
        <w:t>. The variola virus, which is a member of the genus orthopoxvirus of the Poxviridae family, is responsible for this type of disease. However, to prevent the smallpox virus, the UK government took action and created policies to promote compulsory childhood smallpox vaccination in 1853 (Gov.uk, 2025). Despite the vaccination, improper monitoring and policy implications, the rate of vaccination started to decrease in many areas, which creates increasing concern regarding the spread of smallpox diseases in the UK</w:t>
      </w:r>
      <w:r>
        <w:rPr>
          <w:rFonts w:cs="Arial"/>
          <w:color w:val="000000"/>
        </w:rPr>
        <w:t xml:space="preserve"> (Taube et al., 2022)</w:t>
      </w:r>
      <w:r>
        <w:rPr>
          <w:rFonts w:cs="Arial"/>
          <w:color w:val="000000"/>
        </w:rPr>
        <w:t xml:space="preserve">. </w:t>
      </w:r>
    </w:p>
    <w:p>
      <w:pPr>
        <w:pStyle w:val="style0"/>
        <w:rPr>
          <w:rFonts w:cs="Arial"/>
          <w:color w:val="000000"/>
        </w:rPr>
      </w:pPr>
      <w:r>
        <w:rPr>
          <w:rFonts w:cs="Arial"/>
          <w:color w:val="000000"/>
        </w:rPr>
        <w:t>Since</w:t>
      </w:r>
      <w:r>
        <w:rPr>
          <w:rFonts w:cs="Arial"/>
          <w:color w:val="000000"/>
        </w:rPr>
        <w:t xml:space="preserve"> 1920, smallpox disease started to spread, and in 1950 it affected more than 600000 people, and by the end of 1980 it had caused zero deaths, and it was eradicated by the WHO</w:t>
      </w:r>
      <w:r>
        <w:rPr>
          <w:rFonts w:cs="Arial"/>
          <w:color w:val="000000"/>
        </w:rPr>
        <w:t xml:space="preserve"> (Statista, 2025)</w:t>
      </w:r>
      <w:r>
        <w:rPr>
          <w:rFonts w:cs="Arial"/>
          <w:color w:val="000000"/>
        </w:rPr>
        <w:t xml:space="preserve">. In the 20th century, it killed more than 300 to 500 million people. Around 3 people among 10 affected people died (Cdc.gov, 2024). </w:t>
      </w:r>
    </w:p>
    <w:p>
      <w:pPr>
        <w:pStyle w:val="style0"/>
        <w:rPr>
          <w:rFonts w:cs="Arial"/>
          <w:color w:val="000000"/>
        </w:rPr>
      </w:pPr>
      <w:r>
        <w:rPr>
          <w:rFonts w:cs="Arial"/>
          <w:color w:val="000000"/>
        </w:rPr>
        <w:t>In the context of the UK, it has played a major role in addressing and controlling the spread of smallpox since the 19th century, introducing mandatory childhood vaccination laws</w:t>
      </w:r>
      <w:r>
        <w:rPr>
          <w:rFonts w:cs="Arial"/>
          <w:color w:val="000000"/>
        </w:rPr>
        <w:t xml:space="preserve"> (</w:t>
      </w:r>
      <w:r>
        <w:rPr>
          <w:rFonts w:cs="Arial"/>
          <w:color w:val="000000"/>
        </w:rPr>
        <w:t>Vigezzi</w:t>
      </w:r>
      <w:r>
        <w:rPr>
          <w:rFonts w:cs="Arial"/>
          <w:color w:val="000000"/>
        </w:rPr>
        <w:t xml:space="preserve"> et al., 2025)</w:t>
      </w:r>
      <w:r>
        <w:rPr>
          <w:rFonts w:cs="Arial"/>
          <w:color w:val="000000"/>
        </w:rPr>
        <w:t>. It reflects the UK government's commitment to save the most vulnerable groups, including children and adolescents, which helped to reduce smallpox infection rate after eradication in 1980 (Emro.who.int, 2025). The UK child vaccination program was one of the major contributors of the global smallpox eradication and control program</w:t>
      </w:r>
      <w:r>
        <w:rPr>
          <w:rFonts w:cs="Arial"/>
          <w:color w:val="000000"/>
        </w:rPr>
        <w:t xml:space="preserve"> (Shattock et al., 2024)</w:t>
      </w:r>
      <w:r>
        <w:rPr>
          <w:rFonts w:cs="Arial"/>
          <w:color w:val="000000"/>
        </w:rPr>
        <w:t xml:space="preserve">. Several vaccination campaigns, surveillance and prevention ensure we take measures to address smallpox and prevent the spread of the smallpox virus among children and infants (Gov.uk, 2025). Thus, the vaccination was an effective approach to successfully address the spread of the smallpox virus. </w:t>
      </w:r>
    </w:p>
    <w:bookmarkStart w:id="3" w:name="_Toc227401254"/>
    <w:p>
      <w:pPr>
        <w:pStyle w:val="style2"/>
        <w:rPr>
          <w:rFonts w:cs="Arial"/>
          <w:color w:val="000000"/>
        </w:rPr>
      </w:pPr>
      <w:r>
        <w:rPr>
          <w:rFonts w:cs="Arial"/>
          <w:color w:val="000000"/>
        </w:rPr>
        <w:t>Research problem(s) identified</w:t>
      </w:r>
      <w:bookmarkEnd w:id="3"/>
    </w:p>
    <w:p>
      <w:pPr>
        <w:pStyle w:val="style0"/>
        <w:rPr>
          <w:rFonts w:cs="Arial"/>
          <w:color w:val="000000"/>
        </w:rPr>
      </w:pPr>
      <w:r>
        <w:rPr>
          <w:rFonts w:cs="Arial"/>
          <w:color w:val="000000"/>
        </w:rPr>
        <w:t xml:space="preserve">Despite significant activities to reduce the spread of smallpox in post-eradication, there is still a gap in preparedness in preventing smallpox disease in the UK public health system. Lack of awareness, educational activity, limited </w:t>
      </w:r>
      <w:r>
        <w:rPr>
          <w:rFonts w:cs="Arial"/>
          <w:color w:val="000000"/>
        </w:rPr>
        <w:t>paediatric</w:t>
      </w:r>
      <w:r>
        <w:rPr>
          <w:rFonts w:cs="Arial"/>
          <w:color w:val="000000"/>
        </w:rPr>
        <w:t>-specific preparedness planning, and early detection still indicate the risk of spreading smallpox</w:t>
      </w:r>
      <w:r>
        <w:rPr>
          <w:rFonts w:cs="Arial"/>
          <w:color w:val="000000"/>
        </w:rPr>
        <w:t xml:space="preserve"> (Masiello et al., 2024)</w:t>
      </w:r>
      <w:r>
        <w:rPr>
          <w:rFonts w:cs="Arial"/>
          <w:color w:val="000000"/>
        </w:rPr>
        <w:t xml:space="preserve">. It is evident from the recent challenges faced by the UK government to address the spread of COVID-19 among the </w:t>
      </w:r>
      <w:r>
        <w:rPr>
          <w:rFonts w:cs="Arial"/>
          <w:color w:val="000000"/>
        </w:rPr>
        <w:t>population. After 1980, the irrelevant monitoring and non-routine smallpox vaccination increased the risk of spreading the smallpox virus among children and adolescents, significantly increasing the risk of infant and child death due to smallpox</w:t>
      </w:r>
      <w:r>
        <w:rPr>
          <w:rFonts w:cs="Arial"/>
          <w:color w:val="000000"/>
        </w:rPr>
        <w:t xml:space="preserve"> (Jeong et al., 2024)</w:t>
      </w:r>
      <w:r>
        <w:rPr>
          <w:rFonts w:cs="Arial"/>
          <w:color w:val="000000"/>
        </w:rPr>
        <w:t xml:space="preserve">. This indicates an increasing vulnerability of the current public healthcare system. Further, a lack of awareness programs about smallpox in educational institutions, </w:t>
      </w:r>
      <w:r>
        <w:rPr>
          <w:rFonts w:cs="Arial"/>
          <w:color w:val="000000"/>
        </w:rPr>
        <w:t>paediatric</w:t>
      </w:r>
      <w:r>
        <w:rPr>
          <w:rFonts w:cs="Arial"/>
          <w:color w:val="000000"/>
        </w:rPr>
        <w:t xml:space="preserve"> centres, and other public healthcare settings all increases the knowledge gap. This increases the rate of early detection of issues; smallpox identification in the last stage may increase the risk of death. Thus, this report intends to identify the current gaps and find suitable solutions to promote a strong public health preparedness system to stop the spread of smallpox in the future. </w:t>
      </w:r>
    </w:p>
    <w:bookmarkStart w:id="4" w:name="_Toc227401255"/>
    <w:p>
      <w:pPr>
        <w:pStyle w:val="style2"/>
        <w:rPr>
          <w:rFonts w:cs="Arial"/>
          <w:color w:val="000000"/>
        </w:rPr>
      </w:pPr>
      <w:r>
        <w:rPr>
          <w:rFonts w:cs="Arial"/>
          <w:color w:val="000000"/>
        </w:rPr>
        <w:t>Rationale</w:t>
      </w:r>
      <w:bookmarkEnd w:id="4"/>
    </w:p>
    <w:p>
      <w:pPr>
        <w:pStyle w:val="style0"/>
        <w:rPr>
          <w:rFonts w:cs="Arial"/>
          <w:color w:val="000000"/>
        </w:rPr>
      </w:pPr>
      <w:r>
        <w:rPr>
          <w:rFonts w:cs="Arial"/>
          <w:color w:val="000000"/>
        </w:rPr>
        <w:t>The increasing risk of smallpox in small children and adolescents became a complex situation for the public health system, and it raised questions about the preparedness of the UK healthcare settings. Smallpox has a high mortality rate of 20 to 45%, and major smallpox cases were seen among young children and adolescents (Berche, 2022). After the official eradication of smallpox, in the UK, there is a lack of vaccination intention and proper awareness about addressing the smallpox threat (Akter et al., 2023). Further, among children and adolescents, the initial symptoms of smallpox are undetectable, and late diagnosis significantly increases the risk of health complications and even death. In the case of child vaccination, the UK was the first country to play a major role in controlling the spread of smallpox disease among children</w:t>
      </w:r>
      <w:r>
        <w:rPr>
          <w:rFonts w:cs="Arial"/>
          <w:color w:val="000000"/>
        </w:rPr>
        <w:t xml:space="preserve"> (Spieker, 2022)</w:t>
      </w:r>
      <w:r>
        <w:rPr>
          <w:rFonts w:cs="Arial"/>
          <w:color w:val="000000"/>
        </w:rPr>
        <w:t>. However, in recent times, a lack of proper monitoring, policy measures and further educational awareness programs has reduced the efficacy of preparedness and increased the risk of further spread of the smallpox virus in future</w:t>
      </w:r>
      <w:r>
        <w:rPr>
          <w:rFonts w:cs="Arial"/>
          <w:color w:val="000000"/>
        </w:rPr>
        <w:t xml:space="preserve"> (Anjum et al., 2025)</w:t>
      </w:r>
      <w:r>
        <w:rPr>
          <w:rFonts w:cs="Arial"/>
          <w:color w:val="000000"/>
        </w:rPr>
        <w:t>. Further, there is a lack of policies to create new public health infrastructure with advanced surveillance systems. This also increases the risk of smallpox control and addressing challenges. Thus, policy creation is mandatory to promote rapid detection, and promote fast and easy healthcare accessibility for addressing smallpox disease speed and prevention</w:t>
      </w:r>
      <w:r>
        <w:rPr>
          <w:rFonts w:cs="Arial"/>
          <w:color w:val="000000"/>
        </w:rPr>
        <w:t xml:space="preserve"> (Lakshmanan and Liu, 2025)</w:t>
      </w:r>
      <w:r>
        <w:rPr>
          <w:rFonts w:cs="Arial"/>
          <w:color w:val="000000"/>
        </w:rPr>
        <w:t xml:space="preserve">. Thus, this peculiar research will perform an in-depth observation and evaluation of the current health preparedness of the UK health and social care system to maintain a strong preparedness to prevent the future spread of smallpox. It will also help the policy makers and government to make informed decisions to implement new healthcare policies that can help to improve awareness and preparedness among the UK people, specifically for the vulnerable group of people. </w:t>
      </w:r>
    </w:p>
    <w:bookmarkStart w:id="5" w:name="_Toc227401256"/>
    <w:p>
      <w:pPr>
        <w:pStyle w:val="style2"/>
        <w:rPr>
          <w:rFonts w:cs="Arial"/>
          <w:color w:val="000000"/>
        </w:rPr>
      </w:pPr>
      <w:r>
        <w:rPr>
          <w:rFonts w:cs="Arial"/>
          <w:color w:val="000000"/>
        </w:rPr>
        <w:t>Research Question/Aims</w:t>
      </w:r>
      <w:bookmarkEnd w:id="5"/>
    </w:p>
    <w:p>
      <w:pPr>
        <w:pStyle w:val="style0"/>
        <w:rPr>
          <w:rFonts w:cs="Arial"/>
          <w:b/>
          <w:bCs/>
          <w:color w:val="000000"/>
        </w:rPr>
      </w:pPr>
      <w:r>
        <w:rPr>
          <w:rFonts w:cs="Arial"/>
          <w:b/>
          <w:bCs/>
          <w:color w:val="000000"/>
        </w:rPr>
        <w:t>Research Question</w:t>
      </w:r>
    </w:p>
    <w:p>
      <w:pPr>
        <w:pStyle w:val="style0"/>
        <w:rPr>
          <w:rFonts w:cs="Arial"/>
          <w:color w:val="000000"/>
        </w:rPr>
      </w:pPr>
      <w:r>
        <w:rPr>
          <w:rFonts w:cs="Arial"/>
          <w:color w:val="000000"/>
        </w:rPr>
        <w:t>To what extent is the public health system in the United Kingdom ready to identify, respond to, and control the occurrence of a smallpox-like pathogen outbreak in children and adolescents?</w:t>
      </w:r>
    </w:p>
    <w:p>
      <w:pPr>
        <w:pStyle w:val="style0"/>
        <w:rPr>
          <w:rFonts w:cs="Arial"/>
          <w:b/>
          <w:bCs/>
          <w:color w:val="000000"/>
        </w:rPr>
      </w:pPr>
      <w:r>
        <w:rPr>
          <w:rFonts w:cs="Arial"/>
          <w:b/>
          <w:bCs/>
          <w:color w:val="000000"/>
        </w:rPr>
        <w:t>Research Aim</w:t>
      </w:r>
    </w:p>
    <w:p>
      <w:pPr>
        <w:pStyle w:val="style0"/>
        <w:rPr>
          <w:rFonts w:cs="Arial"/>
          <w:color w:val="000000"/>
        </w:rPr>
      </w:pPr>
      <w:r>
        <w:rPr>
          <w:rFonts w:cs="Arial"/>
          <w:color w:val="000000"/>
        </w:rPr>
        <w:t xml:space="preserve">The research is to evaluate the existing UK public health preparedness systems against orthopoxvirus outbreaks among </w:t>
      </w:r>
      <w:r>
        <w:rPr>
          <w:rFonts w:cs="Arial"/>
          <w:color w:val="000000"/>
        </w:rPr>
        <w:t>paediatric</w:t>
      </w:r>
      <w:r>
        <w:rPr>
          <w:rFonts w:cs="Arial"/>
          <w:color w:val="000000"/>
        </w:rPr>
        <w:t xml:space="preserve"> populations, particularly the surveillance, clinical preparedness, immunisation policies and response to outbreaks.</w:t>
      </w:r>
    </w:p>
    <w:p>
      <w:pPr>
        <w:pStyle w:val="style0"/>
        <w:rPr>
          <w:rFonts w:cs="Arial"/>
          <w:b/>
          <w:bCs/>
          <w:color w:val="000000"/>
        </w:rPr>
      </w:pPr>
      <w:r>
        <w:rPr>
          <w:rFonts w:cs="Arial"/>
          <w:b/>
          <w:bCs/>
          <w:color w:val="000000"/>
        </w:rPr>
        <w:t>Research Objectives</w:t>
      </w:r>
    </w:p>
    <w:p>
      <w:pPr>
        <w:pStyle w:val="style0"/>
        <w:numPr>
          <w:ilvl w:val="0"/>
          <w:numId w:val="1"/>
        </w:numPr>
        <w:rPr>
          <w:rFonts w:cs="Arial"/>
          <w:color w:val="000000"/>
        </w:rPr>
      </w:pPr>
      <w:r>
        <w:rPr>
          <w:rFonts w:cs="Arial"/>
          <w:color w:val="000000"/>
        </w:rPr>
        <w:t>To identify and synthesise literature on the UK public health preparedness frameworks pertinent to the UK smallpox and smallpox-like pathogen epidemiology, with particular focus on children and adolescents.</w:t>
      </w:r>
    </w:p>
    <w:p>
      <w:pPr>
        <w:pStyle w:val="style0"/>
        <w:numPr>
          <w:ilvl w:val="0"/>
          <w:numId w:val="1"/>
        </w:numPr>
        <w:rPr>
          <w:rFonts w:cs="Arial"/>
          <w:color w:val="000000"/>
        </w:rPr>
      </w:pPr>
      <w:r>
        <w:rPr>
          <w:rFonts w:cs="Arial"/>
          <w:color w:val="000000"/>
        </w:rPr>
        <w:t>To evaluate the functionality of the existing surveillance and diagnostic systems in identifying cases of orthopoxvirus among younger populations.</w:t>
      </w:r>
    </w:p>
    <w:p>
      <w:pPr>
        <w:pStyle w:val="style0"/>
        <w:numPr>
          <w:ilvl w:val="0"/>
          <w:numId w:val="1"/>
        </w:numPr>
        <w:rPr>
          <w:rFonts w:cs="Arial"/>
          <w:color w:val="000000"/>
        </w:rPr>
      </w:pPr>
      <w:r>
        <w:rPr>
          <w:rFonts w:cs="Arial"/>
          <w:color w:val="000000"/>
        </w:rPr>
        <w:t>To assess routes and abilities to deploy vaccinations, stockpile availability, prioritisation policies, and logistical preparation in paediatrics.</w:t>
      </w:r>
    </w:p>
    <w:p>
      <w:pPr>
        <w:pStyle w:val="style0"/>
        <w:numPr>
          <w:ilvl w:val="0"/>
          <w:numId w:val="1"/>
        </w:numPr>
        <w:rPr>
          <w:rFonts w:cs="Arial"/>
          <w:color w:val="000000"/>
        </w:rPr>
      </w:pPr>
      <w:r>
        <w:rPr>
          <w:rFonts w:cs="Arial"/>
          <w:color w:val="000000"/>
        </w:rPr>
        <w:t>To examine the response protocols to outbreaks (contact tracing, isolation, school closures, strategies of communication) to find possible gaps in response to children and adolescents.</w:t>
      </w:r>
    </w:p>
    <w:p>
      <w:pPr>
        <w:pStyle w:val="style0"/>
        <w:numPr>
          <w:ilvl w:val="0"/>
          <w:numId w:val="1"/>
        </w:numPr>
        <w:rPr>
          <w:rFonts w:cs="Arial"/>
          <w:color w:val="000000"/>
        </w:rPr>
      </w:pPr>
      <w:r>
        <w:rPr>
          <w:rFonts w:cs="Arial"/>
          <w:color w:val="000000"/>
        </w:rPr>
        <w:t>To find possible gaps in response to children and adolescents and to provide recommendations.</w:t>
      </w:r>
    </w:p>
    <w:bookmarkStart w:id="6" w:name="_Toc227401257"/>
    <w:p>
      <w:pPr>
        <w:pStyle w:val="style1"/>
        <w:rPr>
          <w:rFonts w:cs="Arial"/>
          <w:color w:val="000000"/>
        </w:rPr>
      </w:pPr>
      <w:r>
        <w:rPr>
          <w:rFonts w:cs="Arial"/>
          <w:color w:val="000000"/>
        </w:rPr>
        <w:t>Research methodology</w:t>
      </w:r>
      <w:bookmarkEnd w:id="6"/>
    </w:p>
    <w:bookmarkStart w:id="7" w:name="_Toc227401258"/>
    <w:p>
      <w:pPr>
        <w:pStyle w:val="style2"/>
        <w:rPr>
          <w:rFonts w:cs="Arial"/>
          <w:color w:val="000000"/>
        </w:rPr>
      </w:pPr>
      <w:r>
        <w:rPr>
          <w:rFonts w:cs="Arial"/>
          <w:color w:val="000000"/>
        </w:rPr>
        <w:t>Research Design</w:t>
      </w:r>
      <w:bookmarkEnd w:id="7"/>
    </w:p>
    <w:p>
      <w:pPr>
        <w:pStyle w:val="style0"/>
        <w:rPr>
          <w:rFonts w:cs="Arial"/>
          <w:color w:val="000000"/>
        </w:rPr>
      </w:pPr>
      <w:r>
        <w:rPr>
          <w:rFonts w:cs="Arial"/>
          <w:color w:val="000000"/>
        </w:rPr>
        <w:t xml:space="preserve">An interpretivist philosophy underpins this study. Interpretivism focuses on understanding subjective meanings and social contexts within public health preparedness (Pervin and Mokhtar, 2022). Interpretivism enables in-depth exploration of how stakeholders perceive and respond to smallpox-related risks. This approach aligns with secondary methods, particularly thematic analysis, allowing the research to interpret complex healthcare experiences rather than relying solely on objective measurement. </w:t>
      </w:r>
      <w:r>
        <w:rPr>
          <w:rFonts w:cs="Arial"/>
          <w:color w:val="000000"/>
        </w:rPr>
        <w:t xml:space="preserve">This research will follow a systematic literature review design to perform the evaluation of the current UK healthcare preparedness to prevent smallpox disease among adolescents and children. Azarian et al. (2023) stated that a systematic literature review (SLR) is a formal methodological approach that helps to identify relevant literature on a specific research topic and find the implications from the existing studies.  Thus, the selection of the SLR is evidence as it can help to identify, extract, and present the solution of the existing evidence in a structured and transparent way. Akter et al. (2023) argued that in promoting new strategies </w:t>
      </w:r>
      <w:r>
        <w:rPr>
          <w:rFonts w:cs="Arial"/>
          <w:color w:val="000000"/>
        </w:rPr>
        <w:t>based on the existing research evidences healthcare settings, SLR is also effective. It is useful in performing in-depth research in the public health sector and making policy decisions by evaluating the existing ones</w:t>
      </w:r>
      <w:r>
        <w:rPr>
          <w:rFonts w:cs="Arial"/>
          <w:color w:val="000000"/>
        </w:rPr>
        <w:t xml:space="preserve"> (Daeng Baji and </w:t>
      </w:r>
      <w:r>
        <w:rPr>
          <w:rFonts w:cs="Arial"/>
          <w:color w:val="000000"/>
        </w:rPr>
        <w:t>Pramono</w:t>
      </w:r>
      <w:r>
        <w:rPr>
          <w:rFonts w:cs="Arial"/>
          <w:color w:val="000000"/>
        </w:rPr>
        <w:t>, 2025)</w:t>
      </w:r>
      <w:r>
        <w:rPr>
          <w:rFonts w:cs="Arial"/>
          <w:color w:val="000000"/>
        </w:rPr>
        <w:t xml:space="preserve">. </w:t>
      </w:r>
    </w:p>
    <w:p>
      <w:pPr>
        <w:pStyle w:val="style0"/>
        <w:rPr>
          <w:rFonts w:cs="Arial"/>
          <w:color w:val="000000"/>
        </w:rPr>
      </w:pPr>
      <w:r>
        <w:rPr>
          <w:rFonts w:cs="Arial"/>
          <w:color w:val="000000"/>
        </w:rPr>
        <w:t>SLR uses the PRISMA framework, which helps to select the most efficient data sources to find the best solutions to prevent smallpox in the UK</w:t>
      </w:r>
      <w:r>
        <w:rPr>
          <w:rFonts w:cs="Arial"/>
          <w:color w:val="000000"/>
        </w:rPr>
        <w:t xml:space="preserve"> (Yadav, 2025)</w:t>
      </w:r>
      <w:r>
        <w:rPr>
          <w:rFonts w:cs="Arial"/>
          <w:color w:val="000000"/>
        </w:rPr>
        <w:t>. PRISMA is a comprehensive search strategy, which comprises four major stages, including identification, screening, eligibility and inclusion</w:t>
      </w:r>
      <w:r>
        <w:rPr>
          <w:rFonts w:cs="Arial"/>
          <w:color w:val="000000"/>
        </w:rPr>
        <w:t xml:space="preserve"> (Rethlefsen and Page, 2022)</w:t>
      </w:r>
      <w:r>
        <w:rPr>
          <w:rFonts w:cs="Arial"/>
          <w:color w:val="000000"/>
        </w:rPr>
        <w:t xml:space="preserve">. Based on these processes, the reliable data will be collected and further processed to identify the suitable interventions to improve the public health preparedness to prevent smallpox among children and adolescents. </w:t>
      </w:r>
    </w:p>
    <w:bookmarkStart w:id="8" w:name="_Toc227401259"/>
    <w:p>
      <w:pPr>
        <w:pStyle w:val="style2"/>
        <w:rPr>
          <w:rFonts w:cs="Arial"/>
          <w:color w:val="000000"/>
        </w:rPr>
      </w:pPr>
      <w:r>
        <w:rPr>
          <w:rFonts w:cs="Arial"/>
          <w:color w:val="000000"/>
        </w:rPr>
        <w:t>Data Collection Method</w:t>
      </w:r>
      <w:bookmarkEnd w:id="8"/>
    </w:p>
    <w:p>
      <w:pPr>
        <w:pStyle w:val="style0"/>
        <w:rPr>
          <w:rFonts w:cs="Arial"/>
          <w:color w:val="000000"/>
        </w:rPr>
      </w:pPr>
      <w:r>
        <w:rPr>
          <w:rFonts w:cs="Arial"/>
          <w:color w:val="000000"/>
        </w:rPr>
        <w:t xml:space="preserve">Following the structured secondary data collection method, the required data will be collected for this study. Cheong et al. (2023) stated that the secondary data collection method comprises the selection of a database, creating search keywords, and inclusion-exclusion criteria. This method enables the collection of authentic, valid, and policy-relevant journal articles that improve evaluation strength to understand the current UK healthcare preparedness to prevent smallpox among children and adolescents. </w:t>
      </w:r>
    </w:p>
    <w:p>
      <w:pPr>
        <w:pStyle w:val="style0"/>
        <w:rPr>
          <w:rFonts w:cs="Arial"/>
          <w:color w:val="000000"/>
        </w:rPr>
      </w:pPr>
      <w:r>
        <w:rPr>
          <w:rFonts w:cs="Arial"/>
          <w:color w:val="000000"/>
        </w:rPr>
        <w:t>The reliable articles will be collected from databases such as PubMed and Google Scholar. Khatoon et al. (2025) argued that PubMed and Google Scholar are the trusted sources to find healthcare-related journal articles and research papers. Thus, the selection of these databases will be efficient to find the most reliable and valid journal articles to maintain in-depth research findings based on the required research objectives.</w:t>
      </w:r>
    </w:p>
    <w:tbl>
      <w:tblPr>
        <w:tblStyle w:val="style154"/>
        <w:tblW w:w="0" w:type="auto"/>
        <w:tblLook w:val="04A0" w:firstRow="1" w:lastRow="0" w:firstColumn="1" w:lastColumn="0" w:noHBand="0" w:noVBand="1"/>
      </w:tblPr>
      <w:tblGrid>
        <w:gridCol w:w="1640"/>
        <w:gridCol w:w="3546"/>
        <w:gridCol w:w="4173"/>
      </w:tblGrid>
      <w:tr>
        <w:trPr/>
        <w:tc>
          <w:tcPr>
            <w:tcW w:w="0" w:type="auto"/>
            <w:tcBorders/>
            <w:hideMark/>
          </w:tcPr>
          <w:p>
            <w:pPr>
              <w:pStyle w:val="style0"/>
              <w:spacing w:lineRule="auto" w:line="360"/>
              <w:rPr>
                <w:rFonts w:cs="Arial"/>
                <w:b/>
                <w:bCs/>
                <w:color w:val="000000"/>
              </w:rPr>
            </w:pPr>
            <w:r>
              <w:rPr>
                <w:rFonts w:cs="Arial"/>
                <w:b/>
                <w:bCs/>
                <w:color w:val="000000"/>
              </w:rPr>
              <w:t>Concept</w:t>
            </w:r>
          </w:p>
        </w:tc>
        <w:tc>
          <w:tcPr>
            <w:tcW w:w="0" w:type="auto"/>
            <w:tcBorders/>
            <w:hideMark/>
          </w:tcPr>
          <w:p>
            <w:pPr>
              <w:pStyle w:val="style0"/>
              <w:spacing w:lineRule="auto" w:line="360"/>
              <w:rPr>
                <w:rFonts w:cs="Arial"/>
                <w:b/>
                <w:bCs/>
                <w:color w:val="000000"/>
              </w:rPr>
            </w:pPr>
            <w:r>
              <w:rPr>
                <w:rFonts w:cs="Arial"/>
                <w:b/>
                <w:bCs/>
                <w:color w:val="000000"/>
              </w:rPr>
              <w:t>Keywords</w:t>
            </w:r>
          </w:p>
        </w:tc>
        <w:tc>
          <w:tcPr>
            <w:tcW w:w="0" w:type="auto"/>
            <w:tcBorders/>
            <w:hideMark/>
          </w:tcPr>
          <w:p>
            <w:pPr>
              <w:pStyle w:val="style0"/>
              <w:spacing w:lineRule="auto" w:line="360"/>
              <w:rPr>
                <w:rFonts w:cs="Arial"/>
                <w:b/>
                <w:bCs/>
                <w:color w:val="000000"/>
              </w:rPr>
            </w:pPr>
            <w:r>
              <w:rPr>
                <w:rFonts w:cs="Arial"/>
                <w:b/>
                <w:bCs/>
                <w:color w:val="000000"/>
              </w:rPr>
              <w:t>Boolean String Example</w:t>
            </w:r>
          </w:p>
        </w:tc>
      </w:tr>
      <w:tr>
        <w:tblPrEx/>
        <w:trPr/>
        <w:tc>
          <w:tcPr>
            <w:tcW w:w="0" w:type="auto"/>
            <w:tcBorders/>
            <w:hideMark/>
          </w:tcPr>
          <w:p>
            <w:pPr>
              <w:pStyle w:val="style0"/>
              <w:spacing w:lineRule="auto" w:line="360"/>
              <w:rPr>
                <w:rFonts w:cs="Arial"/>
                <w:color w:val="000000"/>
              </w:rPr>
            </w:pPr>
            <w:r>
              <w:rPr>
                <w:rFonts w:cs="Arial"/>
                <w:color w:val="000000"/>
              </w:rPr>
              <w:t>Disease Focus</w:t>
            </w:r>
          </w:p>
        </w:tc>
        <w:tc>
          <w:tcPr>
            <w:tcW w:w="0" w:type="auto"/>
            <w:tcBorders/>
            <w:hideMark/>
          </w:tcPr>
          <w:p>
            <w:pPr>
              <w:pStyle w:val="style0"/>
              <w:spacing w:lineRule="auto" w:line="360"/>
              <w:rPr>
                <w:rFonts w:cs="Arial"/>
                <w:color w:val="000000"/>
              </w:rPr>
            </w:pPr>
            <w:r>
              <w:rPr>
                <w:rFonts w:cs="Arial"/>
                <w:color w:val="000000"/>
              </w:rPr>
              <w:t>Smallpox, Orthopoxvirus, Mpox, Variola virus</w:t>
            </w:r>
          </w:p>
        </w:tc>
        <w:tc>
          <w:tcPr>
            <w:tcW w:w="0" w:type="auto"/>
            <w:tcBorders/>
            <w:hideMark/>
          </w:tcPr>
          <w:p>
            <w:pPr>
              <w:pStyle w:val="style0"/>
              <w:spacing w:lineRule="auto" w:line="360"/>
              <w:rPr>
                <w:rFonts w:cs="Arial"/>
                <w:color w:val="000000"/>
              </w:rPr>
            </w:pPr>
            <w:r>
              <w:rPr>
                <w:rFonts w:cs="Arial"/>
                <w:color w:val="000000"/>
              </w:rPr>
              <w:t>(“Smallpox” OR “Orthopoxvirus” OR “Mpox” OR “Variola virus”)</w:t>
            </w:r>
          </w:p>
        </w:tc>
      </w:tr>
      <w:tr>
        <w:tblPrEx/>
        <w:trPr/>
        <w:tc>
          <w:tcPr>
            <w:tcW w:w="0" w:type="auto"/>
            <w:tcBorders/>
            <w:hideMark/>
          </w:tcPr>
          <w:p>
            <w:pPr>
              <w:pStyle w:val="style0"/>
              <w:spacing w:lineRule="auto" w:line="360"/>
              <w:rPr>
                <w:rFonts w:cs="Arial"/>
                <w:color w:val="000000"/>
              </w:rPr>
            </w:pPr>
            <w:r>
              <w:rPr>
                <w:rFonts w:cs="Arial"/>
                <w:color w:val="000000"/>
              </w:rPr>
              <w:t>Public Health Context</w:t>
            </w:r>
          </w:p>
        </w:tc>
        <w:tc>
          <w:tcPr>
            <w:tcW w:w="0" w:type="auto"/>
            <w:tcBorders/>
            <w:hideMark/>
          </w:tcPr>
          <w:p>
            <w:pPr>
              <w:pStyle w:val="style0"/>
              <w:spacing w:lineRule="auto" w:line="360"/>
              <w:rPr>
                <w:rFonts w:cs="Arial"/>
                <w:color w:val="000000"/>
              </w:rPr>
            </w:pPr>
            <w:r>
              <w:rPr>
                <w:rFonts w:cs="Arial"/>
                <w:color w:val="000000"/>
              </w:rPr>
              <w:t>Public health preparedness, Health system readiness, Pandemic preparedness</w:t>
            </w:r>
          </w:p>
        </w:tc>
        <w:tc>
          <w:tcPr>
            <w:tcW w:w="0" w:type="auto"/>
            <w:tcBorders/>
            <w:hideMark/>
          </w:tcPr>
          <w:p>
            <w:pPr>
              <w:pStyle w:val="style0"/>
              <w:spacing w:lineRule="auto" w:line="360"/>
              <w:rPr>
                <w:rFonts w:cs="Arial"/>
                <w:color w:val="000000"/>
              </w:rPr>
            </w:pPr>
            <w:r>
              <w:rPr>
                <w:rFonts w:cs="Arial"/>
                <w:color w:val="000000"/>
              </w:rPr>
              <w:t>(“Public health preparedness” OR “health system readiness” OR “pandemic preparedness”)</w:t>
            </w:r>
          </w:p>
        </w:tc>
      </w:tr>
      <w:tr>
        <w:tblPrEx/>
        <w:trPr/>
        <w:tc>
          <w:tcPr>
            <w:tcW w:w="0" w:type="auto"/>
            <w:tcBorders/>
            <w:hideMark/>
          </w:tcPr>
          <w:p>
            <w:pPr>
              <w:pStyle w:val="style0"/>
              <w:spacing w:lineRule="auto" w:line="360"/>
              <w:rPr>
                <w:rFonts w:cs="Arial"/>
                <w:color w:val="000000"/>
              </w:rPr>
            </w:pPr>
            <w:r>
              <w:rPr>
                <w:rFonts w:cs="Arial"/>
                <w:color w:val="000000"/>
              </w:rPr>
              <w:t>Population</w:t>
            </w:r>
          </w:p>
        </w:tc>
        <w:tc>
          <w:tcPr>
            <w:tcW w:w="0" w:type="auto"/>
            <w:tcBorders/>
            <w:hideMark/>
          </w:tcPr>
          <w:p>
            <w:pPr>
              <w:pStyle w:val="style0"/>
              <w:spacing w:lineRule="auto" w:line="360"/>
              <w:rPr>
                <w:rFonts w:cs="Arial"/>
                <w:color w:val="000000"/>
              </w:rPr>
            </w:pPr>
            <w:r>
              <w:rPr>
                <w:rFonts w:cs="Arial"/>
                <w:color w:val="000000"/>
              </w:rPr>
              <w:t>Children, Adolescents, Paediatric, Youth</w:t>
            </w:r>
          </w:p>
        </w:tc>
        <w:tc>
          <w:tcPr>
            <w:tcW w:w="0" w:type="auto"/>
            <w:tcBorders/>
            <w:hideMark/>
          </w:tcPr>
          <w:p>
            <w:pPr>
              <w:pStyle w:val="style0"/>
              <w:spacing w:lineRule="auto" w:line="360"/>
              <w:rPr>
                <w:rFonts w:cs="Arial"/>
                <w:color w:val="000000"/>
              </w:rPr>
            </w:pPr>
            <w:r>
              <w:rPr>
                <w:rFonts w:cs="Arial"/>
                <w:color w:val="000000"/>
              </w:rPr>
              <w:t>(“Children” OR “Adolescents” OR “Paediatric” OR “Youth”)</w:t>
            </w:r>
          </w:p>
        </w:tc>
      </w:tr>
      <w:tr>
        <w:tblPrEx/>
        <w:trPr/>
        <w:tc>
          <w:tcPr>
            <w:tcW w:w="0" w:type="auto"/>
            <w:tcBorders/>
            <w:hideMark/>
          </w:tcPr>
          <w:p>
            <w:pPr>
              <w:pStyle w:val="style0"/>
              <w:spacing w:lineRule="auto" w:line="360"/>
              <w:rPr>
                <w:rFonts w:cs="Arial"/>
                <w:color w:val="000000"/>
              </w:rPr>
            </w:pPr>
            <w:r>
              <w:rPr>
                <w:rFonts w:cs="Arial"/>
                <w:color w:val="000000"/>
              </w:rPr>
              <w:t>Vaccination</w:t>
            </w:r>
          </w:p>
        </w:tc>
        <w:tc>
          <w:tcPr>
            <w:tcW w:w="0" w:type="auto"/>
            <w:tcBorders/>
            <w:hideMark/>
          </w:tcPr>
          <w:p>
            <w:pPr>
              <w:pStyle w:val="style0"/>
              <w:spacing w:lineRule="auto" w:line="360"/>
              <w:rPr>
                <w:rFonts w:cs="Arial"/>
                <w:color w:val="000000"/>
              </w:rPr>
            </w:pPr>
            <w:r>
              <w:rPr>
                <w:rFonts w:cs="Arial"/>
                <w:color w:val="000000"/>
              </w:rPr>
              <w:t>Vaccination, Immunisation, Vaccine coverage, Vaccine uptake</w:t>
            </w:r>
          </w:p>
        </w:tc>
        <w:tc>
          <w:tcPr>
            <w:tcW w:w="0" w:type="auto"/>
            <w:tcBorders/>
            <w:hideMark/>
          </w:tcPr>
          <w:p>
            <w:pPr>
              <w:pStyle w:val="style0"/>
              <w:spacing w:lineRule="auto" w:line="360"/>
              <w:rPr>
                <w:rFonts w:cs="Arial"/>
                <w:color w:val="000000"/>
              </w:rPr>
            </w:pPr>
            <w:r>
              <w:rPr>
                <w:rFonts w:cs="Arial"/>
                <w:color w:val="000000"/>
              </w:rPr>
              <w:t>(“Vaccination” OR “Immunisation” OR “vaccine coverage” OR “vaccine uptake”)</w:t>
            </w:r>
          </w:p>
        </w:tc>
      </w:tr>
      <w:tr>
        <w:tblPrEx/>
        <w:trPr/>
        <w:tc>
          <w:tcPr>
            <w:tcW w:w="0" w:type="auto"/>
            <w:tcBorders/>
            <w:hideMark/>
          </w:tcPr>
          <w:p>
            <w:pPr>
              <w:pStyle w:val="style0"/>
              <w:spacing w:lineRule="auto" w:line="360"/>
              <w:rPr>
                <w:rFonts w:cs="Arial"/>
                <w:color w:val="000000"/>
              </w:rPr>
            </w:pPr>
            <w:r>
              <w:rPr>
                <w:rFonts w:cs="Arial"/>
                <w:color w:val="000000"/>
              </w:rPr>
              <w:t>Surveillance</w:t>
            </w:r>
          </w:p>
        </w:tc>
        <w:tc>
          <w:tcPr>
            <w:tcW w:w="0" w:type="auto"/>
            <w:tcBorders/>
            <w:hideMark/>
          </w:tcPr>
          <w:p>
            <w:pPr>
              <w:pStyle w:val="style0"/>
              <w:spacing w:lineRule="auto" w:line="360"/>
              <w:rPr>
                <w:rFonts w:cs="Arial"/>
                <w:color w:val="000000"/>
              </w:rPr>
            </w:pPr>
            <w:r>
              <w:rPr>
                <w:rFonts w:cs="Arial"/>
                <w:color w:val="000000"/>
              </w:rPr>
              <w:t>Surveillance, Disease monitoring, Early detection, Screening systems</w:t>
            </w:r>
          </w:p>
        </w:tc>
        <w:tc>
          <w:tcPr>
            <w:tcW w:w="0" w:type="auto"/>
            <w:tcBorders/>
            <w:hideMark/>
          </w:tcPr>
          <w:p>
            <w:pPr>
              <w:pStyle w:val="style0"/>
              <w:spacing w:lineRule="auto" w:line="360"/>
              <w:rPr>
                <w:rFonts w:cs="Arial"/>
                <w:color w:val="000000"/>
              </w:rPr>
            </w:pPr>
            <w:r>
              <w:rPr>
                <w:rFonts w:cs="Arial"/>
                <w:color w:val="000000"/>
              </w:rPr>
              <w:t>(“Surveillance” OR “disease monitoring” OR “early detection” OR “screening systems”)</w:t>
            </w:r>
          </w:p>
        </w:tc>
      </w:tr>
      <w:tr>
        <w:tblPrEx/>
        <w:trPr/>
        <w:tc>
          <w:tcPr>
            <w:tcW w:w="0" w:type="auto"/>
            <w:tcBorders/>
            <w:hideMark/>
          </w:tcPr>
          <w:p>
            <w:pPr>
              <w:pStyle w:val="style0"/>
              <w:spacing w:lineRule="auto" w:line="360"/>
              <w:rPr>
                <w:rFonts w:cs="Arial"/>
                <w:color w:val="000000"/>
              </w:rPr>
            </w:pPr>
            <w:r>
              <w:rPr>
                <w:rFonts w:cs="Arial"/>
                <w:color w:val="000000"/>
              </w:rPr>
              <w:t>Response Protocols</w:t>
            </w:r>
          </w:p>
        </w:tc>
        <w:tc>
          <w:tcPr>
            <w:tcW w:w="0" w:type="auto"/>
            <w:tcBorders/>
            <w:hideMark/>
          </w:tcPr>
          <w:p>
            <w:pPr>
              <w:pStyle w:val="style0"/>
              <w:spacing w:lineRule="auto" w:line="360"/>
              <w:rPr>
                <w:rFonts w:cs="Arial"/>
                <w:color w:val="000000"/>
              </w:rPr>
            </w:pPr>
            <w:r>
              <w:rPr>
                <w:rFonts w:cs="Arial"/>
                <w:color w:val="000000"/>
              </w:rPr>
              <w:t>Response strategies, Outbreak response, Contact tracing, Isolation, Emergency response</w:t>
            </w:r>
          </w:p>
        </w:tc>
        <w:tc>
          <w:tcPr>
            <w:tcW w:w="0" w:type="auto"/>
            <w:tcBorders/>
            <w:hideMark/>
          </w:tcPr>
          <w:p>
            <w:pPr>
              <w:pStyle w:val="style0"/>
              <w:spacing w:lineRule="auto" w:line="360"/>
              <w:rPr>
                <w:rFonts w:cs="Arial"/>
                <w:color w:val="000000"/>
              </w:rPr>
            </w:pPr>
            <w:r>
              <w:rPr>
                <w:rFonts w:cs="Arial"/>
                <w:color w:val="000000"/>
              </w:rPr>
              <w:t>(“Response strategies” OR “outbreak response” OR “contact tracing” OR “isolation” OR “emergency response”)</w:t>
            </w:r>
          </w:p>
        </w:tc>
      </w:tr>
      <w:tr>
        <w:tblPrEx/>
        <w:trPr/>
        <w:tc>
          <w:tcPr>
            <w:tcW w:w="0" w:type="auto"/>
            <w:tcBorders/>
            <w:hideMark/>
          </w:tcPr>
          <w:p>
            <w:pPr>
              <w:pStyle w:val="style0"/>
              <w:spacing w:lineRule="auto" w:line="360"/>
              <w:rPr>
                <w:rFonts w:cs="Arial"/>
                <w:color w:val="000000"/>
              </w:rPr>
            </w:pPr>
            <w:r>
              <w:rPr>
                <w:rFonts w:cs="Arial"/>
                <w:color w:val="000000"/>
              </w:rPr>
              <w:t>Geography</w:t>
            </w:r>
          </w:p>
        </w:tc>
        <w:tc>
          <w:tcPr>
            <w:tcW w:w="0" w:type="auto"/>
            <w:tcBorders/>
            <w:hideMark/>
          </w:tcPr>
          <w:p>
            <w:pPr>
              <w:pStyle w:val="style0"/>
              <w:spacing w:lineRule="auto" w:line="360"/>
              <w:rPr>
                <w:rFonts w:cs="Arial"/>
                <w:color w:val="000000"/>
              </w:rPr>
            </w:pPr>
            <w:r>
              <w:rPr>
                <w:rFonts w:cs="Arial"/>
                <w:color w:val="000000"/>
              </w:rPr>
              <w:t>United Kingdom, UK, England, NHS</w:t>
            </w:r>
          </w:p>
        </w:tc>
        <w:tc>
          <w:tcPr>
            <w:tcW w:w="0" w:type="auto"/>
            <w:tcBorders/>
            <w:hideMark/>
          </w:tcPr>
          <w:p>
            <w:pPr>
              <w:pStyle w:val="style0"/>
              <w:spacing w:lineRule="auto" w:line="360"/>
              <w:rPr>
                <w:rFonts w:cs="Arial"/>
                <w:color w:val="000000"/>
              </w:rPr>
            </w:pPr>
            <w:r>
              <w:rPr>
                <w:rFonts w:cs="Arial"/>
                <w:color w:val="000000"/>
              </w:rPr>
              <w:t>(“United Kingdom” OR “UK” OR “England” OR “NHS”)</w:t>
            </w:r>
          </w:p>
        </w:tc>
      </w:tr>
    </w:tbl>
    <w:p>
      <w:pPr>
        <w:pStyle w:val="style0"/>
        <w:rPr>
          <w:rFonts w:cs="Arial"/>
          <w:color w:val="000000"/>
        </w:rPr>
      </w:pPr>
      <w:r>
        <w:rPr>
          <w:rFonts w:cs="Arial"/>
          <w:color w:val="000000"/>
        </w:rPr>
        <w:t xml:space="preserve"> </w:t>
      </w:r>
    </w:p>
    <w:p>
      <w:pPr>
        <w:pStyle w:val="style0"/>
        <w:jc w:val="center"/>
        <w:rPr>
          <w:rFonts w:cs="Arial"/>
          <w:b/>
          <w:bCs/>
          <w:color w:val="000000"/>
        </w:rPr>
      </w:pPr>
      <w:r>
        <w:rPr>
          <w:rFonts w:cs="Arial"/>
          <w:b/>
          <w:bCs/>
          <w:color w:val="000000"/>
        </w:rPr>
        <w:t>Table 1: Search Keywords</w:t>
      </w:r>
    </w:p>
    <w:p>
      <w:pPr>
        <w:pStyle w:val="style0"/>
        <w:jc w:val="center"/>
        <w:rPr>
          <w:rFonts w:cs="Arial"/>
          <w:color w:val="000000"/>
        </w:rPr>
      </w:pPr>
      <w:r>
        <w:rPr>
          <w:rFonts w:cs="Arial"/>
          <w:color w:val="000000"/>
        </w:rPr>
        <w:t>(Source: Self-created)</w:t>
      </w:r>
    </w:p>
    <w:p>
      <w:pPr>
        <w:pStyle w:val="style0"/>
        <w:rPr>
          <w:rFonts w:cs="Arial"/>
          <w:color w:val="000000"/>
        </w:rPr>
      </w:pPr>
      <w:r>
        <w:rPr>
          <w:rFonts w:cs="Arial"/>
          <w:color w:val="000000"/>
        </w:rPr>
        <w:t xml:space="preserve">Further, the Boolean method will be used to generate the search keywords (Table 1) with AND, OR and NOT Boolean operators to prepare the search strings. For example, search strings like “Smallpox”, OR “Orthopoxvirus” AND “public health preparedness”, AND “Children” NOT “Adults” will be searched in the selected databases to find relevant journal articles regarding the research topic. </w:t>
      </w:r>
    </w:p>
    <w:tbl>
      <w:tblPr>
        <w:tblStyle w:val="style4099"/>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3660"/>
        <w:gridCol w:w="3900"/>
      </w:tblGrid>
      <w:tr>
        <w:trPr/>
        <w:tc>
          <w:tcPr>
            <w:tcW w:w="18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cs="Arial"/>
                <w:b/>
                <w:bCs/>
                <w:color w:val="000000"/>
              </w:rPr>
            </w:pPr>
            <w:r>
              <w:rPr>
                <w:rFonts w:cs="Arial"/>
                <w:b/>
                <w:bCs/>
                <w:color w:val="000000"/>
              </w:rPr>
              <w:t>Criteria</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cs="Arial"/>
                <w:b/>
                <w:bCs/>
                <w:color w:val="000000"/>
              </w:rPr>
            </w:pPr>
            <w:r>
              <w:rPr>
                <w:rFonts w:cs="Arial"/>
                <w:b/>
                <w:bCs/>
                <w:color w:val="000000"/>
              </w:rPr>
              <w:t>Inclusion</w:t>
            </w:r>
          </w:p>
        </w:tc>
        <w:tc>
          <w:tcPr>
            <w:tcW w:w="39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cs="Arial"/>
                <w:b/>
                <w:bCs/>
                <w:color w:val="000000"/>
              </w:rPr>
            </w:pPr>
            <w:r>
              <w:rPr>
                <w:rFonts w:cs="Arial"/>
                <w:b/>
                <w:bCs/>
                <w:color w:val="000000"/>
              </w:rPr>
              <w:t>Exclusion</w:t>
            </w:r>
          </w:p>
        </w:tc>
      </w:tr>
      <w:tr>
        <w:tblPrEx/>
        <w:trPr/>
        <w:tc>
          <w:tcPr>
            <w:tcW w:w="18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Time frame</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Studies published between 2016 and 202</w:t>
            </w:r>
            <w:r>
              <w:rPr>
                <w:rFonts w:cs="Arial"/>
                <w:color w:val="000000"/>
              </w:rPr>
              <w:t>6</w:t>
            </w:r>
          </w:p>
        </w:tc>
        <w:tc>
          <w:tcPr>
            <w:tcW w:w="39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Studies published before 2016</w:t>
            </w:r>
          </w:p>
        </w:tc>
      </w:tr>
      <w:tr>
        <w:tblPrEx/>
        <w:trPr/>
        <w:tc>
          <w:tcPr>
            <w:tcW w:w="18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Study Type</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Peer-reviewed journal articles, government reports, and WHO/NHO publications</w:t>
            </w:r>
          </w:p>
        </w:tc>
        <w:tc>
          <w:tcPr>
            <w:tcW w:w="39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Editorials, blogs, and non-evidence-based sources</w:t>
            </w:r>
          </w:p>
        </w:tc>
      </w:tr>
      <w:tr>
        <w:tblPrEx/>
        <w:trPr/>
        <w:tc>
          <w:tcPr>
            <w:tcW w:w="18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Geographical focus</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Students focused on the UK</w:t>
            </w:r>
          </w:p>
        </w:tc>
        <w:tc>
          <w:tcPr>
            <w:tcW w:w="39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The study focused on countries other than the UK</w:t>
            </w:r>
          </w:p>
        </w:tc>
      </w:tr>
      <w:tr>
        <w:tblPrEx/>
        <w:trPr/>
        <w:tc>
          <w:tcPr>
            <w:tcW w:w="18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Population</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Children and adolescents (0 to 18 years old)</w:t>
            </w:r>
          </w:p>
        </w:tc>
        <w:tc>
          <w:tcPr>
            <w:tcW w:w="39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Adults or above 18 years old</w:t>
            </w:r>
          </w:p>
        </w:tc>
      </w:tr>
      <w:tr>
        <w:tblPrEx/>
        <w:trPr>
          <w:trHeight w:val="863" w:hRule="atLeast"/>
        </w:trPr>
        <w:tc>
          <w:tcPr>
            <w:tcW w:w="18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Topic Fucus</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Smallpox, public health preparedness, vaccination, surveillance</w:t>
            </w:r>
          </w:p>
        </w:tc>
        <w:tc>
          <w:tcPr>
            <w:tcW w:w="39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Studies are irrelevant to the research topic or not linked to the UK healthcare preparedness</w:t>
            </w:r>
          </w:p>
        </w:tc>
      </w:tr>
      <w:tr>
        <w:tblPrEx/>
        <w:trPr>
          <w:trHeight w:val="855" w:hRule="atLeast"/>
        </w:trPr>
        <w:tc>
          <w:tcPr>
            <w:tcW w:w="18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Language</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Written in only the English language</w:t>
            </w:r>
          </w:p>
        </w:tc>
        <w:tc>
          <w:tcPr>
            <w:tcW w:w="390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left"/>
              <w:rPr>
                <w:rFonts w:cs="Arial"/>
                <w:color w:val="000000"/>
              </w:rPr>
            </w:pPr>
            <w:r>
              <w:rPr>
                <w:rFonts w:cs="Arial"/>
                <w:color w:val="000000"/>
              </w:rPr>
              <w:t>Studies written in languages other than English</w:t>
            </w:r>
          </w:p>
        </w:tc>
      </w:tr>
    </w:tbl>
    <w:p>
      <w:pPr>
        <w:pStyle w:val="style0"/>
        <w:jc w:val="center"/>
        <w:rPr>
          <w:rFonts w:cs="Arial"/>
          <w:b/>
          <w:bCs/>
          <w:color w:val="000000"/>
        </w:rPr>
      </w:pPr>
      <w:r>
        <w:rPr>
          <w:rFonts w:cs="Arial"/>
          <w:b/>
          <w:bCs/>
          <w:color w:val="000000"/>
        </w:rPr>
        <w:t>Table 2: Inclusion-Exclusion Criteria</w:t>
      </w:r>
    </w:p>
    <w:p>
      <w:pPr>
        <w:pStyle w:val="style0"/>
        <w:jc w:val="center"/>
        <w:rPr>
          <w:rFonts w:cs="Arial"/>
          <w:color w:val="000000"/>
        </w:rPr>
      </w:pPr>
      <w:r>
        <w:rPr>
          <w:rFonts w:cs="Arial"/>
          <w:color w:val="000000"/>
        </w:rPr>
        <w:t>(source: Self-created)</w:t>
      </w:r>
    </w:p>
    <w:p>
      <w:pPr>
        <w:pStyle w:val="style0"/>
        <w:rPr>
          <w:rFonts w:cs="Arial"/>
          <w:color w:val="000000"/>
        </w:rPr>
      </w:pPr>
      <w:r>
        <w:rPr>
          <w:rFonts w:cs="Arial"/>
          <w:color w:val="000000"/>
        </w:rPr>
        <w:t>Table 2 shows the inclusion-exclusion criteria to select the most relevant and valid journal articles, which will help to evaluate the current public health preparedness to prevent the upcoming smallpox disease among children and adolescents. Further, inclusion and exclusion criteria will be followed to include only the relevant, peer-reviewed articles published between 2016 and 202</w:t>
      </w:r>
      <w:r>
        <w:rPr>
          <w:rFonts w:cs="Arial"/>
          <w:color w:val="000000"/>
        </w:rPr>
        <w:t>6</w:t>
      </w:r>
      <w:r>
        <w:rPr>
          <w:rFonts w:cs="Arial"/>
          <w:color w:val="000000"/>
        </w:rPr>
        <w:t xml:space="preserve">. Studies written only in the English language and directly focused on UK healthcare preparedness to prevent smallpox will be included. Other studies that failed to provide information about UK healthcare to prevent smallpox and studies published before 2016 will be excluded for further review. </w:t>
      </w:r>
      <w:r>
        <w:rPr>
          <w:rFonts w:cs="Arial"/>
          <w:color w:val="000000"/>
        </w:rPr>
        <w:t xml:space="preserve">After identification, studies will be screened against clear inclusion and exclusion criteria, including publication date, UK focus, paediatric population, and relevance to smallpox-like pathogens and public health preparedness. Duplicates will be removed first, followed by title and abstract screening, and then full-text review. The final number of included articles will depend on eligibility after screening, and this process will be presented clearly using the PRISMA approach. </w:t>
      </w:r>
      <w:r>
        <w:rPr>
          <w:rFonts w:cs="Arial"/>
          <w:color w:val="000000"/>
        </w:rPr>
        <w:t xml:space="preserve">Following this overall procedure, the reliable journal articles will be collected to conduct the SLR and find the best solution to improve the UK public healthcare preparedness to prevent smallpox among children and adolescents. </w:t>
      </w:r>
    </w:p>
    <w:bookmarkStart w:id="9" w:name="_Toc227401260"/>
    <w:p>
      <w:pPr>
        <w:pStyle w:val="style2"/>
        <w:rPr>
          <w:rFonts w:cs="Arial"/>
          <w:color w:val="000000"/>
        </w:rPr>
      </w:pPr>
      <w:r>
        <w:rPr>
          <w:rFonts w:cs="Arial"/>
          <w:color w:val="000000"/>
        </w:rPr>
        <w:t>Proposed data analysis technique</w:t>
      </w:r>
      <w:bookmarkEnd w:id="9"/>
    </w:p>
    <w:p>
      <w:pPr>
        <w:pStyle w:val="style0"/>
        <w:rPr>
          <w:rFonts w:cs="Arial"/>
          <w:color w:val="000000"/>
        </w:rPr>
      </w:pPr>
      <w:r>
        <w:rPr>
          <w:rFonts w:cs="Arial"/>
          <w:color w:val="000000"/>
        </w:rPr>
        <w:t xml:space="preserve">The study will use the thematic data analysis technique to analyse the collected data and find the most reliable results that address the research question and objectives. Braun and Clarke (2022) stated that the thematic data analysis technique consists of six phases. Each phase carried out specific activities. The six stages are data familiarisation, code making, initial theme generation, reviewing the themes, final theme generation, analysis of themes, and final report making. For example, data familiarity helps to understand the data source, data type, and the code generation process, which helps to generate code from the article's important information. Sub-theme making promotes initial theme creation from the developed codes. Further, initial themes were analysed and revised to prepare the final themes. After defining and naming themes, the next step will be analysing and report-making. Following these important steps, this study will find out the current healthcare preparedness and the gaps present in healthcare policy to improve smallpox-related health outcomes among children and adolescents. It will help to promote better decision-making and better policy suggestions, which can develop awareness, education, and promote early detection to prevent smallpox risk among vulnerable groups like children and adolescents. Thus, the selection of Brown and Clark’s thematic data analysis technique will be justified and reliable. </w:t>
      </w:r>
    </w:p>
    <w:bookmarkStart w:id="10" w:name="_Toc227401261"/>
    <w:p>
      <w:pPr>
        <w:pStyle w:val="style2"/>
        <w:rPr>
          <w:rFonts w:cs="Arial"/>
          <w:color w:val="000000"/>
        </w:rPr>
      </w:pPr>
      <w:r>
        <w:rPr>
          <w:rFonts w:cs="Arial"/>
          <w:color w:val="000000"/>
        </w:rPr>
        <w:t>Ethical considerations</w:t>
      </w:r>
      <w:bookmarkEnd w:id="10"/>
    </w:p>
    <w:p>
      <w:pPr>
        <w:pStyle w:val="style0"/>
        <w:rPr>
          <w:rFonts w:cs="Arial"/>
          <w:color w:val="000000"/>
        </w:rPr>
      </w:pPr>
      <w:r>
        <w:rPr>
          <w:rFonts w:cs="Arial"/>
          <w:color w:val="000000"/>
        </w:rPr>
        <w:t>The data collection and analysis process will undergo ethical considerations. For example, during the data collection process, there will be strict adherence to the UK GDPR Act 2018 and the UK Copyright Act 1988. Following the UK GDPR Act 2018 and Copyright Act 1988 helps to promote data safety, reduce data breaches, prevent any kind of copyright issue and maintain the research's originality (UK Government, 2025). Apart from this, proper citation of the author will be maintained, which will help to prevent any kind of plagiarism issue in the research. Any kind of personal opinion or viewpoint will not be included in the research, which will help prevent personal bias issues in the result. It will maintain result validity, reliability and acceptability in the</w:t>
      </w:r>
      <w:r>
        <w:rPr>
          <w:rFonts w:cs="Arial"/>
          <w:color w:val="000000"/>
        </w:rPr>
        <w:t xml:space="preserve"> </w:t>
      </w:r>
      <w:r>
        <w:rPr>
          <w:rFonts w:cs="Arial"/>
          <w:color w:val="000000"/>
        </w:rPr>
        <w:t xml:space="preserve">UK public healthcare settings. Along with this, the research will use only the English language to write the results and complete the overall study, which will ensure accountability, reliability and acceptability of the research across the UK health and social care sector. After collecting the data, it will be uploaded to the university portal. It will help to secure the data from unauthorised access and maintain preparedness to utilise the collected data for future research. </w:t>
      </w:r>
    </w:p>
    <w:bookmarkStart w:id="11" w:name="_Toc227401262"/>
    <w:p>
      <w:pPr>
        <w:pStyle w:val="style1"/>
        <w:rPr>
          <w:rFonts w:cs="Arial"/>
          <w:color w:val="000000"/>
        </w:rPr>
      </w:pPr>
      <w:r>
        <w:rPr>
          <w:rFonts w:cs="Arial"/>
          <w:color w:val="000000"/>
        </w:rPr>
        <w:t>Implication of research</w:t>
      </w:r>
      <w:bookmarkEnd w:id="11"/>
    </w:p>
    <w:p>
      <w:pPr>
        <w:pStyle w:val="style0"/>
        <w:rPr>
          <w:rFonts w:cs="Arial"/>
          <w:color w:val="000000"/>
        </w:rPr>
      </w:pPr>
      <w:r>
        <w:rPr>
          <w:rFonts w:cs="Arial"/>
          <w:color w:val="000000"/>
        </w:rPr>
        <w:t>The research will perform an in-depth evaluation of the current UK public healthcare preparedness to measure and prevent smallpox among children and adolescents. Through performing theoretical, practical, and policy implications, this research will strengthen the health policy preparedness and help to address smallpox-like pathogens in the UK. It is hoped that this particular research will critically review the current healthcare policies relevant to smallpox identification, early detection, and healthcare accessibility, particularly for vulnerable populations like children and adolescents. This will help to make new policy implications and evidence-based solutions to improve key preparedness to prevent upcoming smallpox outbreaks. Utilising the available quantitative data evidence present in the selected articles, such as digital delay, surveillance, sensitivity and vaccination coverage, it became easier to prepare a model of a possible outbreak of smallpox and create prevention ideas (</w:t>
      </w:r>
      <w:r>
        <w:rPr>
          <w:rFonts w:cs="Arial"/>
          <w:color w:val="000000"/>
        </w:rPr>
        <w:t>Meckawy</w:t>
      </w:r>
      <w:r>
        <w:rPr>
          <w:rFonts w:cs="Arial"/>
          <w:color w:val="000000"/>
        </w:rPr>
        <w:t xml:space="preserve"> et al., 2022). </w:t>
      </w:r>
    </w:p>
    <w:p>
      <w:pPr>
        <w:pStyle w:val="style0"/>
        <w:rPr>
          <w:rFonts w:cs="Arial"/>
          <w:color w:val="000000"/>
        </w:rPr>
      </w:pPr>
      <w:r>
        <w:rPr>
          <w:rFonts w:cs="Arial"/>
          <w:color w:val="000000"/>
        </w:rPr>
        <w:t xml:space="preserve">Further, by identifying the health policy gaps, this research performs an in-depth assessment and prepares new policy resolutions to address the gaps. Further, by promoting education and awareness programs across schools, diagnostic </w:t>
      </w:r>
      <w:r>
        <w:rPr>
          <w:rFonts w:cs="Arial"/>
          <w:color w:val="000000"/>
        </w:rPr>
        <w:t>centres</w:t>
      </w:r>
      <w:r>
        <w:rPr>
          <w:rFonts w:cs="Arial"/>
          <w:color w:val="000000"/>
        </w:rPr>
        <w:t xml:space="preserve"> and </w:t>
      </w:r>
      <w:r>
        <w:rPr>
          <w:rFonts w:cs="Arial"/>
          <w:color w:val="000000"/>
        </w:rPr>
        <w:t>paediatric</w:t>
      </w:r>
      <w:r>
        <w:rPr>
          <w:rFonts w:cs="Arial"/>
          <w:color w:val="000000"/>
        </w:rPr>
        <w:t xml:space="preserve"> clinics, this research aims to promote better prevention of smallpox diseases in the UK.  Further, by assessing the national healthcare preparedness to address smallpox, the current healthcare preparedness of the UK can be improved</w:t>
      </w:r>
      <w:r>
        <w:rPr>
          <w:rFonts w:cs="Arial"/>
          <w:color w:val="000000"/>
        </w:rPr>
        <w:t xml:space="preserve"> (KM Saif</w:t>
      </w:r>
      <w:r>
        <w:rPr>
          <w:rFonts w:ascii="Cambria Math" w:cs="Cambria Math" w:hAnsi="Cambria Math"/>
          <w:color w:val="000000"/>
        </w:rPr>
        <w:t>‐</w:t>
      </w:r>
      <w:r>
        <w:rPr>
          <w:rFonts w:cs="Arial"/>
          <w:color w:val="000000"/>
        </w:rPr>
        <w:t>Ur</w:t>
      </w:r>
      <w:r>
        <w:rPr>
          <w:rFonts w:ascii="Cambria Math" w:cs="Cambria Math" w:hAnsi="Cambria Math"/>
          <w:color w:val="000000"/>
        </w:rPr>
        <w:t>‐</w:t>
      </w:r>
      <w:r>
        <w:rPr>
          <w:rFonts w:cs="Arial"/>
          <w:color w:val="000000"/>
        </w:rPr>
        <w:t>Rahman et al., 2025; Aggarwal et al., 2023)</w:t>
      </w:r>
      <w:r>
        <w:rPr>
          <w:rFonts w:cs="Arial"/>
          <w:color w:val="000000"/>
        </w:rPr>
        <w:t xml:space="preserve">. Further, by accessing the national security and pandemic preparedness activities, it can provide better development </w:t>
      </w:r>
      <w:r>
        <w:rPr>
          <w:rFonts w:cs="Arial"/>
          <w:color w:val="000000"/>
        </w:rPr>
        <w:t xml:space="preserve">and preparedness of the orthopoxvirus outbreak and promote strong prevention outcomes of five smallpox doses administered among the children and adolescents. </w:t>
      </w:r>
    </w:p>
    <w:bookmarkStart w:id="12" w:name="_Toc227401263"/>
    <w:p>
      <w:pPr>
        <w:pStyle w:val="style1"/>
        <w:rPr>
          <w:rFonts w:cs="Arial"/>
          <w:color w:val="000000"/>
        </w:rPr>
      </w:pPr>
      <w:r>
        <w:rPr>
          <w:rFonts w:cs="Arial"/>
          <w:color w:val="000000"/>
        </w:rPr>
        <w:t>Time Schedule</w:t>
      </w:r>
      <w:bookmarkEnd w:id="12"/>
    </w:p>
    <w:tbl>
      <w:tblPr>
        <w:tblStyle w:val="style154"/>
        <w:tblW w:w="0" w:type="auto"/>
        <w:tblLook w:val="04A0" w:firstRow="1" w:lastRow="0" w:firstColumn="1" w:lastColumn="0" w:noHBand="0" w:noVBand="1"/>
      </w:tblPr>
      <w:tblGrid>
        <w:gridCol w:w="2071"/>
        <w:gridCol w:w="803"/>
        <w:gridCol w:w="803"/>
        <w:gridCol w:w="803"/>
        <w:gridCol w:w="803"/>
        <w:gridCol w:w="927"/>
        <w:gridCol w:w="1050"/>
        <w:gridCol w:w="1050"/>
        <w:gridCol w:w="1050"/>
      </w:tblGrid>
      <w:tr>
        <w:trPr/>
        <w:tc>
          <w:tcPr>
            <w:tcW w:w="0" w:type="auto"/>
            <w:tcBorders/>
            <w:hideMark/>
          </w:tcPr>
          <w:p>
            <w:pPr>
              <w:pStyle w:val="style0"/>
              <w:spacing w:lineRule="auto" w:line="360"/>
              <w:rPr>
                <w:color w:val="000000"/>
              </w:rPr>
            </w:pPr>
            <w:r>
              <w:rPr>
                <w:color w:val="000000"/>
              </w:rPr>
              <w:t>Task</w:t>
            </w:r>
          </w:p>
        </w:tc>
        <w:tc>
          <w:tcPr>
            <w:tcW w:w="0" w:type="auto"/>
            <w:tcBorders/>
            <w:hideMark/>
          </w:tcPr>
          <w:p>
            <w:pPr>
              <w:pStyle w:val="style0"/>
              <w:spacing w:lineRule="auto" w:line="360"/>
              <w:rPr>
                <w:color w:val="000000"/>
              </w:rPr>
            </w:pPr>
            <w:r>
              <w:rPr>
                <w:color w:val="000000"/>
              </w:rPr>
              <w:t>W1–2</w:t>
            </w:r>
          </w:p>
        </w:tc>
        <w:tc>
          <w:tcPr>
            <w:tcW w:w="0" w:type="auto"/>
            <w:tcBorders/>
            <w:hideMark/>
          </w:tcPr>
          <w:p>
            <w:pPr>
              <w:pStyle w:val="style0"/>
              <w:spacing w:lineRule="auto" w:line="360"/>
              <w:rPr>
                <w:color w:val="000000"/>
              </w:rPr>
            </w:pPr>
            <w:r>
              <w:rPr>
                <w:color w:val="000000"/>
              </w:rPr>
              <w:t>W3–4</w:t>
            </w:r>
          </w:p>
        </w:tc>
        <w:tc>
          <w:tcPr>
            <w:tcW w:w="0" w:type="auto"/>
            <w:tcBorders/>
            <w:hideMark/>
          </w:tcPr>
          <w:p>
            <w:pPr>
              <w:pStyle w:val="style0"/>
              <w:spacing w:lineRule="auto" w:line="360"/>
              <w:rPr>
                <w:color w:val="000000"/>
              </w:rPr>
            </w:pPr>
            <w:r>
              <w:rPr>
                <w:color w:val="000000"/>
              </w:rPr>
              <w:t>W5–6</w:t>
            </w:r>
          </w:p>
        </w:tc>
        <w:tc>
          <w:tcPr>
            <w:tcW w:w="0" w:type="auto"/>
            <w:tcBorders/>
            <w:hideMark/>
          </w:tcPr>
          <w:p>
            <w:pPr>
              <w:pStyle w:val="style0"/>
              <w:spacing w:lineRule="auto" w:line="360"/>
              <w:rPr>
                <w:color w:val="000000"/>
              </w:rPr>
            </w:pPr>
            <w:r>
              <w:rPr>
                <w:color w:val="000000"/>
              </w:rPr>
              <w:t>W7–8</w:t>
            </w:r>
          </w:p>
        </w:tc>
        <w:tc>
          <w:tcPr>
            <w:tcW w:w="0" w:type="auto"/>
            <w:tcBorders/>
            <w:hideMark/>
          </w:tcPr>
          <w:p>
            <w:pPr>
              <w:pStyle w:val="style0"/>
              <w:spacing w:lineRule="auto" w:line="360"/>
              <w:rPr>
                <w:color w:val="000000"/>
              </w:rPr>
            </w:pPr>
            <w:r>
              <w:rPr>
                <w:color w:val="000000"/>
              </w:rPr>
              <w:t>W9–10</w:t>
            </w:r>
          </w:p>
        </w:tc>
        <w:tc>
          <w:tcPr>
            <w:tcW w:w="0" w:type="auto"/>
            <w:tcBorders/>
            <w:hideMark/>
          </w:tcPr>
          <w:p>
            <w:pPr>
              <w:pStyle w:val="style0"/>
              <w:spacing w:lineRule="auto" w:line="360"/>
              <w:rPr>
                <w:color w:val="000000"/>
              </w:rPr>
            </w:pPr>
            <w:r>
              <w:rPr>
                <w:color w:val="000000"/>
              </w:rPr>
              <w:t>W11–12</w:t>
            </w:r>
          </w:p>
        </w:tc>
        <w:tc>
          <w:tcPr>
            <w:tcW w:w="0" w:type="auto"/>
            <w:tcBorders/>
            <w:hideMark/>
          </w:tcPr>
          <w:p>
            <w:pPr>
              <w:pStyle w:val="style0"/>
              <w:spacing w:lineRule="auto" w:line="360"/>
              <w:rPr>
                <w:color w:val="000000"/>
              </w:rPr>
            </w:pPr>
            <w:r>
              <w:rPr>
                <w:color w:val="000000"/>
              </w:rPr>
              <w:t>W13–14</w:t>
            </w:r>
          </w:p>
        </w:tc>
        <w:tc>
          <w:tcPr>
            <w:tcW w:w="0" w:type="auto"/>
            <w:tcBorders/>
            <w:hideMark/>
          </w:tcPr>
          <w:p>
            <w:pPr>
              <w:pStyle w:val="style0"/>
              <w:spacing w:lineRule="auto" w:line="360"/>
              <w:rPr>
                <w:color w:val="000000"/>
              </w:rPr>
            </w:pPr>
            <w:r>
              <w:rPr>
                <w:color w:val="000000"/>
              </w:rPr>
              <w:t>W15–16</w:t>
            </w:r>
          </w:p>
        </w:tc>
      </w:tr>
      <w:tr>
        <w:tblPrEx/>
        <w:trPr/>
        <w:tc>
          <w:tcPr>
            <w:tcW w:w="0" w:type="auto"/>
            <w:tcBorders/>
            <w:hideMark/>
          </w:tcPr>
          <w:p>
            <w:pPr>
              <w:pStyle w:val="style0"/>
              <w:spacing w:lineRule="auto" w:line="360"/>
              <w:rPr>
                <w:color w:val="000000"/>
              </w:rPr>
            </w:pPr>
            <w:r>
              <w:rPr>
                <w:color w:val="000000"/>
              </w:rPr>
              <w:t>Research topic selection &amp; approval</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Proposal writing (Introduction, rationale, aims)</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Literature search (databases)</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Screening &amp; article selection (PRISMA)</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Data extraction &amp; organisation</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Data analysis (Thematic analysis)</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Chapter 1: Introduction writing</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Chapter 2: Literature Review writing</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Chapter 3: Methodology writing</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Chapter 4: Findings &amp; Discussion</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Chapter 5: Conclusion &amp; Recommendations</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p>
        </w:tc>
      </w:tr>
      <w:tr>
        <w:tblPrEx/>
        <w:trPr/>
        <w:tc>
          <w:tcPr>
            <w:tcW w:w="0" w:type="auto"/>
            <w:tcBorders/>
            <w:hideMark/>
          </w:tcPr>
          <w:p>
            <w:pPr>
              <w:pStyle w:val="style0"/>
              <w:spacing w:lineRule="auto" w:line="360"/>
              <w:rPr>
                <w:color w:val="000000"/>
              </w:rPr>
            </w:pPr>
            <w:r>
              <w:rPr>
                <w:color w:val="000000"/>
              </w:rPr>
              <w:t>Editing, proofreading &amp; formatting</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c>
          <w:tcPr>
            <w:tcW w:w="0" w:type="auto"/>
            <w:tcBorders/>
            <w:hideMark/>
          </w:tcPr>
          <w:p>
            <w:pPr>
              <w:pStyle w:val="style0"/>
              <w:spacing w:lineRule="auto" w:line="360"/>
              <w:rPr>
                <w:color w:val="000000"/>
              </w:rPr>
            </w:pPr>
            <w:r>
              <w:rPr>
                <w:rFonts w:ascii="Segoe UI Symbol" w:cs="Segoe UI Symbol" w:hAnsi="Segoe UI Symbol"/>
                <w:color w:val="000000"/>
              </w:rPr>
              <w:t>✔</w:t>
            </w:r>
          </w:p>
        </w:tc>
      </w:tr>
      <w:tr>
        <w:tblPrEx/>
        <w:trPr/>
        <w:tc>
          <w:tcPr>
            <w:tcW w:w="0" w:type="auto"/>
            <w:tcBorders/>
            <w:hideMark/>
          </w:tcPr>
          <w:p>
            <w:pPr>
              <w:pStyle w:val="style0"/>
              <w:spacing w:lineRule="auto" w:line="360"/>
              <w:rPr>
                <w:color w:val="000000"/>
              </w:rPr>
            </w:pPr>
            <w:r>
              <w:rPr>
                <w:color w:val="000000"/>
              </w:rPr>
              <w:t>Final submission preparation</w:t>
            </w: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p>
        </w:tc>
        <w:tc>
          <w:tcPr>
            <w:tcW w:w="0" w:type="auto"/>
            <w:tcBorders/>
            <w:hideMark/>
          </w:tcPr>
          <w:p>
            <w:pPr>
              <w:pStyle w:val="style0"/>
              <w:spacing w:lineRule="auto" w:line="360"/>
              <w:rPr>
                <w:color w:val="000000"/>
              </w:rPr>
            </w:pPr>
            <w:r>
              <w:rPr>
                <w:rFonts w:ascii="Segoe UI Symbol" w:cs="Segoe UI Symbol" w:hAnsi="Segoe UI Symbol"/>
                <w:color w:val="000000"/>
              </w:rPr>
              <w:t>✔</w:t>
            </w:r>
          </w:p>
        </w:tc>
      </w:tr>
    </w:tbl>
    <w:p>
      <w:pPr>
        <w:pStyle w:val="style1"/>
        <w:rPr>
          <w:rFonts w:cs="Arial"/>
          <w:color w:val="000000"/>
        </w:rPr>
      </w:pPr>
      <w:r>
        <w:rPr>
          <w:rFonts w:cs="Arial"/>
          <w:color w:val="000000"/>
        </w:rPr>
        <w:t xml:space="preserve"> </w:t>
      </w:r>
    </w:p>
    <w:p>
      <w:pPr>
        <w:pStyle w:val="style0"/>
        <w:jc w:val="center"/>
        <w:rPr>
          <w:rFonts w:cs="Arial"/>
          <w:b/>
          <w:bCs/>
          <w:color w:val="000000"/>
        </w:rPr>
      </w:pPr>
      <w:r>
        <w:rPr>
          <w:rFonts w:cs="Arial"/>
          <w:b/>
          <w:bCs/>
          <w:color w:val="000000"/>
        </w:rPr>
        <w:t>Table 3: Timeline</w:t>
      </w:r>
    </w:p>
    <w:p>
      <w:pPr>
        <w:pStyle w:val="style0"/>
        <w:jc w:val="center"/>
        <w:rPr>
          <w:rFonts w:cs="Arial"/>
          <w:color w:val="000000"/>
        </w:rPr>
      </w:pPr>
      <w:r>
        <w:rPr>
          <w:rFonts w:cs="Arial"/>
          <w:color w:val="000000"/>
        </w:rPr>
        <w:t>(Source: Self-Created)</w:t>
      </w:r>
    </w:p>
    <w:p>
      <w:pPr>
        <w:pStyle w:val="style0"/>
        <w:rPr>
          <w:rFonts w:cs="Arial"/>
          <w:color w:val="000000"/>
        </w:rPr>
      </w:pPr>
      <w:r>
        <w:rPr>
          <w:rFonts w:cs="Arial"/>
          <w:color w:val="000000"/>
        </w:rPr>
        <w:t xml:space="preserve">Table 3 depicts the timeline to complete the research. The research will take around 8 weeks to complete the overall research. Starting with topic selection and finalising to final submission of the research will be done as per the time schedule. This will ensure completion of the research time and address any kind of university late submission. </w:t>
      </w:r>
      <w:bookmarkStart w:id="13" w:name="_1li85it6f2ml" w:colFirst="0" w:colLast="0"/>
      <w:bookmarkEnd w:id="13"/>
    </w:p>
    <w:p>
      <w:pPr>
        <w:pStyle w:val="style0"/>
        <w:rPr>
          <w:rFonts w:cs="Arial"/>
          <w:b/>
          <w:bCs/>
          <w:color w:val="000000"/>
          <w:sz w:val="28"/>
          <w:szCs w:val="28"/>
        </w:rPr>
      </w:pPr>
      <w:r>
        <w:rPr>
          <w:rFonts w:cs="Arial"/>
          <w:color w:val="000000"/>
        </w:rPr>
        <w:br w:type="page"/>
      </w:r>
    </w:p>
    <w:bookmarkStart w:id="14" w:name="_Toc227401264"/>
    <w:p>
      <w:pPr>
        <w:pStyle w:val="style1"/>
        <w:spacing w:before="240"/>
        <w:rPr>
          <w:rFonts w:cs="Arial"/>
          <w:color w:val="000000"/>
        </w:rPr>
      </w:pPr>
      <w:r>
        <w:rPr>
          <w:rFonts w:cs="Arial"/>
          <w:color w:val="000000"/>
        </w:rPr>
        <w:t>References</w:t>
      </w:r>
      <w:bookmarkEnd w:id="14"/>
    </w:p>
    <w:p>
      <w:pPr>
        <w:pStyle w:val="style0"/>
        <w:spacing w:before="240" w:after="240"/>
        <w:rPr>
          <w:rFonts w:cs="Arial"/>
          <w:color w:val="000000"/>
          <w:highlight w:val="white"/>
        </w:rPr>
      </w:pPr>
      <w:r>
        <w:rPr>
          <w:rFonts w:cs="Arial"/>
          <w:color w:val="000000"/>
          <w:highlight w:val="white"/>
        </w:rPr>
        <w:t xml:space="preserve">Aggarwal, S., Agarwal, P., Nigam, K., Vijay, N., Yadav, P. and Gupta, N. (2023). Mapping the Landscape of Health Research Priorities for Effective Pandemic Preparedness in Human Mpox Virus Disease. </w:t>
      </w:r>
      <w:r>
        <w:rPr>
          <w:rFonts w:cs="Arial"/>
          <w:i/>
          <w:iCs/>
          <w:color w:val="000000"/>
          <w:highlight w:val="white"/>
        </w:rPr>
        <w:t>Pathogens</w:t>
      </w:r>
      <w:r>
        <w:rPr>
          <w:rFonts w:cs="Arial"/>
          <w:color w:val="000000"/>
          <w:highlight w:val="white"/>
        </w:rPr>
        <w:t>, [online] 12(11), pp.1352–1352. doi:https://doi.org/10.3390/pathogens12111352.</w:t>
      </w:r>
    </w:p>
    <w:p>
      <w:pPr>
        <w:pStyle w:val="style0"/>
        <w:widowControl w:val="false"/>
        <w:spacing w:before="240"/>
        <w:rPr>
          <w:rFonts w:cs="Arial"/>
          <w:color w:val="000000"/>
          <w:highlight w:val="white"/>
        </w:rPr>
      </w:pPr>
      <w:r>
        <w:rPr>
          <w:rFonts w:cs="Arial"/>
          <w:color w:val="000000"/>
          <w:highlight w:val="white"/>
        </w:rPr>
        <w:t xml:space="preserve">Akter, F., Hasan, T.B., Alam, F., Das, A., Afrin, S., Maisha, S., Masud, A.A. and KM, S.U.R., (2023). Effect of prior immunisation with smallpox vaccine for protection against human Mpox: a systematic review. </w:t>
      </w:r>
      <w:r>
        <w:rPr>
          <w:rFonts w:cs="Arial"/>
          <w:i/>
          <w:iCs/>
          <w:color w:val="000000"/>
          <w:highlight w:val="white"/>
        </w:rPr>
        <w:t>Reviews in Medical Virology</w:t>
      </w:r>
      <w:r>
        <w:rPr>
          <w:rFonts w:cs="Arial"/>
          <w:color w:val="000000"/>
          <w:highlight w:val="white"/>
        </w:rPr>
        <w:t xml:space="preserve">, </w:t>
      </w:r>
      <w:r>
        <w:rPr>
          <w:rFonts w:cs="Arial"/>
          <w:i/>
          <w:iCs/>
          <w:color w:val="000000"/>
          <w:highlight w:val="white"/>
        </w:rPr>
        <w:t>33</w:t>
      </w:r>
      <w:r>
        <w:rPr>
          <w:rFonts w:cs="Arial"/>
          <w:color w:val="000000"/>
          <w:highlight w:val="white"/>
        </w:rPr>
        <w:t>(4), p.e2444.</w:t>
      </w:r>
      <w:r>
        <w:rPr/>
        <w:fldChar w:fldCharType="begin"/>
      </w:r>
      <w:r>
        <w:instrText xml:space="preserve"> HYPERLINK "https://onlinelibrary.wiley.com/doi/pdfdirect/10.1002/rmv.2444?download=true" </w:instrText>
      </w:r>
      <w:r>
        <w:rPr/>
        <w:fldChar w:fldCharType="separate"/>
      </w:r>
      <w:r>
        <w:rPr>
          <w:rFonts w:cs="Arial"/>
          <w:color w:val="000000"/>
          <w:highlight w:val="white"/>
          <w:u w:val="single"/>
        </w:rPr>
        <w:t>https://onlinelibrary.wiley.com/doi/pdfdirect/10.1002/rmv.2444?download=true</w:t>
      </w:r>
      <w:r>
        <w:rPr/>
        <w:fldChar w:fldCharType="end"/>
      </w:r>
    </w:p>
    <w:p>
      <w:pPr>
        <w:pStyle w:val="style0"/>
        <w:widowControl w:val="false"/>
        <w:spacing w:before="240"/>
        <w:rPr>
          <w:rFonts w:cs="Arial"/>
          <w:color w:val="000000"/>
        </w:rPr>
      </w:pPr>
      <w:r>
        <w:rPr>
          <w:rFonts w:cs="Arial"/>
          <w:color w:val="000000"/>
        </w:rPr>
        <w:t xml:space="preserve">Akter, F., Tahira Binte Hasan, Alam, F., Das, A., Shajia Afrin, Sadia Maisha, Abdullah Al Masud and Saif-Ur-Rahman, K.M. (2023). Effect of prior immunisation with smallpox vaccine for protection against human Mpox: A systematic review. Reviews in Medical Virology, 33(4). doi: https://doi.org/10.1002/rmv.2444. </w:t>
      </w:r>
    </w:p>
    <w:p>
      <w:pPr>
        <w:pStyle w:val="style0"/>
        <w:spacing w:before="240" w:after="240"/>
        <w:rPr>
          <w:rFonts w:cs="Arial"/>
          <w:color w:val="000000"/>
          <w:highlight w:val="white"/>
        </w:rPr>
      </w:pPr>
      <w:r>
        <w:rPr>
          <w:rFonts w:cs="Arial"/>
          <w:color w:val="000000"/>
          <w:highlight w:val="white"/>
        </w:rPr>
        <w:t xml:space="preserve">Anjum, A.F., Anjum, M.B., Rehman, R.U., Wei, C.R., </w:t>
      </w:r>
      <w:r>
        <w:rPr>
          <w:rFonts w:cs="Arial"/>
          <w:color w:val="000000"/>
          <w:highlight w:val="white"/>
        </w:rPr>
        <w:t>Akilimali</w:t>
      </w:r>
      <w:r>
        <w:rPr>
          <w:rFonts w:cs="Arial"/>
          <w:color w:val="000000"/>
          <w:highlight w:val="white"/>
        </w:rPr>
        <w:t xml:space="preserve">, A. and Humayun, A. (2025). A Comparative Analysis of Global Responses to Monkeypox Outbreaks: Lessons Learned and Future Directions – a Mini Narrative Review. </w:t>
      </w:r>
      <w:r>
        <w:rPr>
          <w:rFonts w:cs="Arial"/>
          <w:i/>
          <w:iCs/>
          <w:color w:val="000000"/>
          <w:highlight w:val="white"/>
        </w:rPr>
        <w:t>Annals of Medicine &amp; Surgery</w:t>
      </w:r>
      <w:r>
        <w:rPr>
          <w:rFonts w:cs="Arial"/>
          <w:color w:val="000000"/>
          <w:highlight w:val="white"/>
        </w:rPr>
        <w:t>, [online] 87(8), pp.5098–5105. doi:https://doi.org/10.1097/ms9.0000000000003577.</w:t>
      </w:r>
    </w:p>
    <w:p>
      <w:pPr>
        <w:pStyle w:val="style0"/>
        <w:widowControl w:val="false"/>
        <w:spacing w:before="240"/>
        <w:rPr>
          <w:rFonts w:cs="Arial"/>
          <w:color w:val="000000"/>
          <w:highlight w:val="white"/>
        </w:rPr>
      </w:pPr>
      <w:r>
        <w:rPr>
          <w:rFonts w:cs="Arial"/>
          <w:color w:val="000000"/>
          <w:highlight w:val="white"/>
        </w:rPr>
        <w:t xml:space="preserve">Azarian, M., Yu, H., Shiferaw, A.T. and Stevik, T.K., (2023). Do we perform systematic literature review right? A scientific mapping and methodological assessment. </w:t>
      </w:r>
      <w:r>
        <w:rPr>
          <w:rFonts w:cs="Arial"/>
          <w:i/>
          <w:iCs/>
          <w:color w:val="000000"/>
          <w:highlight w:val="white"/>
        </w:rPr>
        <w:t>Logistics</w:t>
      </w:r>
      <w:r>
        <w:rPr>
          <w:rFonts w:cs="Arial"/>
          <w:color w:val="000000"/>
          <w:highlight w:val="white"/>
        </w:rPr>
        <w:t xml:space="preserve">, </w:t>
      </w:r>
      <w:r>
        <w:rPr>
          <w:rFonts w:cs="Arial"/>
          <w:i/>
          <w:iCs/>
          <w:color w:val="000000"/>
          <w:highlight w:val="white"/>
        </w:rPr>
        <w:t>7</w:t>
      </w:r>
      <w:r>
        <w:rPr>
          <w:rFonts w:cs="Arial"/>
          <w:color w:val="000000"/>
          <w:highlight w:val="white"/>
        </w:rPr>
        <w:t>(4), p.89.</w:t>
      </w:r>
      <w:r>
        <w:rPr/>
        <w:fldChar w:fldCharType="begin"/>
      </w:r>
      <w:r>
        <w:instrText xml:space="preserve"> HYPERLINK "https://www.mdpi.com/2305-6290/7/4/89" </w:instrText>
      </w:r>
      <w:r>
        <w:rPr/>
        <w:fldChar w:fldCharType="separate"/>
      </w:r>
      <w:r>
        <w:rPr>
          <w:rFonts w:cs="Arial"/>
          <w:color w:val="000000"/>
          <w:highlight w:val="white"/>
          <w:u w:val="single"/>
        </w:rPr>
        <w:t>https://www.mdpi.com/2305-6290/7/4/89</w:t>
      </w:r>
      <w:r>
        <w:rPr/>
        <w:fldChar w:fldCharType="end"/>
      </w:r>
    </w:p>
    <w:p>
      <w:pPr>
        <w:pStyle w:val="style0"/>
        <w:spacing w:before="240" w:after="240"/>
        <w:rPr>
          <w:rFonts w:cs="Arial"/>
          <w:color w:val="000000"/>
          <w:highlight w:val="white"/>
        </w:rPr>
      </w:pPr>
      <w:r>
        <w:rPr>
          <w:rFonts w:cs="Arial"/>
          <w:color w:val="000000"/>
          <w:highlight w:val="white"/>
        </w:rPr>
        <w:t xml:space="preserve">Berche, P. (2022). Life and Death of Smallpox. </w:t>
      </w:r>
      <w:r>
        <w:rPr>
          <w:rFonts w:cs="Arial"/>
          <w:i/>
          <w:iCs/>
          <w:color w:val="000000"/>
          <w:highlight w:val="white"/>
        </w:rPr>
        <w:t>La Presse Médicale</w:t>
      </w:r>
      <w:r>
        <w:rPr>
          <w:rFonts w:cs="Arial"/>
          <w:color w:val="000000"/>
          <w:highlight w:val="white"/>
        </w:rPr>
        <w:t>, [online] 51(3). doi:https://doi.org/10.1016/j.lpm.2022.104117.</w:t>
      </w:r>
    </w:p>
    <w:p>
      <w:pPr>
        <w:pStyle w:val="style0"/>
        <w:spacing w:before="240" w:after="240"/>
        <w:rPr>
          <w:rFonts w:cs="Arial"/>
          <w:color w:val="000000"/>
          <w:highlight w:val="white"/>
        </w:rPr>
      </w:pPr>
      <w:r>
        <w:rPr>
          <w:rFonts w:cs="Arial"/>
          <w:color w:val="000000"/>
          <w:highlight w:val="white"/>
        </w:rPr>
        <w:t xml:space="preserve">Berche, P. (2022). Life and Death of Smallpox. </w:t>
      </w:r>
      <w:r>
        <w:rPr>
          <w:rFonts w:cs="Arial"/>
          <w:i/>
          <w:iCs/>
          <w:color w:val="000000"/>
          <w:highlight w:val="white"/>
        </w:rPr>
        <w:t>La Presse Médicale</w:t>
      </w:r>
      <w:r>
        <w:rPr>
          <w:rFonts w:cs="Arial"/>
          <w:color w:val="000000"/>
          <w:highlight w:val="white"/>
        </w:rPr>
        <w:t>, [online] 51(3). doi:https://doi.org/10.1016/j.lpm.2022.104117.</w:t>
      </w:r>
    </w:p>
    <w:p>
      <w:pPr>
        <w:pStyle w:val="style0"/>
        <w:widowControl w:val="false"/>
        <w:spacing w:before="240"/>
        <w:rPr>
          <w:rFonts w:cs="Arial"/>
          <w:color w:val="000000"/>
          <w:highlight w:val="white"/>
        </w:rPr>
      </w:pPr>
      <w:r>
        <w:rPr>
          <w:rFonts w:cs="Arial"/>
          <w:color w:val="000000"/>
          <w:highlight w:val="white"/>
        </w:rPr>
        <w:t xml:space="preserve">Braun, V. and Clarke, V., (2022). Conceptual and design thinking for thematic analysis. </w:t>
      </w:r>
      <w:r>
        <w:rPr>
          <w:rFonts w:cs="Arial"/>
          <w:i/>
          <w:iCs/>
          <w:color w:val="000000"/>
          <w:highlight w:val="white"/>
        </w:rPr>
        <w:t>Qualitative psychology</w:t>
      </w:r>
      <w:r>
        <w:rPr>
          <w:rFonts w:cs="Arial"/>
          <w:color w:val="000000"/>
          <w:highlight w:val="white"/>
        </w:rPr>
        <w:t xml:space="preserve">, </w:t>
      </w:r>
      <w:r>
        <w:rPr>
          <w:rFonts w:cs="Arial"/>
          <w:i/>
          <w:iCs/>
          <w:color w:val="000000"/>
          <w:highlight w:val="white"/>
        </w:rPr>
        <w:t>9</w:t>
      </w:r>
      <w:r>
        <w:rPr>
          <w:rFonts w:cs="Arial"/>
          <w:color w:val="000000"/>
          <w:highlight w:val="white"/>
        </w:rPr>
        <w:t>(1), p.3.</w:t>
      </w:r>
      <w:r>
        <w:rPr/>
        <w:fldChar w:fldCharType="begin"/>
      </w:r>
      <w:r>
        <w:instrText xml:space="preserve"> HYPERLINK "https://uwe-repository.worktribe.com/index.php/preview/7165036/Conceptual%20and%20design%20thinking%20for%20thematic%20analysis.pdf" </w:instrText>
      </w:r>
      <w:r>
        <w:rPr/>
        <w:fldChar w:fldCharType="separate"/>
      </w:r>
      <w:r>
        <w:rPr>
          <w:rFonts w:cs="Arial"/>
          <w:color w:val="000000"/>
          <w:highlight w:val="white"/>
          <w:u w:val="single"/>
        </w:rPr>
        <w:t>https://uwe-repository.worktribe.com/index.php/preview/7165036/Conceptual%20and%20design%20thinking%20for%20thematic%20analysis.pdf</w:t>
      </w:r>
      <w:r>
        <w:rPr/>
        <w:fldChar w:fldCharType="end"/>
      </w:r>
    </w:p>
    <w:p>
      <w:pPr>
        <w:pStyle w:val="style0"/>
        <w:spacing w:before="240" w:after="240"/>
        <w:rPr>
          <w:rFonts w:cs="Arial"/>
          <w:color w:val="000000"/>
          <w:highlight w:val="white"/>
        </w:rPr>
      </w:pPr>
      <w:r>
        <w:rPr>
          <w:rFonts w:cs="Arial"/>
          <w:color w:val="000000"/>
          <w:highlight w:val="white"/>
        </w:rPr>
        <w:t xml:space="preserve">Cdc.gov (2024). </w:t>
      </w:r>
      <w:r>
        <w:rPr>
          <w:rFonts w:cs="Arial"/>
          <w:i/>
          <w:iCs/>
          <w:color w:val="000000"/>
          <w:highlight w:val="white"/>
        </w:rPr>
        <w:t>What is Smallpox?</w:t>
      </w:r>
      <w:r>
        <w:rPr>
          <w:rFonts w:cs="Arial"/>
          <w:color w:val="000000"/>
          <w:highlight w:val="white"/>
        </w:rPr>
        <w:t xml:space="preserve"> [online] Centers for Disease Control and Prevention. Available at: https://www.cdc.gov/smallpox/about/index.html [Accessed 7 Apr. 2026].</w:t>
      </w:r>
    </w:p>
    <w:p>
      <w:pPr>
        <w:pStyle w:val="style0"/>
        <w:widowControl w:val="false"/>
        <w:spacing w:before="240"/>
        <w:rPr>
          <w:rFonts w:cs="Arial"/>
          <w:color w:val="000000"/>
          <w:highlight w:val="white"/>
        </w:rPr>
      </w:pPr>
      <w:r>
        <w:rPr>
          <w:rFonts w:cs="Arial"/>
          <w:color w:val="000000"/>
          <w:highlight w:val="white"/>
        </w:rPr>
        <w:t xml:space="preserve">Cheong, H.I., Lyons, A., Houghton, R. and Majumdar, A., (2023). Secondary qualitative research methodology using online data within the context of social sciences. </w:t>
      </w:r>
      <w:r>
        <w:rPr>
          <w:rFonts w:cs="Arial"/>
          <w:i/>
          <w:iCs/>
          <w:color w:val="000000"/>
          <w:highlight w:val="white"/>
        </w:rPr>
        <w:t>International Journal of Qualitative Methods</w:t>
      </w:r>
      <w:r>
        <w:rPr>
          <w:rFonts w:cs="Arial"/>
          <w:color w:val="000000"/>
          <w:highlight w:val="white"/>
        </w:rPr>
        <w:t xml:space="preserve">, </w:t>
      </w:r>
      <w:r>
        <w:rPr>
          <w:rFonts w:cs="Arial"/>
          <w:i/>
          <w:iCs/>
          <w:color w:val="000000"/>
          <w:highlight w:val="white"/>
        </w:rPr>
        <w:t>22</w:t>
      </w:r>
      <w:r>
        <w:rPr>
          <w:rFonts w:cs="Arial"/>
          <w:color w:val="000000"/>
          <w:highlight w:val="white"/>
        </w:rPr>
        <w:t>, p.16094069231180160.</w:t>
      </w:r>
      <w:r>
        <w:rPr/>
        <w:fldChar w:fldCharType="begin"/>
      </w:r>
      <w:r>
        <w:instrText xml:space="preserve"> HYPERLINK "https://journals.sagepub.com/doi/pdf/10.1177/16094069231180160" </w:instrText>
      </w:r>
      <w:r>
        <w:rPr/>
        <w:fldChar w:fldCharType="separate"/>
      </w:r>
      <w:r>
        <w:rPr>
          <w:rFonts w:cs="Arial"/>
          <w:color w:val="000000"/>
          <w:highlight w:val="white"/>
          <w:u w:val="single"/>
        </w:rPr>
        <w:t>https://journals.sagepub.com/doi/pdf/10.1177/16094069231180160</w:t>
      </w:r>
      <w:r>
        <w:rPr/>
        <w:fldChar w:fldCharType="end"/>
      </w:r>
    </w:p>
    <w:p>
      <w:pPr>
        <w:pStyle w:val="style0"/>
        <w:spacing w:before="240" w:after="240"/>
        <w:rPr>
          <w:rFonts w:cs="Arial"/>
          <w:color w:val="000000"/>
          <w:highlight w:val="white"/>
        </w:rPr>
      </w:pPr>
      <w:r>
        <w:rPr>
          <w:rFonts w:cs="Arial"/>
          <w:color w:val="000000"/>
          <w:highlight w:val="white"/>
        </w:rPr>
        <w:t xml:space="preserve">Daeng Baji, I.S. and </w:t>
      </w:r>
      <w:r>
        <w:rPr>
          <w:rFonts w:cs="Arial"/>
          <w:color w:val="000000"/>
          <w:highlight w:val="white"/>
        </w:rPr>
        <w:t>Pramono</w:t>
      </w:r>
      <w:r>
        <w:rPr>
          <w:rFonts w:cs="Arial"/>
          <w:color w:val="000000"/>
          <w:highlight w:val="white"/>
        </w:rPr>
        <w:t xml:space="preserve">, S. (2025). Mapping the Evaluation Landscape: A Systematic Review of Research Design, Instruments, and Methods in Public Policy Implementation Studies. </w:t>
      </w:r>
      <w:r>
        <w:rPr>
          <w:rFonts w:cs="Arial"/>
          <w:i/>
          <w:iCs/>
          <w:color w:val="000000"/>
          <w:highlight w:val="white"/>
        </w:rPr>
        <w:t xml:space="preserve">Jurnal Locus </w:t>
      </w:r>
      <w:r>
        <w:rPr>
          <w:rFonts w:cs="Arial"/>
          <w:i/>
          <w:iCs/>
          <w:color w:val="000000"/>
          <w:highlight w:val="white"/>
        </w:rPr>
        <w:t>Penelitian</w:t>
      </w:r>
      <w:r>
        <w:rPr>
          <w:rFonts w:cs="Arial"/>
          <w:i/>
          <w:iCs/>
          <w:color w:val="000000"/>
          <w:highlight w:val="white"/>
        </w:rPr>
        <w:t xml:space="preserve"> dan </w:t>
      </w:r>
      <w:r>
        <w:rPr>
          <w:rFonts w:cs="Arial"/>
          <w:i/>
          <w:iCs/>
          <w:color w:val="000000"/>
          <w:highlight w:val="white"/>
        </w:rPr>
        <w:t>Pengabdian</w:t>
      </w:r>
      <w:r>
        <w:rPr>
          <w:rFonts w:cs="Arial"/>
          <w:color w:val="000000"/>
          <w:highlight w:val="white"/>
        </w:rPr>
        <w:t>, 4(12), pp.11906–11921. doi:https://doi.org/10.58344/locus.v4i12.4862.</w:t>
      </w:r>
    </w:p>
    <w:p>
      <w:pPr>
        <w:pStyle w:val="style0"/>
        <w:spacing w:before="240" w:after="240"/>
        <w:rPr>
          <w:rFonts w:cs="Arial"/>
          <w:color w:val="000000"/>
          <w:highlight w:val="white"/>
        </w:rPr>
      </w:pPr>
      <w:r>
        <w:rPr>
          <w:rFonts w:cs="Arial"/>
          <w:color w:val="000000"/>
          <w:highlight w:val="white"/>
        </w:rPr>
        <w:t xml:space="preserve">Emro.who.int (2025). </w:t>
      </w:r>
      <w:r>
        <w:rPr>
          <w:rFonts w:cs="Arial"/>
          <w:i/>
          <w:iCs/>
          <w:color w:val="000000"/>
          <w:highlight w:val="white"/>
        </w:rPr>
        <w:t>WHO EMRO - Smallpox</w:t>
      </w:r>
      <w:r>
        <w:rPr>
          <w:rFonts w:cs="Arial"/>
          <w:color w:val="000000"/>
          <w:highlight w:val="white"/>
        </w:rPr>
        <w:t>. [online] Who.int. Available at: https://www.emro.who.int/health-topics/smallpox/smallpox.html [Accessed 8 Apr. 2026].</w:t>
      </w:r>
    </w:p>
    <w:p>
      <w:pPr>
        <w:pStyle w:val="style0"/>
        <w:widowControl w:val="false"/>
        <w:spacing w:before="240" w:after="240"/>
        <w:rPr>
          <w:rFonts w:cs="Arial"/>
          <w:color w:val="000000"/>
        </w:rPr>
      </w:pPr>
      <w:r>
        <w:rPr>
          <w:rFonts w:cs="Arial"/>
          <w:color w:val="000000"/>
        </w:rPr>
        <w:t xml:space="preserve">Gov.uk (2025). </w:t>
      </w:r>
      <w:r>
        <w:rPr>
          <w:rFonts w:cs="Arial"/>
          <w:i/>
          <w:iCs/>
          <w:color w:val="000000"/>
        </w:rPr>
        <w:t>Smallpox and mpox Smallpox and mpox NOTIFIABLE</w:t>
      </w:r>
      <w:r>
        <w:rPr>
          <w:rFonts w:cs="Arial"/>
          <w:color w:val="000000"/>
        </w:rPr>
        <w:t>. [online] Available at: https://assets.publishing.service.gov.uk/media/68483ced944a600f13bcb899/Green-Book-chapter-29_Smallpox-and-mpox_6June2025.pdf [Accessed 9 Apr. 2026].</w:t>
      </w:r>
    </w:p>
    <w:p>
      <w:pPr>
        <w:pStyle w:val="style0"/>
        <w:spacing w:before="240" w:after="240"/>
        <w:rPr>
          <w:rFonts w:cs="Arial"/>
          <w:color w:val="000000"/>
          <w:highlight w:val="white"/>
        </w:rPr>
      </w:pPr>
      <w:r>
        <w:rPr>
          <w:rFonts w:cs="Arial"/>
          <w:color w:val="000000"/>
          <w:highlight w:val="white"/>
        </w:rPr>
        <w:t xml:space="preserve">Jeong, Y.D., Park, S., Lee, S., Jang, W., Park, J., Lee, K., Lee, J., Kang, J., Udeh, R., Rahmati, M., Yeo, S.G., Smith, L., Lee, H. and Yon, D.K. (2024). Global burden of vaccine-associated Guillain-Barré syndrome over 170 countries from 1967 to 2023. </w:t>
      </w:r>
      <w:r>
        <w:rPr>
          <w:rFonts w:cs="Arial"/>
          <w:i/>
          <w:iCs/>
          <w:color w:val="000000"/>
          <w:highlight w:val="white"/>
        </w:rPr>
        <w:t>Scientific Reports</w:t>
      </w:r>
      <w:r>
        <w:rPr>
          <w:rFonts w:cs="Arial"/>
          <w:color w:val="000000"/>
          <w:highlight w:val="white"/>
        </w:rPr>
        <w:t>, [online] 14(1). doi:https://doi.org/10.1038/s41598-024-74729-2.</w:t>
      </w:r>
    </w:p>
    <w:p>
      <w:pPr>
        <w:pStyle w:val="style0"/>
        <w:widowControl w:val="false"/>
        <w:spacing w:before="240"/>
        <w:rPr>
          <w:rFonts w:cs="Arial"/>
          <w:color w:val="000000"/>
          <w:highlight w:val="white"/>
        </w:rPr>
      </w:pPr>
      <w:r>
        <w:rPr>
          <w:rFonts w:cs="Arial"/>
          <w:color w:val="000000"/>
          <w:highlight w:val="white"/>
        </w:rPr>
        <w:t xml:space="preserve">Khatoon, R., Akter, J., </w:t>
      </w:r>
      <w:r>
        <w:rPr>
          <w:rFonts w:cs="Arial"/>
          <w:color w:val="000000"/>
          <w:highlight w:val="white"/>
        </w:rPr>
        <w:t>Kamruzzaman</w:t>
      </w:r>
      <w:r>
        <w:rPr>
          <w:rFonts w:cs="Arial"/>
          <w:color w:val="000000"/>
          <w:highlight w:val="white"/>
        </w:rPr>
        <w:t xml:space="preserve">, M., Rahman, R., Tasnim, A.F., Nilima, S.I. and Erdei, T.I., (2025). Advancing healthcare: a comprehensive review and future outlook of </w:t>
      </w:r>
      <w:r>
        <w:rPr>
          <w:rFonts w:cs="Arial"/>
          <w:color w:val="000000"/>
          <w:highlight w:val="white"/>
        </w:rPr>
        <w:t>iot</w:t>
      </w:r>
      <w:r>
        <w:rPr>
          <w:rFonts w:cs="Arial"/>
          <w:color w:val="000000"/>
          <w:highlight w:val="white"/>
        </w:rPr>
        <w:t xml:space="preserve"> innovations. </w:t>
      </w:r>
      <w:r>
        <w:rPr>
          <w:rFonts w:cs="Arial"/>
          <w:i/>
          <w:iCs/>
          <w:color w:val="000000"/>
          <w:highlight w:val="white"/>
        </w:rPr>
        <w:t>Engineering, Technology &amp; Applied Science Research</w:t>
      </w:r>
      <w:r>
        <w:rPr>
          <w:rFonts w:cs="Arial"/>
          <w:color w:val="000000"/>
          <w:highlight w:val="white"/>
        </w:rPr>
        <w:t xml:space="preserve">, </w:t>
      </w:r>
      <w:r>
        <w:rPr>
          <w:rFonts w:cs="Arial"/>
          <w:i/>
          <w:iCs/>
          <w:color w:val="000000"/>
          <w:highlight w:val="white"/>
        </w:rPr>
        <w:t>15</w:t>
      </w:r>
      <w:r>
        <w:rPr>
          <w:rFonts w:cs="Arial"/>
          <w:color w:val="000000"/>
          <w:highlight w:val="white"/>
        </w:rPr>
        <w:t>(1), pp.19700-19711.</w:t>
      </w:r>
      <w:r>
        <w:rPr/>
        <w:fldChar w:fldCharType="begin"/>
      </w:r>
      <w:r>
        <w:instrText xml:space="preserve"> HYPERLINK "https://etasr.com/index.php/ETASR/article/download/9156/4503" </w:instrText>
      </w:r>
      <w:r>
        <w:rPr/>
        <w:fldChar w:fldCharType="separate"/>
      </w:r>
      <w:r>
        <w:rPr>
          <w:rFonts w:cs="Arial"/>
          <w:color w:val="000000"/>
          <w:highlight w:val="white"/>
          <w:u w:val="single"/>
        </w:rPr>
        <w:t>https://etasr.com/index.php/ETASR/article/download/9156/4503</w:t>
      </w:r>
      <w:r>
        <w:rPr/>
        <w:fldChar w:fldCharType="end"/>
      </w:r>
    </w:p>
    <w:p>
      <w:pPr>
        <w:pStyle w:val="style0"/>
        <w:spacing w:before="240" w:after="240"/>
        <w:rPr>
          <w:rFonts w:cs="Arial"/>
          <w:color w:val="000000"/>
          <w:highlight w:val="white"/>
        </w:rPr>
      </w:pPr>
      <w:r>
        <w:rPr>
          <w:rFonts w:cs="Arial"/>
          <w:color w:val="000000"/>
          <w:highlight w:val="white"/>
        </w:rPr>
        <w:t>KM Saif</w:t>
      </w:r>
      <w:r>
        <w:rPr>
          <w:rFonts w:ascii="Cambria Math" w:cs="Cambria Math" w:hAnsi="Cambria Math"/>
          <w:color w:val="000000"/>
          <w:highlight w:val="white"/>
        </w:rPr>
        <w:t>‐</w:t>
      </w:r>
      <w:r>
        <w:rPr>
          <w:rFonts w:cs="Arial"/>
          <w:color w:val="000000"/>
          <w:highlight w:val="white"/>
        </w:rPr>
        <w:t>Ur</w:t>
      </w:r>
      <w:r>
        <w:rPr>
          <w:rFonts w:ascii="Cambria Math" w:cs="Cambria Math" w:hAnsi="Cambria Math"/>
          <w:color w:val="000000"/>
          <w:highlight w:val="white"/>
        </w:rPr>
        <w:t>‐</w:t>
      </w:r>
      <w:r>
        <w:rPr>
          <w:rFonts w:cs="Arial"/>
          <w:color w:val="000000"/>
          <w:highlight w:val="white"/>
        </w:rPr>
        <w:t xml:space="preserve">Rahman, Burke, N.N., Murphy, L., Parlour, R., Boland, M., Petek Eylul </w:t>
      </w:r>
      <w:r>
        <w:rPr>
          <w:rFonts w:cs="Arial"/>
          <w:color w:val="000000"/>
          <w:highlight w:val="white"/>
        </w:rPr>
        <w:t>Taneri</w:t>
      </w:r>
      <w:r>
        <w:rPr>
          <w:rFonts w:cs="Arial"/>
          <w:color w:val="000000"/>
          <w:highlight w:val="white"/>
        </w:rPr>
        <w:t>, Reynolds, B., Horgan, M., Lavis, J.N. and Devane, D. (2025). Synthesizing Public Health Preparedness Mechanisms for High</w:t>
      </w:r>
      <w:r>
        <w:rPr>
          <w:rFonts w:ascii="Cambria Math" w:cs="Cambria Math" w:hAnsi="Cambria Math"/>
          <w:color w:val="000000"/>
          <w:highlight w:val="white"/>
        </w:rPr>
        <w:t>‐</w:t>
      </w:r>
      <w:r>
        <w:rPr>
          <w:rFonts w:cs="Arial"/>
          <w:color w:val="000000"/>
          <w:highlight w:val="white"/>
        </w:rPr>
        <w:t xml:space="preserve">Impact Infectious Disease Threats: A Jurisdictional Scan. </w:t>
      </w:r>
      <w:r>
        <w:rPr>
          <w:rFonts w:cs="Arial"/>
          <w:i/>
          <w:iCs/>
          <w:color w:val="000000"/>
          <w:highlight w:val="white"/>
        </w:rPr>
        <w:t>Journal of Evidence-Based Medicine</w:t>
      </w:r>
      <w:r>
        <w:rPr>
          <w:rFonts w:cs="Arial"/>
          <w:color w:val="000000"/>
          <w:highlight w:val="white"/>
        </w:rPr>
        <w:t>, 18(2). doi:https://doi.org/10.1111/jebm.70019.</w:t>
      </w:r>
    </w:p>
    <w:p>
      <w:pPr>
        <w:pStyle w:val="style0"/>
        <w:spacing w:before="240" w:after="240"/>
        <w:rPr>
          <w:rFonts w:cs="Arial"/>
          <w:color w:val="000000"/>
          <w:highlight w:val="white"/>
        </w:rPr>
      </w:pPr>
      <w:r>
        <w:rPr>
          <w:rFonts w:cs="Arial"/>
          <w:color w:val="000000"/>
          <w:highlight w:val="white"/>
        </w:rPr>
        <w:t xml:space="preserve">Lakshmanan, K. and Liu, B.M. (2025). Impact of Point-of-Care Testing on Diagnosis, Treatment, and Surveillance of Vaccine-Preventable Viral Infections. </w:t>
      </w:r>
      <w:r>
        <w:rPr>
          <w:rFonts w:cs="Arial"/>
          <w:i/>
          <w:iCs/>
          <w:color w:val="000000"/>
          <w:highlight w:val="white"/>
        </w:rPr>
        <w:t>Diagnostics</w:t>
      </w:r>
      <w:r>
        <w:rPr>
          <w:rFonts w:cs="Arial"/>
          <w:color w:val="000000"/>
          <w:highlight w:val="white"/>
        </w:rPr>
        <w:t>, 15(2), pp.123–123. doi:https://doi.org/10.3390/diagnostics15020123.</w:t>
      </w:r>
    </w:p>
    <w:p>
      <w:pPr>
        <w:pStyle w:val="style0"/>
        <w:spacing w:before="240" w:after="240"/>
        <w:rPr>
          <w:rFonts w:cs="Arial"/>
          <w:color w:val="000000"/>
          <w:highlight w:val="white"/>
        </w:rPr>
      </w:pPr>
      <w:r>
        <w:rPr>
          <w:rFonts w:cs="Arial"/>
          <w:color w:val="000000"/>
          <w:highlight w:val="white"/>
        </w:rPr>
        <w:t xml:space="preserve">Masiello, M., Shalini Singaravelu, Brown, L. and Gostin, L.O. (2024). </w:t>
      </w:r>
      <w:r>
        <w:rPr>
          <w:rFonts w:cs="Arial"/>
          <w:i/>
          <w:iCs/>
          <w:color w:val="000000"/>
          <w:highlight w:val="white"/>
        </w:rPr>
        <w:t>Factors Influencing Smallpox Readiness and Response</w:t>
      </w:r>
      <w:r>
        <w:rPr>
          <w:rFonts w:cs="Arial"/>
          <w:color w:val="000000"/>
          <w:highlight w:val="white"/>
        </w:rPr>
        <w:t>. [online] Nih.gov. Available at: https://www.ncbi.nlm.nih.gov/books/NBK605453/ [Accessed 8 Apr. 2026].</w:t>
      </w:r>
    </w:p>
    <w:p>
      <w:pPr>
        <w:pStyle w:val="style0"/>
        <w:widowControl w:val="false"/>
        <w:spacing w:before="240"/>
        <w:rPr>
          <w:rFonts w:cs="Arial"/>
          <w:color w:val="000000"/>
        </w:rPr>
      </w:pPr>
      <w:r>
        <w:rPr>
          <w:rFonts w:cs="Arial"/>
          <w:color w:val="000000"/>
        </w:rPr>
        <w:t>Meckawy</w:t>
      </w:r>
      <w:r>
        <w:rPr>
          <w:rFonts w:cs="Arial"/>
          <w:color w:val="000000"/>
        </w:rPr>
        <w:t xml:space="preserve">, R., Stuckler, D., Mehta, A., Al-Ahdal, T. and </w:t>
      </w:r>
      <w:r>
        <w:rPr>
          <w:rFonts w:cs="Arial"/>
          <w:color w:val="000000"/>
        </w:rPr>
        <w:t>Doebbeling</w:t>
      </w:r>
      <w:r>
        <w:rPr>
          <w:rFonts w:cs="Arial"/>
          <w:color w:val="000000"/>
        </w:rPr>
        <w:t xml:space="preserve">, B.N. (2022). Effectiveness of early warning systems in the detection of infectious diseases outbreaks: A systematic review. BMC Public Health, 22(1), p.2216. doi: https://doi.org/10.1186/s12889-022-14625-4. </w:t>
      </w:r>
    </w:p>
    <w:p>
      <w:pPr>
        <w:pStyle w:val="style0"/>
        <w:widowControl w:val="false"/>
        <w:spacing w:before="240"/>
        <w:rPr>
          <w:rFonts w:cs="Arial"/>
          <w:color w:val="000000"/>
        </w:rPr>
      </w:pPr>
      <w:r>
        <w:rPr>
          <w:rFonts w:cs="Arial"/>
          <w:color w:val="000000"/>
        </w:rPr>
        <w:t xml:space="preserve">Pervin, N. and Mokhtar, M. (2022). The interpretivist research paradigm: a subjective notion of a social context. </w:t>
      </w:r>
      <w:r>
        <w:rPr>
          <w:rFonts w:cs="Arial"/>
          <w:i/>
          <w:iCs/>
          <w:color w:val="000000"/>
        </w:rPr>
        <w:t>International Journal of Academic Research in Progressive Education and Development</w:t>
      </w:r>
      <w:r>
        <w:rPr>
          <w:rFonts w:cs="Arial"/>
          <w:color w:val="000000"/>
        </w:rPr>
        <w:t>, 11(2), pp.419–428. doi:https://doi.org/10.6007/IJARPED/v11-i2/12938.</w:t>
      </w:r>
    </w:p>
    <w:p>
      <w:pPr>
        <w:pStyle w:val="style0"/>
        <w:spacing w:before="240" w:after="240"/>
        <w:rPr>
          <w:rFonts w:cs="Arial"/>
          <w:color w:val="000000"/>
          <w:highlight w:val="white"/>
        </w:rPr>
      </w:pPr>
      <w:r>
        <w:rPr>
          <w:rFonts w:cs="Arial"/>
          <w:color w:val="000000"/>
          <w:highlight w:val="white"/>
        </w:rPr>
        <w:t xml:space="preserve">Rethlefsen, M.L. and Page, M.J. (2022). PRISMA 2020 and PRISMA-S: Common Questions on Tracking Records and the Flow Diagram. </w:t>
      </w:r>
      <w:r>
        <w:rPr>
          <w:rFonts w:cs="Arial"/>
          <w:i/>
          <w:iCs/>
          <w:color w:val="000000"/>
          <w:highlight w:val="white"/>
        </w:rPr>
        <w:t>Journal of the Medical Library Association</w:t>
      </w:r>
      <w:r>
        <w:rPr>
          <w:rFonts w:cs="Arial"/>
          <w:color w:val="000000"/>
          <w:highlight w:val="white"/>
        </w:rPr>
        <w:t>, [online] 110(2). doi:https://doi.org/10.5195/jmla.2022.1449.</w:t>
      </w:r>
    </w:p>
    <w:p>
      <w:pPr>
        <w:pStyle w:val="style0"/>
        <w:spacing w:before="240" w:after="240"/>
        <w:rPr>
          <w:rFonts w:cs="Arial"/>
          <w:color w:val="000000"/>
          <w:highlight w:val="white"/>
        </w:rPr>
      </w:pPr>
      <w:r>
        <w:rPr>
          <w:rFonts w:cs="Arial"/>
          <w:color w:val="000000"/>
          <w:highlight w:val="white"/>
        </w:rPr>
        <w:t xml:space="preserve">Schneider, E.B. and Davenport, R.J. (2026). What is the case fatality rate of smallpox? </w:t>
      </w:r>
      <w:r>
        <w:rPr>
          <w:rFonts w:cs="Arial"/>
          <w:i/>
          <w:iCs/>
          <w:color w:val="000000"/>
          <w:highlight w:val="white"/>
        </w:rPr>
        <w:t>Population Studies</w:t>
      </w:r>
      <w:r>
        <w:rPr>
          <w:rFonts w:cs="Arial"/>
          <w:color w:val="000000"/>
          <w:highlight w:val="white"/>
        </w:rPr>
        <w:t>, pp.1–15. doi:https://doi.org/10.1080/00324728.2026.2620692.</w:t>
      </w:r>
    </w:p>
    <w:p>
      <w:pPr>
        <w:pStyle w:val="style0"/>
        <w:spacing w:before="240" w:after="240"/>
        <w:rPr>
          <w:rFonts w:cs="Arial"/>
          <w:color w:val="000000"/>
          <w:highlight w:val="white"/>
        </w:rPr>
      </w:pPr>
      <w:r>
        <w:rPr>
          <w:rFonts w:cs="Arial"/>
          <w:color w:val="000000"/>
          <w:highlight w:val="white"/>
        </w:rPr>
        <w:t xml:space="preserve">Shattock, A.J., Johnson, H.C., So Yoon Sim, Carter, A., Lambach, P., Hutubessy, R.C.W., Thompson, K.M., Kamran Badizadegan, Lambert, B., Ferrari, M.J., Jit, M., Fu, H., </w:t>
      </w:r>
      <w:r>
        <w:rPr>
          <w:rFonts w:cs="Arial"/>
          <w:color w:val="000000"/>
          <w:highlight w:val="white"/>
        </w:rPr>
        <w:t>Silal</w:t>
      </w:r>
      <w:r>
        <w:rPr>
          <w:rFonts w:cs="Arial"/>
          <w:color w:val="000000"/>
          <w:highlight w:val="white"/>
        </w:rPr>
        <w:t xml:space="preserve">, S.P., Hounsell, R.A., White, R.G., Mosser, J.F., Gaythorpe, K.A.M., Trotter, C.L., Lindstrand, A. and O’Brien, K.L. (2024). Contribution of Vaccination to Improved Survival and health: Modelling 50 Years of the Expanded Programme on Immunization. </w:t>
      </w:r>
      <w:r>
        <w:rPr>
          <w:rFonts w:cs="Arial"/>
          <w:i/>
          <w:iCs/>
          <w:color w:val="000000"/>
          <w:highlight w:val="white"/>
        </w:rPr>
        <w:t>Lancet</w:t>
      </w:r>
      <w:r>
        <w:rPr>
          <w:rFonts w:cs="Arial"/>
          <w:color w:val="000000"/>
          <w:highlight w:val="white"/>
        </w:rPr>
        <w:t>, [online] 403(10441). doi:https://doi.org/10.1016/s0140-6736(24)00850-x.</w:t>
      </w:r>
    </w:p>
    <w:p>
      <w:pPr>
        <w:pStyle w:val="style0"/>
        <w:spacing w:before="240" w:after="240"/>
        <w:rPr>
          <w:rFonts w:cs="Arial"/>
          <w:color w:val="000000"/>
          <w:highlight w:val="white"/>
        </w:rPr>
      </w:pPr>
      <w:r>
        <w:rPr>
          <w:rFonts w:cs="Arial"/>
          <w:color w:val="000000"/>
          <w:highlight w:val="white"/>
        </w:rPr>
        <w:t xml:space="preserve">Spieker, S. (2022). Pox and parents: educational choices in the light of smallpox epidemics in seventeenth-century England. </w:t>
      </w:r>
      <w:r>
        <w:rPr>
          <w:rFonts w:cs="Arial"/>
          <w:i/>
          <w:iCs/>
          <w:color w:val="000000"/>
          <w:highlight w:val="white"/>
        </w:rPr>
        <w:t>Paedagogica</w:t>
      </w:r>
      <w:r>
        <w:rPr>
          <w:rFonts w:cs="Arial"/>
          <w:i/>
          <w:iCs/>
          <w:color w:val="000000"/>
          <w:highlight w:val="white"/>
        </w:rPr>
        <w:t xml:space="preserve"> </w:t>
      </w:r>
      <w:r>
        <w:rPr>
          <w:rFonts w:cs="Arial"/>
          <w:i/>
          <w:iCs/>
          <w:color w:val="000000"/>
          <w:highlight w:val="white"/>
        </w:rPr>
        <w:t>Historica</w:t>
      </w:r>
      <w:r>
        <w:rPr>
          <w:rFonts w:cs="Arial"/>
          <w:color w:val="000000"/>
          <w:highlight w:val="white"/>
        </w:rPr>
        <w:t>, 58(5), pp.591–609. doi:https://doi.org/10.1080/00309230.2022.2090850.</w:t>
      </w:r>
    </w:p>
    <w:p>
      <w:pPr>
        <w:pStyle w:val="style0"/>
        <w:spacing w:before="240" w:after="240"/>
        <w:rPr>
          <w:rFonts w:cs="Arial"/>
          <w:color w:val="000000"/>
          <w:highlight w:val="white"/>
        </w:rPr>
      </w:pPr>
      <w:r>
        <w:rPr>
          <w:rFonts w:cs="Arial"/>
          <w:color w:val="000000"/>
          <w:highlight w:val="white"/>
        </w:rPr>
        <w:t xml:space="preserve">Statista (2025). </w:t>
      </w:r>
      <w:r>
        <w:rPr>
          <w:rFonts w:cs="Arial"/>
          <w:i/>
          <w:iCs/>
          <w:color w:val="000000"/>
          <w:highlight w:val="white"/>
        </w:rPr>
        <w:t>Smallpox: global cases 1920-1980| Statista</w:t>
      </w:r>
      <w:r>
        <w:rPr>
          <w:rFonts w:cs="Arial"/>
          <w:color w:val="000000"/>
          <w:highlight w:val="white"/>
        </w:rPr>
        <w:t>. [online] Statista. Available at: https://www.statista.com/statistics/1108306/smallpox-number-of-cases-worldwide-</w:t>
      </w:r>
      <w:r>
        <w:rPr>
          <w:rFonts w:cs="Arial"/>
          <w:color w:val="000000"/>
          <w:highlight w:val="white"/>
        </w:rPr>
        <w:t>historical/?srsltid=AfmBOoo0eY3Au1c17zLbiCshfbW6sJRQMXQfgNp_8itiGg4H59jvzAH5 [Accessed 7 Apr. 2026].</w:t>
      </w:r>
    </w:p>
    <w:p>
      <w:pPr>
        <w:pStyle w:val="style0"/>
        <w:spacing w:before="240" w:after="240"/>
        <w:rPr>
          <w:rFonts w:cs="Arial"/>
          <w:color w:val="000000"/>
          <w:highlight w:val="white"/>
        </w:rPr>
      </w:pPr>
      <w:r>
        <w:rPr>
          <w:rFonts w:cs="Arial"/>
          <w:color w:val="000000"/>
          <w:highlight w:val="white"/>
        </w:rPr>
        <w:t xml:space="preserve">Taube, J.C., Rest, E.C., Lloyd-Smith, J.O. and Bansal, S. (2022). The global landscape of smallpox vaccination history and implications for current and future orthopoxvirus susceptibility: a modelling study. </w:t>
      </w:r>
      <w:r>
        <w:rPr>
          <w:rFonts w:cs="Arial"/>
          <w:i/>
          <w:iCs/>
          <w:color w:val="000000"/>
          <w:highlight w:val="white"/>
        </w:rPr>
        <w:t>The Lancet Infectious Diseases</w:t>
      </w:r>
      <w:r>
        <w:rPr>
          <w:rFonts w:cs="Arial"/>
          <w:color w:val="000000"/>
          <w:highlight w:val="white"/>
        </w:rPr>
        <w:t>, [online] 0(0). doi:https://doi.org/10.1016/S1473-3099(22)00664-8.</w:t>
      </w:r>
    </w:p>
    <w:p>
      <w:pPr>
        <w:pStyle w:val="style0"/>
        <w:widowControl w:val="false"/>
        <w:spacing w:before="240" w:after="240"/>
        <w:rPr>
          <w:rFonts w:cs="Arial"/>
          <w:color w:val="000000"/>
          <w:highlight w:val="white"/>
        </w:rPr>
      </w:pPr>
      <w:r>
        <w:rPr>
          <w:rFonts w:cs="Arial"/>
          <w:color w:val="000000"/>
          <w:highlight w:val="white"/>
        </w:rPr>
        <w:t xml:space="preserve">UK Government (2025). </w:t>
      </w:r>
      <w:r>
        <w:rPr>
          <w:rFonts w:cs="Arial"/>
          <w:i/>
          <w:iCs/>
          <w:color w:val="000000"/>
          <w:highlight w:val="white"/>
        </w:rPr>
        <w:t>Data Protection Act</w:t>
      </w:r>
      <w:r>
        <w:rPr>
          <w:rFonts w:cs="Arial"/>
          <w:color w:val="000000"/>
          <w:highlight w:val="white"/>
        </w:rPr>
        <w:t>. [online] Gov.uk. Available at: https://www.gov.uk/data-protection [Accessed 9 Apr. 2026].</w:t>
      </w:r>
    </w:p>
    <w:p>
      <w:pPr>
        <w:pStyle w:val="style0"/>
        <w:spacing w:before="240" w:after="240"/>
        <w:rPr>
          <w:rFonts w:cs="Arial"/>
          <w:color w:val="000000"/>
          <w:highlight w:val="white"/>
        </w:rPr>
      </w:pPr>
      <w:r>
        <w:rPr>
          <w:rFonts w:cs="Arial"/>
          <w:color w:val="000000"/>
          <w:highlight w:val="white"/>
        </w:rPr>
        <w:t xml:space="preserve">Vigezzi, G.P., Vecchio, R., Barbati, C., Bonazza, G., Mazzarello, P. and Odone, A. (2025). Historical analysis of the first smallpox vaccination campaigns in early 19-century northern Italy: organisation and communication insights for contemporary epidemics’ prevention and control. </w:t>
      </w:r>
      <w:r>
        <w:rPr>
          <w:rFonts w:cs="Arial"/>
          <w:i/>
          <w:iCs/>
          <w:color w:val="000000"/>
          <w:highlight w:val="white"/>
        </w:rPr>
        <w:t>Vaccine</w:t>
      </w:r>
      <w:r>
        <w:rPr>
          <w:rFonts w:cs="Arial"/>
          <w:color w:val="000000"/>
          <w:highlight w:val="white"/>
        </w:rPr>
        <w:t>, 49, p.126764. doi:https://doi.org/10.1016/j.vaccine.2025.126764.</w:t>
      </w:r>
    </w:p>
    <w:p>
      <w:pPr>
        <w:pStyle w:val="style0"/>
        <w:spacing w:before="240" w:after="240"/>
        <w:rPr>
          <w:rFonts w:cs="Arial"/>
          <w:color w:val="000000"/>
          <w:highlight w:val="white"/>
        </w:rPr>
      </w:pPr>
      <w:r>
        <w:rPr>
          <w:rFonts w:cs="Arial"/>
          <w:color w:val="000000"/>
          <w:highlight w:val="white"/>
        </w:rPr>
        <w:t xml:space="preserve">WHO (2025). </w:t>
      </w:r>
      <w:r>
        <w:rPr>
          <w:rFonts w:cs="Arial"/>
          <w:i/>
          <w:iCs/>
          <w:color w:val="000000"/>
          <w:highlight w:val="white"/>
        </w:rPr>
        <w:t>History of smallpox vaccination</w:t>
      </w:r>
      <w:r>
        <w:rPr>
          <w:rFonts w:cs="Arial"/>
          <w:color w:val="000000"/>
          <w:highlight w:val="white"/>
        </w:rPr>
        <w:t>. [online] www.who.int. Available at: https://www.who.int/news-room/spotlight/history-of-vaccination/history-of-smallpox-vaccination [Accessed 7 Apr. 2026].</w:t>
      </w:r>
    </w:p>
    <w:p>
      <w:pPr>
        <w:pStyle w:val="style0"/>
        <w:spacing w:before="240" w:after="240"/>
        <w:rPr>
          <w:rFonts w:cs="Arial"/>
          <w:color w:val="000000"/>
          <w:highlight w:val="white"/>
        </w:rPr>
      </w:pPr>
      <w:r>
        <w:rPr>
          <w:rFonts w:cs="Arial"/>
          <w:color w:val="000000"/>
          <w:highlight w:val="white"/>
        </w:rPr>
        <w:t xml:space="preserve">Yadav, S. (2025). Clinical Correlations of the Pox Viruses—Systematic Review on the Lesion Characterization Among the Infected Humans. </w:t>
      </w:r>
      <w:r>
        <w:rPr>
          <w:rFonts w:cs="Arial"/>
          <w:i/>
          <w:iCs/>
          <w:color w:val="000000"/>
          <w:highlight w:val="white"/>
        </w:rPr>
        <w:t>SN Comprehensive Clinical Medicine</w:t>
      </w:r>
      <w:r>
        <w:rPr>
          <w:rFonts w:cs="Arial"/>
          <w:color w:val="000000"/>
          <w:highlight w:val="white"/>
        </w:rPr>
        <w:t>, 7(1). doi:https://doi.org/10.1007/s42399-025-02117-6.</w:t>
      </w:r>
    </w:p>
    <w:p>
      <w:pPr>
        <w:pStyle w:val="style0"/>
        <w:spacing w:before="240" w:after="240"/>
        <w:rPr>
          <w:rFonts w:cs="Arial"/>
          <w:highlight w:val="white"/>
        </w:rPr>
      </w:pPr>
    </w:p>
    <w:p>
      <w:pPr>
        <w:pStyle w:val="style0"/>
        <w:spacing w:before="240" w:after="240"/>
        <w:rPr>
          <w:rFonts w:cs="Arial"/>
          <w:highlight w:val="white"/>
        </w:rPr>
      </w:pPr>
    </w:p>
    <w:p>
      <w:pPr>
        <w:pStyle w:val="style0"/>
        <w:rPr>
          <w:rFonts w:cs="Arial"/>
        </w:rPr>
      </w:pPr>
    </w:p>
    <w:sectPr>
      <w:footerReference w:type="default" r:id="rId3"/>
      <w:pgSz w:w="12240" w:h="15840" w:orient="portrait"/>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Vrinda">
    <w:altName w:val="Vrinda"/>
    <w:panose1 w:val="020b0502040002020203"/>
    <w:charset w:val="00"/>
    <w:family w:val="swiss"/>
    <w:pitch w:val="variable"/>
    <w:sig w:usb0="00010003" w:usb1="00000000" w:usb2="00000000" w:usb3="00000000" w:csb0="00000001" w:csb1="00000000"/>
  </w:font>
  <w:font w:name="Cambria Math">
    <w:altName w:val="Cambria Math"/>
    <w:panose1 w:val="02040503050004030204"/>
    <w:charset w:val="00"/>
    <w:family w:val="roman"/>
    <w:pitch w:val="variable"/>
    <w:sig w:usb0="E00002FF" w:usb1="420024FF" w:usb2="00000000" w:usb3="00000000" w:csb0="0000019F" w:csb1="00000000"/>
  </w:font>
  <w:font w:name="Segoe UI Symbol">
    <w:altName w:val="Segoe UI Symbol"/>
    <w:panose1 w:val="020b0502040002020203"/>
    <w:charset w:val="00"/>
    <w:family w:val="swiss"/>
    <w:pitch w:val="variable"/>
    <w:sig w:usb0="800001E3" w:usb1="1200FFEF" w:usb2="00040000" w:usb3="00000000" w:csb0="00000001" w:csb1="00000000"/>
  </w:font>
  <w:font w:name="Calibri">
    <w:altName w:val="Calibri"/>
    <w:panose1 w:val="020f0502020002030204"/>
    <w:charset w:val="00"/>
    <w:family w:val="swiss"/>
    <w:pitch w:val="variable"/>
    <w:sig w:usb0="E4002EFF" w:usb1="C200ACFF"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right"/>
      <w:rPr/>
    </w:pPr>
    <w:r>
      <w:rPr/>
      <w:fldChar w:fldCharType="begin"/>
    </w:r>
    <w:r>
      <w:instrText>PAGE</w:instrText>
    </w:r>
    <w:r>
      <w:rPr/>
      <w:fldChar w:fldCharType="separate"/>
    </w:r>
    <w:r>
      <w:rPr>
        <w:noProof/>
      </w:rPr>
      <w:t>12</w:t>
    </w:r>
    <w:r>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AEDA9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4"/>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bidi="bn-IN" w:eastAsia="en-GB"/>
      </w:rPr>
    </w:rPrDefault>
    <w:pPrDefault>
      <w:pPr>
        <w:spacing w:lineRule="auto" w:line="360"/>
        <w:jc w:val="both"/>
      </w:pPr>
    </w:pPrDefault>
  </w:docDefaults>
  <w:style w:type="paragraph" w:default="1" w:styleId="style0">
    <w:name w:val="Normal"/>
    <w:next w:val="style0"/>
    <w:pPr/>
    <w:rPr>
      <w:rFonts w:ascii="Arial" w:hAnsi="Arial"/>
      <w:sz w:val="22"/>
      <w:lang w:val="en-GB"/>
    </w:rPr>
  </w:style>
  <w:style w:type="paragraph" w:styleId="style1">
    <w:name w:val="heading 1"/>
    <w:basedOn w:val="style0"/>
    <w:next w:val="style0"/>
    <w:pPr>
      <w:keepNext/>
      <w:keepLines/>
      <w:outlineLvl w:val="0"/>
    </w:pPr>
    <w:rPr>
      <w:b/>
      <w:bCs/>
      <w:sz w:val="28"/>
      <w:szCs w:val="28"/>
    </w:rPr>
  </w:style>
  <w:style w:type="paragraph" w:styleId="style2">
    <w:name w:val="heading 2"/>
    <w:basedOn w:val="style0"/>
    <w:next w:val="style0"/>
    <w:pPr>
      <w:keepNext/>
      <w:keepLines/>
      <w:spacing w:after="200"/>
      <w:outlineLvl w:val="1"/>
    </w:pPr>
    <w:rPr>
      <w:b/>
      <w:bCs/>
      <w:sz w:val="26"/>
      <w:szCs w:val="26"/>
    </w:rPr>
  </w:style>
  <w:style w:type="paragraph" w:styleId="style3">
    <w:name w:val="heading 3"/>
    <w:basedOn w:val="style0"/>
    <w:next w:val="style0"/>
    <w:pPr>
      <w:keepNext/>
      <w:keepLines/>
      <w:spacing w:before="320" w:after="80"/>
      <w:outlineLvl w:val="2"/>
    </w:pPr>
    <w:rPr>
      <w:b/>
      <w:bCs/>
    </w:rPr>
  </w:style>
  <w:style w:type="paragraph" w:styleId="style4">
    <w:name w:val="heading 4"/>
    <w:basedOn w:val="style0"/>
    <w:next w:val="style0"/>
    <w:pPr>
      <w:keepNext/>
      <w:keepLines/>
      <w:spacing w:before="280" w:after="80"/>
      <w:outlineLvl w:val="3"/>
    </w:pPr>
    <w:rPr>
      <w:color w:val="666666"/>
    </w:rPr>
  </w:style>
  <w:style w:type="paragraph" w:styleId="style5">
    <w:name w:val="heading 5"/>
    <w:basedOn w:val="style0"/>
    <w:next w:val="style0"/>
    <w:pPr>
      <w:keepNext/>
      <w:keepLines/>
      <w:spacing w:before="240" w:after="80"/>
      <w:outlineLvl w:val="4"/>
    </w:pPr>
    <w:rPr>
      <w:color w:val="666666"/>
      <w:szCs w:val="22"/>
    </w:rPr>
  </w:style>
  <w:style w:type="paragraph" w:styleId="style6">
    <w:name w:val="heading 6"/>
    <w:basedOn w:val="style0"/>
    <w:next w:val="style0"/>
    <w:pPr>
      <w:keepNext/>
      <w:keepLines/>
      <w:spacing w:before="240" w:after="80"/>
      <w:outlineLvl w:val="5"/>
    </w:pPr>
    <w:rPr>
      <w:i/>
      <w:iCs/>
      <w:color w:val="666666"/>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rFonts w:cs="Arial" w:eastAsia="Arial"/>
      <w:color w:val="666666"/>
      <w:sz w:val="30"/>
      <w:szCs w:val="30"/>
    </w:rPr>
  </w:style>
  <w:style w:type="table" w:customStyle="1" w:styleId="style4098">
    <w:basedOn w:val="style4097"/>
    <w:next w:val="style4098"/>
    <w:pPr/>
    <w:rPr/>
    <w:tblPr>
      <w:tblStyleRowBandSize w:val="1"/>
      <w:tblStyleColBandSize w:val="1"/>
    </w:tblPr>
    <w:tcPr>
      <w:tcBorders/>
    </w:tcPr>
  </w:style>
  <w:style w:type="table" w:customStyle="1" w:styleId="style4099">
    <w:basedOn w:val="style4097"/>
    <w:next w:val="style4099"/>
    <w:pPr/>
    <w:rPr/>
    <w:tblPr>
      <w:tblStyleRowBandSize w:val="1"/>
      <w:tblStyleColBandSize w:val="1"/>
    </w:tblPr>
    <w:tcPr>
      <w:tcBorders/>
    </w:tcPr>
  </w:style>
  <w:style w:type="table" w:customStyle="1" w:styleId="style4100">
    <w:basedOn w:val="style4097"/>
    <w:next w:val="style4100"/>
    <w:pPr/>
    <w:rPr/>
    <w:tblPr>
      <w:tblStyleRowBandSize w:val="1"/>
      <w:tblStyleColBandSize w:val="1"/>
    </w:tblPr>
    <w:tcPr>
      <w:tcBorders/>
    </w:tcPr>
  </w:style>
  <w:style w:type="paragraph" w:styleId="style19">
    <w:name w:val="toc 1"/>
    <w:basedOn w:val="style0"/>
    <w:next w:val="style0"/>
    <w:uiPriority w:val="39"/>
    <w:pPr>
      <w:spacing w:after="100"/>
    </w:pPr>
    <w:rPr>
      <w:szCs w:val="30"/>
    </w:rPr>
  </w:style>
  <w:style w:type="paragraph" w:styleId="style20">
    <w:name w:val="toc 2"/>
    <w:basedOn w:val="style0"/>
    <w:next w:val="style0"/>
    <w:uiPriority w:val="39"/>
    <w:pPr>
      <w:spacing w:after="100"/>
      <w:ind w:left="240"/>
    </w:pPr>
    <w:rPr>
      <w:szCs w:val="30"/>
    </w:rPr>
  </w:style>
  <w:style w:type="character" w:styleId="style85">
    <w:name w:val="Hyperlink"/>
    <w:basedOn w:val="style65"/>
    <w:next w:val="style85"/>
    <w:uiPriority w:val="99"/>
    <w:rPr>
      <w:color w:val="0000ff"/>
      <w:u w:val="single"/>
    </w:r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39"/>
    <w:pPr>
      <w:spacing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Words>3706</Words>
  <Pages>15</Pages>
  <Characters>23737</Characters>
  <Application>WPS Office</Application>
  <DocSecurity>0</DocSecurity>
  <Paragraphs>317</Paragraphs>
  <ScaleCrop>false</ScaleCrop>
  <LinksUpToDate>false</LinksUpToDate>
  <CharactersWithSpaces>27262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2026-04-20T17:04:00Z</dcterms:created>
  <dc:creator>User</dc:creator>
  <lastModifiedBy>SM-M127G</lastModifiedBy>
  <dcterms:modified xsi:type="dcterms:W3CDTF">2026-04-21T08:47:56Z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d27e8e753c204ab296d9288d74e107ba</vt:lpwstr>
  </property>
</Properties>
</file>