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7E7E4" w14:textId="15B06396" w:rsidR="00555D8F" w:rsidRPr="00C92EBF" w:rsidRDefault="00060FB2" w:rsidP="00C92EBF">
      <w:pPr>
        <w:spacing w:before="200" w:line="360" w:lineRule="auto"/>
        <w:jc w:val="center"/>
        <w:rPr>
          <w:rFonts w:ascii="Calibri" w:eastAsia="Calibri" w:hAnsi="Calibri" w:cs="Calibri"/>
          <w:b/>
          <w:bCs/>
          <w:sz w:val="40"/>
          <w:szCs w:val="40"/>
        </w:rPr>
      </w:pPr>
      <w:r w:rsidRPr="00C92EBF">
        <w:rPr>
          <w:rFonts w:ascii="Calibri" w:eastAsia="Calibri" w:hAnsi="Calibri" w:cs="Calibri"/>
          <w:b/>
          <w:bCs/>
          <w:sz w:val="40"/>
          <w:szCs w:val="40"/>
        </w:rPr>
        <w:t xml:space="preserve">MODULE CODE: LCBB6006 </w:t>
      </w:r>
    </w:p>
    <w:p w14:paraId="19A805A0" w14:textId="2301D373" w:rsidR="00555D8F" w:rsidRPr="00C92EBF" w:rsidRDefault="00060FB2" w:rsidP="00C92EBF">
      <w:pPr>
        <w:spacing w:before="200" w:line="360" w:lineRule="auto"/>
        <w:jc w:val="center"/>
        <w:rPr>
          <w:rFonts w:ascii="Calibri" w:eastAsia="Calibri" w:hAnsi="Calibri" w:cs="Calibri"/>
          <w:b/>
          <w:bCs/>
          <w:sz w:val="40"/>
          <w:szCs w:val="40"/>
        </w:rPr>
      </w:pPr>
      <w:r w:rsidRPr="00C92EBF">
        <w:rPr>
          <w:rFonts w:ascii="Calibri" w:eastAsia="Calibri" w:hAnsi="Calibri" w:cs="Calibri"/>
          <w:b/>
          <w:bCs/>
          <w:sz w:val="40"/>
          <w:szCs w:val="40"/>
        </w:rPr>
        <w:t>MODULE: PROJECT MANAGEMENT</w:t>
      </w:r>
    </w:p>
    <w:p w14:paraId="5DEC7EE6" w14:textId="74AF8670" w:rsidR="00555D8F" w:rsidRPr="00C92EBF" w:rsidRDefault="00060FB2" w:rsidP="00C92EBF">
      <w:pPr>
        <w:spacing w:before="200" w:line="360" w:lineRule="auto"/>
        <w:jc w:val="center"/>
        <w:rPr>
          <w:rFonts w:ascii="Calibri" w:eastAsia="Calibri" w:hAnsi="Calibri" w:cs="Calibri"/>
          <w:b/>
          <w:bCs/>
          <w:sz w:val="40"/>
          <w:szCs w:val="40"/>
        </w:rPr>
      </w:pPr>
      <w:r w:rsidRPr="00C92EBF">
        <w:rPr>
          <w:rFonts w:ascii="Calibri" w:eastAsia="Calibri" w:hAnsi="Calibri" w:cs="Calibri"/>
          <w:b/>
          <w:bCs/>
          <w:sz w:val="40"/>
          <w:szCs w:val="40"/>
        </w:rPr>
        <w:t>ASSIGNMENT TITLE: COMPONENT 2: ESSAY</w:t>
      </w:r>
    </w:p>
    <w:p w14:paraId="54CD2B19" w14:textId="77777777" w:rsidR="00555D8F" w:rsidRPr="00C92EBF" w:rsidRDefault="00555D8F" w:rsidP="00C92EBF">
      <w:pPr>
        <w:spacing w:before="200" w:line="360" w:lineRule="auto"/>
        <w:jc w:val="center"/>
        <w:rPr>
          <w:rFonts w:ascii="Calibri" w:eastAsia="Calibri" w:hAnsi="Calibri" w:cs="Calibri"/>
          <w:sz w:val="40"/>
          <w:szCs w:val="40"/>
        </w:rPr>
      </w:pPr>
    </w:p>
    <w:p w14:paraId="2CA6C9BC" w14:textId="77777777" w:rsidR="00555D8F" w:rsidRPr="00C92EBF" w:rsidRDefault="00555D8F" w:rsidP="00C92EBF">
      <w:pPr>
        <w:spacing w:before="200" w:line="360" w:lineRule="auto"/>
        <w:jc w:val="center"/>
        <w:rPr>
          <w:rFonts w:ascii="Calibri" w:eastAsia="Calibri" w:hAnsi="Calibri" w:cs="Calibri"/>
          <w:sz w:val="40"/>
          <w:szCs w:val="40"/>
        </w:rPr>
      </w:pPr>
    </w:p>
    <w:p w14:paraId="1595EA78" w14:textId="77777777" w:rsidR="00555D8F" w:rsidRPr="00C92EBF" w:rsidRDefault="00555D8F" w:rsidP="00C92EBF">
      <w:pPr>
        <w:spacing w:before="200" w:line="360" w:lineRule="auto"/>
        <w:jc w:val="center"/>
        <w:rPr>
          <w:rFonts w:ascii="Calibri" w:eastAsia="Calibri" w:hAnsi="Calibri" w:cs="Calibri"/>
          <w:sz w:val="40"/>
          <w:szCs w:val="40"/>
        </w:rPr>
      </w:pPr>
    </w:p>
    <w:p w14:paraId="3350C7C6" w14:textId="2226FD3B" w:rsidR="00555D8F" w:rsidRPr="00C92EBF" w:rsidRDefault="00000000" w:rsidP="00C92EBF">
      <w:pPr>
        <w:spacing w:before="200" w:line="360" w:lineRule="auto"/>
        <w:jc w:val="center"/>
        <w:rPr>
          <w:rFonts w:ascii="Calibri" w:eastAsia="Calibri" w:hAnsi="Calibri" w:cs="Calibri"/>
          <w:b/>
          <w:bCs/>
          <w:sz w:val="40"/>
          <w:szCs w:val="40"/>
        </w:rPr>
      </w:pPr>
      <w:r w:rsidRPr="00C92EBF">
        <w:rPr>
          <w:rFonts w:ascii="Calibri" w:eastAsia="Calibri" w:hAnsi="Calibri" w:cs="Calibri"/>
          <w:b/>
          <w:bCs/>
          <w:sz w:val="40"/>
          <w:szCs w:val="40"/>
        </w:rPr>
        <w:t>STUDENT NAME:</w:t>
      </w:r>
      <w:r w:rsidR="00507305">
        <w:rPr>
          <w:rFonts w:ascii="Calibri" w:eastAsia="Calibri" w:hAnsi="Calibri" w:cs="Calibri"/>
          <w:b/>
          <w:bCs/>
          <w:sz w:val="40"/>
          <w:szCs w:val="40"/>
        </w:rPr>
        <w:t xml:space="preserve"> IONUT HRISCA </w:t>
      </w:r>
    </w:p>
    <w:p w14:paraId="3D0CCA07" w14:textId="1215919C" w:rsidR="00555D8F" w:rsidRPr="00C92EBF" w:rsidRDefault="00000000" w:rsidP="00C92EBF">
      <w:pPr>
        <w:spacing w:before="200" w:line="360" w:lineRule="auto"/>
        <w:jc w:val="center"/>
        <w:rPr>
          <w:rFonts w:ascii="Calibri" w:eastAsia="Calibri" w:hAnsi="Calibri" w:cs="Calibri"/>
          <w:sz w:val="40"/>
          <w:szCs w:val="40"/>
        </w:rPr>
      </w:pPr>
      <w:r w:rsidRPr="00C92EBF">
        <w:rPr>
          <w:rFonts w:ascii="Calibri" w:eastAsia="Calibri" w:hAnsi="Calibri" w:cs="Calibri"/>
          <w:b/>
          <w:bCs/>
          <w:sz w:val="40"/>
          <w:szCs w:val="40"/>
        </w:rPr>
        <w:t>STUDENT ID:</w:t>
      </w:r>
      <w:r w:rsidR="00507305">
        <w:rPr>
          <w:rFonts w:ascii="Calibri" w:eastAsia="Calibri" w:hAnsi="Calibri" w:cs="Calibri"/>
          <w:b/>
          <w:bCs/>
          <w:sz w:val="40"/>
          <w:szCs w:val="40"/>
        </w:rPr>
        <w:t xml:space="preserve"> 2243953</w:t>
      </w:r>
    </w:p>
    <w:p w14:paraId="2EAF32E1" w14:textId="77777777" w:rsidR="00555D8F" w:rsidRPr="00C92EBF" w:rsidRDefault="00000000">
      <w:pPr>
        <w:spacing w:before="200" w:after="200" w:line="360" w:lineRule="auto"/>
        <w:jc w:val="both"/>
      </w:pPr>
      <w:r w:rsidRPr="00C92EBF">
        <w:br w:type="page"/>
      </w:r>
    </w:p>
    <w:sdt>
      <w:sdtPr>
        <w:id w:val="-1934325463"/>
        <w:docPartObj>
          <w:docPartGallery w:val="Table of Contents"/>
          <w:docPartUnique/>
        </w:docPartObj>
      </w:sdtPr>
      <w:sdtContent>
        <w:p w14:paraId="123FAE65" w14:textId="77777777" w:rsidR="00555D8F" w:rsidRPr="00C92EBF" w:rsidRDefault="00000000">
          <w:pPr>
            <w:widowControl w:val="0"/>
            <w:tabs>
              <w:tab w:val="right" w:leader="dot" w:pos="9360"/>
            </w:tabs>
            <w:spacing w:before="60" w:after="200" w:line="360" w:lineRule="auto"/>
            <w:jc w:val="center"/>
            <w:rPr>
              <w:rFonts w:ascii="Calibri" w:eastAsia="Calibri" w:hAnsi="Calibri" w:cs="Calibri"/>
              <w:b/>
              <w:bCs/>
              <w:sz w:val="28"/>
              <w:szCs w:val="28"/>
            </w:rPr>
          </w:pPr>
          <w:r w:rsidRPr="00C92EBF">
            <w:fldChar w:fldCharType="begin"/>
          </w:r>
          <w:r w:rsidRPr="00C92EBF">
            <w:instrText xml:space="preserve"> TOC \h \u \z \t "Heading 1,1,Heading 2,2,Heading 3,3,Heading 4,4,Heading 5,5,Heading 6,6,"</w:instrText>
          </w:r>
          <w:r w:rsidRPr="00C92EBF">
            <w:fldChar w:fldCharType="separate"/>
          </w:r>
          <w:r w:rsidRPr="00C92EBF">
            <w:rPr>
              <w:rFonts w:ascii="Calibri" w:eastAsia="Calibri" w:hAnsi="Calibri" w:cs="Calibri"/>
              <w:b/>
              <w:bCs/>
              <w:sz w:val="28"/>
              <w:szCs w:val="28"/>
            </w:rPr>
            <w:t>Table of Contents</w:t>
          </w:r>
        </w:p>
        <w:p w14:paraId="30120533" w14:textId="77777777" w:rsidR="00555D8F" w:rsidRPr="00C92EBF" w:rsidRDefault="00555D8F">
          <w:pPr>
            <w:widowControl w:val="0"/>
            <w:tabs>
              <w:tab w:val="right" w:leader="dot" w:pos="9360"/>
            </w:tabs>
            <w:spacing w:before="60" w:after="200" w:line="360" w:lineRule="auto"/>
            <w:jc w:val="both"/>
            <w:rPr>
              <w:rFonts w:ascii="Calibri" w:eastAsia="Calibri" w:hAnsi="Calibri" w:cs="Calibri"/>
              <w:color w:val="000000"/>
              <w:sz w:val="24"/>
              <w:szCs w:val="24"/>
            </w:rPr>
          </w:pPr>
          <w:hyperlink w:anchor="_9w124x1mu1pv">
            <w:r w:rsidRPr="00C92EBF">
              <w:rPr>
                <w:rFonts w:ascii="Calibri" w:eastAsia="Calibri" w:hAnsi="Calibri" w:cs="Calibri"/>
                <w:color w:val="000000"/>
                <w:sz w:val="24"/>
                <w:szCs w:val="24"/>
              </w:rPr>
              <w:t>Introduction</w:t>
            </w:r>
            <w:r w:rsidRPr="00C92EBF">
              <w:rPr>
                <w:rFonts w:ascii="Calibri" w:eastAsia="Calibri" w:hAnsi="Calibri" w:cs="Calibri"/>
                <w:color w:val="000000"/>
                <w:sz w:val="24"/>
                <w:szCs w:val="24"/>
              </w:rPr>
              <w:tab/>
            </w:r>
          </w:hyperlink>
          <w:r w:rsidR="00000000" w:rsidRPr="00C92EBF">
            <w:fldChar w:fldCharType="begin"/>
          </w:r>
          <w:r w:rsidR="00000000" w:rsidRPr="00C92EBF">
            <w:instrText xml:space="preserve"> PAGEREF _9w124x1mu1pv \h </w:instrText>
          </w:r>
          <w:r w:rsidR="00000000" w:rsidRPr="00C92EBF">
            <w:fldChar w:fldCharType="separate"/>
          </w:r>
          <w:r w:rsidR="00000000" w:rsidRPr="00C92EBF">
            <w:rPr>
              <w:rFonts w:ascii="Calibri" w:eastAsia="Calibri" w:hAnsi="Calibri" w:cs="Calibri"/>
              <w:sz w:val="24"/>
              <w:szCs w:val="24"/>
            </w:rPr>
            <w:t>1</w:t>
          </w:r>
          <w:r w:rsidR="00000000" w:rsidRPr="00C92EBF">
            <w:fldChar w:fldCharType="end"/>
          </w:r>
        </w:p>
        <w:p w14:paraId="3E5E4B52" w14:textId="77777777" w:rsidR="00555D8F" w:rsidRPr="00C92EBF" w:rsidRDefault="00555D8F">
          <w:pPr>
            <w:widowControl w:val="0"/>
            <w:tabs>
              <w:tab w:val="right" w:leader="dot" w:pos="9360"/>
            </w:tabs>
            <w:spacing w:before="60" w:after="200" w:line="360" w:lineRule="auto"/>
            <w:jc w:val="both"/>
            <w:rPr>
              <w:rFonts w:ascii="Calibri" w:eastAsia="Calibri" w:hAnsi="Calibri" w:cs="Calibri"/>
              <w:color w:val="000000"/>
              <w:sz w:val="24"/>
              <w:szCs w:val="24"/>
            </w:rPr>
          </w:pPr>
          <w:hyperlink w:anchor="_a1nqn7o71nwo">
            <w:r w:rsidRPr="00C92EBF">
              <w:rPr>
                <w:rFonts w:ascii="Calibri" w:eastAsia="Calibri" w:hAnsi="Calibri" w:cs="Calibri"/>
                <w:color w:val="000000"/>
                <w:sz w:val="24"/>
                <w:szCs w:val="24"/>
              </w:rPr>
              <w:t>Main Body</w:t>
            </w:r>
            <w:r w:rsidRPr="00C92EBF">
              <w:rPr>
                <w:rFonts w:ascii="Calibri" w:eastAsia="Calibri" w:hAnsi="Calibri" w:cs="Calibri"/>
                <w:color w:val="000000"/>
                <w:sz w:val="24"/>
                <w:szCs w:val="24"/>
              </w:rPr>
              <w:tab/>
            </w:r>
          </w:hyperlink>
          <w:r w:rsidR="00000000" w:rsidRPr="00C92EBF">
            <w:fldChar w:fldCharType="begin"/>
          </w:r>
          <w:r w:rsidR="00000000" w:rsidRPr="00C92EBF">
            <w:instrText xml:space="preserve"> PAGEREF _a1nqn7o71nwo \h </w:instrText>
          </w:r>
          <w:r w:rsidR="00000000" w:rsidRPr="00C92EBF">
            <w:fldChar w:fldCharType="separate"/>
          </w:r>
          <w:r w:rsidR="00000000" w:rsidRPr="00C92EBF">
            <w:rPr>
              <w:rFonts w:ascii="Calibri" w:eastAsia="Calibri" w:hAnsi="Calibri" w:cs="Calibri"/>
              <w:sz w:val="24"/>
              <w:szCs w:val="24"/>
            </w:rPr>
            <w:t>1</w:t>
          </w:r>
          <w:r w:rsidR="00000000" w:rsidRPr="00C92EBF">
            <w:fldChar w:fldCharType="end"/>
          </w:r>
        </w:p>
        <w:p w14:paraId="427C61CE" w14:textId="77777777" w:rsidR="00555D8F" w:rsidRPr="00C92EBF" w:rsidRDefault="00555D8F">
          <w:pPr>
            <w:widowControl w:val="0"/>
            <w:tabs>
              <w:tab w:val="right" w:leader="dot" w:pos="9360"/>
            </w:tabs>
            <w:spacing w:before="60" w:after="200" w:line="360" w:lineRule="auto"/>
            <w:jc w:val="both"/>
            <w:rPr>
              <w:rFonts w:ascii="Calibri" w:eastAsia="Calibri" w:hAnsi="Calibri" w:cs="Calibri"/>
              <w:color w:val="000000"/>
              <w:sz w:val="24"/>
              <w:szCs w:val="24"/>
            </w:rPr>
          </w:pPr>
          <w:hyperlink w:anchor="_ylq16bw990tm">
            <w:r w:rsidRPr="00C92EBF">
              <w:rPr>
                <w:rFonts w:ascii="Calibri" w:eastAsia="Calibri" w:hAnsi="Calibri" w:cs="Calibri"/>
                <w:color w:val="000000"/>
                <w:sz w:val="24"/>
                <w:szCs w:val="24"/>
              </w:rPr>
              <w:t>Conclusion</w:t>
            </w:r>
            <w:r w:rsidRPr="00C92EBF">
              <w:rPr>
                <w:rFonts w:ascii="Calibri" w:eastAsia="Calibri" w:hAnsi="Calibri" w:cs="Calibri"/>
                <w:color w:val="000000"/>
                <w:sz w:val="24"/>
                <w:szCs w:val="24"/>
              </w:rPr>
              <w:tab/>
            </w:r>
          </w:hyperlink>
          <w:r w:rsidR="00000000" w:rsidRPr="00C92EBF">
            <w:fldChar w:fldCharType="begin"/>
          </w:r>
          <w:r w:rsidR="00000000" w:rsidRPr="00C92EBF">
            <w:instrText xml:space="preserve"> PAGEREF _ylq16bw990tm \h </w:instrText>
          </w:r>
          <w:r w:rsidR="00000000" w:rsidRPr="00C92EBF">
            <w:fldChar w:fldCharType="separate"/>
          </w:r>
          <w:r w:rsidR="00000000" w:rsidRPr="00C92EBF">
            <w:rPr>
              <w:rFonts w:ascii="Calibri" w:eastAsia="Calibri" w:hAnsi="Calibri" w:cs="Calibri"/>
              <w:sz w:val="24"/>
              <w:szCs w:val="24"/>
            </w:rPr>
            <w:t>6</w:t>
          </w:r>
          <w:r w:rsidR="00000000" w:rsidRPr="00C92EBF">
            <w:fldChar w:fldCharType="end"/>
          </w:r>
        </w:p>
        <w:p w14:paraId="38C0ED95" w14:textId="77777777" w:rsidR="00555D8F" w:rsidRPr="00C92EBF" w:rsidRDefault="00555D8F">
          <w:pPr>
            <w:widowControl w:val="0"/>
            <w:tabs>
              <w:tab w:val="right" w:leader="dot" w:pos="9360"/>
            </w:tabs>
            <w:spacing w:before="60" w:after="200" w:line="360" w:lineRule="auto"/>
            <w:jc w:val="both"/>
            <w:rPr>
              <w:rFonts w:ascii="Calibri" w:eastAsia="Calibri" w:hAnsi="Calibri" w:cs="Calibri"/>
              <w:color w:val="000000"/>
              <w:sz w:val="24"/>
              <w:szCs w:val="24"/>
            </w:rPr>
          </w:pPr>
          <w:hyperlink w:anchor="_z7sbn4ngm9fs">
            <w:r w:rsidRPr="00C92EBF">
              <w:rPr>
                <w:rFonts w:ascii="Calibri" w:eastAsia="Calibri" w:hAnsi="Calibri" w:cs="Calibri"/>
                <w:color w:val="000000"/>
                <w:sz w:val="24"/>
                <w:szCs w:val="24"/>
              </w:rPr>
              <w:t>References</w:t>
            </w:r>
            <w:r w:rsidRPr="00C92EBF">
              <w:rPr>
                <w:rFonts w:ascii="Calibri" w:eastAsia="Calibri" w:hAnsi="Calibri" w:cs="Calibri"/>
                <w:color w:val="000000"/>
                <w:sz w:val="24"/>
                <w:szCs w:val="24"/>
              </w:rPr>
              <w:tab/>
            </w:r>
          </w:hyperlink>
          <w:r w:rsidR="00000000" w:rsidRPr="00C92EBF">
            <w:fldChar w:fldCharType="begin"/>
          </w:r>
          <w:r w:rsidR="00000000" w:rsidRPr="00C92EBF">
            <w:instrText xml:space="preserve"> PAGEREF _z7sbn4ngm9fs \h </w:instrText>
          </w:r>
          <w:r w:rsidR="00000000" w:rsidRPr="00C92EBF">
            <w:fldChar w:fldCharType="separate"/>
          </w:r>
          <w:r w:rsidR="00000000" w:rsidRPr="00C92EBF">
            <w:rPr>
              <w:rFonts w:ascii="Calibri" w:eastAsia="Calibri" w:hAnsi="Calibri" w:cs="Calibri"/>
              <w:sz w:val="24"/>
              <w:szCs w:val="24"/>
            </w:rPr>
            <w:t>7</w:t>
          </w:r>
          <w:r w:rsidR="00000000" w:rsidRPr="00C92EBF">
            <w:fldChar w:fldCharType="end"/>
          </w:r>
          <w:r w:rsidR="00000000" w:rsidRPr="00C92EBF">
            <w:fldChar w:fldCharType="end"/>
          </w:r>
        </w:p>
      </w:sdtContent>
    </w:sdt>
    <w:p w14:paraId="5C674D7C" w14:textId="77777777" w:rsidR="00555D8F" w:rsidRPr="00C92EBF" w:rsidRDefault="00000000">
      <w:pPr>
        <w:pStyle w:val="Heading1"/>
      </w:pPr>
      <w:bookmarkStart w:id="0" w:name="_93j00r7lnn9" w:colFirst="0" w:colLast="0"/>
      <w:bookmarkEnd w:id="0"/>
      <w:r w:rsidRPr="00C92EBF">
        <w:br w:type="page"/>
      </w:r>
    </w:p>
    <w:p w14:paraId="02147E85" w14:textId="77777777" w:rsidR="00555D8F" w:rsidRPr="00C92EBF" w:rsidRDefault="00000000">
      <w:pPr>
        <w:pStyle w:val="Heading1"/>
      </w:pPr>
      <w:bookmarkStart w:id="1" w:name="_9w124x1mu1pv" w:colFirst="0" w:colLast="0"/>
      <w:bookmarkEnd w:id="1"/>
      <w:r w:rsidRPr="00C92EBF">
        <w:lastRenderedPageBreak/>
        <w:t>Introduction</w:t>
      </w:r>
    </w:p>
    <w:p w14:paraId="67465A14" w14:textId="77777777" w:rsidR="00555D8F" w:rsidRPr="00C92EBF" w:rsidRDefault="00000000">
      <w:pPr>
        <w:spacing w:before="200" w:after="200" w:line="360" w:lineRule="auto"/>
        <w:jc w:val="both"/>
        <w:rPr>
          <w:rFonts w:ascii="Calibri" w:eastAsia="Calibri" w:hAnsi="Calibri" w:cs="Calibri"/>
          <w:color w:val="1F1F1F"/>
          <w:sz w:val="24"/>
          <w:szCs w:val="24"/>
        </w:rPr>
      </w:pPr>
      <w:r w:rsidRPr="00C92EBF">
        <w:rPr>
          <w:rFonts w:ascii="Calibri" w:eastAsia="Calibri" w:hAnsi="Calibri" w:cs="Calibri"/>
          <w:color w:val="1F1F1F"/>
          <w:sz w:val="24"/>
          <w:szCs w:val="24"/>
        </w:rPr>
        <w:t>Project management refers to the implementation of work within scope time and cost limitations (UAGC, 2023; Alfreahat, 2024). Procurement strategy, which is the contracting approach, is critical in determining risk allocation and hierarchy as a factor to achieving success (PL Projects, 2025). The organisations outsource to exploit expertise and avoid liabilities (Gilson, Sabel and Scott, 2008). Consequently, it is a strategic imperative to select the methodology. The essay will compare Turnkey, Do-It-Yourself (DIY), Multi-contract, and Hybrid approaches to obtain an understanding of the operation mechanism, applicability, and trade-offs in terms of risk, control, and efficiency.</w:t>
      </w:r>
    </w:p>
    <w:p w14:paraId="10FAA017" w14:textId="77777777" w:rsidR="00555D8F" w:rsidRPr="00C92EBF" w:rsidRDefault="00000000">
      <w:pPr>
        <w:pStyle w:val="Heading1"/>
      </w:pPr>
      <w:bookmarkStart w:id="2" w:name="_a1nqn7o71nwo" w:colFirst="0" w:colLast="0"/>
      <w:bookmarkEnd w:id="2"/>
      <w:r w:rsidRPr="00C92EBF">
        <w:t>Main Body</w:t>
      </w:r>
    </w:p>
    <w:p w14:paraId="79DC4F45" w14:textId="5DCCA6AB" w:rsidR="00555D8F" w:rsidRPr="00C92EBF" w:rsidRDefault="00000000">
      <w:pPr>
        <w:spacing w:before="200" w:after="200" w:line="360" w:lineRule="auto"/>
        <w:jc w:val="both"/>
        <w:rPr>
          <w:rFonts w:ascii="Calibri" w:eastAsia="Calibri" w:hAnsi="Calibri" w:cs="Calibri"/>
          <w:color w:val="111111"/>
          <w:sz w:val="24"/>
          <w:szCs w:val="24"/>
          <w:highlight w:val="white"/>
        </w:rPr>
      </w:pPr>
      <w:r w:rsidRPr="00C92EBF">
        <w:rPr>
          <w:rFonts w:ascii="Calibri" w:eastAsia="Calibri" w:hAnsi="Calibri" w:cs="Calibri"/>
          <w:color w:val="111111"/>
          <w:sz w:val="24"/>
          <w:szCs w:val="24"/>
          <w:highlight w:val="white"/>
        </w:rPr>
        <w:t xml:space="preserve">The Turnkey contracting approach, sometimes synonymous with Design-Build or EPC (Engineering, Procurement and Construction), is a broad-based outsourcing approach where one prime contractor takes charge of the lifecycle of the project. Through its detailed design up to the construction, installation, and commissioning processes the contractor is in charge of delivering a fully functioning and operating facility, leaving the client with the option of simply turning the key once the facility has been signed over. The Turnkey approach does not involve detailed designs given by clients unlike in traditional contracting that will only take performance specifications or requirement based on results. All the subcontractors, suppliers, design teams are then handled by the contractor who becomes the only accountable party. The model is especially useful in large-scale, technically complicated projects where clients do not have the expertise or resources to organise design and implementation. It is highly used in the energy, heavy manufacturing industry and government infrastructure. An example is a government that contracts a hydroelectric dam, which may not even have the engineering or geological knowledge on how to design turbines or to do risk mitigation. Through a Turnkey arrangement, the government shifts the following responsibilities to a group of experts where delivery of a fully operational facility is </w:t>
      </w:r>
      <w:r w:rsidR="00C92EBF" w:rsidRPr="00C92EBF">
        <w:rPr>
          <w:rFonts w:ascii="Calibri" w:eastAsia="Calibri" w:hAnsi="Calibri" w:cs="Calibri"/>
          <w:color w:val="111111"/>
          <w:sz w:val="24"/>
          <w:szCs w:val="24"/>
          <w:highlight w:val="white"/>
        </w:rPr>
        <w:t>done,</w:t>
      </w:r>
      <w:r w:rsidRPr="00C92EBF">
        <w:rPr>
          <w:rFonts w:ascii="Calibri" w:eastAsia="Calibri" w:hAnsi="Calibri" w:cs="Calibri"/>
          <w:color w:val="111111"/>
          <w:sz w:val="24"/>
          <w:szCs w:val="24"/>
          <w:highlight w:val="white"/>
        </w:rPr>
        <w:t xml:space="preserve"> and the government has minimal operational load.</w:t>
      </w:r>
    </w:p>
    <w:p w14:paraId="13D9FDC2" w14:textId="48DEA62E" w:rsidR="00555D8F" w:rsidRPr="00C92EBF" w:rsidRDefault="00000000">
      <w:pPr>
        <w:spacing w:before="200" w:after="200" w:line="360" w:lineRule="auto"/>
        <w:jc w:val="both"/>
        <w:rPr>
          <w:rFonts w:ascii="Calibri" w:eastAsia="Calibri" w:hAnsi="Calibri" w:cs="Calibri"/>
          <w:color w:val="1F1F1F"/>
          <w:sz w:val="24"/>
          <w:szCs w:val="24"/>
        </w:rPr>
      </w:pPr>
      <w:r w:rsidRPr="00C92EBF">
        <w:rPr>
          <w:rFonts w:ascii="Calibri" w:eastAsia="Calibri" w:hAnsi="Calibri" w:cs="Calibri"/>
          <w:color w:val="111111"/>
          <w:sz w:val="24"/>
          <w:szCs w:val="24"/>
          <w:highlight w:val="white"/>
        </w:rPr>
        <w:t xml:space="preserve">The main benefit of the Turnkey approach is that it has simplified accountability. Clients do not need to deal with the conflicts that are typical of the conventional model, where architects and </w:t>
      </w:r>
      <w:r w:rsidRPr="00C92EBF">
        <w:rPr>
          <w:rFonts w:ascii="Calibri" w:eastAsia="Calibri" w:hAnsi="Calibri" w:cs="Calibri"/>
          <w:color w:val="111111"/>
          <w:sz w:val="24"/>
          <w:szCs w:val="24"/>
          <w:highlight w:val="white"/>
        </w:rPr>
        <w:lastRenderedPageBreak/>
        <w:t xml:space="preserve">contractors tend to transfer the responsibility of the mistakes. Such transparency creates less complexity in administration and more efficiency. In addition, Turnkey projects are often advantaged by fast-tracking, in which the design work is carried out concurrently with the construction work. Contractors, who have the incentive to protect the profit margins, are proactive in solving constructability problems at design stage which lead to solutions that are more realistic and constructable. However, regardless of these advantages, the methodology has significant disadvantages. The most prominent of them is the loss of control by the client: after signing the contract, the responsibility in making decisions in the area of design and implementation will be also left to the contractor to a large extent. Working under fixed-price contracts, contractors can focus on cost-saving, also known as value engineering, which fulfils minimum requirements but sacrifices quality. Also, since contractors take great risks such as design mistakes, times delays and price variations, they incorporate large contingencies in their bids. In the event that these risks do not occur, such premiums will translate into increased profits, which makes Turnkey contracts one of the </w:t>
      </w:r>
      <w:r w:rsidR="00C92EBF" w:rsidRPr="00C92EBF">
        <w:rPr>
          <w:rFonts w:ascii="Calibri" w:eastAsia="Calibri" w:hAnsi="Calibri" w:cs="Calibri"/>
          <w:color w:val="111111"/>
          <w:sz w:val="24"/>
          <w:szCs w:val="24"/>
          <w:highlight w:val="white"/>
        </w:rPr>
        <w:t>costliest</w:t>
      </w:r>
      <w:r w:rsidRPr="00C92EBF">
        <w:rPr>
          <w:rFonts w:ascii="Calibri" w:eastAsia="Calibri" w:hAnsi="Calibri" w:cs="Calibri"/>
          <w:color w:val="111111"/>
          <w:sz w:val="24"/>
          <w:szCs w:val="24"/>
          <w:highlight w:val="white"/>
        </w:rPr>
        <w:t xml:space="preserve"> procurement strategies. Therefore, though the model is efficient and simple, it requires one to pay close attention to the trade-offs of control, cost, and quality.</w:t>
      </w:r>
    </w:p>
    <w:p w14:paraId="2CE8C056" w14:textId="77777777" w:rsidR="00555D8F" w:rsidRPr="00C92EBF" w:rsidRDefault="00000000">
      <w:pPr>
        <w:spacing w:before="200" w:after="200" w:line="360" w:lineRule="auto"/>
        <w:jc w:val="both"/>
        <w:rPr>
          <w:rFonts w:ascii="Calibri" w:eastAsia="Calibri" w:hAnsi="Calibri" w:cs="Calibri"/>
          <w:color w:val="111111"/>
          <w:sz w:val="24"/>
          <w:szCs w:val="24"/>
          <w:highlight w:val="white"/>
        </w:rPr>
      </w:pPr>
      <w:r w:rsidRPr="00C92EBF">
        <w:rPr>
          <w:rFonts w:ascii="Calibri" w:eastAsia="Calibri" w:hAnsi="Calibri" w:cs="Calibri"/>
          <w:color w:val="111111"/>
          <w:sz w:val="24"/>
          <w:szCs w:val="24"/>
          <w:highlight w:val="white"/>
        </w:rPr>
        <w:t xml:space="preserve">The other extreme to Turnkey contracting, commonly known in industrial and civil engineering settings as the Force Account or In-House Execution approach, is the Do-It-Yourself (DIY) one (LinkedIn, 2025). The owner of the project is their own contractor in this model. The organisation employs its permanent workforce (direct labour), its own machine and its own management systems to conduct the project work. The management or implementation of the core labour and design is not an external contract although the purchasing of the raw materials and commodities can still be done with vendors. The project manager is an internal staff whose duty is in the immediate line manager of employees. Contextually, the DIY approach can hardly be practicable with regard to monumental, greenfield infrastructure ventures because of the unimaginable pressure that it exerts on organisational resources (‌Ramezani, 2024). Nevertheless, it is very appropriate and commonly applicable to particular types of undertakings especially those that entail proprietary technology, high levels of security, or scopes, which are not specified. An example is whereby a technology firm that has decided to design a new server architecture might </w:t>
      </w:r>
      <w:r w:rsidRPr="00C92EBF">
        <w:rPr>
          <w:rFonts w:ascii="Calibri" w:eastAsia="Calibri" w:hAnsi="Calibri" w:cs="Calibri"/>
          <w:color w:val="111111"/>
          <w:sz w:val="24"/>
          <w:szCs w:val="24"/>
          <w:highlight w:val="white"/>
        </w:rPr>
        <w:lastRenderedPageBreak/>
        <w:t>decide to construct the device internally so that the trade secrets do not leak to the outsourcers. On the same note, organisations also tend to employ DIY when it comes to the regular maintenance or minor renovations or pilot projects in which the scope is changing so fast that a written contract would be administratively impractical. It permits optimum agility in Research and Development (R&amp;D) settings.</w:t>
      </w:r>
    </w:p>
    <w:p w14:paraId="78277A4E" w14:textId="77777777" w:rsidR="00555D8F" w:rsidRPr="00C92EBF" w:rsidRDefault="00000000">
      <w:pPr>
        <w:spacing w:before="200" w:after="200" w:line="360" w:lineRule="auto"/>
        <w:jc w:val="both"/>
        <w:rPr>
          <w:rFonts w:ascii="Calibri" w:eastAsia="Calibri" w:hAnsi="Calibri" w:cs="Calibri"/>
          <w:color w:val="1F1F1F"/>
          <w:sz w:val="24"/>
          <w:szCs w:val="24"/>
        </w:rPr>
      </w:pPr>
      <w:r w:rsidRPr="00C92EBF">
        <w:rPr>
          <w:rFonts w:ascii="Calibri" w:eastAsia="Calibri" w:hAnsi="Calibri" w:cs="Calibri"/>
          <w:color w:val="111111"/>
          <w:sz w:val="24"/>
          <w:szCs w:val="24"/>
          <w:highlight w:val="white"/>
        </w:rPr>
        <w:t xml:space="preserve">Complete control can be considered the greatest benefit of the DIY methodology. The customer is also in ultimate control of all decisions, material choices, staff placement, and time schedule. A contractor does not have any conflict of interests with a client who is aiming to maximise quality because the client and the builder is the same party. On the financial aspect, DIY would be able to save significant sums of money in terms of the profit margins and overhead expenses that external contractors are bound to impose. When the internal team is efficient, the project will be carried out at the cost price (Abbas, 2025). Moreover, it is a highly flexible way, the project team can shift at the most on the receipt of new information, without negotiating a complicated contract variation clause and even being subject to legal claims of scope changes. On the other hand, the drawbacks of the DIY approach may be drastic. Resources diversion is the most critical one. By deploying internal employees to a project, the employees are removed out of their </w:t>
      </w:r>
      <w:proofErr w:type="gramStart"/>
      <w:r w:rsidRPr="00C92EBF">
        <w:rPr>
          <w:rFonts w:ascii="Calibri" w:eastAsia="Calibri" w:hAnsi="Calibri" w:cs="Calibri"/>
          <w:color w:val="111111"/>
          <w:sz w:val="24"/>
          <w:szCs w:val="24"/>
          <w:highlight w:val="white"/>
        </w:rPr>
        <w:t>business as usual</w:t>
      </w:r>
      <w:proofErr w:type="gramEnd"/>
      <w:r w:rsidRPr="00C92EBF">
        <w:rPr>
          <w:rFonts w:ascii="Calibri" w:eastAsia="Calibri" w:hAnsi="Calibri" w:cs="Calibri"/>
          <w:color w:val="111111"/>
          <w:sz w:val="24"/>
          <w:szCs w:val="24"/>
          <w:highlight w:val="white"/>
        </w:rPr>
        <w:t xml:space="preserve"> operations. To illustrate the case, when a university engages its maintenance personnel to construct a new dormitory, then its maintenance personnel are not performing their daily tasks of repairing the facilities and it might result in deterioration of the facilities. Besides, in-house teams do not always have the professional skills and state-of-the-art diversification of a contractor who can handle such an activity on a daily basis (Helene Laffitte, 2025). A surgical wing that is being renovated by the personnel of the hospital may fail to get a very important, up-to-date construction standards that a professional, healthcare contractor would be aware of. Lastly, the risk remains at a hundred percent to the organisation. In case of project failure, exceeding the budget, and safety incidence, the organisation has to absorb all the financial and legal consequences and, there is no party to file suit or incur damages.</w:t>
      </w:r>
    </w:p>
    <w:p w14:paraId="1D8C0517" w14:textId="77777777" w:rsidR="00555D8F" w:rsidRPr="00C92EBF" w:rsidRDefault="00000000">
      <w:pPr>
        <w:spacing w:before="200" w:after="200" w:line="360" w:lineRule="auto"/>
        <w:jc w:val="both"/>
        <w:rPr>
          <w:rFonts w:ascii="Calibri" w:eastAsia="Calibri" w:hAnsi="Calibri" w:cs="Calibri"/>
          <w:color w:val="111111"/>
          <w:sz w:val="24"/>
          <w:szCs w:val="24"/>
          <w:highlight w:val="white"/>
        </w:rPr>
      </w:pPr>
      <w:r w:rsidRPr="00C92EBF">
        <w:rPr>
          <w:rFonts w:ascii="Calibri" w:eastAsia="Calibri" w:hAnsi="Calibri" w:cs="Calibri"/>
          <w:color w:val="111111"/>
          <w:sz w:val="24"/>
          <w:szCs w:val="24"/>
          <w:highlight w:val="white"/>
        </w:rPr>
        <w:t xml:space="preserve">Multi-contract, also known as Construction Management or Professional Construction Management is a process by which the client divides the project into a series of different work </w:t>
      </w:r>
      <w:r w:rsidRPr="00C92EBF">
        <w:rPr>
          <w:rFonts w:ascii="Calibri" w:eastAsia="Calibri" w:hAnsi="Calibri" w:cs="Calibri"/>
          <w:color w:val="111111"/>
          <w:sz w:val="24"/>
          <w:szCs w:val="24"/>
          <w:highlight w:val="white"/>
        </w:rPr>
        <w:lastRenderedPageBreak/>
        <w:t>packages and contracts with a variety of speciality contractors to deliver each of these work packages separately (RDash, 2024). The client may conclude twenty contracts with one Prime Contractor instead of one: excavation, steelwork, electrical systems, plumbing, etc. In this case, the client (or the agent of such a client) becomes the so-called "General Contractor" who coordinates the interfaces, logistics and timeframe among these different independent parties. This approach is best applicable to more advanced and experienced customers with an effective internal Project Management Office (PMO) that can support complicated logistics (Ershadi et al., 2022). Big real estate developers or regular clients who are well in the construction market also often use it. Indicatively, a property developer developing a high-rise apartment block may employ multi-contracting to select certain specialists by hand. This gives the developer the opportunity to choose the best-in-class provider of the facade, another provider of the elevators, and another provider of the interiors instead of depending on preferred (and possibly subpar) subcontractors of a general contractor.</w:t>
      </w:r>
    </w:p>
    <w:p w14:paraId="1FABF57C" w14:textId="77777777" w:rsidR="00555D8F" w:rsidRPr="00C92EBF" w:rsidRDefault="00000000">
      <w:pPr>
        <w:spacing w:before="200" w:after="200" w:line="360" w:lineRule="auto"/>
        <w:jc w:val="both"/>
        <w:rPr>
          <w:rFonts w:ascii="Calibri" w:eastAsia="Calibri" w:hAnsi="Calibri" w:cs="Calibri"/>
          <w:color w:val="1F1F1F"/>
          <w:sz w:val="24"/>
          <w:szCs w:val="24"/>
        </w:rPr>
      </w:pPr>
      <w:r w:rsidRPr="00C92EBF">
        <w:rPr>
          <w:rFonts w:ascii="Calibri" w:eastAsia="Calibri" w:hAnsi="Calibri" w:cs="Calibri"/>
          <w:color w:val="111111"/>
          <w:sz w:val="24"/>
          <w:szCs w:val="24"/>
          <w:highlight w:val="white"/>
        </w:rPr>
        <w:t xml:space="preserve">The main advantage of the Multi-contract approach is openness of costs and possible savings. By removing the General Contractor the client is able to save the markup fee charged on all sub-contractor fee charges by a main contractor (Surahyo, 2024). The client can literally pay wholesale to every single trade, rather than retail. Moreover, a high level of quality of selection is possible with the method. The client is free to select certain vendors depending on their quality and not their prices on vital packages. It also allows quick-tracking as in the Turnkey approach; the client is able to award the contract of excavation and start the digging process even with the electrical design still in progress of finalisation and tender reduction and reduces the total time of the project. The greatest disadvantage of the Multi-contract approach is that the client has a considerable risk of interface that he accepts. In case the excavation contractor fails to meet his deadline, and causes the concrete contractor to pour late, the concrete contractor will also allege damage due to the delay. This is a problem of the contractor in Turnkey model, and it is a problem of the client in Multi-contract model. The gap between contracts lies on the clients. In case various contractors accuse each other of a flaw, such as when the flooring collapses and the flooring contractor accuses the concrete contractor, the client is left in the middle to mediate and resolve the conflict (Victor et al., 2018). This comes with an enormous management </w:t>
      </w:r>
      <w:r w:rsidRPr="00C92EBF">
        <w:rPr>
          <w:rFonts w:ascii="Calibri" w:eastAsia="Calibri" w:hAnsi="Calibri" w:cs="Calibri"/>
          <w:color w:val="111111"/>
          <w:sz w:val="24"/>
          <w:szCs w:val="24"/>
          <w:highlight w:val="white"/>
        </w:rPr>
        <w:lastRenderedPageBreak/>
        <w:t>overhead load, and would need a big, legally competent in-house team to be able to handle the administration, payments and insurance of dozens of various companies at the same time.</w:t>
      </w:r>
    </w:p>
    <w:p w14:paraId="22F55D61" w14:textId="77777777" w:rsidR="00555D8F" w:rsidRPr="00C92EBF" w:rsidRDefault="00000000">
      <w:pPr>
        <w:spacing w:before="200" w:after="200" w:line="360" w:lineRule="auto"/>
        <w:jc w:val="both"/>
        <w:rPr>
          <w:rFonts w:ascii="Calibri" w:eastAsia="Calibri" w:hAnsi="Calibri" w:cs="Calibri"/>
          <w:color w:val="111111"/>
          <w:sz w:val="24"/>
          <w:szCs w:val="24"/>
          <w:highlight w:val="white"/>
        </w:rPr>
      </w:pPr>
      <w:r w:rsidRPr="00C92EBF">
        <w:rPr>
          <w:rFonts w:ascii="Calibri" w:eastAsia="Calibri" w:hAnsi="Calibri" w:cs="Calibri"/>
          <w:color w:val="111111"/>
          <w:sz w:val="24"/>
          <w:szCs w:val="24"/>
          <w:highlight w:val="white"/>
        </w:rPr>
        <w:t>Multi-contract + DIY is a practical hybrid approach that incorporates the capability of the internal and external specialisation. Here, the client is the overall coordinator (as in Multi-contract method) and performs definite packages of work with his or her own workers (DIY) but subcontracts other packages to the specialised contractors (‌Herre, 2025). This is unlike the pure Multi-contract approach since the client is not merely overseeing the process, he or she is literally doing a piece of the work. This approach has been shown to be very productive and contextually relevant in sectors where the client is a technical expert and requires the capacity support or where the project entails the inclusion of a new system into a sensitive preexisting operational realm. A typical one is in the manufacturing industry. When a car company decides to open a new production line, it could outsource the services of other contractors to construct the factory shell, the lighting, and the regular concrete floors. Nonetheless, they could have their own professional engineers (DIY) instal, calibrate, and programme the proprietary robotics on the assembly line (Goddard Technologies, 2025). This will also make sure that the core-business and the sensitive part of the project will be managed by the trusted internal staff, and the work on commodity constructions will be outsourced.</w:t>
      </w:r>
    </w:p>
    <w:p w14:paraId="3A0C2915" w14:textId="77777777" w:rsidR="00555D8F" w:rsidRPr="00C92EBF" w:rsidRDefault="00000000">
      <w:pPr>
        <w:spacing w:before="200" w:after="200" w:line="360" w:lineRule="auto"/>
        <w:jc w:val="both"/>
        <w:rPr>
          <w:rFonts w:ascii="Calibri" w:eastAsia="Calibri" w:hAnsi="Calibri" w:cs="Calibri"/>
          <w:color w:val="1F1F1F"/>
          <w:sz w:val="24"/>
          <w:szCs w:val="24"/>
        </w:rPr>
      </w:pPr>
      <w:r w:rsidRPr="00C92EBF">
        <w:rPr>
          <w:rFonts w:ascii="Calibri" w:eastAsia="Calibri" w:hAnsi="Calibri" w:cs="Calibri"/>
          <w:color w:val="111111"/>
          <w:sz w:val="24"/>
          <w:szCs w:val="24"/>
          <w:highlight w:val="white"/>
        </w:rPr>
        <w:t xml:space="preserve">The benefits associated with this hybrid approach focus on an optimal allocation of risk. It enables the client to keep the risks and those tasks that they know best, typically those that are based on their core business or proprietary technology, and to offload the unwanted risks, including general labour management or standard construction work (‌Hriday and Rehman, 2025). It also aids in facilitating retention of knowledge. The organisation has internal employees and external contractors, so the organisation is able to keep in-house much of the important knowledge regarding the system installation. By the time the contractors go, the internal has knowledge of the infrastructure since they were used to construct it, and this would be valuable in terms of maintenance and operation in the long run. Nevertheless, the shortcomings of the Hybrid approach are not always apparent in the cultural conflicts and lost responsibility. The need to integrate internal employees who might be highly job security and possess a certain </w:t>
      </w:r>
      <w:r w:rsidRPr="00C92EBF">
        <w:rPr>
          <w:rFonts w:ascii="Calibri" w:eastAsia="Calibri" w:hAnsi="Calibri" w:cs="Calibri"/>
          <w:color w:val="111111"/>
          <w:sz w:val="24"/>
          <w:szCs w:val="24"/>
          <w:highlight w:val="white"/>
        </w:rPr>
        <w:lastRenderedPageBreak/>
        <w:t>organisational culture with outside contractors that are usually time-starved, profit-driven, can create tension on the job site. The resentment may be on pay differentials or work ethics. Moreover, timing will be complicated; when the internal team will take time to complete its part of the work, it will cause delay to the external contractors. The external contractors are then at liberty to enjoy the benefits of a claim of client-caused delay damages. This presents a challenging situation on the internal political front of the company where the company is literally throwing money away through the inefficiency of its own personnel. Lastly, as a system can fail, it can be challenging to know whether it was the external hardware instal, or it was the internal software configuration, making it hard to claim the warranty and liability.</w:t>
      </w:r>
    </w:p>
    <w:p w14:paraId="7F90D21B" w14:textId="77777777" w:rsidR="00555D8F" w:rsidRPr="00C92EBF" w:rsidRDefault="00000000">
      <w:pPr>
        <w:pStyle w:val="Heading1"/>
      </w:pPr>
      <w:bookmarkStart w:id="3" w:name="_ylq16bw990tm" w:colFirst="0" w:colLast="0"/>
      <w:bookmarkEnd w:id="3"/>
      <w:r w:rsidRPr="00C92EBF">
        <w:t>Conclusion</w:t>
      </w:r>
    </w:p>
    <w:p w14:paraId="71D960F3" w14:textId="77777777" w:rsidR="00555D8F" w:rsidRPr="00C92EBF" w:rsidRDefault="00000000">
      <w:pPr>
        <w:spacing w:before="200" w:after="200" w:line="360" w:lineRule="auto"/>
        <w:jc w:val="both"/>
        <w:rPr>
          <w:rFonts w:ascii="Calibri" w:eastAsia="Calibri" w:hAnsi="Calibri" w:cs="Calibri"/>
          <w:sz w:val="24"/>
          <w:szCs w:val="24"/>
        </w:rPr>
      </w:pPr>
      <w:r w:rsidRPr="00C92EBF">
        <w:rPr>
          <w:rFonts w:ascii="Calibri" w:eastAsia="Calibri" w:hAnsi="Calibri" w:cs="Calibri"/>
          <w:sz w:val="24"/>
          <w:szCs w:val="24"/>
        </w:rPr>
        <w:t xml:space="preserve">Therefore, the choice of a contracting methodology is a vital strategic choice and not a simple administration issue. Although Turnkey is easy to use, DIY is controllable, </w:t>
      </w:r>
      <w:proofErr w:type="gramStart"/>
      <w:r w:rsidRPr="00C92EBF">
        <w:rPr>
          <w:rFonts w:ascii="Calibri" w:eastAsia="Calibri" w:hAnsi="Calibri" w:cs="Calibri"/>
          <w:sz w:val="24"/>
          <w:szCs w:val="24"/>
        </w:rPr>
        <w:t>Multi-contract</w:t>
      </w:r>
      <w:proofErr w:type="gramEnd"/>
      <w:r w:rsidRPr="00C92EBF">
        <w:rPr>
          <w:rFonts w:ascii="Calibri" w:eastAsia="Calibri" w:hAnsi="Calibri" w:cs="Calibri"/>
          <w:sz w:val="24"/>
          <w:szCs w:val="24"/>
        </w:rPr>
        <w:t xml:space="preserve"> is transparent in costs, and Hybrid are made to balance internal and external strengths. In the end, there is no universal best fit since one method can be more successful than the other, it is crucial to correspond the selected approach to the complexity of the project, the internal capacity of the organisation, and the preferred relationship between risk, cost, and operational control.</w:t>
      </w:r>
    </w:p>
    <w:p w14:paraId="3B692FF5" w14:textId="77777777" w:rsidR="00555D8F" w:rsidRPr="00C92EBF" w:rsidRDefault="00000000">
      <w:pPr>
        <w:pStyle w:val="Heading1"/>
      </w:pPr>
      <w:bookmarkStart w:id="4" w:name="_giwlyexlmmak" w:colFirst="0" w:colLast="0"/>
      <w:bookmarkEnd w:id="4"/>
      <w:r w:rsidRPr="00C92EBF">
        <w:br w:type="page"/>
      </w:r>
    </w:p>
    <w:p w14:paraId="4D619036" w14:textId="77777777" w:rsidR="00555D8F" w:rsidRPr="00C92EBF" w:rsidRDefault="00000000">
      <w:pPr>
        <w:pStyle w:val="Heading1"/>
      </w:pPr>
      <w:bookmarkStart w:id="5" w:name="_z7sbn4ngm9fs" w:colFirst="0" w:colLast="0"/>
      <w:bookmarkEnd w:id="5"/>
      <w:r w:rsidRPr="00C92EBF">
        <w:lastRenderedPageBreak/>
        <w:t>References</w:t>
      </w:r>
    </w:p>
    <w:p w14:paraId="32E64906"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Abbas, R.M. (2025). Integration of specification-based costing and target costing for competitive advantage. </w:t>
      </w:r>
      <w:r w:rsidRPr="00C92EBF">
        <w:rPr>
          <w:rFonts w:ascii="Calibri" w:eastAsia="Calibri" w:hAnsi="Calibri" w:cs="Calibri"/>
          <w:i/>
          <w:iCs/>
          <w:sz w:val="24"/>
          <w:szCs w:val="24"/>
          <w:highlight w:val="white"/>
        </w:rPr>
        <w:t>Frontline Marketing, Management and Economics Journal</w:t>
      </w:r>
      <w:r w:rsidRPr="00C92EBF">
        <w:rPr>
          <w:rFonts w:ascii="Calibri" w:eastAsia="Calibri" w:hAnsi="Calibri" w:cs="Calibri"/>
          <w:sz w:val="24"/>
          <w:szCs w:val="24"/>
          <w:highlight w:val="white"/>
        </w:rPr>
        <w:t>, 5(04), pp. 7–27.</w:t>
      </w:r>
    </w:p>
    <w:p w14:paraId="478C4A1D"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ACMS (2024). </w:t>
      </w:r>
      <w:r w:rsidRPr="00C92EBF">
        <w:rPr>
          <w:rFonts w:ascii="Calibri" w:eastAsia="Calibri" w:hAnsi="Calibri" w:cs="Calibri"/>
          <w:i/>
          <w:iCs/>
          <w:sz w:val="24"/>
          <w:szCs w:val="24"/>
          <w:highlight w:val="white"/>
        </w:rPr>
        <w:t>Everything you need to know about turnkey contracting</w:t>
      </w:r>
      <w:r w:rsidRPr="00C92EBF">
        <w:rPr>
          <w:rFonts w:ascii="Calibri" w:eastAsia="Calibri" w:hAnsi="Calibri" w:cs="Calibri"/>
          <w:sz w:val="24"/>
          <w:szCs w:val="24"/>
          <w:highlight w:val="white"/>
        </w:rPr>
        <w:t>. [online] Available at:</w:t>
      </w:r>
      <w:hyperlink r:id="rId6">
        <w:r w:rsidR="00555D8F" w:rsidRPr="00C92EBF">
          <w:rPr>
            <w:rFonts w:ascii="Calibri" w:eastAsia="Calibri" w:hAnsi="Calibri" w:cs="Calibri"/>
            <w:sz w:val="24"/>
            <w:szCs w:val="24"/>
            <w:highlight w:val="white"/>
          </w:rPr>
          <w:t xml:space="preserve"> https://acmsgroup.com/everything-you-need-to-know-about-turnkey-contracting/</w:t>
        </w:r>
      </w:hyperlink>
      <w:r w:rsidRPr="00C92EBF">
        <w:rPr>
          <w:rFonts w:ascii="Calibri" w:eastAsia="Calibri" w:hAnsi="Calibri" w:cs="Calibri"/>
          <w:sz w:val="24"/>
          <w:szCs w:val="24"/>
          <w:highlight w:val="white"/>
        </w:rPr>
        <w:t xml:space="preserve"> [Accessed 16 Dec. 2025].</w:t>
      </w:r>
    </w:p>
    <w:p w14:paraId="6C0419B1"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Alfreahat, D.M. (2024). </w:t>
      </w:r>
      <w:r w:rsidRPr="00C92EBF">
        <w:rPr>
          <w:rFonts w:ascii="Calibri" w:eastAsia="Calibri" w:hAnsi="Calibri" w:cs="Calibri"/>
          <w:i/>
          <w:iCs/>
          <w:sz w:val="24"/>
          <w:szCs w:val="24"/>
          <w:highlight w:val="white"/>
        </w:rPr>
        <w:t>Analyzing project profitability: Implications of standards and traditional success factors</w:t>
      </w:r>
      <w:r w:rsidRPr="00C92EBF">
        <w:rPr>
          <w:rFonts w:ascii="Calibri" w:eastAsia="Calibri" w:hAnsi="Calibri" w:cs="Calibri"/>
          <w:sz w:val="24"/>
          <w:szCs w:val="24"/>
          <w:highlight w:val="white"/>
        </w:rPr>
        <w:t xml:space="preserve"> (Doctoral dissertation, Budapest University of Technology and Economics, Hungary).</w:t>
      </w:r>
    </w:p>
    <w:p w14:paraId="745A8F5D"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Bączyk, D. (2024). </w:t>
      </w:r>
      <w:r w:rsidRPr="00C92EBF">
        <w:rPr>
          <w:rFonts w:ascii="Calibri" w:eastAsia="Calibri" w:hAnsi="Calibri" w:cs="Calibri"/>
          <w:i/>
          <w:iCs/>
          <w:sz w:val="24"/>
          <w:szCs w:val="24"/>
          <w:highlight w:val="white"/>
        </w:rPr>
        <w:t>Design and build vs turnkey contracts: What’s the difference?</w:t>
      </w:r>
      <w:r w:rsidRPr="00C92EBF">
        <w:rPr>
          <w:rFonts w:ascii="Calibri" w:eastAsia="Calibri" w:hAnsi="Calibri" w:cs="Calibri"/>
          <w:sz w:val="24"/>
          <w:szCs w:val="24"/>
          <w:highlight w:val="white"/>
        </w:rPr>
        <w:t xml:space="preserve"> [online] Jarvale Construction Ltd. Available at:</w:t>
      </w:r>
      <w:hyperlink r:id="rId7">
        <w:r w:rsidR="00555D8F" w:rsidRPr="00C92EBF">
          <w:rPr>
            <w:rFonts w:ascii="Calibri" w:eastAsia="Calibri" w:hAnsi="Calibri" w:cs="Calibri"/>
            <w:sz w:val="24"/>
            <w:szCs w:val="24"/>
            <w:highlight w:val="white"/>
          </w:rPr>
          <w:t xml:space="preserve"> https://jarvale.co.uk/blog/design-and-build-vs-turnkey-contracts-whats-the-difference/</w:t>
        </w:r>
      </w:hyperlink>
      <w:r w:rsidRPr="00C92EBF">
        <w:rPr>
          <w:rFonts w:ascii="Calibri" w:eastAsia="Calibri" w:hAnsi="Calibri" w:cs="Calibri"/>
          <w:sz w:val="24"/>
          <w:szCs w:val="24"/>
          <w:highlight w:val="white"/>
        </w:rPr>
        <w:t xml:space="preserve"> [Accessed 16 Dec. 2025].</w:t>
      </w:r>
    </w:p>
    <w:p w14:paraId="513ACA8F"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Direct Lumber and Door (2024). </w:t>
      </w:r>
      <w:r w:rsidRPr="00C92EBF">
        <w:rPr>
          <w:rFonts w:ascii="Calibri" w:eastAsia="Calibri" w:hAnsi="Calibri" w:cs="Calibri"/>
          <w:i/>
          <w:iCs/>
          <w:sz w:val="24"/>
          <w:szCs w:val="24"/>
          <w:highlight w:val="white"/>
        </w:rPr>
        <w:t>Maximizing efficiency with turnkey contracts</w:t>
      </w:r>
      <w:r w:rsidRPr="00C92EBF">
        <w:rPr>
          <w:rFonts w:ascii="Calibri" w:eastAsia="Calibri" w:hAnsi="Calibri" w:cs="Calibri"/>
          <w:sz w:val="24"/>
          <w:szCs w:val="24"/>
          <w:highlight w:val="white"/>
        </w:rPr>
        <w:t>. [online] Available at:</w:t>
      </w:r>
      <w:hyperlink r:id="rId8">
        <w:r w:rsidR="00555D8F" w:rsidRPr="00C92EBF">
          <w:rPr>
            <w:rFonts w:ascii="Calibri" w:eastAsia="Calibri" w:hAnsi="Calibri" w:cs="Calibri"/>
            <w:sz w:val="24"/>
            <w:szCs w:val="24"/>
            <w:highlight w:val="white"/>
          </w:rPr>
          <w:t xml:space="preserve"> https://directlumberanddoor.com/the-latest/posts/2024/july/maximizing-efficiency-with-turnkey-contracts/</w:t>
        </w:r>
      </w:hyperlink>
      <w:r w:rsidRPr="00C92EBF">
        <w:rPr>
          <w:rFonts w:ascii="Calibri" w:eastAsia="Calibri" w:hAnsi="Calibri" w:cs="Calibri"/>
          <w:sz w:val="24"/>
          <w:szCs w:val="24"/>
          <w:highlight w:val="white"/>
        </w:rPr>
        <w:t xml:space="preserve"> [Accessed 16 Dec. 2025].</w:t>
      </w:r>
    </w:p>
    <w:p w14:paraId="5779BFD1"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Donati, E., Copiello, S. and Bonifaci, P. (2024). Applications and economic profiles of the turnkey contract business model. In: </w:t>
      </w:r>
      <w:r w:rsidRPr="00C92EBF">
        <w:rPr>
          <w:rFonts w:ascii="Calibri" w:eastAsia="Calibri" w:hAnsi="Calibri" w:cs="Calibri"/>
          <w:i/>
          <w:iCs/>
          <w:sz w:val="24"/>
          <w:szCs w:val="24"/>
          <w:highlight w:val="white"/>
        </w:rPr>
        <w:t>International Conference on Computational Science and Its Applications</w:t>
      </w:r>
      <w:r w:rsidRPr="00C92EBF">
        <w:rPr>
          <w:rFonts w:ascii="Calibri" w:eastAsia="Calibri" w:hAnsi="Calibri" w:cs="Calibri"/>
          <w:sz w:val="24"/>
          <w:szCs w:val="24"/>
          <w:highlight w:val="white"/>
        </w:rPr>
        <w:t>. Cham: Springer Nature Switzerland, pp. 143–161.</w:t>
      </w:r>
    </w:p>
    <w:p w14:paraId="74C09608"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EPC (2023). </w:t>
      </w:r>
      <w:r w:rsidRPr="00C92EBF">
        <w:rPr>
          <w:rFonts w:ascii="Calibri" w:eastAsia="Calibri" w:hAnsi="Calibri" w:cs="Calibri"/>
          <w:i/>
          <w:iCs/>
          <w:sz w:val="24"/>
          <w:szCs w:val="24"/>
          <w:highlight w:val="white"/>
        </w:rPr>
        <w:t>Turnkey project advantages and disadvantages: What to know before signing a contract</w:t>
      </w:r>
      <w:r w:rsidRPr="00C92EBF">
        <w:rPr>
          <w:rFonts w:ascii="Calibri" w:eastAsia="Calibri" w:hAnsi="Calibri" w:cs="Calibri"/>
          <w:sz w:val="24"/>
          <w:szCs w:val="24"/>
          <w:highlight w:val="white"/>
        </w:rPr>
        <w:t>. [online] Available at:</w:t>
      </w:r>
      <w:hyperlink r:id="rId9">
        <w:r w:rsidR="00555D8F" w:rsidRPr="00C92EBF">
          <w:rPr>
            <w:rFonts w:ascii="Calibri" w:eastAsia="Calibri" w:hAnsi="Calibri" w:cs="Calibri"/>
            <w:sz w:val="24"/>
            <w:szCs w:val="24"/>
            <w:highlight w:val="white"/>
          </w:rPr>
          <w:t xml:space="preserve"> https://www.hm-ec.com/blog-posts/turnkey-project-advantages-and-disadvantages-what-to-know-before-signing-a-contract-hm</w:t>
        </w:r>
      </w:hyperlink>
      <w:r w:rsidRPr="00C92EBF">
        <w:rPr>
          <w:rFonts w:ascii="Calibri" w:eastAsia="Calibri" w:hAnsi="Calibri" w:cs="Calibri"/>
          <w:sz w:val="24"/>
          <w:szCs w:val="24"/>
          <w:highlight w:val="white"/>
        </w:rPr>
        <w:t xml:space="preserve"> [Accessed 16 Dec. 2025].</w:t>
      </w:r>
    </w:p>
    <w:p w14:paraId="1B489A55"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Ershadi, M., Jefferies, M., Davis, P.R. and Mojtahedi, M. (2022). The contribution of project management offices to addressing complexities in principal construction contracting. </w:t>
      </w:r>
      <w:r w:rsidRPr="00C92EBF">
        <w:rPr>
          <w:rFonts w:ascii="Calibri" w:eastAsia="Calibri" w:hAnsi="Calibri" w:cs="Calibri"/>
          <w:i/>
          <w:iCs/>
          <w:sz w:val="24"/>
          <w:szCs w:val="24"/>
          <w:highlight w:val="white"/>
        </w:rPr>
        <w:t>Engineering, Construction and Architectural Management</w:t>
      </w:r>
      <w:r w:rsidRPr="00C92EBF">
        <w:rPr>
          <w:rFonts w:ascii="Calibri" w:eastAsia="Calibri" w:hAnsi="Calibri" w:cs="Calibri"/>
          <w:sz w:val="24"/>
          <w:szCs w:val="24"/>
          <w:highlight w:val="white"/>
        </w:rPr>
        <w:t>, 29(1), pp. 287–306.</w:t>
      </w:r>
    </w:p>
    <w:p w14:paraId="4B55783C"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lastRenderedPageBreak/>
        <w:t xml:space="preserve">Gilson, R.J., Sabel, C.F. and Scott, R.E. (2008). Contracting for innovation: Vertical disintegration and interfirm collaboration. </w:t>
      </w:r>
      <w:r w:rsidRPr="00C92EBF">
        <w:rPr>
          <w:rFonts w:ascii="Calibri" w:eastAsia="Calibri" w:hAnsi="Calibri" w:cs="Calibri"/>
          <w:i/>
          <w:iCs/>
          <w:sz w:val="24"/>
          <w:szCs w:val="24"/>
          <w:highlight w:val="white"/>
        </w:rPr>
        <w:t>SSRN Electronic Journal</w:t>
      </w:r>
      <w:r w:rsidRPr="00C92EBF">
        <w:rPr>
          <w:rFonts w:ascii="Calibri" w:eastAsia="Calibri" w:hAnsi="Calibri" w:cs="Calibri"/>
          <w:sz w:val="24"/>
          <w:szCs w:val="24"/>
          <w:highlight w:val="white"/>
        </w:rPr>
        <w:t>. doi:</w:t>
      </w:r>
      <w:hyperlink r:id="rId10">
        <w:r w:rsidR="00555D8F" w:rsidRPr="00C92EBF">
          <w:rPr>
            <w:rFonts w:ascii="Calibri" w:eastAsia="Calibri" w:hAnsi="Calibri" w:cs="Calibri"/>
            <w:sz w:val="24"/>
            <w:szCs w:val="24"/>
            <w:highlight w:val="white"/>
          </w:rPr>
          <w:t xml:space="preserve"> https://doi.org/10.2139/ssrn.1289428</w:t>
        </w:r>
      </w:hyperlink>
      <w:r w:rsidRPr="00C92EBF">
        <w:rPr>
          <w:rFonts w:ascii="Calibri" w:eastAsia="Calibri" w:hAnsi="Calibri" w:cs="Calibri"/>
          <w:sz w:val="24"/>
          <w:szCs w:val="24"/>
          <w:highlight w:val="white"/>
        </w:rPr>
        <w:t xml:space="preserve"> [Accessed 16 Dec. 2025].</w:t>
      </w:r>
    </w:p>
    <w:p w14:paraId="28F268F8"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Goddard Technologies (2025). </w:t>
      </w:r>
      <w:r w:rsidRPr="00C92EBF">
        <w:rPr>
          <w:rFonts w:ascii="Calibri" w:eastAsia="Calibri" w:hAnsi="Calibri" w:cs="Calibri"/>
          <w:i/>
          <w:iCs/>
          <w:sz w:val="24"/>
          <w:szCs w:val="24"/>
          <w:highlight w:val="white"/>
        </w:rPr>
        <w:t>Understanding design for manufacturing (DFM)</w:t>
      </w:r>
      <w:r w:rsidRPr="00C92EBF">
        <w:rPr>
          <w:rFonts w:ascii="Calibri" w:eastAsia="Calibri" w:hAnsi="Calibri" w:cs="Calibri"/>
          <w:sz w:val="24"/>
          <w:szCs w:val="24"/>
          <w:highlight w:val="white"/>
        </w:rPr>
        <w:t>. [online] Available at:</w:t>
      </w:r>
      <w:hyperlink r:id="rId11">
        <w:r w:rsidR="00555D8F" w:rsidRPr="00C92EBF">
          <w:rPr>
            <w:rFonts w:ascii="Calibri" w:eastAsia="Calibri" w:hAnsi="Calibri" w:cs="Calibri"/>
            <w:sz w:val="24"/>
            <w:szCs w:val="24"/>
            <w:highlight w:val="white"/>
          </w:rPr>
          <w:t xml:space="preserve"> https://www.goddardtech.com/blog/understanding-design-for-manufacturing-dfm/</w:t>
        </w:r>
      </w:hyperlink>
      <w:r w:rsidRPr="00C92EBF">
        <w:rPr>
          <w:rFonts w:ascii="Calibri" w:eastAsia="Calibri" w:hAnsi="Calibri" w:cs="Calibri"/>
          <w:sz w:val="24"/>
          <w:szCs w:val="24"/>
          <w:highlight w:val="white"/>
        </w:rPr>
        <w:t xml:space="preserve"> [Accessed 16 Dec. 2025].</w:t>
      </w:r>
    </w:p>
    <w:p w14:paraId="76B1BD65"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Helene Laffitte (2025). </w:t>
      </w:r>
      <w:r w:rsidRPr="00C92EBF">
        <w:rPr>
          <w:rFonts w:ascii="Calibri" w:eastAsia="Calibri" w:hAnsi="Calibri" w:cs="Calibri"/>
          <w:i/>
          <w:iCs/>
          <w:sz w:val="24"/>
          <w:szCs w:val="24"/>
          <w:highlight w:val="white"/>
        </w:rPr>
        <w:t>Internal vs. external consultants in 2025—Which path leads to success?</w:t>
      </w:r>
      <w:r w:rsidRPr="00C92EBF">
        <w:rPr>
          <w:rFonts w:ascii="Calibri" w:eastAsia="Calibri" w:hAnsi="Calibri" w:cs="Calibri"/>
          <w:sz w:val="24"/>
          <w:szCs w:val="24"/>
          <w:highlight w:val="white"/>
        </w:rPr>
        <w:t xml:space="preserve"> [online] Consulting Quest. Available at:</w:t>
      </w:r>
      <w:hyperlink r:id="rId12">
        <w:r w:rsidR="00555D8F" w:rsidRPr="00C92EBF">
          <w:rPr>
            <w:rFonts w:ascii="Calibri" w:eastAsia="Calibri" w:hAnsi="Calibri" w:cs="Calibri"/>
            <w:sz w:val="24"/>
            <w:szCs w:val="24"/>
            <w:highlight w:val="white"/>
          </w:rPr>
          <w:t xml:space="preserve"> https://consultingquest.com/insights/internal-external-consultants-guide/</w:t>
        </w:r>
      </w:hyperlink>
      <w:r w:rsidRPr="00C92EBF">
        <w:rPr>
          <w:rFonts w:ascii="Calibri" w:eastAsia="Calibri" w:hAnsi="Calibri" w:cs="Calibri"/>
          <w:sz w:val="24"/>
          <w:szCs w:val="24"/>
          <w:highlight w:val="white"/>
        </w:rPr>
        <w:t xml:space="preserve"> [Accessed 16 Dec. 2025].</w:t>
      </w:r>
    </w:p>
    <w:p w14:paraId="1BBBBA96"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Hriday, M.S.H. and Rehman, A. (2025). Artificial intelligence and machine learning applications in construction project management: Enhancing scheduling, cost estimation, and risk mitigation. </w:t>
      </w:r>
      <w:r w:rsidRPr="00C92EBF">
        <w:rPr>
          <w:rFonts w:ascii="Calibri" w:eastAsia="Calibri" w:hAnsi="Calibri" w:cs="Calibri"/>
          <w:i/>
          <w:iCs/>
          <w:sz w:val="24"/>
          <w:szCs w:val="24"/>
          <w:highlight w:val="white"/>
        </w:rPr>
        <w:t>International Journal of Business and Economics Insights</w:t>
      </w:r>
      <w:r w:rsidRPr="00C92EBF">
        <w:rPr>
          <w:rFonts w:ascii="Calibri" w:eastAsia="Calibri" w:hAnsi="Calibri" w:cs="Calibri"/>
          <w:sz w:val="24"/>
          <w:szCs w:val="24"/>
          <w:highlight w:val="white"/>
        </w:rPr>
        <w:t>, 5(3), pp. 30–64.</w:t>
      </w:r>
    </w:p>
    <w:p w14:paraId="0BF1DFBE"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Hughes, W. and Champion, R. (2022). </w:t>
      </w:r>
      <w:r w:rsidRPr="00C92EBF">
        <w:rPr>
          <w:rFonts w:ascii="Calibri" w:eastAsia="Calibri" w:hAnsi="Calibri" w:cs="Calibri"/>
          <w:i/>
          <w:iCs/>
          <w:sz w:val="24"/>
          <w:szCs w:val="24"/>
          <w:highlight w:val="white"/>
        </w:rPr>
        <w:t>Procurement, contracts and project management</w:t>
      </w:r>
      <w:r w:rsidRPr="00C92EBF">
        <w:rPr>
          <w:rFonts w:ascii="Calibri" w:eastAsia="Calibri" w:hAnsi="Calibri" w:cs="Calibri"/>
          <w:sz w:val="24"/>
          <w:szCs w:val="24"/>
          <w:highlight w:val="white"/>
        </w:rPr>
        <w:t>. London: Routledge.</w:t>
      </w:r>
    </w:p>
    <w:p w14:paraId="592127EE"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Ilamparithi BoologaSundaraVijayan (2023). </w:t>
      </w:r>
      <w:r w:rsidRPr="00C92EBF">
        <w:rPr>
          <w:rFonts w:ascii="Calibri" w:eastAsia="Calibri" w:hAnsi="Calibri" w:cs="Calibri"/>
          <w:i/>
          <w:iCs/>
          <w:sz w:val="24"/>
          <w:szCs w:val="24"/>
          <w:highlight w:val="white"/>
        </w:rPr>
        <w:t>EPC vs turnkey project contracts: Understanding the subtle differences</w:t>
      </w:r>
      <w:r w:rsidRPr="00C92EBF">
        <w:rPr>
          <w:rFonts w:ascii="Calibri" w:eastAsia="Calibri" w:hAnsi="Calibri" w:cs="Calibri"/>
          <w:sz w:val="24"/>
          <w:szCs w:val="24"/>
          <w:highlight w:val="white"/>
        </w:rPr>
        <w:t>. [online] Medium. Available at:</w:t>
      </w:r>
      <w:hyperlink r:id="rId13">
        <w:r w:rsidR="00555D8F" w:rsidRPr="00C92EBF">
          <w:rPr>
            <w:rFonts w:ascii="Calibri" w:eastAsia="Calibri" w:hAnsi="Calibri" w:cs="Calibri"/>
            <w:sz w:val="24"/>
            <w:szCs w:val="24"/>
            <w:highlight w:val="white"/>
          </w:rPr>
          <w:t xml:space="preserve"> https://medium.com/@ilamparithie33/epc-vs-turnkey-project-contracts-understanding-the-subtle-differences-article-22-8022145c3403</w:t>
        </w:r>
      </w:hyperlink>
      <w:r w:rsidRPr="00C92EBF">
        <w:rPr>
          <w:rFonts w:ascii="Calibri" w:eastAsia="Calibri" w:hAnsi="Calibri" w:cs="Calibri"/>
          <w:sz w:val="24"/>
          <w:szCs w:val="24"/>
          <w:highlight w:val="white"/>
        </w:rPr>
        <w:t xml:space="preserve"> [Accessed 16 Dec. 2025].</w:t>
      </w:r>
    </w:p>
    <w:p w14:paraId="6805C03B"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LinkedIn (2025). </w:t>
      </w:r>
      <w:r w:rsidRPr="00C92EBF">
        <w:rPr>
          <w:rFonts w:ascii="Calibri" w:eastAsia="Calibri" w:hAnsi="Calibri" w:cs="Calibri"/>
          <w:i/>
          <w:iCs/>
          <w:sz w:val="24"/>
          <w:szCs w:val="24"/>
          <w:highlight w:val="white"/>
        </w:rPr>
        <w:t>How force account is used as a procurement method</w:t>
      </w:r>
      <w:r w:rsidRPr="00C92EBF">
        <w:rPr>
          <w:rFonts w:ascii="Calibri" w:eastAsia="Calibri" w:hAnsi="Calibri" w:cs="Calibri"/>
          <w:sz w:val="24"/>
          <w:szCs w:val="24"/>
          <w:highlight w:val="white"/>
        </w:rPr>
        <w:t>. [online] Available at:</w:t>
      </w:r>
      <w:hyperlink r:id="rId14">
        <w:r w:rsidR="00555D8F" w:rsidRPr="00C92EBF">
          <w:rPr>
            <w:rFonts w:ascii="Calibri" w:eastAsia="Calibri" w:hAnsi="Calibri" w:cs="Calibri"/>
            <w:sz w:val="24"/>
            <w:szCs w:val="24"/>
            <w:highlight w:val="white"/>
          </w:rPr>
          <w:t xml:space="preserve"> https://www.linkedin.com/pulse/how-force-account-used-procurement-method-scalekenya</w:t>
        </w:r>
      </w:hyperlink>
      <w:r w:rsidRPr="00C92EBF">
        <w:rPr>
          <w:rFonts w:ascii="Calibri" w:eastAsia="Calibri" w:hAnsi="Calibri" w:cs="Calibri"/>
          <w:sz w:val="24"/>
          <w:szCs w:val="24"/>
          <w:highlight w:val="white"/>
        </w:rPr>
        <w:t xml:space="preserve"> [Accessed 16 Dec. 2025].</w:t>
      </w:r>
    </w:p>
    <w:p w14:paraId="3FAC916B"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PL Projects (2025). </w:t>
      </w:r>
      <w:r w:rsidRPr="00C92EBF">
        <w:rPr>
          <w:rFonts w:ascii="Calibri" w:eastAsia="Calibri" w:hAnsi="Calibri" w:cs="Calibri"/>
          <w:i/>
          <w:iCs/>
          <w:sz w:val="24"/>
          <w:szCs w:val="24"/>
          <w:highlight w:val="white"/>
        </w:rPr>
        <w:t>Procurement in projects: Strategies, risks &amp; best practices</w:t>
      </w:r>
      <w:r w:rsidRPr="00C92EBF">
        <w:rPr>
          <w:rFonts w:ascii="Calibri" w:eastAsia="Calibri" w:hAnsi="Calibri" w:cs="Calibri"/>
          <w:sz w:val="24"/>
          <w:szCs w:val="24"/>
          <w:highlight w:val="white"/>
        </w:rPr>
        <w:t>. [online] Available at:</w:t>
      </w:r>
      <w:hyperlink r:id="rId15">
        <w:r w:rsidR="00555D8F" w:rsidRPr="00C92EBF">
          <w:rPr>
            <w:rFonts w:ascii="Calibri" w:eastAsia="Calibri" w:hAnsi="Calibri" w:cs="Calibri"/>
            <w:sz w:val="24"/>
            <w:szCs w:val="24"/>
            <w:highlight w:val="white"/>
          </w:rPr>
          <w:t xml:space="preserve"> https://plprojects.co.uk/procurement-in-projects/</w:t>
        </w:r>
      </w:hyperlink>
      <w:r w:rsidRPr="00C92EBF">
        <w:rPr>
          <w:rFonts w:ascii="Calibri" w:eastAsia="Calibri" w:hAnsi="Calibri" w:cs="Calibri"/>
          <w:sz w:val="24"/>
          <w:szCs w:val="24"/>
          <w:highlight w:val="white"/>
        </w:rPr>
        <w:t xml:space="preserve"> [Accessed 16 Dec. 2025].</w:t>
      </w:r>
    </w:p>
    <w:p w14:paraId="5A53849F"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Procore (2023). </w:t>
      </w:r>
      <w:r w:rsidRPr="00C92EBF">
        <w:rPr>
          <w:rFonts w:ascii="Calibri" w:eastAsia="Calibri" w:hAnsi="Calibri" w:cs="Calibri"/>
          <w:i/>
          <w:iCs/>
          <w:sz w:val="24"/>
          <w:szCs w:val="24"/>
          <w:highlight w:val="white"/>
        </w:rPr>
        <w:t>QC in construction: How builders manage quality control</w:t>
      </w:r>
      <w:r w:rsidRPr="00C92EBF">
        <w:rPr>
          <w:rFonts w:ascii="Calibri" w:eastAsia="Calibri" w:hAnsi="Calibri" w:cs="Calibri"/>
          <w:sz w:val="24"/>
          <w:szCs w:val="24"/>
          <w:highlight w:val="white"/>
        </w:rPr>
        <w:t>. [online] Available at:</w:t>
      </w:r>
      <w:hyperlink r:id="rId16">
        <w:r w:rsidR="00555D8F" w:rsidRPr="00C92EBF">
          <w:rPr>
            <w:rFonts w:ascii="Calibri" w:eastAsia="Calibri" w:hAnsi="Calibri" w:cs="Calibri"/>
            <w:sz w:val="24"/>
            <w:szCs w:val="24"/>
            <w:highlight w:val="white"/>
          </w:rPr>
          <w:t xml:space="preserve"> https://www.procore.com/library/construction-quality-control</w:t>
        </w:r>
      </w:hyperlink>
      <w:r w:rsidRPr="00C92EBF">
        <w:rPr>
          <w:rFonts w:ascii="Calibri" w:eastAsia="Calibri" w:hAnsi="Calibri" w:cs="Calibri"/>
          <w:sz w:val="24"/>
          <w:szCs w:val="24"/>
          <w:highlight w:val="white"/>
        </w:rPr>
        <w:t xml:space="preserve"> [Accessed 16 Dec. 2025].</w:t>
      </w:r>
    </w:p>
    <w:p w14:paraId="51139DEE"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lastRenderedPageBreak/>
        <w:t xml:space="preserve">Ramezani, M. (2024). </w:t>
      </w:r>
      <w:r w:rsidRPr="00C92EBF">
        <w:rPr>
          <w:rFonts w:ascii="Calibri" w:eastAsia="Calibri" w:hAnsi="Calibri" w:cs="Calibri"/>
          <w:i/>
          <w:iCs/>
          <w:sz w:val="24"/>
          <w:szCs w:val="24"/>
          <w:highlight w:val="white"/>
        </w:rPr>
        <w:t>A practical solutions framework in the brownfield regeneration process</w:t>
      </w:r>
      <w:r w:rsidRPr="00C92EBF">
        <w:rPr>
          <w:rFonts w:ascii="Calibri" w:eastAsia="Calibri" w:hAnsi="Calibri" w:cs="Calibri"/>
          <w:sz w:val="24"/>
          <w:szCs w:val="24"/>
          <w:highlight w:val="white"/>
        </w:rPr>
        <w:t>. Unpublished manuscript.</w:t>
      </w:r>
    </w:p>
    <w:p w14:paraId="789E88F3"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RDash (2024). </w:t>
      </w:r>
      <w:r w:rsidRPr="00C92EBF">
        <w:rPr>
          <w:rFonts w:ascii="Calibri" w:eastAsia="Calibri" w:hAnsi="Calibri" w:cs="Calibri"/>
          <w:i/>
          <w:iCs/>
          <w:sz w:val="24"/>
          <w:szCs w:val="24"/>
          <w:highlight w:val="white"/>
        </w:rPr>
        <w:t>Multi-prime contracts: CMMP method explained</w:t>
      </w:r>
      <w:r w:rsidRPr="00C92EBF">
        <w:rPr>
          <w:rFonts w:ascii="Calibri" w:eastAsia="Calibri" w:hAnsi="Calibri" w:cs="Calibri"/>
          <w:sz w:val="24"/>
          <w:szCs w:val="24"/>
          <w:highlight w:val="white"/>
        </w:rPr>
        <w:t>. [online] Available at:</w:t>
      </w:r>
      <w:hyperlink r:id="rId17">
        <w:r w:rsidR="00555D8F" w:rsidRPr="00C92EBF">
          <w:rPr>
            <w:rFonts w:ascii="Calibri" w:eastAsia="Calibri" w:hAnsi="Calibri" w:cs="Calibri"/>
            <w:sz w:val="24"/>
            <w:szCs w:val="24"/>
            <w:highlight w:val="white"/>
          </w:rPr>
          <w:t xml:space="preserve"> https://rdash.io/blog/multi-prime-contracts-cmmp-method-explained/</w:t>
        </w:r>
      </w:hyperlink>
      <w:r w:rsidRPr="00C92EBF">
        <w:rPr>
          <w:rFonts w:ascii="Calibri" w:eastAsia="Calibri" w:hAnsi="Calibri" w:cs="Calibri"/>
          <w:sz w:val="24"/>
          <w:szCs w:val="24"/>
          <w:highlight w:val="white"/>
        </w:rPr>
        <w:t xml:space="preserve"> [Accessed 16 Dec. 2025].</w:t>
      </w:r>
    </w:p>
    <w:p w14:paraId="74F8DC24"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Siddique, I. (2023). A framework for agile requirements engineering in large-scale projects. </w:t>
      </w:r>
      <w:r w:rsidRPr="00C92EBF">
        <w:rPr>
          <w:rFonts w:ascii="Calibri" w:eastAsia="Calibri" w:hAnsi="Calibri" w:cs="Calibri"/>
          <w:i/>
          <w:iCs/>
          <w:sz w:val="24"/>
          <w:szCs w:val="24"/>
          <w:highlight w:val="white"/>
        </w:rPr>
        <w:t>European Journal of Advances in Engineering and Technology</w:t>
      </w:r>
      <w:r w:rsidRPr="00C92EBF">
        <w:rPr>
          <w:rFonts w:ascii="Calibri" w:eastAsia="Calibri" w:hAnsi="Calibri" w:cs="Calibri"/>
          <w:sz w:val="24"/>
          <w:szCs w:val="24"/>
          <w:highlight w:val="white"/>
        </w:rPr>
        <w:t>, 10(10), pp. 95–101.</w:t>
      </w:r>
    </w:p>
    <w:p w14:paraId="0A2259AD"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Surahyo (2024). </w:t>
      </w:r>
      <w:r w:rsidRPr="00C92EBF">
        <w:rPr>
          <w:rFonts w:ascii="Calibri" w:eastAsia="Calibri" w:hAnsi="Calibri" w:cs="Calibri"/>
          <w:i/>
          <w:iCs/>
          <w:sz w:val="24"/>
          <w:szCs w:val="24"/>
          <w:highlight w:val="white"/>
        </w:rPr>
        <w:t>Understanding construction contracts</w:t>
      </w:r>
      <w:r w:rsidRPr="00C92EBF">
        <w:rPr>
          <w:rFonts w:ascii="Calibri" w:eastAsia="Calibri" w:hAnsi="Calibri" w:cs="Calibri"/>
          <w:sz w:val="24"/>
          <w:szCs w:val="24"/>
          <w:highlight w:val="white"/>
        </w:rPr>
        <w:t>. [online] Available at:</w:t>
      </w:r>
      <w:hyperlink r:id="rId18">
        <w:r w:rsidR="00555D8F" w:rsidRPr="00C92EBF">
          <w:rPr>
            <w:rFonts w:ascii="Calibri" w:eastAsia="Calibri" w:hAnsi="Calibri" w:cs="Calibri"/>
            <w:sz w:val="24"/>
            <w:szCs w:val="24"/>
            <w:highlight w:val="white"/>
          </w:rPr>
          <w:t xml:space="preserve"> http://ndl.ethernet.edu.et/bitstream/123456789/47092/1/Understanding%20Construction%20Contracts.pdf</w:t>
        </w:r>
      </w:hyperlink>
      <w:r w:rsidRPr="00C92EBF">
        <w:rPr>
          <w:rFonts w:ascii="Calibri" w:eastAsia="Calibri" w:hAnsi="Calibri" w:cs="Calibri"/>
          <w:sz w:val="24"/>
          <w:szCs w:val="24"/>
          <w:highlight w:val="white"/>
        </w:rPr>
        <w:t xml:space="preserve"> [Accessed 16 Dec. 2025].</w:t>
      </w:r>
    </w:p>
    <w:p w14:paraId="62D6FA6B"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UAGC (2023). </w:t>
      </w:r>
      <w:r w:rsidRPr="00C92EBF">
        <w:rPr>
          <w:rFonts w:ascii="Calibri" w:eastAsia="Calibri" w:hAnsi="Calibri" w:cs="Calibri"/>
          <w:i/>
          <w:iCs/>
          <w:sz w:val="24"/>
          <w:szCs w:val="24"/>
          <w:highlight w:val="white"/>
        </w:rPr>
        <w:t>What is project management?</w:t>
      </w:r>
      <w:r w:rsidRPr="00C92EBF">
        <w:rPr>
          <w:rFonts w:ascii="Calibri" w:eastAsia="Calibri" w:hAnsi="Calibri" w:cs="Calibri"/>
          <w:sz w:val="24"/>
          <w:szCs w:val="24"/>
          <w:highlight w:val="white"/>
        </w:rPr>
        <w:t xml:space="preserve"> [online] Available at:</w:t>
      </w:r>
      <w:hyperlink r:id="rId19">
        <w:r w:rsidR="00555D8F" w:rsidRPr="00C92EBF">
          <w:rPr>
            <w:rFonts w:ascii="Calibri" w:eastAsia="Calibri" w:hAnsi="Calibri" w:cs="Calibri"/>
            <w:sz w:val="24"/>
            <w:szCs w:val="24"/>
            <w:highlight w:val="white"/>
          </w:rPr>
          <w:t xml:space="preserve"> https://www.uagc.edu/blog/what-is-project-management</w:t>
        </w:r>
      </w:hyperlink>
      <w:r w:rsidRPr="00C92EBF">
        <w:rPr>
          <w:rFonts w:ascii="Calibri" w:eastAsia="Calibri" w:hAnsi="Calibri" w:cs="Calibri"/>
          <w:sz w:val="24"/>
          <w:szCs w:val="24"/>
          <w:highlight w:val="white"/>
        </w:rPr>
        <w:t xml:space="preserve"> [Accessed 16 Dec. 2025].</w:t>
      </w:r>
    </w:p>
    <w:p w14:paraId="6C51BA07"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Victor, N., Bolland, J. and Cheg, A. (2018). </w:t>
      </w:r>
      <w:r w:rsidRPr="00C92EBF">
        <w:rPr>
          <w:rFonts w:ascii="Calibri" w:eastAsia="Calibri" w:hAnsi="Calibri" w:cs="Calibri"/>
          <w:i/>
          <w:iCs/>
          <w:sz w:val="24"/>
          <w:szCs w:val="24"/>
          <w:highlight w:val="white"/>
        </w:rPr>
        <w:t>The hunt for efficiency in the construction industry: Food for thought for real estate developers</w:t>
      </w:r>
      <w:r w:rsidRPr="00C92EBF">
        <w:rPr>
          <w:rFonts w:ascii="Calibri" w:eastAsia="Calibri" w:hAnsi="Calibri" w:cs="Calibri"/>
          <w:sz w:val="24"/>
          <w:szCs w:val="24"/>
          <w:highlight w:val="white"/>
        </w:rPr>
        <w:t>. [online] MIT. Available at:</w:t>
      </w:r>
      <w:hyperlink r:id="rId20">
        <w:r w:rsidR="00555D8F" w:rsidRPr="00C92EBF">
          <w:rPr>
            <w:rFonts w:ascii="Calibri" w:eastAsia="Calibri" w:hAnsi="Calibri" w:cs="Calibri"/>
            <w:sz w:val="24"/>
            <w:szCs w:val="24"/>
            <w:highlight w:val="white"/>
          </w:rPr>
          <w:t xml:space="preserve"> https://dspace.mit.edu/bitstream/handle/1721.1/117305/1045066800-MIT.pdf</w:t>
        </w:r>
      </w:hyperlink>
      <w:r w:rsidRPr="00C92EBF">
        <w:rPr>
          <w:rFonts w:ascii="Calibri" w:eastAsia="Calibri" w:hAnsi="Calibri" w:cs="Calibri"/>
          <w:sz w:val="24"/>
          <w:szCs w:val="24"/>
          <w:highlight w:val="white"/>
        </w:rPr>
        <w:t xml:space="preserve"> [Accessed 16 Dec. 2025].</w:t>
      </w:r>
    </w:p>
    <w:p w14:paraId="165A929C" w14:textId="77777777" w:rsidR="00555D8F" w:rsidRPr="00C92EBF" w:rsidRDefault="00000000">
      <w:pPr>
        <w:spacing w:before="240" w:after="240" w:line="360" w:lineRule="auto"/>
        <w:jc w:val="both"/>
        <w:rPr>
          <w:rFonts w:ascii="Calibri" w:eastAsia="Calibri" w:hAnsi="Calibri" w:cs="Calibri"/>
          <w:sz w:val="24"/>
          <w:szCs w:val="24"/>
          <w:highlight w:val="white"/>
        </w:rPr>
      </w:pPr>
      <w:r w:rsidRPr="00C92EBF">
        <w:rPr>
          <w:rFonts w:ascii="Calibri" w:eastAsia="Calibri" w:hAnsi="Calibri" w:cs="Calibri"/>
          <w:sz w:val="24"/>
          <w:szCs w:val="24"/>
          <w:highlight w:val="white"/>
        </w:rPr>
        <w:t xml:space="preserve">Herre, J. (2025). </w:t>
      </w:r>
      <w:r w:rsidRPr="00C92EBF">
        <w:rPr>
          <w:rFonts w:ascii="Calibri" w:eastAsia="Calibri" w:hAnsi="Calibri" w:cs="Calibri"/>
          <w:i/>
          <w:iCs/>
          <w:sz w:val="24"/>
          <w:szCs w:val="24"/>
          <w:highlight w:val="white"/>
        </w:rPr>
        <w:t>Nordic commercial arbitration forum 2025: Nordic arbitration—A strategic choice for business</w:t>
      </w:r>
      <w:r w:rsidRPr="00C92EBF">
        <w:rPr>
          <w:rFonts w:ascii="Calibri" w:eastAsia="Calibri" w:hAnsi="Calibri" w:cs="Calibri"/>
          <w:sz w:val="24"/>
          <w:szCs w:val="24"/>
          <w:highlight w:val="white"/>
        </w:rPr>
        <w:t>. SCCL Publications, pp. 1–143.</w:t>
      </w:r>
    </w:p>
    <w:p w14:paraId="2BB72C16" w14:textId="77777777" w:rsidR="00555D8F" w:rsidRPr="00C92EBF" w:rsidRDefault="00555D8F">
      <w:pPr>
        <w:spacing w:before="200" w:after="200" w:line="360" w:lineRule="auto"/>
        <w:jc w:val="both"/>
        <w:rPr>
          <w:rFonts w:ascii="Calibri" w:eastAsia="Calibri" w:hAnsi="Calibri" w:cs="Calibri"/>
          <w:sz w:val="24"/>
          <w:szCs w:val="24"/>
        </w:rPr>
      </w:pPr>
    </w:p>
    <w:p w14:paraId="2D23116C" w14:textId="77777777" w:rsidR="00555D8F" w:rsidRDefault="00555D8F">
      <w:pPr>
        <w:spacing w:before="200" w:after="200" w:line="360" w:lineRule="auto"/>
        <w:jc w:val="both"/>
        <w:rPr>
          <w:rFonts w:ascii="Calibri" w:eastAsia="Calibri" w:hAnsi="Calibri" w:cs="Calibri"/>
          <w:sz w:val="24"/>
          <w:szCs w:val="24"/>
        </w:rPr>
      </w:pPr>
    </w:p>
    <w:sectPr w:rsidR="00555D8F">
      <w:headerReference w:type="default" r:id="rId21"/>
      <w:footerReference w:type="default" r:id="rId22"/>
      <w:footerReference w:type="first" r:id="rId2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B7BC0" w14:textId="77777777" w:rsidR="00291DF0" w:rsidRPr="00C92EBF" w:rsidRDefault="00291DF0">
      <w:pPr>
        <w:spacing w:line="240" w:lineRule="auto"/>
      </w:pPr>
      <w:r w:rsidRPr="00C92EBF">
        <w:separator/>
      </w:r>
    </w:p>
  </w:endnote>
  <w:endnote w:type="continuationSeparator" w:id="0">
    <w:p w14:paraId="6386141C" w14:textId="77777777" w:rsidR="00291DF0" w:rsidRPr="00C92EBF" w:rsidRDefault="00291DF0">
      <w:pPr>
        <w:spacing w:line="240" w:lineRule="auto"/>
      </w:pPr>
      <w:r w:rsidRPr="00C92E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8BC4A23-BAF5-4D81-8B80-34A4593026DE}"/>
    <w:embedBold r:id="rId2" w:fontKey="{9CFE9EBC-695E-4EAD-B318-986463D2966D}"/>
    <w:embedItalic r:id="rId3" w:fontKey="{CB6B42D2-9D39-49BF-B9B8-684C5F8FB761}"/>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9FC85FD7-D9E0-4643-815A-AACCB9FD70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9576A" w14:textId="77777777" w:rsidR="00555D8F" w:rsidRPr="00C92EBF" w:rsidRDefault="00000000">
    <w:pPr>
      <w:jc w:val="right"/>
      <w:rPr>
        <w:rFonts w:ascii="Calibri" w:eastAsia="Calibri" w:hAnsi="Calibri" w:cs="Calibri"/>
        <w:sz w:val="24"/>
        <w:szCs w:val="24"/>
      </w:rPr>
    </w:pPr>
    <w:r w:rsidRPr="00C92EBF">
      <w:rPr>
        <w:rFonts w:ascii="Calibri" w:eastAsia="Calibri" w:hAnsi="Calibri" w:cs="Calibri"/>
        <w:sz w:val="24"/>
        <w:szCs w:val="24"/>
      </w:rPr>
      <w:fldChar w:fldCharType="begin"/>
    </w:r>
    <w:r w:rsidRPr="00C92EBF">
      <w:rPr>
        <w:rFonts w:ascii="Calibri" w:eastAsia="Calibri" w:hAnsi="Calibri" w:cs="Calibri"/>
        <w:sz w:val="24"/>
        <w:szCs w:val="24"/>
      </w:rPr>
      <w:instrText>PAGE</w:instrText>
    </w:r>
    <w:r w:rsidRPr="00C92EBF">
      <w:rPr>
        <w:rFonts w:ascii="Calibri" w:eastAsia="Calibri" w:hAnsi="Calibri" w:cs="Calibri"/>
        <w:sz w:val="24"/>
        <w:szCs w:val="24"/>
      </w:rPr>
      <w:fldChar w:fldCharType="separate"/>
    </w:r>
    <w:r w:rsidR="00060FB2" w:rsidRPr="00C92EBF">
      <w:rPr>
        <w:rFonts w:ascii="Calibri" w:eastAsia="Calibri" w:hAnsi="Calibri" w:cs="Calibri"/>
        <w:sz w:val="24"/>
        <w:szCs w:val="24"/>
      </w:rPr>
      <w:t>1</w:t>
    </w:r>
    <w:r w:rsidRPr="00C92EBF">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29BE5" w14:textId="77777777" w:rsidR="00555D8F" w:rsidRPr="00C92EBF" w:rsidRDefault="00555D8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AC062" w14:textId="77777777" w:rsidR="00291DF0" w:rsidRPr="00C92EBF" w:rsidRDefault="00291DF0">
      <w:pPr>
        <w:spacing w:line="240" w:lineRule="auto"/>
      </w:pPr>
      <w:r w:rsidRPr="00C92EBF">
        <w:separator/>
      </w:r>
    </w:p>
  </w:footnote>
  <w:footnote w:type="continuationSeparator" w:id="0">
    <w:p w14:paraId="5AC6D5D0" w14:textId="77777777" w:rsidR="00291DF0" w:rsidRPr="00C92EBF" w:rsidRDefault="00291DF0">
      <w:pPr>
        <w:spacing w:line="240" w:lineRule="auto"/>
      </w:pPr>
      <w:r w:rsidRPr="00C92EB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1225D" w14:textId="77777777" w:rsidR="00555D8F" w:rsidRPr="00C92EBF" w:rsidRDefault="00555D8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D8F"/>
    <w:rsid w:val="000605FA"/>
    <w:rsid w:val="00060FB2"/>
    <w:rsid w:val="001E4D50"/>
    <w:rsid w:val="00291DF0"/>
    <w:rsid w:val="004B38C5"/>
    <w:rsid w:val="00507305"/>
    <w:rsid w:val="00555D8F"/>
    <w:rsid w:val="00AB3A30"/>
    <w:rsid w:val="00C92EBF"/>
    <w:rsid w:val="00CD3B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ADE97"/>
  <w15:docId w15:val="{CF72E09B-05B1-468A-9934-41193CDA6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irectlumberanddoor.com/the-latest/posts/2024/july/maximizing-efficiency-with-turnkey-contracts/" TargetMode="External"/><Relationship Id="rId13" Type="http://schemas.openxmlformats.org/officeDocument/2006/relationships/hyperlink" Target="https://medium.com/@ilamparithie33/epc-vs-turnkey-project-contracts-understanding-the-subtle-differences-article-22-8022145c3403" TargetMode="External"/><Relationship Id="rId18" Type="http://schemas.openxmlformats.org/officeDocument/2006/relationships/hyperlink" Target="http://ndl.ethernet.edu.et/bitstream/123456789/47092/1/Understanding%20Construction%20Contracts.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jarvale.co.uk/blog/design-and-build-vs-turnkey-contracts-whats-the-difference/" TargetMode="External"/><Relationship Id="rId12" Type="http://schemas.openxmlformats.org/officeDocument/2006/relationships/hyperlink" Target="https://consultingquest.com/insights/internal-external-consultants-guide/" TargetMode="External"/><Relationship Id="rId17" Type="http://schemas.openxmlformats.org/officeDocument/2006/relationships/hyperlink" Target="https://rdash.io/blog/multi-prime-contracts-cmmp-method-explaine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rocore.com/library/construction-quality-control" TargetMode="External"/><Relationship Id="rId20" Type="http://schemas.openxmlformats.org/officeDocument/2006/relationships/hyperlink" Target="https://dspace.mit.edu/bitstream/handle/1721.1/117305/1045066800-MIT.pdf" TargetMode="External"/><Relationship Id="rId1" Type="http://schemas.openxmlformats.org/officeDocument/2006/relationships/styles" Target="styles.xml"/><Relationship Id="rId6" Type="http://schemas.openxmlformats.org/officeDocument/2006/relationships/hyperlink" Target="https://acmsgroup.com/everything-you-need-to-know-about-turnkey-contracting/" TargetMode="External"/><Relationship Id="rId11" Type="http://schemas.openxmlformats.org/officeDocument/2006/relationships/hyperlink" Target="https://www.goddardtech.com/blog/understanding-design-for-manufacturing-df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plprojects.co.uk/procurement-in-projects/" TargetMode="External"/><Relationship Id="rId23" Type="http://schemas.openxmlformats.org/officeDocument/2006/relationships/footer" Target="footer2.xml"/><Relationship Id="rId10" Type="http://schemas.openxmlformats.org/officeDocument/2006/relationships/hyperlink" Target="https://doi.org/10.2139/ssrn.1289428" TargetMode="External"/><Relationship Id="rId19" Type="http://schemas.openxmlformats.org/officeDocument/2006/relationships/hyperlink" Target="https://www.uagc.edu/blog/what-is-project-management" TargetMode="External"/><Relationship Id="rId4" Type="http://schemas.openxmlformats.org/officeDocument/2006/relationships/footnotes" Target="footnotes.xml"/><Relationship Id="rId9" Type="http://schemas.openxmlformats.org/officeDocument/2006/relationships/hyperlink" Target="https://www.hm-ec.com/blog-posts/turnkey-project-advantages-and-disadvantages-what-to-know-before-signing-a-contract-hm" TargetMode="External"/><Relationship Id="rId14" Type="http://schemas.openxmlformats.org/officeDocument/2006/relationships/hyperlink" Target="https://www.linkedin.com/pulse/how-force-account-used-procurement-method-scalekenya"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3190</Words>
  <Characters>18186</Characters>
  <Application>Microsoft Office Word</Application>
  <DocSecurity>0</DocSecurity>
  <Lines>151</Lines>
  <Paragraphs>42</Paragraphs>
  <ScaleCrop>false</ScaleCrop>
  <Company/>
  <LinksUpToDate>false</LinksUpToDate>
  <CharactersWithSpaces>21334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Hrisca</cp:lastModifiedBy>
  <cp:revision>2</cp:revision>
  <dcterms:created xsi:type="dcterms:W3CDTF">2025-12-17T05:21:00Z</dcterms:created>
  <dcterms:modified xsi:type="dcterms:W3CDTF">2025-12-17T09:08:00Z</dcterms:modified>
</cp:coreProperties>
</file>